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8C0A1" w14:textId="77777777" w:rsidR="008F4B4B" w:rsidRPr="006C0E01" w:rsidRDefault="00000000">
      <w:pPr>
        <w:jc w:val="center"/>
        <w:rPr>
          <w:rFonts w:ascii="Times New Roman" w:eastAsia="Times New Roman" w:hAnsi="Times New Roman" w:cs="Times New Roman"/>
          <w:b/>
          <w:bCs/>
          <w:sz w:val="24"/>
          <w:szCs w:val="24"/>
        </w:rPr>
      </w:pPr>
      <w:r w:rsidRPr="006C0E01">
        <w:rPr>
          <w:rFonts w:ascii="Times New Roman" w:eastAsia="Times New Roman" w:hAnsi="Times New Roman" w:cs="Times New Roman"/>
          <w:b/>
          <w:bCs/>
          <w:sz w:val="24"/>
          <w:szCs w:val="24"/>
        </w:rPr>
        <w:t>RELACION</w:t>
      </w:r>
    </w:p>
    <w:p w14:paraId="48CB1865" w14:textId="77777777" w:rsidR="00E34BFA" w:rsidRPr="006C0E01" w:rsidRDefault="00000000">
      <w:pPr>
        <w:jc w:val="center"/>
        <w:rPr>
          <w:rFonts w:ascii="Times New Roman" w:eastAsia="Times New Roman" w:hAnsi="Times New Roman" w:cs="Times New Roman"/>
          <w:b/>
          <w:bCs/>
          <w:sz w:val="24"/>
          <w:szCs w:val="24"/>
        </w:rPr>
      </w:pPr>
      <w:r w:rsidRPr="006C0E01">
        <w:rPr>
          <w:rFonts w:ascii="Times New Roman" w:eastAsia="Times New Roman" w:hAnsi="Times New Roman" w:cs="Times New Roman"/>
          <w:b/>
          <w:bCs/>
          <w:sz w:val="24"/>
          <w:szCs w:val="24"/>
        </w:rPr>
        <w:t>PËR PROJEKTVENDIMIN</w:t>
      </w:r>
    </w:p>
    <w:p w14:paraId="1F42BAA1" w14:textId="3A7F82D6" w:rsidR="008F4B4B" w:rsidRPr="006C0E01" w:rsidRDefault="00000000">
      <w:pPr>
        <w:jc w:val="center"/>
        <w:rPr>
          <w:rFonts w:ascii="Times New Roman" w:eastAsia="Times New Roman" w:hAnsi="Times New Roman" w:cs="Times New Roman"/>
          <w:b/>
          <w:bCs/>
          <w:sz w:val="24"/>
          <w:szCs w:val="24"/>
        </w:rPr>
      </w:pPr>
      <w:r w:rsidRPr="006C0E01">
        <w:rPr>
          <w:rFonts w:ascii="Times New Roman" w:eastAsia="Times New Roman" w:hAnsi="Times New Roman" w:cs="Times New Roman"/>
          <w:sz w:val="24"/>
          <w:szCs w:val="24"/>
        </w:rPr>
        <w:t>“</w:t>
      </w:r>
      <w:r w:rsidRPr="006C0E01">
        <w:rPr>
          <w:rFonts w:ascii="Times New Roman" w:eastAsia="Times New Roman" w:hAnsi="Times New Roman" w:cs="Times New Roman"/>
          <w:b/>
          <w:bCs/>
          <w:sz w:val="24"/>
          <w:szCs w:val="24"/>
        </w:rPr>
        <w:t>PËR MIRATIMIN E STRATEGJISË KOMBËTARE PËR DIASPORËN 2026-2030 DHE PLANIT TË SAJ TË VEPRIMIT 2026-2028”</w:t>
      </w:r>
    </w:p>
    <w:p w14:paraId="5DFE79AB" w14:textId="77777777" w:rsidR="008F4B4B" w:rsidRPr="006C0E01" w:rsidRDefault="00000000" w:rsidP="00EC1DAF">
      <w:pPr>
        <w:jc w:val="both"/>
        <w:rPr>
          <w:rFonts w:ascii="Times New Roman" w:eastAsia="Times New Roman" w:hAnsi="Times New Roman" w:cs="Times New Roman"/>
          <w:b/>
          <w:bCs/>
          <w:sz w:val="24"/>
          <w:szCs w:val="24"/>
        </w:rPr>
      </w:pPr>
      <w:r w:rsidRPr="006C0E01">
        <w:rPr>
          <w:rFonts w:ascii="Times New Roman" w:eastAsia="Times New Roman" w:hAnsi="Times New Roman" w:cs="Times New Roman"/>
          <w:b/>
          <w:bCs/>
          <w:sz w:val="24"/>
          <w:szCs w:val="24"/>
        </w:rPr>
        <w:t>I. QËLLIMI I PROJEKTAKTIT DHE OBJEKTIVAT QË SYNOHEN TË ARRIHEN</w:t>
      </w:r>
    </w:p>
    <w:p w14:paraId="068E8465" w14:textId="77777777" w:rsidR="008F4B4B" w:rsidRPr="006C0E01" w:rsidRDefault="00000000" w:rsidP="00EC1DAF">
      <w:pPr>
        <w:jc w:val="both"/>
        <w:rPr>
          <w:rFonts w:ascii="Times New Roman" w:eastAsia="Times New Roman" w:hAnsi="Times New Roman" w:cs="Times New Roman"/>
          <w:sz w:val="24"/>
          <w:szCs w:val="24"/>
        </w:rPr>
      </w:pPr>
      <w:proofErr w:type="spellStart"/>
      <w:r w:rsidRPr="006C0E01">
        <w:rPr>
          <w:rFonts w:ascii="Times New Roman" w:eastAsia="Times New Roman" w:hAnsi="Times New Roman" w:cs="Times New Roman"/>
          <w:sz w:val="24"/>
          <w:szCs w:val="24"/>
        </w:rPr>
        <w:t>Projektakti</w:t>
      </w:r>
      <w:proofErr w:type="spellEnd"/>
      <w:r w:rsidRPr="006C0E01">
        <w:rPr>
          <w:rFonts w:ascii="Times New Roman" w:eastAsia="Times New Roman" w:hAnsi="Times New Roman" w:cs="Times New Roman"/>
          <w:sz w:val="24"/>
          <w:szCs w:val="24"/>
        </w:rPr>
        <w:t xml:space="preserve"> i propozuar ka për qëllim miratimin e dokumentit të Strategjisë Kombëtare për Diasporën 2026–2030 dhe Planit të saj të Veprimit 2026–2028, i cili është hartuar në vijim të Strategjisë Kombëtare për Diasporën 2021–2025, miratuar me Vendimin e Këshillit të Ministrave nr. 212, datë 20.05.2021.</w:t>
      </w:r>
    </w:p>
    <w:p w14:paraId="2479C00E"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Strategjia Kombëtare për Diasporën 2021–2025 përcaktoi parimet themelore të politikës shtetërore për mbështetjen dhe bashkëpunimin me komunitetet shqiptare jashtë vendit, duke synuar forcimin e marrëdhënieve ndërmjet shtetit shqiptar dhe diasporës, si dhe krijimin e mundësive të reja për angazhimin e saj aktiv në jetën politike, ekonomike, sociale dhe kulturore të vendit. Vizioni i saj ishte rivlerësimi i rolit dhe kontributit të diasporës, duke e shndërruar atë në një aktor të rëndësishëm të zhvillimit kombëtar dhe duke i dhënë hapësirë më të gjerë për pjesëmarrje në proceset vendimmarrëse, ruajtjen e identitetit kombëtar dhe mbështetjen e zhvillimit ekonomik të Shqipërisë.</w:t>
      </w:r>
    </w:p>
    <w:p w14:paraId="6DC996C0"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Vizioni i Strategjisë Kombëtare për Diasporën 2026–2030 është që:</w:t>
      </w:r>
    </w:p>
    <w:p w14:paraId="69A93065"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 xml:space="preserve">“Deri në vitin 2030, diaspora shqiptare të jetë një partner strategjik i institucionalizuar, aktiv dhe </w:t>
      </w:r>
      <w:proofErr w:type="spellStart"/>
      <w:r w:rsidRPr="006C0E01">
        <w:rPr>
          <w:rFonts w:ascii="Times New Roman" w:eastAsia="Times New Roman" w:hAnsi="Times New Roman" w:cs="Times New Roman"/>
          <w:sz w:val="24"/>
          <w:szCs w:val="24"/>
        </w:rPr>
        <w:t>bashkëkrijues</w:t>
      </w:r>
      <w:proofErr w:type="spellEnd"/>
      <w:r w:rsidRPr="006C0E01">
        <w:rPr>
          <w:rFonts w:ascii="Times New Roman" w:eastAsia="Times New Roman" w:hAnsi="Times New Roman" w:cs="Times New Roman"/>
          <w:sz w:val="24"/>
          <w:szCs w:val="24"/>
        </w:rPr>
        <w:t xml:space="preserve"> i shtetit shqiptar, me një rol të drejtpërdrejtë dhe të matshëm në zhvillimin ekonomik, social, kulturor dhe demokratik të vendit.” Në frymën e këtij vizioni, objektivi kryesor strategjik është forcimi i partneritetit ndërmjet shtetit shqiptar dhe diasporës, nëpërmjet krijimit të një kuadri të qëndrueshëm ligjor, institucional dhe financiar që mundëson angazhimin e saj aktiv në zhvillimin e vendit, përshpejtimin e procesit të integrimit evropian, promovimin e identitetit kombëtar dhe rritjen e ndikimit ndërkombëtar të </w:t>
      </w:r>
      <w:proofErr w:type="spellStart"/>
      <w:r w:rsidRPr="006C0E01">
        <w:rPr>
          <w:rFonts w:ascii="Times New Roman" w:eastAsia="Times New Roman" w:hAnsi="Times New Roman" w:cs="Times New Roman"/>
          <w:sz w:val="24"/>
          <w:szCs w:val="24"/>
        </w:rPr>
        <w:t>Shqipërisë.Përmes</w:t>
      </w:r>
      <w:proofErr w:type="spellEnd"/>
      <w:r w:rsidRPr="006C0E01">
        <w:rPr>
          <w:rFonts w:ascii="Times New Roman" w:eastAsia="Times New Roman" w:hAnsi="Times New Roman" w:cs="Times New Roman"/>
          <w:sz w:val="24"/>
          <w:szCs w:val="24"/>
        </w:rPr>
        <w:t xml:space="preserve"> bashkëpunimit ndërinstitucional të strukturuar, gjithëpërfshirës dhe të </w:t>
      </w:r>
      <w:proofErr w:type="spellStart"/>
      <w:r w:rsidRPr="006C0E01">
        <w:rPr>
          <w:rFonts w:ascii="Times New Roman" w:eastAsia="Times New Roman" w:hAnsi="Times New Roman" w:cs="Times New Roman"/>
          <w:sz w:val="24"/>
          <w:szCs w:val="24"/>
        </w:rPr>
        <w:t>mirëkoordinuar</w:t>
      </w:r>
      <w:proofErr w:type="spellEnd"/>
      <w:r w:rsidRPr="006C0E01">
        <w:rPr>
          <w:rFonts w:ascii="Times New Roman" w:eastAsia="Times New Roman" w:hAnsi="Times New Roman" w:cs="Times New Roman"/>
          <w:sz w:val="24"/>
          <w:szCs w:val="24"/>
        </w:rPr>
        <w:t>, diaspora shqiptare synohet të kontribuojë në forcimin e shtetit të së drejtës, zhvillimin ekonomik dhe social të vendit, promovimin e kulturës dhe gjuhës shqipe, si dhe në konsolidimin e lidhjeve ndërmjet Shqipërisë dhe komuniteteve shqiptare jashtë vendit.</w:t>
      </w:r>
    </w:p>
    <w:p w14:paraId="1AB27B38"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Qeveria shqiptare synon të realizojë objektivin kryesor strategjik duke u fokusuar në katër qëllime kryesore të politikës:</w:t>
      </w:r>
    </w:p>
    <w:p w14:paraId="4C2DD5BB" w14:textId="77777777" w:rsidR="008F4B4B" w:rsidRPr="006C0E01" w:rsidRDefault="00000000" w:rsidP="00EC1DAF">
      <w:pPr>
        <w:numPr>
          <w:ilvl w:val="0"/>
          <w:numId w:val="1"/>
        </w:numPr>
        <w:pBdr>
          <w:top w:val="nil"/>
          <w:left w:val="nil"/>
          <w:bottom w:val="nil"/>
          <w:right w:val="nil"/>
          <w:between w:val="nil"/>
        </w:pBdr>
        <w:spacing w:after="0"/>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 xml:space="preserve">Modernizimin, harmonizimin dhe konsolidimin e kuadrit ligjor dhe institucional që rregullon marrëdhënien ndërmjet shtetit shqiptar dhe diasporës, me qëllim </w:t>
      </w:r>
      <w:r w:rsidRPr="006C0E01">
        <w:rPr>
          <w:rFonts w:ascii="Times New Roman" w:eastAsia="Times New Roman" w:hAnsi="Times New Roman" w:cs="Times New Roman"/>
          <w:sz w:val="24"/>
          <w:szCs w:val="24"/>
        </w:rPr>
        <w:lastRenderedPageBreak/>
        <w:t>sigurimin e një qasjeje të unifikuar, funksionale dhe të qëndrueshme për adresimin e potencialit të saj;</w:t>
      </w:r>
    </w:p>
    <w:p w14:paraId="156D3E3A" w14:textId="77777777" w:rsidR="008F4B4B" w:rsidRPr="006C0E01" w:rsidRDefault="00000000" w:rsidP="00EC1DAF">
      <w:pPr>
        <w:numPr>
          <w:ilvl w:val="0"/>
          <w:numId w:val="1"/>
        </w:numPr>
        <w:pBdr>
          <w:top w:val="nil"/>
          <w:left w:val="nil"/>
          <w:bottom w:val="nil"/>
          <w:right w:val="nil"/>
          <w:between w:val="nil"/>
        </w:pBdr>
        <w:spacing w:after="0"/>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Krijimin e kushteve për pjesëmarrjen e diasporës në jetën politike, shoqërore dhe institucionale të Shqipërisë, si dhe aktivizimin e rolit të saj në mbështetje të procesit të integrimit evropian të vendit;</w:t>
      </w:r>
    </w:p>
    <w:p w14:paraId="1AF90200" w14:textId="77777777" w:rsidR="008F4B4B" w:rsidRPr="006C0E01" w:rsidRDefault="00000000" w:rsidP="00EC1DAF">
      <w:pPr>
        <w:numPr>
          <w:ilvl w:val="0"/>
          <w:numId w:val="1"/>
        </w:numPr>
        <w:pBdr>
          <w:top w:val="nil"/>
          <w:left w:val="nil"/>
          <w:bottom w:val="nil"/>
          <w:right w:val="nil"/>
          <w:between w:val="nil"/>
        </w:pBdr>
        <w:spacing w:after="0"/>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Mobilizimin sistematik të potencialit financiar, njerëzor dhe intelektual të diasporës, me synim shndërrimin e saj në një nga shtyllat kryesore të zhvillimit të qëndrueshëm ekonomik të vendit;</w:t>
      </w:r>
    </w:p>
    <w:p w14:paraId="5DCE860D" w14:textId="77777777" w:rsidR="008F4B4B" w:rsidRPr="006C0E01" w:rsidRDefault="00000000" w:rsidP="00EC1DAF">
      <w:pPr>
        <w:numPr>
          <w:ilvl w:val="0"/>
          <w:numId w:val="1"/>
        </w:numPr>
        <w:pBdr>
          <w:top w:val="nil"/>
          <w:left w:val="nil"/>
          <w:bottom w:val="nil"/>
          <w:right w:val="nil"/>
          <w:between w:val="nil"/>
        </w:pBd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 xml:space="preserve">Forcimin e lidhjes kulturore, gjuhësore dhe shpirtërore ndërmjet diasporës dhe atdheut, duke garantuar transmetimin </w:t>
      </w:r>
      <w:proofErr w:type="spellStart"/>
      <w:r w:rsidRPr="006C0E01">
        <w:rPr>
          <w:rFonts w:ascii="Times New Roman" w:eastAsia="Times New Roman" w:hAnsi="Times New Roman" w:cs="Times New Roman"/>
          <w:sz w:val="24"/>
          <w:szCs w:val="24"/>
        </w:rPr>
        <w:t>ndërbrezor</w:t>
      </w:r>
      <w:proofErr w:type="spellEnd"/>
      <w:r w:rsidRPr="006C0E01">
        <w:rPr>
          <w:rFonts w:ascii="Times New Roman" w:eastAsia="Times New Roman" w:hAnsi="Times New Roman" w:cs="Times New Roman"/>
          <w:sz w:val="24"/>
          <w:szCs w:val="24"/>
        </w:rPr>
        <w:t xml:space="preserve"> të identitetit kombëtar dhe promovimin e vlerave shqiptare në arenën ndërkombëtare.</w:t>
      </w:r>
    </w:p>
    <w:p w14:paraId="56F98892" w14:textId="77777777" w:rsidR="008F4B4B" w:rsidRPr="006C0E01" w:rsidRDefault="00000000" w:rsidP="00EC1DAF">
      <w:pPr>
        <w:spacing w:before="240" w:after="240"/>
        <w:jc w:val="both"/>
        <w:rPr>
          <w:rFonts w:ascii="Times New Roman" w:eastAsia="Times New Roman" w:hAnsi="Times New Roman" w:cs="Times New Roman"/>
          <w:sz w:val="24"/>
          <w:szCs w:val="24"/>
        </w:rPr>
      </w:pPr>
      <w:r w:rsidRPr="006C0E01">
        <w:rPr>
          <w:rFonts w:ascii="Times New Roman" w:eastAsia="Times New Roman" w:hAnsi="Times New Roman" w:cs="Times New Roman"/>
          <w:b/>
          <w:bCs/>
          <w:sz w:val="24"/>
          <w:szCs w:val="24"/>
        </w:rPr>
        <w:t>Plani i Veprimit për Strategjinë Kombëtare të Diasporës 2026–2028</w:t>
      </w:r>
      <w:r w:rsidRPr="006C0E01">
        <w:rPr>
          <w:rFonts w:ascii="Times New Roman" w:eastAsia="Times New Roman" w:hAnsi="Times New Roman" w:cs="Times New Roman"/>
          <w:sz w:val="24"/>
          <w:szCs w:val="24"/>
        </w:rPr>
        <w:t xml:space="preserve"> do t’i nënshtrohet një rishikimi në fund te vitit 2028, me qëllim vlerësimin e progresit të arritur në zbatimin e masave të parashikuara. </w:t>
      </w:r>
    </w:p>
    <w:p w14:paraId="3DF93FCD" w14:textId="77777777" w:rsidR="008F4B4B" w:rsidRPr="006C0E01" w:rsidRDefault="00000000" w:rsidP="00EC1DAF">
      <w:pPr>
        <w:spacing w:before="240" w:after="240"/>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Ky rishikim do të shërbejë gjithashtu për përditësimin e planit në përputhje me nevojat e identifikuara, zhvillimet e reja dhe parashikimet e shpenzimeve buxhetore afatmesme.</w:t>
      </w:r>
    </w:p>
    <w:p w14:paraId="1E11717E" w14:textId="77777777" w:rsidR="008F4B4B" w:rsidRPr="006C0E01" w:rsidRDefault="00000000" w:rsidP="00EC1DAF">
      <w:pPr>
        <w:spacing w:before="240" w:after="240"/>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 xml:space="preserve">Zbatimi dhe monitorimi i Strategjisë Kombëtare për Diasporën do të koordinohen nga Ministria për Evropën dhe Punët e Jashtme përmes një mekanizmi të strukturuar qeverisjeje, i përbërë nga Komiteti Teknik për Diasporën dhe Grupi Politik për Diasporën. Këto struktura, të krijuara me Urdhër të Kryeministrit, do të sigurojnë koordinimin ndërinstitucional, mbikëqyrjen strategjike, llogaridhënien dhe adresimin e sfidave të zbatimit. Çdo institucion zbatues do të caktojë një pikë kontakti për koordinimin e veprimeve dhe raportimin periodik. Agjencia Kombëtare e Diasporës, në rolin e Sekretariatit Teknik, do të koordinojë procesin e monitorimit, do të mbledhë raportet e progresit nga institucionet dhe do të hartojë Raportin Vjetor të Zbatimit. Monitorimi do të bazohet në tregues të matshëm të </w:t>
      </w:r>
      <w:proofErr w:type="spellStart"/>
      <w:r w:rsidRPr="006C0E01">
        <w:rPr>
          <w:rFonts w:ascii="Times New Roman" w:eastAsia="Times New Roman" w:hAnsi="Times New Roman" w:cs="Times New Roman"/>
          <w:sz w:val="24"/>
          <w:szCs w:val="24"/>
        </w:rPr>
        <w:t>performancës</w:t>
      </w:r>
      <w:proofErr w:type="spellEnd"/>
      <w:r w:rsidRPr="006C0E01">
        <w:rPr>
          <w:rFonts w:ascii="Times New Roman" w:eastAsia="Times New Roman" w:hAnsi="Times New Roman" w:cs="Times New Roman"/>
          <w:sz w:val="24"/>
          <w:szCs w:val="24"/>
        </w:rPr>
        <w:t>, raportim periodik dhe mekanizma të rregullt koordinimi, me qëllim garantimin e transparencës, llogaridhënies dhe përshtatjes së politikave bazuar në evidencë.</w:t>
      </w:r>
    </w:p>
    <w:p w14:paraId="1E3BB655" w14:textId="77777777" w:rsidR="008F4B4B" w:rsidRPr="006C0E01" w:rsidRDefault="008F4B4B" w:rsidP="00EC1DAF">
      <w:pPr>
        <w:pBdr>
          <w:top w:val="nil"/>
          <w:left w:val="nil"/>
          <w:bottom w:val="nil"/>
          <w:right w:val="nil"/>
          <w:between w:val="nil"/>
        </w:pBdr>
        <w:jc w:val="both"/>
        <w:rPr>
          <w:rFonts w:ascii="Times New Roman" w:eastAsia="Times New Roman" w:hAnsi="Times New Roman" w:cs="Times New Roman"/>
          <w:sz w:val="24"/>
          <w:szCs w:val="24"/>
        </w:rPr>
      </w:pPr>
    </w:p>
    <w:p w14:paraId="73CEA042" w14:textId="77777777" w:rsidR="008F4B4B" w:rsidRPr="006C0E01" w:rsidRDefault="00000000" w:rsidP="00EC1DAF">
      <w:pPr>
        <w:jc w:val="both"/>
        <w:rPr>
          <w:rFonts w:ascii="Times New Roman" w:eastAsia="Times New Roman" w:hAnsi="Times New Roman" w:cs="Times New Roman"/>
          <w:b/>
          <w:bCs/>
          <w:sz w:val="24"/>
          <w:szCs w:val="24"/>
        </w:rPr>
      </w:pPr>
      <w:r w:rsidRPr="006C0E01">
        <w:rPr>
          <w:rFonts w:ascii="Times New Roman" w:eastAsia="Times New Roman" w:hAnsi="Times New Roman" w:cs="Times New Roman"/>
          <w:b/>
          <w:bCs/>
          <w:sz w:val="24"/>
          <w:szCs w:val="24"/>
        </w:rPr>
        <w:t>II. VLERËSIMI I PROJEKTAKTIT NË RAPORT ME PROGRAMIN POLITIK TË KËSHILLIT TË MINISTRAVE, ME PROGRAMIN ANALITIK TË AKTEVE DHE DOKUMENTE TË TJERA POLITIKE</w:t>
      </w:r>
    </w:p>
    <w:p w14:paraId="58E70BD2"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Strategjia Kombëtare për Diasporën 2026–2030  mbështetet në parimet e zhvillimit të qëndrueshëm, bashkëpunimit ndërkombëtar dhe partneritetit shtet–diasporë, duke qenë ngushtësisht e harmonizuar me prioritetet kombëtare dhe angazhimet ndërkombëtare të Shqipërisë në fushën e migracionit dhe angazhimit të diasporës.</w:t>
      </w:r>
    </w:p>
    <w:p w14:paraId="32BD5D45"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lastRenderedPageBreak/>
        <w:t>Strategjia Kombëtare për Diasporën është plotësisht e harmonizuar me prioritetet e zhvillimit të brendshëm të Shqipërisë, si dhe me angazhimet e saj evropiane dhe ndërkombëtare. Ajo nuk dublon strategjitë ekzistuese, por konsolidon dhe thellon kuadrin strategjik kombëtar, duke e pozicionuar diasporën si partner të brendshëm strategjik për zhvillimin dhe integrimin evropian.</w:t>
      </w:r>
    </w:p>
    <w:p w14:paraId="25AFDBB6"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 xml:space="preserve">Strategjia Kombëtare për Diasporën 2026-2030 është në përputhje me objektivat kryesore të Programit të Qeverisë Shqiptare 2025–2029, i cili synon arritjen e rritjes ekonomike të qëndrueshme, përmirësimin e qeverisjes, forcimin e shtetit të së drejtës dhe përshpejtimin e integrimit evropian. Në këtë kontekst, diaspora përfaqëson një burim të rëndësishëm kapitali financiar, njerëzor dhe intelektual, i aftë të mbështesë reformat strukturore, sektorët </w:t>
      </w:r>
      <w:proofErr w:type="spellStart"/>
      <w:r w:rsidRPr="006C0E01">
        <w:rPr>
          <w:rFonts w:ascii="Times New Roman" w:eastAsia="Times New Roman" w:hAnsi="Times New Roman" w:cs="Times New Roman"/>
          <w:sz w:val="24"/>
          <w:szCs w:val="24"/>
        </w:rPr>
        <w:t>prioritarë</w:t>
      </w:r>
      <w:proofErr w:type="spellEnd"/>
      <w:r w:rsidRPr="006C0E01">
        <w:rPr>
          <w:rFonts w:ascii="Times New Roman" w:eastAsia="Times New Roman" w:hAnsi="Times New Roman" w:cs="Times New Roman"/>
          <w:sz w:val="24"/>
          <w:szCs w:val="24"/>
        </w:rPr>
        <w:t xml:space="preserve"> dhe transferimin e praktikave më të mira ndërkombëtare në Shqipëri.</w:t>
      </w:r>
    </w:p>
    <w:p w14:paraId="668C9F12"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 xml:space="preserve">Pjesëmarrja aktive e diasporës në jetën politike, ekonomike dhe sociale kontribuon jo vetëm në konsolidimin demokratik, por edhe në rritjen e transparencës, llogaridhënies dhe angazhimit qytetar, duke krijuar një urë të qëndrueshme ndërmjet shtetit dhe komuniteteve shqiptare jashtë vendit. </w:t>
      </w:r>
    </w:p>
    <w:p w14:paraId="3BBF5A18" w14:textId="77777777" w:rsidR="008F4B4B" w:rsidRPr="006C0E01" w:rsidRDefault="00000000" w:rsidP="00EC1DAF">
      <w:pPr>
        <w:jc w:val="both"/>
        <w:rPr>
          <w:rFonts w:ascii="Times New Roman" w:eastAsia="Times New Roman" w:hAnsi="Times New Roman" w:cs="Times New Roman"/>
          <w:b/>
          <w:bCs/>
          <w:sz w:val="24"/>
          <w:szCs w:val="24"/>
        </w:rPr>
      </w:pPr>
      <w:r w:rsidRPr="006C0E01">
        <w:rPr>
          <w:rFonts w:ascii="Times New Roman" w:eastAsia="Times New Roman" w:hAnsi="Times New Roman" w:cs="Times New Roman"/>
          <w:b/>
          <w:bCs/>
          <w:sz w:val="24"/>
          <w:szCs w:val="24"/>
        </w:rPr>
        <w:t>III. ARGUMENTIMI I PROJEKTAKTIT LIDHUR ME PËRPARËSITË, PROBLEMATIKAT DHE EFEKTET E PRITSHME</w:t>
      </w:r>
    </w:p>
    <w:p w14:paraId="36F01B6B" w14:textId="77777777" w:rsidR="008F4B4B" w:rsidRPr="006C0E01" w:rsidRDefault="00000000" w:rsidP="00EC1DAF">
      <w:pPr>
        <w:jc w:val="both"/>
        <w:rPr>
          <w:rFonts w:ascii="Times New Roman" w:eastAsia="Times New Roman" w:hAnsi="Times New Roman" w:cs="Times New Roman"/>
          <w:sz w:val="24"/>
          <w:szCs w:val="24"/>
        </w:rPr>
      </w:pPr>
      <w:proofErr w:type="spellStart"/>
      <w:r w:rsidRPr="006C0E01">
        <w:rPr>
          <w:rFonts w:ascii="Times New Roman" w:eastAsia="Times New Roman" w:hAnsi="Times New Roman" w:cs="Times New Roman"/>
          <w:sz w:val="24"/>
          <w:szCs w:val="24"/>
        </w:rPr>
        <w:t>Projektakti</w:t>
      </w:r>
      <w:proofErr w:type="spellEnd"/>
      <w:r w:rsidRPr="006C0E01">
        <w:rPr>
          <w:rFonts w:ascii="Times New Roman" w:eastAsia="Times New Roman" w:hAnsi="Times New Roman" w:cs="Times New Roman"/>
          <w:sz w:val="24"/>
          <w:szCs w:val="24"/>
        </w:rPr>
        <w:t xml:space="preserve"> vjen si nevojë për vijimin dhe konsolidimin e politikave shtetërore për diasporën, në mbështetje të zhvillimit të mëtejshëm të marrëdhënieve ndërmjet shtetit shqiptar dhe komuniteteve shqiptare jashtë vendit. Hartimi i Strategjisë Kombëtare për Diasporën 2026–2030 dhe Planit të saj të Veprimit 2026–2028 është mbështetur në analizën e arritjeve, sfidave dhe mësimeve të nxjerra nga zbatimi i Strategjisë Kombëtare për Diasporën 2021–2025. Zbatimi i strategjisë së mëparshme mundësoi krijimin e një kuadri ligjor dhe institucional për adresimin e çështjeve të diasporës, forcimin e bashkëpunimit me komunitetet shqiptare jashtë vendit, zhvillimin e instrumenteve të komunikimit dhe promovimin e programeve në fushën e arsimit, kulturës, identitetit kombëtar dhe angazhimit ekonomik të diasporës. Megjithatë, përvoja e fituar gjatë kësaj periudhe evidentoi nevojën për përmirësimin e mëtejshëm të koordinimit ndërinstitucional, harmonizimin e mekanizmave të monitorimit dhe raportimit, si dhe forcimin e kapaciteteve institucionale për zbatimin e politikave të diasporës.</w:t>
      </w:r>
    </w:p>
    <w:p w14:paraId="3458A366"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Një nga sfidat kryesore të identifikuara lidhet me nevojën për krijimin e një mekanizmi më të konsoliduar koordinues ndërmjet institucioneve përgjegjëse në nivel qendror dhe vendor. Përvoja e deritanishme ka treguar se efektiviteti i politikave për diasporën kërkon një qasje të integruar, me role dhe përgjegjësi të qarta, me mekanizma të qëndrueshëm bashkëpunimi dhe me procese të standardizuara të monitorimit dhe raportimit.</w:t>
      </w:r>
    </w:p>
    <w:p w14:paraId="47815D7D"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 xml:space="preserve">Gjithashtu, zbatimi i strategjisë së mëparshme evidentoi nevojën për zhvillimin e një sistemi të integruar të </w:t>
      </w:r>
      <w:proofErr w:type="spellStart"/>
      <w:r w:rsidRPr="006C0E01">
        <w:rPr>
          <w:rFonts w:ascii="Times New Roman" w:eastAsia="Times New Roman" w:hAnsi="Times New Roman" w:cs="Times New Roman"/>
          <w:sz w:val="24"/>
          <w:szCs w:val="24"/>
        </w:rPr>
        <w:t>të</w:t>
      </w:r>
      <w:proofErr w:type="spellEnd"/>
      <w:r w:rsidRPr="006C0E01">
        <w:rPr>
          <w:rFonts w:ascii="Times New Roman" w:eastAsia="Times New Roman" w:hAnsi="Times New Roman" w:cs="Times New Roman"/>
          <w:sz w:val="24"/>
          <w:szCs w:val="24"/>
        </w:rPr>
        <w:t xml:space="preserve"> dhënave dhe statistikave për diasporën, me qëllim mbështetjen e </w:t>
      </w:r>
      <w:r w:rsidRPr="006C0E01">
        <w:rPr>
          <w:rFonts w:ascii="Times New Roman" w:eastAsia="Times New Roman" w:hAnsi="Times New Roman" w:cs="Times New Roman"/>
          <w:sz w:val="24"/>
          <w:szCs w:val="24"/>
        </w:rPr>
        <w:lastRenderedPageBreak/>
        <w:t>vendimmarrjes së bazuar në evidencë dhe përmirësimin e matjes së rezultateve dhe ndikimit të politikave publike në këtë fushë.</w:t>
      </w:r>
    </w:p>
    <w:p w14:paraId="48EC71A8"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Njëkohësisht, përvoja e fituar tregoi se angazhimi i diasporës rezulton më i qëndrueshëm dhe më efektiv kur mbështetet nga instrumente konkrete bashkëpunimi, mekanizma financiarë nxitës dhe kanale të strukturuara komunikimi. Në këtë drejtim, dokumenti strategjik synon të krijojë kushte më të favorshme për mobilizimin e potencialit financiar, profesional dhe intelektual të diasporës, duke e orientuar atë drejt prioriteteve kombëtare të zhvillimit ekonomik dhe social.</w:t>
      </w:r>
    </w:p>
    <w:p w14:paraId="31D10D6D" w14:textId="77777777" w:rsidR="008F4B4B" w:rsidRPr="006C0E01" w:rsidRDefault="00000000" w:rsidP="00EC1DAF">
      <w:pPr>
        <w:jc w:val="both"/>
        <w:rPr>
          <w:rFonts w:ascii="Times New Roman" w:eastAsia="Times New Roman" w:hAnsi="Times New Roman" w:cs="Times New Roman"/>
          <w:sz w:val="24"/>
          <w:szCs w:val="24"/>
        </w:rPr>
      </w:pPr>
      <w:proofErr w:type="spellStart"/>
      <w:r w:rsidRPr="006C0E01">
        <w:rPr>
          <w:rFonts w:ascii="Times New Roman" w:eastAsia="Times New Roman" w:hAnsi="Times New Roman" w:cs="Times New Roman"/>
          <w:sz w:val="24"/>
          <w:szCs w:val="24"/>
        </w:rPr>
        <w:t>Projektakti</w:t>
      </w:r>
      <w:proofErr w:type="spellEnd"/>
      <w:r w:rsidRPr="006C0E01">
        <w:rPr>
          <w:rFonts w:ascii="Times New Roman" w:eastAsia="Times New Roman" w:hAnsi="Times New Roman" w:cs="Times New Roman"/>
          <w:sz w:val="24"/>
          <w:szCs w:val="24"/>
        </w:rPr>
        <w:t xml:space="preserve"> i kushton rëndësi të veçantë edhe forcimit të rolit të qeverisjes vendore në marrëdhëniet me diasporën, nëpërmjet ngritjes së kapaciteteve institucionale, përmirësimit të koordinimit me institucionet qendrore dhe zhvillimit të instrumenteve që mundësojnë përfshirjen më të madhe të diasporës në zhvillimin lokal.</w:t>
      </w:r>
    </w:p>
    <w:p w14:paraId="3BFCEECE"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 xml:space="preserve">Po ashtu, Strategjia synon të ruajë dhe forcojë lidhjet kulturore, gjuhësore dhe </w:t>
      </w:r>
      <w:proofErr w:type="spellStart"/>
      <w:r w:rsidRPr="006C0E01">
        <w:rPr>
          <w:rFonts w:ascii="Times New Roman" w:eastAsia="Times New Roman" w:hAnsi="Times New Roman" w:cs="Times New Roman"/>
          <w:sz w:val="24"/>
          <w:szCs w:val="24"/>
        </w:rPr>
        <w:t>identitare</w:t>
      </w:r>
      <w:proofErr w:type="spellEnd"/>
      <w:r w:rsidRPr="006C0E01">
        <w:rPr>
          <w:rFonts w:ascii="Times New Roman" w:eastAsia="Times New Roman" w:hAnsi="Times New Roman" w:cs="Times New Roman"/>
          <w:sz w:val="24"/>
          <w:szCs w:val="24"/>
        </w:rPr>
        <w:t xml:space="preserve"> ndërmjet diasporës dhe atdheut, duke mbështetur programe dhe iniciativa që garantojnë transmetimin </w:t>
      </w:r>
      <w:proofErr w:type="spellStart"/>
      <w:r w:rsidRPr="006C0E01">
        <w:rPr>
          <w:rFonts w:ascii="Times New Roman" w:eastAsia="Times New Roman" w:hAnsi="Times New Roman" w:cs="Times New Roman"/>
          <w:sz w:val="24"/>
          <w:szCs w:val="24"/>
        </w:rPr>
        <w:t>ndërbrezor</w:t>
      </w:r>
      <w:proofErr w:type="spellEnd"/>
      <w:r w:rsidRPr="006C0E01">
        <w:rPr>
          <w:rFonts w:ascii="Times New Roman" w:eastAsia="Times New Roman" w:hAnsi="Times New Roman" w:cs="Times New Roman"/>
          <w:sz w:val="24"/>
          <w:szCs w:val="24"/>
        </w:rPr>
        <w:t xml:space="preserve"> të identitetit kombëtar dhe promovimin e vlerave shqiptare në arenën ndërkombëtare.</w:t>
      </w:r>
    </w:p>
    <w:p w14:paraId="7162375D"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Efektet e pritshme të zbatimit të Strategjisë Kombëtare për Diasporën 2026–2030 përfshijnë forcimin e kuadrit institucional dhe ligjor për diasporën, rritjen e pjesëmarrjes së saj në jetën politike, ekonomike dhe shoqërore të vendit, zgjerimin e investimeve dhe transferimit të njohurive, përmirësimin e koordinimit ndërinstitucional dhe konsolidimin e rolit të diasporës si partner strategjik në zhvillimin e qëndrueshëm dhe integrimin evropian të Republikës së Shqipërisë.</w:t>
      </w:r>
    </w:p>
    <w:p w14:paraId="5FF2E584" w14:textId="77777777" w:rsidR="008F4B4B" w:rsidRPr="006C0E01" w:rsidRDefault="00000000" w:rsidP="00EC1DAF">
      <w:pPr>
        <w:jc w:val="both"/>
        <w:rPr>
          <w:rFonts w:ascii="Times New Roman" w:eastAsia="Times New Roman" w:hAnsi="Times New Roman" w:cs="Times New Roman"/>
          <w:b/>
          <w:bCs/>
          <w:sz w:val="24"/>
          <w:szCs w:val="24"/>
        </w:rPr>
      </w:pPr>
      <w:r w:rsidRPr="006C0E01">
        <w:rPr>
          <w:rFonts w:ascii="Times New Roman" w:eastAsia="Times New Roman" w:hAnsi="Times New Roman" w:cs="Times New Roman"/>
          <w:b/>
          <w:bCs/>
          <w:sz w:val="24"/>
          <w:szCs w:val="24"/>
        </w:rPr>
        <w:t>IV. VLERËSIMI I LIGJSHMËRISË, KUSHTETUTSHMËRISË DHE HARMONIZIMI ME LEGJISLACIONIN NË FUQI VENDAS E NDËRKOMBËTAR</w:t>
      </w:r>
    </w:p>
    <w:p w14:paraId="045BE72D" w14:textId="77777777" w:rsidR="008F4B4B" w:rsidRPr="006C0E01" w:rsidRDefault="00000000" w:rsidP="00EC1DAF">
      <w:pPr>
        <w:jc w:val="both"/>
        <w:rPr>
          <w:rFonts w:ascii="Times New Roman" w:eastAsia="Times New Roman" w:hAnsi="Times New Roman" w:cs="Times New Roman"/>
          <w:sz w:val="24"/>
          <w:szCs w:val="24"/>
        </w:rPr>
      </w:pPr>
      <w:proofErr w:type="spellStart"/>
      <w:r w:rsidRPr="006C0E01">
        <w:rPr>
          <w:rFonts w:ascii="Times New Roman" w:eastAsia="Times New Roman" w:hAnsi="Times New Roman" w:cs="Times New Roman"/>
          <w:sz w:val="24"/>
          <w:szCs w:val="24"/>
        </w:rPr>
        <w:t>Projektakti</w:t>
      </w:r>
      <w:proofErr w:type="spellEnd"/>
      <w:r w:rsidRPr="006C0E01">
        <w:rPr>
          <w:rFonts w:ascii="Times New Roman" w:eastAsia="Times New Roman" w:hAnsi="Times New Roman" w:cs="Times New Roman"/>
          <w:sz w:val="24"/>
          <w:szCs w:val="24"/>
        </w:rPr>
        <w:t xml:space="preserve"> është në përputhje me Kushtetutën e Republikës së Shqipërisë dhe me legjislacionin në fuqi që rregullon marrëdhëniet e shtetit shqiptar me diasporën, migracionin, mbrojtjen e të drejtave të shtetasve shqiptarë jashtë vendit, si dhe organizimin dhe funksionimin e institucioneve përgjegjëse në këtë fushë.</w:t>
      </w:r>
    </w:p>
    <w:p w14:paraId="54C0643E"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Strategjia Kombëtare për Diasporën 2026–2030 është hartuar duke marrë në konsideratë kuadrin strategjik kombëtar të zhvillimit dhe integrimit evropian, si dhe dokumentet kryesore të politikave publike që lidhen me zhvillimin ekonomik, social, kulturor dhe institucional të vendit.</w:t>
      </w:r>
    </w:p>
    <w:p w14:paraId="73D26F85" w14:textId="77777777" w:rsidR="008F4B4B" w:rsidRPr="006C0E01" w:rsidRDefault="00000000" w:rsidP="00EC1DAF">
      <w:pPr>
        <w:jc w:val="both"/>
        <w:rPr>
          <w:rFonts w:ascii="Times New Roman" w:eastAsia="Times New Roman" w:hAnsi="Times New Roman" w:cs="Times New Roman"/>
          <w:sz w:val="24"/>
          <w:szCs w:val="24"/>
        </w:rPr>
      </w:pPr>
      <w:proofErr w:type="spellStart"/>
      <w:r w:rsidRPr="006C0E01">
        <w:rPr>
          <w:rFonts w:ascii="Times New Roman" w:eastAsia="Times New Roman" w:hAnsi="Times New Roman" w:cs="Times New Roman"/>
          <w:sz w:val="24"/>
          <w:szCs w:val="24"/>
        </w:rPr>
        <w:t>Projektakti</w:t>
      </w:r>
      <w:proofErr w:type="spellEnd"/>
      <w:r w:rsidRPr="006C0E01">
        <w:rPr>
          <w:rFonts w:ascii="Times New Roman" w:eastAsia="Times New Roman" w:hAnsi="Times New Roman" w:cs="Times New Roman"/>
          <w:sz w:val="24"/>
          <w:szCs w:val="24"/>
        </w:rPr>
        <w:t xml:space="preserve"> është gjithashtu në përputhje me angazhimet ndërkombëtare të Republikës së Shqipërisë në fushën e migracionit, zhvillimit të qëndrueshëm dhe angazhimit të diasporës. </w:t>
      </w:r>
      <w:r w:rsidRPr="006C0E01">
        <w:rPr>
          <w:rFonts w:ascii="Times New Roman" w:eastAsia="Times New Roman" w:hAnsi="Times New Roman" w:cs="Times New Roman"/>
          <w:sz w:val="24"/>
          <w:szCs w:val="24"/>
        </w:rPr>
        <w:lastRenderedPageBreak/>
        <w:t>Në hartimin e tij janë marrë në konsideratë Objektivat e Zhvillimit të Qëndrueshëm të Agjendës 2030 të Organizatës së Kombeve të Bashkuara, Pakti Global për Migracion të Sigurt, të Rregullt dhe të Rregulluar (GCM), si dhe dokumente dhe iniciativa të tjera ndërkombëtare që promovojnë angazhimin e diasporës në zhvillimin ekonomik, social dhe kulturor të vendeve të origjinës.</w:t>
      </w:r>
    </w:p>
    <w:p w14:paraId="6B0D28B7"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 xml:space="preserve">Dokumenti strategjik mbështet parimet e bashkëpunimit ndërkombëtar, mbrojtjes së të drejtave të </w:t>
      </w:r>
      <w:proofErr w:type="spellStart"/>
      <w:r w:rsidRPr="006C0E01">
        <w:rPr>
          <w:rFonts w:ascii="Times New Roman" w:eastAsia="Times New Roman" w:hAnsi="Times New Roman" w:cs="Times New Roman"/>
          <w:sz w:val="24"/>
          <w:szCs w:val="24"/>
        </w:rPr>
        <w:t>migrantëve</w:t>
      </w:r>
      <w:proofErr w:type="spellEnd"/>
      <w:r w:rsidRPr="006C0E01">
        <w:rPr>
          <w:rFonts w:ascii="Times New Roman" w:eastAsia="Times New Roman" w:hAnsi="Times New Roman" w:cs="Times New Roman"/>
          <w:sz w:val="24"/>
          <w:szCs w:val="24"/>
        </w:rPr>
        <w:t>, promovimit të migracionit të rregullt, forcimit të lidhjeve me diasporën dhe mobilizimit të potencialit të saj njerëzor, profesional dhe financiar në funksion të zhvillimit të qëndrueshëm të Republikës së Shqipërisë.</w:t>
      </w:r>
    </w:p>
    <w:p w14:paraId="72DFE7CB" w14:textId="77777777" w:rsidR="008F4B4B"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Strategjia harmonizohet gjithashtu me politikat dhe praktikat më të mira evropiane dhe ndërkombëtare në fushën e angazhimit të diasporës, duke synuar forcimin e rolit të saj si partner strategjik në zhvillimin e vendit, procesin e integrimit evropian dhe promovimin e identitetit kombëtar shqiptar.</w:t>
      </w:r>
    </w:p>
    <w:p w14:paraId="25165CAE" w14:textId="77777777" w:rsidR="003B2190" w:rsidRPr="006C0E01" w:rsidRDefault="003B2190" w:rsidP="00EC1DAF">
      <w:pPr>
        <w:jc w:val="both"/>
        <w:rPr>
          <w:rFonts w:ascii="Times New Roman" w:eastAsia="Times New Roman" w:hAnsi="Times New Roman" w:cs="Times New Roman"/>
          <w:sz w:val="24"/>
          <w:szCs w:val="24"/>
        </w:rPr>
      </w:pPr>
    </w:p>
    <w:p w14:paraId="12CC4591" w14:textId="77777777" w:rsidR="008F4B4B" w:rsidRPr="006C0E01" w:rsidRDefault="00000000" w:rsidP="00EC1DAF">
      <w:pPr>
        <w:jc w:val="both"/>
        <w:rPr>
          <w:rFonts w:ascii="Times New Roman" w:eastAsia="Times New Roman" w:hAnsi="Times New Roman" w:cs="Times New Roman"/>
          <w:b/>
          <w:bCs/>
          <w:sz w:val="24"/>
          <w:szCs w:val="24"/>
        </w:rPr>
      </w:pPr>
      <w:r w:rsidRPr="006C0E01">
        <w:rPr>
          <w:rFonts w:ascii="Times New Roman" w:eastAsia="Times New Roman" w:hAnsi="Times New Roman" w:cs="Times New Roman"/>
          <w:b/>
          <w:bCs/>
          <w:sz w:val="24"/>
          <w:szCs w:val="24"/>
        </w:rPr>
        <w:t>V. VLERËSIMI I SHKALLËS SË PËRAFRIMIT ME ACQUIS TË BASHKIMIT EVROPIAN</w:t>
      </w:r>
    </w:p>
    <w:p w14:paraId="41959807" w14:textId="38A5CB42" w:rsidR="008F4B4B" w:rsidRPr="006C0E01" w:rsidRDefault="00000000" w:rsidP="00EC1DAF">
      <w:pPr>
        <w:jc w:val="both"/>
        <w:rPr>
          <w:rFonts w:ascii="Times New Roman" w:hAnsi="Times New Roman" w:cs="Times New Roman"/>
        </w:rPr>
      </w:pPr>
      <w:proofErr w:type="spellStart"/>
      <w:r w:rsidRPr="006C0E01">
        <w:rPr>
          <w:rFonts w:ascii="Times New Roman" w:hAnsi="Times New Roman" w:cs="Times New Roman"/>
        </w:rPr>
        <w:t>Projektakti</w:t>
      </w:r>
      <w:proofErr w:type="spellEnd"/>
      <w:r w:rsidRPr="006C0E01">
        <w:rPr>
          <w:rFonts w:ascii="Times New Roman" w:hAnsi="Times New Roman" w:cs="Times New Roman"/>
        </w:rPr>
        <w:t xml:space="preserve"> nuk synon përafrimin e drejtpërdrejtë me ndonjë akt specifik të </w:t>
      </w:r>
      <w:proofErr w:type="spellStart"/>
      <w:r w:rsidRPr="006C0E01">
        <w:rPr>
          <w:rFonts w:ascii="Times New Roman" w:hAnsi="Times New Roman" w:cs="Times New Roman"/>
        </w:rPr>
        <w:t>acquis</w:t>
      </w:r>
      <w:proofErr w:type="spellEnd"/>
      <w:r w:rsidRPr="006C0E01">
        <w:rPr>
          <w:rFonts w:ascii="Times New Roman" w:hAnsi="Times New Roman" w:cs="Times New Roman"/>
        </w:rPr>
        <w:t xml:space="preserve"> të Bashkimit Evropian dhe, për rrjedhojë, nuk shoqërohet me tabelë përputhshmërie me legjislacionin e Bashkimit Evropian.</w:t>
      </w:r>
    </w:p>
    <w:p w14:paraId="22F621E8"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Megjithatë, Strategjia Kombëtare për Diasporën 2026–2030 dhe Plani i saj i Veprimit 2026–2028 kontribuojnë në mënyrë të konsiderueshme në përmbushjen e prioriteteve të procesit të integrimit evropian të Republikës së Shqipërisë dhe në forcimin e kapaciteteve institucionale për zbatimin e reformave të lidhura me anëtarësimin në Bashkimin Evropian.</w:t>
      </w:r>
    </w:p>
    <w:p w14:paraId="577F8132"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 xml:space="preserve">Objektivat, masat dhe ndërhyrjet e parashikuara në dokument mbështesin veçanërisht progresin në kuadër të Kapitullit 23 “Gjyqësori dhe të Drejtat Themelore” dhe Kapitullit 24 “Drejtësia, Liria dhe Siguria”, nëpërmjet forcimit të mbrojtjes së të drejtave të shtetasve shqiptarë jashtë vendit, rritjes së </w:t>
      </w:r>
      <w:proofErr w:type="spellStart"/>
      <w:r w:rsidRPr="006C0E01">
        <w:rPr>
          <w:rFonts w:ascii="Times New Roman" w:eastAsia="Times New Roman" w:hAnsi="Times New Roman" w:cs="Times New Roman"/>
          <w:sz w:val="24"/>
          <w:szCs w:val="24"/>
        </w:rPr>
        <w:t>aksesit</w:t>
      </w:r>
      <w:proofErr w:type="spellEnd"/>
      <w:r w:rsidRPr="006C0E01">
        <w:rPr>
          <w:rFonts w:ascii="Times New Roman" w:eastAsia="Times New Roman" w:hAnsi="Times New Roman" w:cs="Times New Roman"/>
          <w:sz w:val="24"/>
          <w:szCs w:val="24"/>
        </w:rPr>
        <w:t xml:space="preserve"> në shërbimet publike, përmirësimit të qeverisjes dhe promovimit të pjesëmarrjes së diasporës në jetën demokratike dhe institucionale të vendit. Gjithashtu, dokumenti mbështet objektivat e kapitujve të tjerë të </w:t>
      </w:r>
      <w:proofErr w:type="spellStart"/>
      <w:r w:rsidRPr="006C0E01">
        <w:rPr>
          <w:rFonts w:ascii="Times New Roman" w:eastAsia="Times New Roman" w:hAnsi="Times New Roman" w:cs="Times New Roman"/>
          <w:sz w:val="24"/>
          <w:szCs w:val="24"/>
        </w:rPr>
        <w:t>acquis</w:t>
      </w:r>
      <w:proofErr w:type="spellEnd"/>
      <w:r w:rsidRPr="006C0E01">
        <w:rPr>
          <w:rFonts w:ascii="Times New Roman" w:eastAsia="Times New Roman" w:hAnsi="Times New Roman" w:cs="Times New Roman"/>
          <w:sz w:val="24"/>
          <w:szCs w:val="24"/>
        </w:rPr>
        <w:t xml:space="preserve"> që lidhen me zhvillimin ekonomik, lëvizjen e kapitalit, arsimin, kulturën, kërkimin shkencor, inovacionin, administratën publike dhe transformimin digjital. Nëpërmjet mobilizimit të potencialit financiar, profesional dhe intelektual të diasporës, Strategjia kontribuon në transferimin e njohurive, praktikave më të mira evropiane dhe ekspertizës profesionale në institucionet shqiptare, duke mbështetur procesin e reformave dhe rritjen e kapaciteteve administrative. Masat që lidhen me promovimin e investimeve të diasporës, zhvillimin e sipërmarrjes, inovacionit dhe bashkëpunimit ekonomik kontribuojnë në përmirësimin e </w:t>
      </w:r>
      <w:r w:rsidRPr="006C0E01">
        <w:rPr>
          <w:rFonts w:ascii="Times New Roman" w:eastAsia="Times New Roman" w:hAnsi="Times New Roman" w:cs="Times New Roman"/>
          <w:sz w:val="24"/>
          <w:szCs w:val="24"/>
        </w:rPr>
        <w:lastRenderedPageBreak/>
        <w:t xml:space="preserve">klimës së biznesit, forcimin e </w:t>
      </w:r>
      <w:proofErr w:type="spellStart"/>
      <w:r w:rsidRPr="006C0E01">
        <w:rPr>
          <w:rFonts w:ascii="Times New Roman" w:eastAsia="Times New Roman" w:hAnsi="Times New Roman" w:cs="Times New Roman"/>
          <w:sz w:val="24"/>
          <w:szCs w:val="24"/>
        </w:rPr>
        <w:t>konkurrueshmërisë</w:t>
      </w:r>
      <w:proofErr w:type="spellEnd"/>
      <w:r w:rsidRPr="006C0E01">
        <w:rPr>
          <w:rFonts w:ascii="Times New Roman" w:eastAsia="Times New Roman" w:hAnsi="Times New Roman" w:cs="Times New Roman"/>
          <w:sz w:val="24"/>
          <w:szCs w:val="24"/>
        </w:rPr>
        <w:t xml:space="preserve"> dhe rritjen e investimeve produktive, në përputhje me objektivat e integrimit ekonomik evropian. Po ashtu, masat për ruajtjen e identitetit kombëtar, promovimin e gjuhës shqipe, zhvillimin e programeve arsimore dhe kulturore, si dhe mbështetjen e trashëgimisë kulturore shqiptare jashtë vendit, kontribuojnë në forcimin e dimensionit kulturor dhe qytetar të procesit të integrimit evropian dhe në zgjerimin e bashkëpunimit kulturor ndërkombëtar.</w:t>
      </w:r>
    </w:p>
    <w:p w14:paraId="518C32AE"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Në tërësi, Strategjia Kombëtare për Diasporën 2026–2030 përfaqëson një instrument të rëndësishëm politikash që mbështet procesin e integrimit evropian të Republikës së Shqipërisë, nëpërmjet forcimit të rolit të diasporës si partner strategjik në zhvillimin demokratik, ekonomik, social dhe kulturor të vendit.</w:t>
      </w:r>
    </w:p>
    <w:p w14:paraId="0A811D0C" w14:textId="77777777" w:rsidR="008F4B4B" w:rsidRPr="006C0E01" w:rsidRDefault="00000000" w:rsidP="00EC1DAF">
      <w:pPr>
        <w:jc w:val="both"/>
        <w:rPr>
          <w:rFonts w:ascii="Times New Roman" w:eastAsia="Times New Roman" w:hAnsi="Times New Roman" w:cs="Times New Roman"/>
          <w:b/>
          <w:bCs/>
          <w:sz w:val="24"/>
          <w:szCs w:val="24"/>
        </w:rPr>
      </w:pPr>
      <w:r w:rsidRPr="006C0E01">
        <w:rPr>
          <w:rFonts w:ascii="Times New Roman" w:eastAsia="Times New Roman" w:hAnsi="Times New Roman" w:cs="Times New Roman"/>
          <w:b/>
          <w:bCs/>
          <w:sz w:val="24"/>
          <w:szCs w:val="24"/>
        </w:rPr>
        <w:t>VI. PËRMBLEDHJE SHPJEGUESE E PËRMBAJTJES SË PROJEKTAKTIT</w:t>
      </w:r>
    </w:p>
    <w:p w14:paraId="1644150D"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b/>
          <w:bCs/>
          <w:sz w:val="24"/>
          <w:szCs w:val="24"/>
        </w:rPr>
        <w:t>Pjesa I</w:t>
      </w:r>
      <w:r w:rsidRPr="006C0E01">
        <w:rPr>
          <w:rFonts w:ascii="Times New Roman" w:eastAsia="Times New Roman" w:hAnsi="Times New Roman" w:cs="Times New Roman"/>
          <w:sz w:val="24"/>
          <w:szCs w:val="24"/>
        </w:rPr>
        <w:t xml:space="preserve"> paraqet kontekstin strategjik. Në këtë pjesë trajtohen hyrja dhe qëllimi i dokumentit, kuadri kombëtar dhe ndërkombëtar i politikave për diasporën, analiza e zhvillimeve kryesore në fushën e diasporës, arritjet dhe mësimet e nxjerra nga zbatimi i Strategjisë Kombëtare për Diasporën 2021–2025, si dhe vizioni dhe misioni i Strategjisë Kombëtare për Diasporën 2026–2030.</w:t>
      </w:r>
    </w:p>
    <w:p w14:paraId="4CE85655"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b/>
          <w:bCs/>
          <w:sz w:val="24"/>
          <w:szCs w:val="24"/>
        </w:rPr>
        <w:t>Në pjesën II</w:t>
      </w:r>
      <w:r w:rsidRPr="006C0E01">
        <w:rPr>
          <w:rFonts w:ascii="Times New Roman" w:eastAsia="Times New Roman" w:hAnsi="Times New Roman" w:cs="Times New Roman"/>
          <w:sz w:val="24"/>
          <w:szCs w:val="24"/>
        </w:rPr>
        <w:t xml:space="preserve"> të dokumentit përcaktohen qëllimet e politikës dhe objektivat specifike të Strategjisë. Kjo pjesë analizon katër qëllime kryesore të politikës, si vijon:</w:t>
      </w:r>
    </w:p>
    <w:p w14:paraId="0844E714" w14:textId="77777777" w:rsidR="008F4B4B" w:rsidRPr="006C0E01" w:rsidRDefault="00000000" w:rsidP="00EC1DAF">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Modernizimi, harmonizimi dhe konsolidimi i kuadrit ligjor dhe institucional që rregullon marrëdhënien ndërmjet shtetit shqiptar dhe diasporës, me qëllim sigurimin e një qasjeje të unifikuar, funksionale dhe të qëndrueshme për adresimin e potencialit të saj;</w:t>
      </w:r>
    </w:p>
    <w:p w14:paraId="5661A8D4" w14:textId="77777777" w:rsidR="008F4B4B" w:rsidRPr="006C0E01" w:rsidRDefault="00000000" w:rsidP="00EC1DAF">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Krijimi i kushteve për pjesëmarrjen e diasporës në jetën politike, shoqërore dhe institucionale të Shqipërisë, si dhe aktivizimin e rolit të saj në mbështetje të procesit të integrimit evropian të vendit;</w:t>
      </w:r>
    </w:p>
    <w:p w14:paraId="7B96C08D" w14:textId="77777777" w:rsidR="008F4B4B" w:rsidRPr="006C0E01" w:rsidRDefault="00000000" w:rsidP="00EC1DAF">
      <w:pPr>
        <w:numPr>
          <w:ilvl w:val="0"/>
          <w:numId w:val="2"/>
        </w:numPr>
        <w:pBdr>
          <w:top w:val="nil"/>
          <w:left w:val="nil"/>
          <w:bottom w:val="nil"/>
          <w:right w:val="nil"/>
          <w:between w:val="nil"/>
        </w:pBdr>
        <w:spacing w:after="0"/>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Mobilizimi sistematik i potencialit financiar, njerëzor dhe intelektual të diasporës, me synim shndërrimin e saj në një nga shtyllat kryesore të zhvillimit të qëndrueshëm ekonomik të vendit;</w:t>
      </w:r>
    </w:p>
    <w:p w14:paraId="6165E4DF" w14:textId="77777777" w:rsidR="008F4B4B" w:rsidRPr="006C0E01" w:rsidRDefault="00000000" w:rsidP="00EC1DAF">
      <w:pPr>
        <w:numPr>
          <w:ilvl w:val="0"/>
          <w:numId w:val="2"/>
        </w:numPr>
        <w:pBdr>
          <w:top w:val="nil"/>
          <w:left w:val="nil"/>
          <w:bottom w:val="nil"/>
          <w:right w:val="nil"/>
          <w:between w:val="nil"/>
        </w:pBd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 xml:space="preserve">Forcimi i lidhjes kulturore, gjuhësore dhe shpirtërore ndërmjet diasporës dhe atdheut, duke garantuar transmetimin </w:t>
      </w:r>
      <w:proofErr w:type="spellStart"/>
      <w:r w:rsidRPr="006C0E01">
        <w:rPr>
          <w:rFonts w:ascii="Times New Roman" w:eastAsia="Times New Roman" w:hAnsi="Times New Roman" w:cs="Times New Roman"/>
          <w:sz w:val="24"/>
          <w:szCs w:val="24"/>
        </w:rPr>
        <w:t>ndërbrezor</w:t>
      </w:r>
      <w:proofErr w:type="spellEnd"/>
      <w:r w:rsidRPr="006C0E01">
        <w:rPr>
          <w:rFonts w:ascii="Times New Roman" w:eastAsia="Times New Roman" w:hAnsi="Times New Roman" w:cs="Times New Roman"/>
          <w:sz w:val="24"/>
          <w:szCs w:val="24"/>
        </w:rPr>
        <w:t xml:space="preserve"> të identitetit kombëtar dhe promovimin e vlerave shqiptare në arenën ndërkombëtare.</w:t>
      </w:r>
    </w:p>
    <w:p w14:paraId="1D0A1E66"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b/>
          <w:bCs/>
          <w:sz w:val="24"/>
          <w:szCs w:val="24"/>
        </w:rPr>
        <w:t>Pjesa III</w:t>
      </w:r>
      <w:r w:rsidRPr="006C0E01">
        <w:rPr>
          <w:rFonts w:ascii="Times New Roman" w:eastAsia="Times New Roman" w:hAnsi="Times New Roman" w:cs="Times New Roman"/>
          <w:sz w:val="24"/>
          <w:szCs w:val="24"/>
        </w:rPr>
        <w:t xml:space="preserve"> paraqet projektet dhe programet kombëtare të zhvillimit për zbatimin e Strategjisë, duke identifikuar ndërhyrjet </w:t>
      </w:r>
      <w:proofErr w:type="spellStart"/>
      <w:r w:rsidRPr="006C0E01">
        <w:rPr>
          <w:rFonts w:ascii="Times New Roman" w:eastAsia="Times New Roman" w:hAnsi="Times New Roman" w:cs="Times New Roman"/>
          <w:sz w:val="24"/>
          <w:szCs w:val="24"/>
        </w:rPr>
        <w:t>prioritare</w:t>
      </w:r>
      <w:proofErr w:type="spellEnd"/>
      <w:r w:rsidRPr="006C0E01">
        <w:rPr>
          <w:rFonts w:ascii="Times New Roman" w:eastAsia="Times New Roman" w:hAnsi="Times New Roman" w:cs="Times New Roman"/>
          <w:sz w:val="24"/>
          <w:szCs w:val="24"/>
        </w:rPr>
        <w:t xml:space="preserve"> dhe mekanizmat për realizimin e objektivave strategjikë.</w:t>
      </w:r>
    </w:p>
    <w:p w14:paraId="283CEB4C"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b/>
          <w:bCs/>
          <w:sz w:val="24"/>
          <w:szCs w:val="24"/>
        </w:rPr>
        <w:lastRenderedPageBreak/>
        <w:t>Pjesa IV</w:t>
      </w:r>
      <w:r w:rsidRPr="006C0E01">
        <w:rPr>
          <w:rFonts w:ascii="Times New Roman" w:eastAsia="Times New Roman" w:hAnsi="Times New Roman" w:cs="Times New Roman"/>
          <w:sz w:val="24"/>
          <w:szCs w:val="24"/>
        </w:rPr>
        <w:t xml:space="preserve"> përshkruan mekanizmat e zbatimit të Strategjisë, përgjegjësitë institucionale, procedurat e koordinimit ndërinstitucional, llogaridhënien, raportimin dhe monitorimin e progresit të dokumentit strategjik.</w:t>
      </w:r>
    </w:p>
    <w:p w14:paraId="441B9DF2"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b/>
          <w:bCs/>
          <w:sz w:val="24"/>
          <w:szCs w:val="24"/>
        </w:rPr>
        <w:t>Pjesa V</w:t>
      </w:r>
      <w:r w:rsidRPr="006C0E01">
        <w:rPr>
          <w:rFonts w:ascii="Times New Roman" w:eastAsia="Times New Roman" w:hAnsi="Times New Roman" w:cs="Times New Roman"/>
          <w:sz w:val="24"/>
          <w:szCs w:val="24"/>
        </w:rPr>
        <w:t xml:space="preserve"> përfshin Planin e Veprimit dhe burimet financiare për zbatimin e Strategjisë, duke paraqitur masat </w:t>
      </w:r>
      <w:proofErr w:type="spellStart"/>
      <w:r w:rsidRPr="006C0E01">
        <w:rPr>
          <w:rFonts w:ascii="Times New Roman" w:eastAsia="Times New Roman" w:hAnsi="Times New Roman" w:cs="Times New Roman"/>
          <w:sz w:val="24"/>
          <w:szCs w:val="24"/>
        </w:rPr>
        <w:t>prioritare</w:t>
      </w:r>
      <w:proofErr w:type="spellEnd"/>
      <w:r w:rsidRPr="006C0E01">
        <w:rPr>
          <w:rFonts w:ascii="Times New Roman" w:eastAsia="Times New Roman" w:hAnsi="Times New Roman" w:cs="Times New Roman"/>
          <w:sz w:val="24"/>
          <w:szCs w:val="24"/>
        </w:rPr>
        <w:t>, institucionet përgjegjëse, afatet kohore, kostot treguese dhe burimet e financimit për realizimin e objektivave të dokumentit.</w:t>
      </w:r>
    </w:p>
    <w:p w14:paraId="728736DC" w14:textId="4B736344"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 xml:space="preserve">Në fund të dokumentit janë integruar pasaportat e indikatorëve, të cilat përcaktojnë metodologjinë e matjes së rezultateve, burimet e të dhënave, institucionet përgjegjëse dhe treguesit e </w:t>
      </w:r>
      <w:proofErr w:type="spellStart"/>
      <w:r w:rsidRPr="006C0E01">
        <w:rPr>
          <w:rFonts w:ascii="Times New Roman" w:eastAsia="Times New Roman" w:hAnsi="Times New Roman" w:cs="Times New Roman"/>
          <w:sz w:val="24"/>
          <w:szCs w:val="24"/>
        </w:rPr>
        <w:t>performancës</w:t>
      </w:r>
      <w:proofErr w:type="spellEnd"/>
      <w:r w:rsidRPr="006C0E01">
        <w:rPr>
          <w:rFonts w:ascii="Times New Roman" w:eastAsia="Times New Roman" w:hAnsi="Times New Roman" w:cs="Times New Roman"/>
          <w:sz w:val="24"/>
          <w:szCs w:val="24"/>
        </w:rPr>
        <w:t xml:space="preserve"> për monitorimin e zbatimit të Strategjisë Kombëtare për Diasporën 2026–2030.</w:t>
      </w:r>
    </w:p>
    <w:p w14:paraId="48508FFB" w14:textId="77777777" w:rsidR="008F4B4B" w:rsidRPr="006C0E01" w:rsidRDefault="00000000" w:rsidP="00EC1DAF">
      <w:pPr>
        <w:jc w:val="both"/>
        <w:rPr>
          <w:rFonts w:ascii="Times New Roman" w:eastAsia="Times New Roman" w:hAnsi="Times New Roman" w:cs="Times New Roman"/>
          <w:b/>
          <w:bCs/>
          <w:sz w:val="24"/>
          <w:szCs w:val="24"/>
        </w:rPr>
      </w:pPr>
      <w:r w:rsidRPr="006C0E01">
        <w:rPr>
          <w:rFonts w:ascii="Times New Roman" w:eastAsia="Times New Roman" w:hAnsi="Times New Roman" w:cs="Times New Roman"/>
          <w:b/>
          <w:bCs/>
          <w:sz w:val="24"/>
          <w:szCs w:val="24"/>
        </w:rPr>
        <w:t>VII. INSTITUCIONET DHE ORGANET QË NGARKOHEN PËR ZBATIMIN E AKTIT</w:t>
      </w:r>
    </w:p>
    <w:p w14:paraId="55B065FA" w14:textId="24B3FBB3"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Institucioni përgjegjës për koordinimin e përgjithshëm të zbatimit të Strategjisë Kombëtare për Diasporën 2026–2030 dhe Planit të saj të Veprimit 2026–2028 është Ministria për Evropën dhe Punët e Jashtme, nëpërmjet strukturave përgjegjëse për diasporën.</w:t>
      </w:r>
    </w:p>
    <w:p w14:paraId="6B4500D5" w14:textId="77777777" w:rsidR="008F4B4B" w:rsidRPr="006C0E01" w:rsidRDefault="008F4B4B" w:rsidP="00EC1DAF">
      <w:pPr>
        <w:jc w:val="both"/>
        <w:rPr>
          <w:rFonts w:ascii="Times New Roman" w:eastAsia="Times New Roman" w:hAnsi="Times New Roman" w:cs="Times New Roman"/>
          <w:sz w:val="24"/>
          <w:szCs w:val="24"/>
        </w:rPr>
      </w:pPr>
    </w:p>
    <w:p w14:paraId="513DE37D"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 xml:space="preserve">Për zbatimin e këtij </w:t>
      </w:r>
      <w:proofErr w:type="spellStart"/>
      <w:r w:rsidRPr="006C0E01">
        <w:rPr>
          <w:rFonts w:ascii="Times New Roman" w:eastAsia="Times New Roman" w:hAnsi="Times New Roman" w:cs="Times New Roman"/>
          <w:sz w:val="24"/>
          <w:szCs w:val="24"/>
        </w:rPr>
        <w:t>projektakti</w:t>
      </w:r>
      <w:proofErr w:type="spellEnd"/>
      <w:r w:rsidRPr="006C0E01">
        <w:rPr>
          <w:rFonts w:ascii="Times New Roman" w:eastAsia="Times New Roman" w:hAnsi="Times New Roman" w:cs="Times New Roman"/>
          <w:sz w:val="24"/>
          <w:szCs w:val="24"/>
        </w:rPr>
        <w:t xml:space="preserve"> ngarkohen, sipas fushave të përgjegjësisë së përcaktuara në Strategji dhe në Planin e Veprimit, Ministria për Evropën dhe Punët e Jashtme, Ministria e Brendshme, Ministria e Drejtësisë, Ministria e Arsimit dhe Sportit, Ministria e Financave, Ministria e Ekonomisë, Kulturës dhe Inovacionit, Ministria e Shëndetësisë dhe Mbrojtjes Sociale, Ministria e Bujqësisë dhe Zhvillimit Rural, Ministri i Shtetit për Administratën Publike dhe </w:t>
      </w:r>
      <w:proofErr w:type="spellStart"/>
      <w:r w:rsidRPr="006C0E01">
        <w:rPr>
          <w:rFonts w:ascii="Times New Roman" w:eastAsia="Times New Roman" w:hAnsi="Times New Roman" w:cs="Times New Roman"/>
          <w:sz w:val="24"/>
          <w:szCs w:val="24"/>
        </w:rPr>
        <w:t>Antikorrupsionin</w:t>
      </w:r>
      <w:proofErr w:type="spellEnd"/>
      <w:r w:rsidRPr="006C0E01">
        <w:rPr>
          <w:rFonts w:ascii="Times New Roman" w:eastAsia="Times New Roman" w:hAnsi="Times New Roman" w:cs="Times New Roman"/>
          <w:sz w:val="24"/>
          <w:szCs w:val="24"/>
        </w:rPr>
        <w:t xml:space="preserve">, Ministri i Shtetit për Pushtetin Vendor, si dhe institucionet e tjera qendrore dhe vendore të përfshira në realizimin e objektivave dhe masave </w:t>
      </w:r>
      <w:proofErr w:type="spellStart"/>
      <w:r w:rsidRPr="006C0E01">
        <w:rPr>
          <w:rFonts w:ascii="Times New Roman" w:eastAsia="Times New Roman" w:hAnsi="Times New Roman" w:cs="Times New Roman"/>
          <w:sz w:val="24"/>
          <w:szCs w:val="24"/>
        </w:rPr>
        <w:t>prioritare</w:t>
      </w:r>
      <w:proofErr w:type="spellEnd"/>
      <w:r w:rsidRPr="006C0E01">
        <w:rPr>
          <w:rFonts w:ascii="Times New Roman" w:eastAsia="Times New Roman" w:hAnsi="Times New Roman" w:cs="Times New Roman"/>
          <w:sz w:val="24"/>
          <w:szCs w:val="24"/>
        </w:rPr>
        <w:t xml:space="preserve"> të dokumentit strategjik.</w:t>
      </w:r>
    </w:p>
    <w:p w14:paraId="4E4D12D8" w14:textId="77777777" w:rsidR="008F4B4B"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 xml:space="preserve">Në zbatimin e Strategjisë do të kontribuojnë gjithashtu Agjencia Kombëtare e Diasporës, Qendra e Botimeve për Diasporën, Qendra e Studimeve dhe Publikimeve për Arbëreshët, Agjencia Kombëtare për Punësim dhe Aftësi, Agjencia Kombëtare e Rinisë, Instituti i Statistikave (INSTAT), Akademia e Shkencave e Shqipërisë, Këshilli Koordinues i Diasporës, njësitë e vetëqeverisjes vendore, si dhe institucione të tjera publike të përcaktuara në Planin e Veprimit. Përgjegjësitë konkrete të secilit institucion, afatet e realizimit, treguesit e </w:t>
      </w:r>
      <w:proofErr w:type="spellStart"/>
      <w:r w:rsidRPr="006C0E01">
        <w:rPr>
          <w:rFonts w:ascii="Times New Roman" w:eastAsia="Times New Roman" w:hAnsi="Times New Roman" w:cs="Times New Roman"/>
          <w:sz w:val="24"/>
          <w:szCs w:val="24"/>
        </w:rPr>
        <w:t>performancës</w:t>
      </w:r>
      <w:proofErr w:type="spellEnd"/>
      <w:r w:rsidRPr="006C0E01">
        <w:rPr>
          <w:rFonts w:ascii="Times New Roman" w:eastAsia="Times New Roman" w:hAnsi="Times New Roman" w:cs="Times New Roman"/>
          <w:sz w:val="24"/>
          <w:szCs w:val="24"/>
        </w:rPr>
        <w:t xml:space="preserve"> dhe mekanizmat e raportimit dhe monitorimit përcaktohen në Strategjinë Kombëtare për Diasporën 2026–2030 dhe në Planin e saj të Veprimit 2026–2028.</w:t>
      </w:r>
    </w:p>
    <w:p w14:paraId="68B6595B" w14:textId="77777777" w:rsidR="003B2190" w:rsidRPr="006C0E01" w:rsidRDefault="003B2190" w:rsidP="00EC1DAF">
      <w:pPr>
        <w:jc w:val="both"/>
        <w:rPr>
          <w:rFonts w:ascii="Times New Roman" w:eastAsia="Times New Roman" w:hAnsi="Times New Roman" w:cs="Times New Roman"/>
          <w:sz w:val="24"/>
          <w:szCs w:val="24"/>
        </w:rPr>
      </w:pPr>
    </w:p>
    <w:p w14:paraId="7DD8B98A" w14:textId="77777777" w:rsidR="008F4B4B" w:rsidRPr="006C0E01" w:rsidRDefault="00000000" w:rsidP="00EC1DAF">
      <w:pPr>
        <w:jc w:val="both"/>
        <w:rPr>
          <w:rFonts w:ascii="Times New Roman" w:eastAsia="Times New Roman" w:hAnsi="Times New Roman" w:cs="Times New Roman"/>
          <w:b/>
          <w:bCs/>
          <w:sz w:val="24"/>
          <w:szCs w:val="24"/>
        </w:rPr>
      </w:pPr>
      <w:r w:rsidRPr="006C0E01">
        <w:rPr>
          <w:rFonts w:ascii="Times New Roman" w:eastAsia="Times New Roman" w:hAnsi="Times New Roman" w:cs="Times New Roman"/>
          <w:b/>
          <w:bCs/>
          <w:sz w:val="24"/>
          <w:szCs w:val="24"/>
        </w:rPr>
        <w:lastRenderedPageBreak/>
        <w:t>VIII. MINISTRITË, INSTITUCIONET DHE SUBJEKTET E TJERA QË KANË KONTRIBUAR NË HARTIMIN E PROJEKTAKTIT</w:t>
      </w:r>
    </w:p>
    <w:p w14:paraId="7E52D180" w14:textId="77777777"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Strategjia Kombëtare për Diasporën dhe Plani i Veprimit 2026–2030 u hartuan nga Grupi Ndërinstitucional i Punës, i ngritur me Urdhrin e Kryeministrit nr. 2, datë 12 janar 2026, për rishikimin e Strategjisë Kombëtare për Diasporën 2021–2025 dhe hartimin e strategjisë së re për periudhën 2026–2030.</w:t>
      </w:r>
    </w:p>
    <w:p w14:paraId="4A3C0AC5" w14:textId="5E138DEF" w:rsidR="008F4B4B" w:rsidRPr="006C0E01"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Grupi Ndërinstitucional i Punës u drejtua nga Ministria për Evropën dhe Punët e Jashtme dhe përbëhej nga përfaqësues të institucioneve kryesore shtetërore me përgjegjësi ose përfshirje në politikat për diasporën, përfshirë: Ministrinë e Pun</w:t>
      </w:r>
      <w:r w:rsidR="00121860">
        <w:rPr>
          <w:rFonts w:ascii="Times New Roman" w:eastAsia="Times New Roman" w:hAnsi="Times New Roman" w:cs="Times New Roman"/>
          <w:sz w:val="24"/>
          <w:szCs w:val="24"/>
        </w:rPr>
        <w:t>ë</w:t>
      </w:r>
      <w:r w:rsidRPr="006C0E01">
        <w:rPr>
          <w:rFonts w:ascii="Times New Roman" w:eastAsia="Times New Roman" w:hAnsi="Times New Roman" w:cs="Times New Roman"/>
          <w:sz w:val="24"/>
          <w:szCs w:val="24"/>
        </w:rPr>
        <w:t>ve t</w:t>
      </w:r>
      <w:r w:rsidR="00121860">
        <w:rPr>
          <w:rFonts w:ascii="Times New Roman" w:eastAsia="Times New Roman" w:hAnsi="Times New Roman" w:cs="Times New Roman"/>
          <w:sz w:val="24"/>
          <w:szCs w:val="24"/>
        </w:rPr>
        <w:t>ë</w:t>
      </w:r>
      <w:r w:rsidRPr="006C0E01">
        <w:rPr>
          <w:rFonts w:ascii="Times New Roman" w:eastAsia="Times New Roman" w:hAnsi="Times New Roman" w:cs="Times New Roman"/>
          <w:sz w:val="24"/>
          <w:szCs w:val="24"/>
        </w:rPr>
        <w:t xml:space="preserve"> Brendshme, Ministrin</w:t>
      </w:r>
      <w:r w:rsidR="00121860">
        <w:rPr>
          <w:rFonts w:ascii="Times New Roman" w:eastAsia="Times New Roman" w:hAnsi="Times New Roman" w:cs="Times New Roman"/>
          <w:sz w:val="24"/>
          <w:szCs w:val="24"/>
        </w:rPr>
        <w:t>ë</w:t>
      </w:r>
      <w:r w:rsidRPr="006C0E01">
        <w:rPr>
          <w:rFonts w:ascii="Times New Roman" w:eastAsia="Times New Roman" w:hAnsi="Times New Roman" w:cs="Times New Roman"/>
          <w:sz w:val="24"/>
          <w:szCs w:val="24"/>
        </w:rPr>
        <w:t xml:space="preserve"> e Drejt</w:t>
      </w:r>
      <w:r w:rsidR="00121860">
        <w:rPr>
          <w:rFonts w:ascii="Times New Roman" w:eastAsia="Times New Roman" w:hAnsi="Times New Roman" w:cs="Times New Roman"/>
          <w:sz w:val="24"/>
          <w:szCs w:val="24"/>
        </w:rPr>
        <w:t>ë</w:t>
      </w:r>
      <w:r w:rsidRPr="006C0E01">
        <w:rPr>
          <w:rFonts w:ascii="Times New Roman" w:eastAsia="Times New Roman" w:hAnsi="Times New Roman" w:cs="Times New Roman"/>
          <w:sz w:val="24"/>
          <w:szCs w:val="24"/>
        </w:rPr>
        <w:t>sis</w:t>
      </w:r>
      <w:r w:rsidR="00121860">
        <w:rPr>
          <w:rFonts w:ascii="Times New Roman" w:eastAsia="Times New Roman" w:hAnsi="Times New Roman" w:cs="Times New Roman"/>
          <w:sz w:val="24"/>
          <w:szCs w:val="24"/>
        </w:rPr>
        <w:t>ë</w:t>
      </w:r>
      <w:r w:rsidRPr="006C0E01">
        <w:rPr>
          <w:rFonts w:ascii="Times New Roman" w:eastAsia="Times New Roman" w:hAnsi="Times New Roman" w:cs="Times New Roman"/>
          <w:sz w:val="24"/>
          <w:szCs w:val="24"/>
        </w:rPr>
        <w:t xml:space="preserve"> Ministrinë e Arsimit, Ministrinë e Financave, Ministrinë e Ekonomisë dhe Inovacionit, Ministrinë e Turizmit, Kulturës dhe Sporteve, Ministrinë e Drejtësisë, Ministrinë e Shëndetësisë dhe Mirëqenies Sociale, Ministrinë e Bujqësisë dhe Zhvillimit Rural, Ministrin e Shtetit për Administratën Publike dhe </w:t>
      </w:r>
      <w:proofErr w:type="spellStart"/>
      <w:r w:rsidRPr="006C0E01">
        <w:rPr>
          <w:rFonts w:ascii="Times New Roman" w:eastAsia="Times New Roman" w:hAnsi="Times New Roman" w:cs="Times New Roman"/>
          <w:sz w:val="24"/>
          <w:szCs w:val="24"/>
        </w:rPr>
        <w:t>Antikorrupsionin</w:t>
      </w:r>
      <w:proofErr w:type="spellEnd"/>
      <w:r w:rsidRPr="006C0E01">
        <w:rPr>
          <w:rFonts w:ascii="Times New Roman" w:eastAsia="Times New Roman" w:hAnsi="Times New Roman" w:cs="Times New Roman"/>
          <w:sz w:val="24"/>
          <w:szCs w:val="24"/>
        </w:rPr>
        <w:t>, Ministrin e Shtetit për Qeverisjen Vendore, Akademinë e Shkencave, INSTAT-in, Agjencinë Kombëtare të Diasporës, Qendrën e Botimeve për Diasporën, Agjencinë Kombëtare për Punësim dhe Aftësi, Këshillin Koordinues të Diasporës, Agjencinë Kombëtare të Rinisë dhe Qendrën e Studimeve dhe Publikimeve për Arbëreshët.</w:t>
      </w:r>
    </w:p>
    <w:p w14:paraId="7C75F75D" w14:textId="7B1A5CAE" w:rsidR="008F4B4B" w:rsidRDefault="00000000" w:rsidP="00EC1DAF">
      <w:pPr>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t>Procesi i hartimit të strategjisë u asistua nga Sekretariati Teknik, i përbërë nga përfaqësues të Agjencisë Kombëtare të Diasporës dhe Drejtorisë së Diplomacisë Ekonomike, Kulturore dhe Diasporës pranë Ministrisë për Evropën dhe Punët e Jashtme, si dhe u mbështet nga Organizata Ndërkombëtare për Migracionin (IOM). Në kuadër të procesit të hartimit u zhvilluan konsultime dhe takime ndërinstitucionale, duke marrë në konsideratë gjetjet nga zbatimi i Strategjisë Kombëtare për Diasporën 2021–2025, rekomandimet e organizatave ndërkombëtare, si dhe praktikat më të mira të vendeve anëtare të Bashkimit Evropian dhe vendeve të tjera me politika të suksesshme për  angazhimin e diasporës.</w:t>
      </w:r>
    </w:p>
    <w:p w14:paraId="200C9741" w14:textId="77777777" w:rsidR="003B2190" w:rsidRPr="006C0E01" w:rsidRDefault="003B2190" w:rsidP="00EC1DAF">
      <w:pPr>
        <w:jc w:val="both"/>
        <w:rPr>
          <w:rFonts w:ascii="Times New Roman" w:eastAsia="Times New Roman" w:hAnsi="Times New Roman" w:cs="Times New Roman"/>
          <w:sz w:val="24"/>
          <w:szCs w:val="24"/>
        </w:rPr>
      </w:pPr>
    </w:p>
    <w:p w14:paraId="549F95C8" w14:textId="77777777" w:rsidR="008F4B4B" w:rsidRPr="006C0E01" w:rsidRDefault="00000000" w:rsidP="00EC1DAF">
      <w:pPr>
        <w:jc w:val="both"/>
        <w:rPr>
          <w:rFonts w:ascii="Times New Roman" w:eastAsia="Times New Roman" w:hAnsi="Times New Roman" w:cs="Times New Roman"/>
          <w:b/>
          <w:bCs/>
          <w:sz w:val="24"/>
          <w:szCs w:val="24"/>
        </w:rPr>
      </w:pPr>
      <w:r w:rsidRPr="006C0E01">
        <w:rPr>
          <w:rFonts w:ascii="Times New Roman" w:eastAsia="Times New Roman" w:hAnsi="Times New Roman" w:cs="Times New Roman"/>
          <w:b/>
          <w:bCs/>
          <w:sz w:val="24"/>
          <w:szCs w:val="24"/>
        </w:rPr>
        <w:t xml:space="preserve">IX. RAPORTI I VLERËSIMIT TË </w:t>
      </w:r>
      <w:proofErr w:type="spellStart"/>
      <w:r w:rsidRPr="006C0E01">
        <w:rPr>
          <w:rFonts w:ascii="Times New Roman" w:eastAsia="Times New Roman" w:hAnsi="Times New Roman" w:cs="Times New Roman"/>
          <w:b/>
          <w:bCs/>
          <w:sz w:val="24"/>
          <w:szCs w:val="24"/>
        </w:rPr>
        <w:t>TË</w:t>
      </w:r>
      <w:proofErr w:type="spellEnd"/>
      <w:r w:rsidRPr="006C0E01">
        <w:rPr>
          <w:rFonts w:ascii="Times New Roman" w:eastAsia="Times New Roman" w:hAnsi="Times New Roman" w:cs="Times New Roman"/>
          <w:b/>
          <w:bCs/>
          <w:sz w:val="24"/>
          <w:szCs w:val="24"/>
        </w:rPr>
        <w:t xml:space="preserve"> ARDHURAVE DHE SHPENZIMEVE BUXHETORE</w:t>
      </w:r>
    </w:p>
    <w:p w14:paraId="0942022F" w14:textId="77777777" w:rsidR="008F4B4B" w:rsidRPr="006C0E01" w:rsidRDefault="00000000" w:rsidP="00EC1DAF">
      <w:pPr>
        <w:spacing w:after="0"/>
        <w:jc w:val="both"/>
        <w:rPr>
          <w:rFonts w:ascii="Times New Roman" w:eastAsia="Times New Roman" w:hAnsi="Times New Roman" w:cs="Times New Roman"/>
          <w:sz w:val="24"/>
          <w:szCs w:val="24"/>
        </w:rPr>
      </w:pPr>
      <w:proofErr w:type="spellStart"/>
      <w:r w:rsidRPr="006C0E01">
        <w:rPr>
          <w:rFonts w:ascii="Times New Roman" w:eastAsia="Times New Roman" w:hAnsi="Times New Roman" w:cs="Times New Roman"/>
          <w:sz w:val="24"/>
          <w:szCs w:val="24"/>
        </w:rPr>
        <w:t>Kostimi</w:t>
      </w:r>
      <w:proofErr w:type="spellEnd"/>
      <w:r w:rsidRPr="006C0E01">
        <w:rPr>
          <w:rFonts w:ascii="Times New Roman" w:eastAsia="Times New Roman" w:hAnsi="Times New Roman" w:cs="Times New Roman"/>
          <w:sz w:val="24"/>
          <w:szCs w:val="24"/>
        </w:rPr>
        <w:t xml:space="preserve"> i Strategjisë u realizua mbështetur në metodologjinë dhe praktikën e planifikimit buxhetor, ndërsa vlerësimi i kostove treguese është mbështetur gjithashtu në objektivat dhe treguesit e përcaktuar për arritjen e tyre, si dhe në masat, aktivitetet dhe produktet e identifikuara për secilin aktivitet. Përllogaritjet buxhetore janë bërë duke përdorur instrumentin e rekomanduar nga IPSIS, të përshtatur sipas udhëzimeve përkatëse. Kostoja e përgjithshme e përllogaritur për zbatimin e planit të veprimit për zbatimin e </w:t>
      </w:r>
      <w:proofErr w:type="spellStart"/>
      <w:r w:rsidRPr="006C0E01">
        <w:rPr>
          <w:rFonts w:ascii="Times New Roman" w:eastAsia="Times New Roman" w:hAnsi="Times New Roman" w:cs="Times New Roman"/>
          <w:sz w:val="24"/>
          <w:szCs w:val="24"/>
        </w:rPr>
        <w:t>e</w:t>
      </w:r>
      <w:proofErr w:type="spellEnd"/>
      <w:r w:rsidRPr="006C0E01">
        <w:rPr>
          <w:rFonts w:ascii="Times New Roman" w:eastAsia="Times New Roman" w:hAnsi="Times New Roman" w:cs="Times New Roman"/>
          <w:sz w:val="24"/>
          <w:szCs w:val="24"/>
        </w:rPr>
        <w:t xml:space="preserve"> Strategjisë Kombëtare për Diasporën 20262028 është rreth 1.853 miliardë Lekë, ose rreth 19.3 milionë Euro. Kursi mesatar për referencë është përllogaritur me 96 lekë për 1 euro.</w:t>
      </w:r>
    </w:p>
    <w:p w14:paraId="445A8776" w14:textId="77777777" w:rsidR="008F4B4B" w:rsidRPr="006C0E01" w:rsidRDefault="00000000" w:rsidP="00EC1DAF">
      <w:pPr>
        <w:spacing w:after="0"/>
        <w:jc w:val="both"/>
        <w:rPr>
          <w:rFonts w:ascii="Times New Roman" w:eastAsia="Times New Roman" w:hAnsi="Times New Roman" w:cs="Times New Roman"/>
          <w:sz w:val="24"/>
          <w:szCs w:val="24"/>
        </w:rPr>
      </w:pPr>
      <w:r w:rsidRPr="006C0E01">
        <w:rPr>
          <w:rFonts w:ascii="Times New Roman" w:eastAsia="Times New Roman" w:hAnsi="Times New Roman" w:cs="Times New Roman"/>
          <w:sz w:val="24"/>
          <w:szCs w:val="24"/>
        </w:rPr>
        <w:lastRenderedPageBreak/>
        <w:t>Tabela e mëposhtme, pasqyron kostot treguese, burimet e financimit dhe hendekun financiar përgjatë 3 viteve të zbatimit të Planit të veprimit 2026 - 2028.</w:t>
      </w:r>
    </w:p>
    <w:p w14:paraId="03C239A9" w14:textId="77777777" w:rsidR="006C0E01" w:rsidRDefault="006C0E01" w:rsidP="00EC1DAF">
      <w:pPr>
        <w:spacing w:after="0"/>
        <w:jc w:val="both"/>
        <w:rPr>
          <w:rFonts w:ascii="Times New Roman" w:eastAsia="Times New Roman" w:hAnsi="Times New Roman" w:cs="Times New Roman"/>
          <w:sz w:val="24"/>
          <w:szCs w:val="24"/>
        </w:rPr>
      </w:pPr>
    </w:p>
    <w:p w14:paraId="2C5A470F" w14:textId="77777777" w:rsidR="003B2190" w:rsidRPr="006C0E01" w:rsidRDefault="003B2190" w:rsidP="00EC1DAF">
      <w:pPr>
        <w:spacing w:after="0"/>
        <w:jc w:val="both"/>
        <w:rPr>
          <w:rFonts w:ascii="Times New Roman" w:eastAsia="Times New Roman" w:hAnsi="Times New Roman" w:cs="Times New Roman"/>
          <w:sz w:val="24"/>
          <w:szCs w:val="24"/>
        </w:rPr>
      </w:pPr>
    </w:p>
    <w:tbl>
      <w:tblPr>
        <w:tblStyle w:val="a"/>
        <w:tblW w:w="10710" w:type="dxa"/>
        <w:tblInd w:w="-975" w:type="dxa"/>
        <w:tblLayout w:type="fixed"/>
        <w:tblLook w:val="0600" w:firstRow="0" w:lastRow="0" w:firstColumn="0" w:lastColumn="0" w:noHBand="1" w:noVBand="1"/>
      </w:tblPr>
      <w:tblGrid>
        <w:gridCol w:w="4307"/>
        <w:gridCol w:w="940"/>
        <w:gridCol w:w="1180"/>
        <w:gridCol w:w="1180"/>
        <w:gridCol w:w="1008"/>
        <w:gridCol w:w="2095"/>
      </w:tblGrid>
      <w:tr w:rsidR="008F4B4B" w14:paraId="153EFFAC" w14:textId="77777777">
        <w:trPr>
          <w:trHeight w:val="1230"/>
        </w:trPr>
        <w:tc>
          <w:tcPr>
            <w:tcW w:w="4307" w:type="dxa"/>
            <w:vMerge w:val="restart"/>
            <w:tcBorders>
              <w:top w:val="single" w:sz="6" w:space="0" w:color="000000"/>
              <w:left w:val="single" w:sz="6" w:space="0" w:color="000000"/>
              <w:bottom w:val="nil"/>
              <w:right w:val="nil"/>
            </w:tcBorders>
            <w:shd w:val="clear" w:color="auto" w:fill="4472C4"/>
            <w:tcMar>
              <w:top w:w="15" w:type="dxa"/>
              <w:left w:w="15" w:type="dxa"/>
              <w:right w:w="15" w:type="dxa"/>
            </w:tcMar>
            <w:vAlign w:val="center"/>
          </w:tcPr>
          <w:p w14:paraId="600B9128" w14:textId="77777777" w:rsidR="008F4B4B" w:rsidRDefault="00000000">
            <w:pPr>
              <w:spacing w:after="0" w:line="360" w:lineRule="auto"/>
              <w:jc w:val="both"/>
              <w:rPr>
                <w:rFonts w:ascii="Times New Roman" w:eastAsia="Times New Roman" w:hAnsi="Times New Roman" w:cs="Times New Roman"/>
                <w:color w:val="FFFFFF"/>
                <w:sz w:val="20"/>
                <w:szCs w:val="20"/>
              </w:rPr>
            </w:pPr>
            <w:r>
              <w:rPr>
                <w:rFonts w:ascii="Times New Roman" w:eastAsia="Times New Roman" w:hAnsi="Times New Roman" w:cs="Times New Roman"/>
                <w:b/>
                <w:bCs/>
                <w:color w:val="FFFFFF"/>
                <w:sz w:val="20"/>
                <w:szCs w:val="20"/>
              </w:rPr>
              <w:t>Qëllimi i Politikave</w:t>
            </w:r>
          </w:p>
        </w:tc>
        <w:tc>
          <w:tcPr>
            <w:tcW w:w="940" w:type="dxa"/>
            <w:vMerge w:val="restart"/>
            <w:tcBorders>
              <w:top w:val="single" w:sz="6" w:space="0" w:color="000000"/>
              <w:left w:val="nil"/>
              <w:bottom w:val="nil"/>
              <w:right w:val="nil"/>
            </w:tcBorders>
            <w:shd w:val="clear" w:color="auto" w:fill="4472C4"/>
            <w:tcMar>
              <w:top w:w="15" w:type="dxa"/>
              <w:left w:w="15" w:type="dxa"/>
              <w:right w:w="15" w:type="dxa"/>
            </w:tcMar>
            <w:vAlign w:val="center"/>
          </w:tcPr>
          <w:p w14:paraId="36CC9CD3" w14:textId="77777777" w:rsidR="008F4B4B" w:rsidRDefault="00000000">
            <w:pPr>
              <w:spacing w:after="0" w:line="36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b/>
                <w:bCs/>
                <w:color w:val="FFFFFF"/>
                <w:sz w:val="20"/>
                <w:szCs w:val="20"/>
              </w:rPr>
              <w:t>Natyra/ Tipologjia e Kostove</w:t>
            </w:r>
          </w:p>
        </w:tc>
        <w:tc>
          <w:tcPr>
            <w:tcW w:w="1180" w:type="dxa"/>
            <w:tcBorders>
              <w:top w:val="single" w:sz="6" w:space="0" w:color="000000"/>
              <w:left w:val="nil"/>
              <w:bottom w:val="nil"/>
              <w:right w:val="nil"/>
            </w:tcBorders>
            <w:shd w:val="clear" w:color="auto" w:fill="4472C4"/>
            <w:tcMar>
              <w:top w:w="15" w:type="dxa"/>
              <w:left w:w="15" w:type="dxa"/>
              <w:right w:w="15" w:type="dxa"/>
            </w:tcMar>
            <w:vAlign w:val="center"/>
          </w:tcPr>
          <w:p w14:paraId="62A916B4" w14:textId="77777777" w:rsidR="008F4B4B" w:rsidRDefault="00000000">
            <w:pPr>
              <w:spacing w:after="0" w:line="36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b/>
                <w:bCs/>
                <w:color w:val="FFFFFF"/>
                <w:sz w:val="20"/>
                <w:szCs w:val="20"/>
              </w:rPr>
              <w:t>Kostoja Totale</w:t>
            </w:r>
          </w:p>
        </w:tc>
        <w:tc>
          <w:tcPr>
            <w:tcW w:w="1180" w:type="dxa"/>
            <w:tcBorders>
              <w:top w:val="single" w:sz="6" w:space="0" w:color="000000"/>
              <w:left w:val="nil"/>
              <w:bottom w:val="nil"/>
              <w:right w:val="nil"/>
            </w:tcBorders>
            <w:shd w:val="clear" w:color="auto" w:fill="4472C4"/>
            <w:tcMar>
              <w:top w:w="15" w:type="dxa"/>
              <w:left w:w="15" w:type="dxa"/>
              <w:right w:w="15" w:type="dxa"/>
            </w:tcMar>
            <w:vAlign w:val="center"/>
          </w:tcPr>
          <w:p w14:paraId="0BD8DF3F" w14:textId="77777777" w:rsidR="008F4B4B" w:rsidRDefault="00000000">
            <w:pPr>
              <w:spacing w:after="0" w:line="36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b/>
                <w:bCs/>
                <w:color w:val="FFFFFF"/>
                <w:sz w:val="20"/>
                <w:szCs w:val="20"/>
              </w:rPr>
              <w:t>Kostot e Planifikuara</w:t>
            </w:r>
          </w:p>
        </w:tc>
        <w:tc>
          <w:tcPr>
            <w:tcW w:w="1008" w:type="dxa"/>
            <w:tcBorders>
              <w:top w:val="single" w:sz="6" w:space="0" w:color="000000"/>
              <w:left w:val="nil"/>
              <w:bottom w:val="nil"/>
              <w:right w:val="nil"/>
            </w:tcBorders>
            <w:shd w:val="clear" w:color="auto" w:fill="4472C4"/>
            <w:tcMar>
              <w:top w:w="15" w:type="dxa"/>
              <w:left w:w="15" w:type="dxa"/>
              <w:right w:w="15" w:type="dxa"/>
            </w:tcMar>
            <w:vAlign w:val="center"/>
          </w:tcPr>
          <w:p w14:paraId="19F91DED" w14:textId="77777777" w:rsidR="008F4B4B" w:rsidRDefault="00000000">
            <w:pPr>
              <w:spacing w:after="0" w:line="36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b/>
                <w:bCs/>
                <w:color w:val="FFFFFF"/>
                <w:sz w:val="20"/>
                <w:szCs w:val="20"/>
              </w:rPr>
              <w:t xml:space="preserve">Kosto për tu </w:t>
            </w:r>
          </w:p>
        </w:tc>
        <w:tc>
          <w:tcPr>
            <w:tcW w:w="2095" w:type="dxa"/>
            <w:tcBorders>
              <w:top w:val="single" w:sz="6" w:space="0" w:color="000000"/>
              <w:left w:val="nil"/>
              <w:bottom w:val="nil"/>
              <w:right w:val="single" w:sz="6" w:space="0" w:color="000000"/>
            </w:tcBorders>
            <w:shd w:val="clear" w:color="auto" w:fill="4472C4"/>
            <w:tcMar>
              <w:top w:w="15" w:type="dxa"/>
              <w:left w:w="15" w:type="dxa"/>
              <w:right w:w="15" w:type="dxa"/>
            </w:tcMar>
            <w:vAlign w:val="center"/>
          </w:tcPr>
          <w:p w14:paraId="04FDBCC2" w14:textId="77777777" w:rsidR="008F4B4B" w:rsidRDefault="00000000">
            <w:pPr>
              <w:spacing w:after="0" w:line="36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b/>
                <w:bCs/>
                <w:color w:val="FFFFFF"/>
                <w:sz w:val="20"/>
                <w:szCs w:val="20"/>
              </w:rPr>
              <w:t>Hendeku Financiar</w:t>
            </w:r>
          </w:p>
        </w:tc>
      </w:tr>
      <w:tr w:rsidR="008F4B4B" w14:paraId="11B62130" w14:textId="77777777">
        <w:trPr>
          <w:trHeight w:val="300"/>
        </w:trPr>
        <w:tc>
          <w:tcPr>
            <w:tcW w:w="4307" w:type="dxa"/>
            <w:vMerge/>
            <w:tcBorders>
              <w:top w:val="single" w:sz="6" w:space="0" w:color="000000"/>
              <w:left w:val="single" w:sz="6" w:space="0" w:color="000000"/>
              <w:bottom w:val="nil"/>
              <w:right w:val="nil"/>
            </w:tcBorders>
            <w:shd w:val="clear" w:color="auto" w:fill="4472C4"/>
            <w:tcMar>
              <w:top w:w="15" w:type="dxa"/>
              <w:left w:w="15" w:type="dxa"/>
              <w:right w:w="15" w:type="dxa"/>
            </w:tcMar>
            <w:vAlign w:val="center"/>
          </w:tcPr>
          <w:p w14:paraId="2CE32EDF"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FFFFFF"/>
                <w:sz w:val="20"/>
                <w:szCs w:val="20"/>
              </w:rPr>
            </w:pPr>
          </w:p>
        </w:tc>
        <w:tc>
          <w:tcPr>
            <w:tcW w:w="940" w:type="dxa"/>
            <w:vMerge/>
            <w:tcBorders>
              <w:top w:val="single" w:sz="6" w:space="0" w:color="000000"/>
              <w:left w:val="nil"/>
              <w:bottom w:val="nil"/>
              <w:right w:val="nil"/>
            </w:tcBorders>
            <w:shd w:val="clear" w:color="auto" w:fill="4472C4"/>
            <w:tcMar>
              <w:top w:w="15" w:type="dxa"/>
              <w:left w:w="15" w:type="dxa"/>
              <w:right w:w="15" w:type="dxa"/>
            </w:tcMar>
            <w:vAlign w:val="center"/>
          </w:tcPr>
          <w:p w14:paraId="2289DC22"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FFFFFF"/>
                <w:sz w:val="20"/>
                <w:szCs w:val="20"/>
              </w:rPr>
            </w:pPr>
          </w:p>
        </w:tc>
        <w:tc>
          <w:tcPr>
            <w:tcW w:w="1180" w:type="dxa"/>
            <w:tcBorders>
              <w:top w:val="nil"/>
              <w:left w:val="nil"/>
              <w:bottom w:val="nil"/>
              <w:right w:val="nil"/>
            </w:tcBorders>
            <w:shd w:val="clear" w:color="auto" w:fill="4472C4"/>
            <w:tcMar>
              <w:top w:w="15" w:type="dxa"/>
              <w:left w:w="15" w:type="dxa"/>
              <w:right w:w="15" w:type="dxa"/>
            </w:tcMar>
            <w:vAlign w:val="center"/>
          </w:tcPr>
          <w:p w14:paraId="1DCEC3E5" w14:textId="77777777" w:rsidR="008F4B4B" w:rsidRDefault="00000000">
            <w:pPr>
              <w:spacing w:after="0" w:line="36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b/>
                <w:bCs/>
                <w:color w:val="FFFFFF"/>
                <w:sz w:val="20"/>
                <w:szCs w:val="20"/>
              </w:rPr>
              <w:t>2026-2030</w:t>
            </w:r>
          </w:p>
        </w:tc>
        <w:tc>
          <w:tcPr>
            <w:tcW w:w="1180" w:type="dxa"/>
            <w:tcBorders>
              <w:top w:val="nil"/>
              <w:left w:val="nil"/>
              <w:bottom w:val="nil"/>
              <w:right w:val="nil"/>
            </w:tcBorders>
            <w:shd w:val="clear" w:color="auto" w:fill="4472C4"/>
            <w:tcMar>
              <w:top w:w="15" w:type="dxa"/>
              <w:left w:w="15" w:type="dxa"/>
              <w:right w:w="15" w:type="dxa"/>
            </w:tcMar>
            <w:vAlign w:val="center"/>
          </w:tcPr>
          <w:p w14:paraId="203DDCDE" w14:textId="77777777" w:rsidR="008F4B4B" w:rsidRDefault="00000000">
            <w:pPr>
              <w:spacing w:after="0" w:line="36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b/>
                <w:bCs/>
                <w:color w:val="FFFFFF"/>
                <w:sz w:val="20"/>
                <w:szCs w:val="20"/>
              </w:rPr>
              <w:t>PBA 2026-2028</w:t>
            </w:r>
          </w:p>
        </w:tc>
        <w:tc>
          <w:tcPr>
            <w:tcW w:w="1008" w:type="dxa"/>
            <w:tcBorders>
              <w:top w:val="nil"/>
              <w:left w:val="nil"/>
              <w:bottom w:val="nil"/>
              <w:right w:val="nil"/>
            </w:tcBorders>
            <w:shd w:val="clear" w:color="auto" w:fill="4472C4"/>
            <w:tcMar>
              <w:top w:w="15" w:type="dxa"/>
              <w:left w:w="15" w:type="dxa"/>
              <w:right w:w="15" w:type="dxa"/>
            </w:tcMar>
            <w:vAlign w:val="center"/>
          </w:tcPr>
          <w:p w14:paraId="004EFEBA" w14:textId="77777777" w:rsidR="008F4B4B" w:rsidRDefault="00000000">
            <w:pPr>
              <w:spacing w:after="0" w:line="36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b/>
                <w:bCs/>
                <w:color w:val="FFFFFF"/>
                <w:sz w:val="20"/>
                <w:szCs w:val="20"/>
              </w:rPr>
              <w:t>Planifikuar në</w:t>
            </w:r>
          </w:p>
        </w:tc>
        <w:tc>
          <w:tcPr>
            <w:tcW w:w="2095" w:type="dxa"/>
            <w:tcBorders>
              <w:top w:val="nil"/>
              <w:left w:val="nil"/>
              <w:bottom w:val="nil"/>
              <w:right w:val="single" w:sz="6" w:space="0" w:color="000000"/>
            </w:tcBorders>
            <w:shd w:val="clear" w:color="auto" w:fill="4472C4"/>
            <w:tcMar>
              <w:top w:w="15" w:type="dxa"/>
              <w:left w:w="15" w:type="dxa"/>
              <w:right w:w="15" w:type="dxa"/>
            </w:tcMar>
            <w:vAlign w:val="center"/>
          </w:tcPr>
          <w:p w14:paraId="718EE362" w14:textId="77777777" w:rsidR="008F4B4B" w:rsidRDefault="00000000">
            <w:pPr>
              <w:spacing w:after="0" w:line="36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b/>
                <w:bCs/>
                <w:color w:val="FFFFFF"/>
                <w:sz w:val="20"/>
                <w:szCs w:val="20"/>
              </w:rPr>
              <w:t>2024-2030</w:t>
            </w:r>
          </w:p>
        </w:tc>
      </w:tr>
      <w:tr w:rsidR="008F4B4B" w14:paraId="3AD642AC" w14:textId="77777777">
        <w:trPr>
          <w:trHeight w:val="450"/>
        </w:trPr>
        <w:tc>
          <w:tcPr>
            <w:tcW w:w="4307" w:type="dxa"/>
            <w:vMerge/>
            <w:tcBorders>
              <w:top w:val="single" w:sz="6" w:space="0" w:color="000000"/>
              <w:left w:val="single" w:sz="6" w:space="0" w:color="000000"/>
              <w:bottom w:val="nil"/>
              <w:right w:val="nil"/>
            </w:tcBorders>
            <w:shd w:val="clear" w:color="auto" w:fill="4472C4"/>
            <w:tcMar>
              <w:top w:w="15" w:type="dxa"/>
              <w:left w:w="15" w:type="dxa"/>
              <w:right w:w="15" w:type="dxa"/>
            </w:tcMar>
            <w:vAlign w:val="center"/>
          </w:tcPr>
          <w:p w14:paraId="1323F699"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FFFFFF"/>
                <w:sz w:val="20"/>
                <w:szCs w:val="20"/>
              </w:rPr>
            </w:pPr>
          </w:p>
        </w:tc>
        <w:tc>
          <w:tcPr>
            <w:tcW w:w="940" w:type="dxa"/>
            <w:vMerge/>
            <w:tcBorders>
              <w:top w:val="single" w:sz="6" w:space="0" w:color="000000"/>
              <w:left w:val="nil"/>
              <w:bottom w:val="nil"/>
              <w:right w:val="nil"/>
            </w:tcBorders>
            <w:shd w:val="clear" w:color="auto" w:fill="4472C4"/>
            <w:tcMar>
              <w:top w:w="15" w:type="dxa"/>
              <w:left w:w="15" w:type="dxa"/>
              <w:right w:w="15" w:type="dxa"/>
            </w:tcMar>
            <w:vAlign w:val="center"/>
          </w:tcPr>
          <w:p w14:paraId="65B7FBFC"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FFFFFF"/>
                <w:sz w:val="20"/>
                <w:szCs w:val="20"/>
              </w:rPr>
            </w:pPr>
          </w:p>
        </w:tc>
        <w:tc>
          <w:tcPr>
            <w:tcW w:w="1180" w:type="dxa"/>
            <w:tcBorders>
              <w:top w:val="nil"/>
              <w:left w:val="nil"/>
              <w:bottom w:val="nil"/>
              <w:right w:val="nil"/>
            </w:tcBorders>
            <w:shd w:val="clear" w:color="auto" w:fill="4472C4"/>
            <w:tcMar>
              <w:top w:w="15" w:type="dxa"/>
              <w:left w:w="15" w:type="dxa"/>
              <w:right w:w="15" w:type="dxa"/>
            </w:tcMar>
            <w:vAlign w:val="center"/>
          </w:tcPr>
          <w:p w14:paraId="5E4AD96C" w14:textId="77777777" w:rsidR="008F4B4B" w:rsidRDefault="008F4B4B">
            <w:pPr>
              <w:spacing w:line="360" w:lineRule="auto"/>
              <w:rPr>
                <w:rFonts w:ascii="Times New Roman" w:eastAsia="Times New Roman" w:hAnsi="Times New Roman" w:cs="Times New Roman"/>
                <w:color w:val="F5F5F5"/>
                <w:sz w:val="20"/>
                <w:szCs w:val="20"/>
              </w:rPr>
            </w:pPr>
          </w:p>
        </w:tc>
        <w:tc>
          <w:tcPr>
            <w:tcW w:w="1180" w:type="dxa"/>
            <w:tcBorders>
              <w:top w:val="nil"/>
              <w:left w:val="nil"/>
              <w:bottom w:val="nil"/>
              <w:right w:val="nil"/>
            </w:tcBorders>
            <w:shd w:val="clear" w:color="auto" w:fill="4472C4"/>
            <w:tcMar>
              <w:top w:w="15" w:type="dxa"/>
              <w:left w:w="15" w:type="dxa"/>
              <w:right w:w="15" w:type="dxa"/>
            </w:tcMar>
            <w:vAlign w:val="center"/>
          </w:tcPr>
          <w:p w14:paraId="7883ED21" w14:textId="77777777" w:rsidR="008F4B4B" w:rsidRDefault="00000000">
            <w:pPr>
              <w:spacing w:after="0" w:line="36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b/>
                <w:bCs/>
                <w:color w:val="FFFFFF"/>
                <w:sz w:val="20"/>
                <w:szCs w:val="20"/>
              </w:rPr>
              <w:t xml:space="preserve">Buxheti </w:t>
            </w:r>
          </w:p>
        </w:tc>
        <w:tc>
          <w:tcPr>
            <w:tcW w:w="1008" w:type="dxa"/>
            <w:tcBorders>
              <w:top w:val="nil"/>
              <w:left w:val="nil"/>
              <w:bottom w:val="nil"/>
              <w:right w:val="nil"/>
            </w:tcBorders>
            <w:shd w:val="clear" w:color="auto" w:fill="4472C4"/>
            <w:tcMar>
              <w:top w:w="15" w:type="dxa"/>
              <w:left w:w="15" w:type="dxa"/>
              <w:right w:w="15" w:type="dxa"/>
            </w:tcMar>
            <w:vAlign w:val="center"/>
          </w:tcPr>
          <w:p w14:paraId="782D1694" w14:textId="77777777" w:rsidR="008F4B4B" w:rsidRDefault="00000000">
            <w:pPr>
              <w:spacing w:after="0" w:line="36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b/>
                <w:bCs/>
                <w:color w:val="FFFFFF"/>
                <w:sz w:val="20"/>
                <w:szCs w:val="20"/>
              </w:rPr>
              <w:t xml:space="preserve"> Buxhetin 2029-2030</w:t>
            </w:r>
          </w:p>
        </w:tc>
        <w:tc>
          <w:tcPr>
            <w:tcW w:w="2095" w:type="dxa"/>
            <w:tcBorders>
              <w:top w:val="nil"/>
              <w:left w:val="nil"/>
              <w:bottom w:val="single" w:sz="6" w:space="0" w:color="4472C4"/>
              <w:right w:val="single" w:sz="6" w:space="0" w:color="000000"/>
            </w:tcBorders>
            <w:shd w:val="clear" w:color="auto" w:fill="4472C4"/>
            <w:tcMar>
              <w:top w:w="15" w:type="dxa"/>
              <w:left w:w="15" w:type="dxa"/>
              <w:right w:w="15" w:type="dxa"/>
            </w:tcMar>
            <w:vAlign w:val="center"/>
          </w:tcPr>
          <w:p w14:paraId="74C814E3" w14:textId="77777777" w:rsidR="008F4B4B" w:rsidRDefault="008F4B4B">
            <w:pPr>
              <w:spacing w:line="360" w:lineRule="auto"/>
              <w:rPr>
                <w:rFonts w:ascii="Times New Roman" w:eastAsia="Times New Roman" w:hAnsi="Times New Roman" w:cs="Times New Roman"/>
                <w:color w:val="F5F5F5"/>
                <w:sz w:val="20"/>
                <w:szCs w:val="20"/>
              </w:rPr>
            </w:pPr>
          </w:p>
        </w:tc>
      </w:tr>
      <w:tr w:rsidR="008F4B4B" w14:paraId="0C9F9EBE" w14:textId="77777777">
        <w:trPr>
          <w:trHeight w:val="795"/>
        </w:trPr>
        <w:tc>
          <w:tcPr>
            <w:tcW w:w="4307" w:type="dxa"/>
            <w:vMerge w:val="restart"/>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48C8A437" w14:textId="77777777" w:rsidR="008F4B4B" w:rsidRDefault="00000000">
            <w:pPr>
              <w:spacing w:after="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OBJEKTIVI I POLITIKËS 1: MODERNIZIMI, HARMONIZIMI DHE KONSOLIDIMI I KUADRIT LIGJOR DHE INSTITUCIONAL QË RREGULLON MARRËDHËNIEN NDËRMJET SHTETIT SHQIPTAR DHE DIASPORËS, ME QËLLIM SIGURIMIN E NJË QASJEJE TË UNIFIKUAR, FUNKSIONALE DHE TË QËNDRUESHME PËR ADRESIMIN POTENCIALIT TË SAJ</w:t>
            </w:r>
            <w:r>
              <w:rPr>
                <w:rFonts w:ascii="Times New Roman" w:eastAsia="Times New Roman" w:hAnsi="Times New Roman" w:cs="Times New Roman"/>
                <w:color w:val="000000"/>
                <w:sz w:val="20"/>
                <w:szCs w:val="20"/>
              </w:rPr>
              <w:t xml:space="preserve"> </w:t>
            </w:r>
          </w:p>
        </w:tc>
        <w:tc>
          <w:tcPr>
            <w:tcW w:w="940" w:type="dxa"/>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5450A2C1" w14:textId="77777777" w:rsidR="008F4B4B" w:rsidRDefault="00000000">
            <w:pPr>
              <w:spacing w:after="0" w:line="36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Korente</w:t>
            </w:r>
            <w:proofErr w:type="spellEnd"/>
          </w:p>
        </w:tc>
        <w:tc>
          <w:tcPr>
            <w:tcW w:w="1180" w:type="dxa"/>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3480989C"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301,190,945</w:t>
            </w:r>
          </w:p>
        </w:tc>
        <w:tc>
          <w:tcPr>
            <w:tcW w:w="1180" w:type="dxa"/>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446B71FD"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278,558,945</w:t>
            </w:r>
          </w:p>
        </w:tc>
        <w:tc>
          <w:tcPr>
            <w:tcW w:w="1008" w:type="dxa"/>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6900BE2A"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95" w:type="dxa"/>
            <w:vMerge w:val="restart"/>
            <w:tcBorders>
              <w:top w:val="single" w:sz="6" w:space="0" w:color="4472C4"/>
              <w:left w:val="single" w:sz="6" w:space="0" w:color="000000"/>
              <w:bottom w:val="nil"/>
              <w:right w:val="single" w:sz="6" w:space="0" w:color="000000"/>
            </w:tcBorders>
            <w:shd w:val="clear" w:color="auto" w:fill="D9E2F3"/>
            <w:tcMar>
              <w:top w:w="15" w:type="dxa"/>
              <w:left w:w="15" w:type="dxa"/>
              <w:right w:w="15" w:type="dxa"/>
            </w:tcMar>
            <w:vAlign w:val="center"/>
          </w:tcPr>
          <w:p w14:paraId="5C8C477E"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 xml:space="preserve">45,632,001 </w:t>
            </w:r>
          </w:p>
        </w:tc>
      </w:tr>
      <w:tr w:rsidR="008F4B4B" w14:paraId="7AC82C85" w14:textId="77777777">
        <w:trPr>
          <w:trHeight w:val="1230"/>
        </w:trPr>
        <w:tc>
          <w:tcPr>
            <w:tcW w:w="4307" w:type="dxa"/>
            <w:vMerge/>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62999D10"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940" w:type="dxa"/>
            <w:tcBorders>
              <w:top w:val="single" w:sz="6" w:space="0" w:color="000000"/>
              <w:left w:val="nil"/>
              <w:bottom w:val="single" w:sz="6" w:space="0" w:color="000000"/>
              <w:right w:val="single" w:sz="6" w:space="0" w:color="000000"/>
            </w:tcBorders>
            <w:tcMar>
              <w:top w:w="15" w:type="dxa"/>
              <w:left w:w="15" w:type="dxa"/>
              <w:right w:w="15" w:type="dxa"/>
            </w:tcMar>
            <w:vAlign w:val="center"/>
          </w:tcPr>
          <w:p w14:paraId="3A2B57F0"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Kapitale</w:t>
            </w:r>
          </w:p>
        </w:tc>
        <w:tc>
          <w:tcPr>
            <w:tcW w:w="1180" w:type="dxa"/>
            <w:tcBorders>
              <w:top w:val="single" w:sz="6" w:space="0" w:color="000000"/>
              <w:left w:val="single" w:sz="6" w:space="0" w:color="000000"/>
              <w:bottom w:val="single" w:sz="6" w:space="0" w:color="000000"/>
              <w:right w:val="single" w:sz="6" w:space="0" w:color="000000"/>
            </w:tcBorders>
            <w:tcMar>
              <w:top w:w="15" w:type="dxa"/>
              <w:left w:w="15" w:type="dxa"/>
              <w:right w:w="15" w:type="dxa"/>
            </w:tcMar>
            <w:vAlign w:val="center"/>
          </w:tcPr>
          <w:p w14:paraId="2BD965F5"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94,300,000</w:t>
            </w:r>
          </w:p>
        </w:tc>
        <w:tc>
          <w:tcPr>
            <w:tcW w:w="1180" w:type="dxa"/>
            <w:tcBorders>
              <w:top w:val="single" w:sz="6" w:space="0" w:color="000000"/>
              <w:left w:val="single" w:sz="6" w:space="0" w:color="000000"/>
              <w:bottom w:val="single" w:sz="6" w:space="0" w:color="000000"/>
              <w:right w:val="single" w:sz="6" w:space="0" w:color="000000"/>
            </w:tcBorders>
            <w:tcMar>
              <w:top w:w="15" w:type="dxa"/>
              <w:left w:w="15" w:type="dxa"/>
              <w:right w:w="15" w:type="dxa"/>
            </w:tcMar>
            <w:vAlign w:val="center"/>
          </w:tcPr>
          <w:p w14:paraId="4E2944B1"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71,300,000</w:t>
            </w:r>
          </w:p>
        </w:tc>
        <w:tc>
          <w:tcPr>
            <w:tcW w:w="1008" w:type="dxa"/>
            <w:tcBorders>
              <w:top w:val="single" w:sz="6" w:space="0" w:color="000000"/>
              <w:left w:val="single" w:sz="6" w:space="0" w:color="000000"/>
              <w:bottom w:val="single" w:sz="6" w:space="0" w:color="000000"/>
              <w:right w:val="single" w:sz="6" w:space="0" w:color="000000"/>
            </w:tcBorders>
            <w:tcMar>
              <w:top w:w="15" w:type="dxa"/>
              <w:left w:w="15" w:type="dxa"/>
              <w:right w:w="15" w:type="dxa"/>
            </w:tcMar>
            <w:vAlign w:val="center"/>
          </w:tcPr>
          <w:p w14:paraId="203D083A"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95" w:type="dxa"/>
            <w:vMerge/>
            <w:tcBorders>
              <w:top w:val="single" w:sz="6" w:space="0" w:color="4472C4"/>
              <w:left w:val="single" w:sz="6" w:space="0" w:color="000000"/>
              <w:bottom w:val="nil"/>
              <w:right w:val="single" w:sz="6" w:space="0" w:color="000000"/>
            </w:tcBorders>
            <w:shd w:val="clear" w:color="auto" w:fill="D9E2F3"/>
            <w:tcMar>
              <w:top w:w="15" w:type="dxa"/>
              <w:left w:w="15" w:type="dxa"/>
              <w:right w:w="15" w:type="dxa"/>
            </w:tcMar>
            <w:vAlign w:val="center"/>
          </w:tcPr>
          <w:p w14:paraId="60716F50"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8F4B4B" w14:paraId="35F5A4F1" w14:textId="77777777">
        <w:trPr>
          <w:trHeight w:val="465"/>
        </w:trPr>
        <w:tc>
          <w:tcPr>
            <w:tcW w:w="4307" w:type="dxa"/>
            <w:vMerge w:val="restart"/>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6C60F010" w14:textId="77777777" w:rsidR="008F4B4B" w:rsidRDefault="00000000">
            <w:pPr>
              <w:spacing w:after="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QËLLIMI I POLITIKËS 2:  KRIJIMI I KUSHTEVE PËR PJESËMARRJEN E DIASPORËS NË JETËN POLITIKE, SHOQËRORE DHE INSTITUCIONALE TË SHQIPËRISË, SI DHE AKTIVIZIMIN E ROLIT TË SAJ NË MBËSHTETJE TË PROCESIT TË INTEGRIMIT EVROPIAN TË VENDIT</w:t>
            </w:r>
          </w:p>
        </w:tc>
        <w:tc>
          <w:tcPr>
            <w:tcW w:w="940" w:type="dxa"/>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5DE6787E" w14:textId="77777777" w:rsidR="008F4B4B" w:rsidRDefault="00000000">
            <w:pPr>
              <w:spacing w:after="0" w:line="36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Korente</w:t>
            </w:r>
            <w:proofErr w:type="spellEnd"/>
          </w:p>
        </w:tc>
        <w:tc>
          <w:tcPr>
            <w:tcW w:w="1180" w:type="dxa"/>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6DA95C27"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196,804,085</w:t>
            </w:r>
          </w:p>
        </w:tc>
        <w:tc>
          <w:tcPr>
            <w:tcW w:w="1180" w:type="dxa"/>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154130F7"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44,081,828</w:t>
            </w:r>
          </w:p>
        </w:tc>
        <w:tc>
          <w:tcPr>
            <w:tcW w:w="1008" w:type="dxa"/>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010043AF"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95" w:type="dxa"/>
            <w:vMerge w:val="restart"/>
            <w:tcBorders>
              <w:top w:val="single" w:sz="6" w:space="0" w:color="4472C4"/>
              <w:left w:val="single" w:sz="6" w:space="0" w:color="000000"/>
              <w:bottom w:val="nil"/>
              <w:right w:val="single" w:sz="6" w:space="0" w:color="000000"/>
            </w:tcBorders>
            <w:shd w:val="clear" w:color="auto" w:fill="D9E2F3"/>
            <w:tcMar>
              <w:top w:w="15" w:type="dxa"/>
              <w:left w:w="15" w:type="dxa"/>
              <w:right w:w="15" w:type="dxa"/>
            </w:tcMar>
            <w:vAlign w:val="center"/>
          </w:tcPr>
          <w:p w14:paraId="02313CC9"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 xml:space="preserve">366,622,257 </w:t>
            </w:r>
          </w:p>
        </w:tc>
      </w:tr>
      <w:tr w:rsidR="008F4B4B" w14:paraId="7F459318" w14:textId="77777777">
        <w:trPr>
          <w:trHeight w:val="1230"/>
        </w:trPr>
        <w:tc>
          <w:tcPr>
            <w:tcW w:w="4307" w:type="dxa"/>
            <w:vMerge/>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2BC58030"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940" w:type="dxa"/>
            <w:tcBorders>
              <w:top w:val="single" w:sz="6" w:space="0" w:color="000000"/>
              <w:left w:val="nil"/>
              <w:bottom w:val="single" w:sz="6" w:space="0" w:color="000000"/>
              <w:right w:val="single" w:sz="6" w:space="0" w:color="000000"/>
            </w:tcBorders>
            <w:tcMar>
              <w:top w:w="15" w:type="dxa"/>
              <w:left w:w="15" w:type="dxa"/>
              <w:right w:w="15" w:type="dxa"/>
            </w:tcMar>
            <w:vAlign w:val="center"/>
          </w:tcPr>
          <w:p w14:paraId="52D3795E"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Kapitale</w:t>
            </w:r>
          </w:p>
        </w:tc>
        <w:tc>
          <w:tcPr>
            <w:tcW w:w="1180" w:type="dxa"/>
            <w:tcBorders>
              <w:top w:val="single" w:sz="6" w:space="0" w:color="000000"/>
              <w:left w:val="single" w:sz="6" w:space="0" w:color="000000"/>
              <w:bottom w:val="single" w:sz="6" w:space="0" w:color="000000"/>
              <w:right w:val="single" w:sz="6" w:space="0" w:color="000000"/>
            </w:tcBorders>
            <w:tcMar>
              <w:top w:w="15" w:type="dxa"/>
              <w:left w:w="15" w:type="dxa"/>
              <w:right w:w="15" w:type="dxa"/>
            </w:tcMar>
            <w:vAlign w:val="center"/>
          </w:tcPr>
          <w:p w14:paraId="15E3F360"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213,900,000</w:t>
            </w:r>
          </w:p>
        </w:tc>
        <w:tc>
          <w:tcPr>
            <w:tcW w:w="1180" w:type="dxa"/>
            <w:tcBorders>
              <w:top w:val="single" w:sz="6" w:space="0" w:color="000000"/>
              <w:left w:val="single" w:sz="6" w:space="0" w:color="000000"/>
              <w:bottom w:val="single" w:sz="6" w:space="0" w:color="000000"/>
              <w:right w:val="single" w:sz="6" w:space="0" w:color="000000"/>
            </w:tcBorders>
            <w:tcMar>
              <w:top w:w="15" w:type="dxa"/>
              <w:left w:w="15" w:type="dxa"/>
              <w:right w:w="15" w:type="dxa"/>
            </w:tcMar>
            <w:vAlign w:val="center"/>
          </w:tcPr>
          <w:p w14:paraId="64FC76C0"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08" w:type="dxa"/>
            <w:tcBorders>
              <w:top w:val="single" w:sz="6" w:space="0" w:color="000000"/>
              <w:left w:val="single" w:sz="6" w:space="0" w:color="000000"/>
              <w:bottom w:val="single" w:sz="6" w:space="0" w:color="000000"/>
              <w:right w:val="single" w:sz="6" w:space="0" w:color="000000"/>
            </w:tcBorders>
            <w:tcMar>
              <w:top w:w="15" w:type="dxa"/>
              <w:left w:w="15" w:type="dxa"/>
              <w:right w:w="15" w:type="dxa"/>
            </w:tcMar>
            <w:vAlign w:val="center"/>
          </w:tcPr>
          <w:p w14:paraId="44648B87"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95" w:type="dxa"/>
            <w:vMerge/>
            <w:tcBorders>
              <w:top w:val="single" w:sz="6" w:space="0" w:color="4472C4"/>
              <w:left w:val="single" w:sz="6" w:space="0" w:color="000000"/>
              <w:bottom w:val="nil"/>
              <w:right w:val="single" w:sz="6" w:space="0" w:color="000000"/>
            </w:tcBorders>
            <w:shd w:val="clear" w:color="auto" w:fill="D9E2F3"/>
            <w:tcMar>
              <w:top w:w="15" w:type="dxa"/>
              <w:left w:w="15" w:type="dxa"/>
              <w:right w:w="15" w:type="dxa"/>
            </w:tcMar>
            <w:vAlign w:val="center"/>
          </w:tcPr>
          <w:p w14:paraId="60498379"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8F4B4B" w14:paraId="11FD65A6" w14:textId="77777777">
        <w:trPr>
          <w:trHeight w:val="540"/>
        </w:trPr>
        <w:tc>
          <w:tcPr>
            <w:tcW w:w="4307" w:type="dxa"/>
            <w:vMerge w:val="restart"/>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2B28ED44" w14:textId="77777777" w:rsidR="008F4B4B" w:rsidRDefault="00000000">
            <w:pPr>
              <w:spacing w:after="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QELLIMI I POLITIKES 3: MOBILIZIMI SISTEMATIK TË POTENCIALIT FINANCIAR, NJERËZOR DHE INTELEKTUAL TË DIASPORËS, ME SYNIM SHNDËRRIMIN E SAJ NË NJË NGA SHTYLLAT KRYESORE TË ZHVILLIMIT TË QËNDRUESHËM EKONOMIK TË VENDIT</w:t>
            </w:r>
          </w:p>
        </w:tc>
        <w:tc>
          <w:tcPr>
            <w:tcW w:w="940" w:type="dxa"/>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5C2312C2" w14:textId="77777777" w:rsidR="008F4B4B" w:rsidRDefault="00000000">
            <w:pPr>
              <w:spacing w:after="0" w:line="36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Korente</w:t>
            </w:r>
            <w:proofErr w:type="spellEnd"/>
          </w:p>
        </w:tc>
        <w:tc>
          <w:tcPr>
            <w:tcW w:w="1180" w:type="dxa"/>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48937A23"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267,891,176</w:t>
            </w:r>
          </w:p>
        </w:tc>
        <w:tc>
          <w:tcPr>
            <w:tcW w:w="1180" w:type="dxa"/>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5CC16C80"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267,891,178</w:t>
            </w:r>
          </w:p>
        </w:tc>
        <w:tc>
          <w:tcPr>
            <w:tcW w:w="1008" w:type="dxa"/>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036C57E6"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95" w:type="dxa"/>
            <w:vMerge w:val="restart"/>
            <w:tcBorders>
              <w:top w:val="single" w:sz="6" w:space="0" w:color="4472C4"/>
              <w:left w:val="single" w:sz="6" w:space="0" w:color="000000"/>
              <w:bottom w:val="nil"/>
              <w:right w:val="single" w:sz="6" w:space="0" w:color="000000"/>
            </w:tcBorders>
            <w:shd w:val="clear" w:color="auto" w:fill="D9E2F3"/>
            <w:tcMar>
              <w:top w:w="15" w:type="dxa"/>
              <w:left w:w="15" w:type="dxa"/>
              <w:right w:w="15" w:type="dxa"/>
            </w:tcMar>
            <w:vAlign w:val="center"/>
          </w:tcPr>
          <w:p w14:paraId="6E74CD85"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 xml:space="preserve">0 </w:t>
            </w:r>
          </w:p>
        </w:tc>
      </w:tr>
      <w:tr w:rsidR="008F4B4B" w14:paraId="37CD538C" w14:textId="77777777">
        <w:trPr>
          <w:trHeight w:val="1350"/>
        </w:trPr>
        <w:tc>
          <w:tcPr>
            <w:tcW w:w="4307" w:type="dxa"/>
            <w:vMerge/>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41314E5F"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940" w:type="dxa"/>
            <w:tcBorders>
              <w:top w:val="single" w:sz="6" w:space="0" w:color="000000"/>
              <w:left w:val="nil"/>
              <w:bottom w:val="single" w:sz="6" w:space="0" w:color="000000"/>
              <w:right w:val="single" w:sz="6" w:space="0" w:color="000000"/>
            </w:tcBorders>
            <w:tcMar>
              <w:top w:w="15" w:type="dxa"/>
              <w:left w:w="15" w:type="dxa"/>
              <w:right w:w="15" w:type="dxa"/>
            </w:tcMar>
            <w:vAlign w:val="center"/>
          </w:tcPr>
          <w:p w14:paraId="1B986DC7"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Kapitale</w:t>
            </w:r>
          </w:p>
        </w:tc>
        <w:tc>
          <w:tcPr>
            <w:tcW w:w="1180" w:type="dxa"/>
            <w:tcBorders>
              <w:top w:val="single" w:sz="6" w:space="0" w:color="000000"/>
              <w:left w:val="single" w:sz="6" w:space="0" w:color="000000"/>
              <w:bottom w:val="single" w:sz="6" w:space="0" w:color="000000"/>
              <w:right w:val="single" w:sz="6" w:space="0" w:color="000000"/>
            </w:tcBorders>
            <w:tcMar>
              <w:top w:w="15" w:type="dxa"/>
              <w:left w:w="15" w:type="dxa"/>
              <w:right w:w="15" w:type="dxa"/>
            </w:tcMar>
            <w:vAlign w:val="center"/>
          </w:tcPr>
          <w:p w14:paraId="41B827E9"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80" w:type="dxa"/>
            <w:tcBorders>
              <w:top w:val="single" w:sz="6" w:space="0" w:color="000000"/>
              <w:left w:val="single" w:sz="6" w:space="0" w:color="000000"/>
              <w:bottom w:val="single" w:sz="6" w:space="0" w:color="000000"/>
              <w:right w:val="single" w:sz="6" w:space="0" w:color="000000"/>
            </w:tcBorders>
            <w:tcMar>
              <w:top w:w="15" w:type="dxa"/>
              <w:left w:w="15" w:type="dxa"/>
              <w:right w:w="15" w:type="dxa"/>
            </w:tcMar>
            <w:vAlign w:val="center"/>
          </w:tcPr>
          <w:p w14:paraId="50DFED76"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08" w:type="dxa"/>
            <w:tcBorders>
              <w:top w:val="single" w:sz="6" w:space="0" w:color="000000"/>
              <w:left w:val="single" w:sz="6" w:space="0" w:color="000000"/>
              <w:bottom w:val="single" w:sz="6" w:space="0" w:color="000000"/>
              <w:right w:val="single" w:sz="6" w:space="0" w:color="000000"/>
            </w:tcBorders>
            <w:tcMar>
              <w:top w:w="15" w:type="dxa"/>
              <w:left w:w="15" w:type="dxa"/>
              <w:right w:w="15" w:type="dxa"/>
            </w:tcMar>
            <w:vAlign w:val="center"/>
          </w:tcPr>
          <w:p w14:paraId="39A59D36"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95" w:type="dxa"/>
            <w:vMerge/>
            <w:tcBorders>
              <w:top w:val="single" w:sz="6" w:space="0" w:color="4472C4"/>
              <w:left w:val="single" w:sz="6" w:space="0" w:color="000000"/>
              <w:bottom w:val="nil"/>
              <w:right w:val="single" w:sz="6" w:space="0" w:color="000000"/>
            </w:tcBorders>
            <w:shd w:val="clear" w:color="auto" w:fill="D9E2F3"/>
            <w:tcMar>
              <w:top w:w="15" w:type="dxa"/>
              <w:left w:w="15" w:type="dxa"/>
              <w:right w:w="15" w:type="dxa"/>
            </w:tcMar>
            <w:vAlign w:val="center"/>
          </w:tcPr>
          <w:p w14:paraId="218CF630"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8F4B4B" w14:paraId="4C04D59B" w14:textId="77777777">
        <w:trPr>
          <w:trHeight w:val="780"/>
        </w:trPr>
        <w:tc>
          <w:tcPr>
            <w:tcW w:w="4307" w:type="dxa"/>
            <w:vMerge w:val="restart"/>
            <w:tcBorders>
              <w:top w:val="single" w:sz="6" w:space="0" w:color="000000"/>
              <w:left w:val="single" w:sz="6" w:space="0" w:color="000000"/>
              <w:bottom w:val="single" w:sz="12" w:space="0" w:color="000000"/>
              <w:right w:val="single" w:sz="6" w:space="0" w:color="000000"/>
            </w:tcBorders>
            <w:shd w:val="clear" w:color="auto" w:fill="D9E2F3"/>
            <w:tcMar>
              <w:top w:w="15" w:type="dxa"/>
              <w:left w:w="15" w:type="dxa"/>
              <w:right w:w="15" w:type="dxa"/>
            </w:tcMar>
            <w:vAlign w:val="center"/>
          </w:tcPr>
          <w:p w14:paraId="5B0AFFF8" w14:textId="77777777" w:rsidR="008F4B4B" w:rsidRDefault="00000000">
            <w:pPr>
              <w:spacing w:after="0" w:line="36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lastRenderedPageBreak/>
              <w:t>QELLIMI I POLITIKES 4:  FORCIMIN E LIDHJES KULTURORE, GJUHËSORE DHE SHPIRTËRORE NDËRMJET DIASPORËS DHE ATDHEUT, DUKE GARANTUAR TRANSMETIMIN NDËRBREZOR TË IDENTITETIT KOMBËTAR DHE PROMOVIMIN E VLERAVE SHQIPTARE NË ARENËN NDËRKOMBËTARE</w:t>
            </w:r>
          </w:p>
        </w:tc>
        <w:tc>
          <w:tcPr>
            <w:tcW w:w="940" w:type="dxa"/>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500AAC54" w14:textId="77777777" w:rsidR="008F4B4B" w:rsidRDefault="00000000">
            <w:pPr>
              <w:spacing w:after="0" w:line="36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Korente</w:t>
            </w:r>
            <w:proofErr w:type="spellEnd"/>
          </w:p>
        </w:tc>
        <w:tc>
          <w:tcPr>
            <w:tcW w:w="1180" w:type="dxa"/>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4481E72F"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687,768,855</w:t>
            </w:r>
          </w:p>
        </w:tc>
        <w:tc>
          <w:tcPr>
            <w:tcW w:w="1180" w:type="dxa"/>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468ED9A7"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676,875,334</w:t>
            </w:r>
          </w:p>
        </w:tc>
        <w:tc>
          <w:tcPr>
            <w:tcW w:w="1008" w:type="dxa"/>
            <w:tcBorders>
              <w:top w:val="single" w:sz="6" w:space="0" w:color="000000"/>
              <w:left w:val="single" w:sz="6" w:space="0" w:color="000000"/>
              <w:bottom w:val="single" w:sz="6" w:space="0" w:color="000000"/>
              <w:right w:val="single" w:sz="6" w:space="0" w:color="000000"/>
            </w:tcBorders>
            <w:shd w:val="clear" w:color="auto" w:fill="D9E2F3"/>
            <w:tcMar>
              <w:top w:w="15" w:type="dxa"/>
              <w:left w:w="15" w:type="dxa"/>
              <w:right w:w="15" w:type="dxa"/>
            </w:tcMar>
            <w:vAlign w:val="center"/>
          </w:tcPr>
          <w:p w14:paraId="7140C4DD"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95" w:type="dxa"/>
            <w:vMerge w:val="restart"/>
            <w:tcBorders>
              <w:top w:val="single" w:sz="6" w:space="0" w:color="4472C4"/>
              <w:left w:val="single" w:sz="6" w:space="0" w:color="000000"/>
              <w:bottom w:val="single" w:sz="12" w:space="0" w:color="000000"/>
              <w:right w:val="single" w:sz="6" w:space="0" w:color="000000"/>
            </w:tcBorders>
            <w:shd w:val="clear" w:color="auto" w:fill="D9E2F3"/>
            <w:tcMar>
              <w:top w:w="15" w:type="dxa"/>
              <w:left w:w="15" w:type="dxa"/>
              <w:right w:w="15" w:type="dxa"/>
            </w:tcMar>
            <w:vAlign w:val="center"/>
          </w:tcPr>
          <w:p w14:paraId="5CCD5363"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 xml:space="preserve">56,893,521 </w:t>
            </w:r>
          </w:p>
        </w:tc>
      </w:tr>
      <w:tr w:rsidR="008F4B4B" w14:paraId="5291B71B" w14:textId="77777777">
        <w:trPr>
          <w:trHeight w:val="1140"/>
        </w:trPr>
        <w:tc>
          <w:tcPr>
            <w:tcW w:w="4307" w:type="dxa"/>
            <w:vMerge/>
            <w:tcBorders>
              <w:top w:val="single" w:sz="6" w:space="0" w:color="000000"/>
              <w:left w:val="single" w:sz="6" w:space="0" w:color="000000"/>
              <w:bottom w:val="single" w:sz="12" w:space="0" w:color="000000"/>
              <w:right w:val="single" w:sz="6" w:space="0" w:color="000000"/>
            </w:tcBorders>
            <w:shd w:val="clear" w:color="auto" w:fill="D9E2F3"/>
            <w:tcMar>
              <w:top w:w="15" w:type="dxa"/>
              <w:left w:w="15" w:type="dxa"/>
              <w:right w:w="15" w:type="dxa"/>
            </w:tcMar>
            <w:vAlign w:val="center"/>
          </w:tcPr>
          <w:p w14:paraId="70837093"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940" w:type="dxa"/>
            <w:tcBorders>
              <w:top w:val="single" w:sz="6" w:space="0" w:color="000000"/>
              <w:left w:val="nil"/>
              <w:bottom w:val="single" w:sz="12" w:space="0" w:color="000000"/>
              <w:right w:val="single" w:sz="6" w:space="0" w:color="000000"/>
            </w:tcBorders>
            <w:tcMar>
              <w:top w:w="15" w:type="dxa"/>
              <w:left w:w="15" w:type="dxa"/>
              <w:right w:w="15" w:type="dxa"/>
            </w:tcMar>
            <w:vAlign w:val="center"/>
          </w:tcPr>
          <w:p w14:paraId="7D82AC5D"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Kapitale</w:t>
            </w:r>
          </w:p>
        </w:tc>
        <w:tc>
          <w:tcPr>
            <w:tcW w:w="1180" w:type="dxa"/>
            <w:tcBorders>
              <w:top w:val="single" w:sz="6" w:space="0" w:color="000000"/>
              <w:left w:val="single" w:sz="6" w:space="0" w:color="000000"/>
              <w:bottom w:val="single" w:sz="12" w:space="0" w:color="000000"/>
              <w:right w:val="single" w:sz="6" w:space="0" w:color="000000"/>
            </w:tcBorders>
            <w:tcMar>
              <w:top w:w="15" w:type="dxa"/>
              <w:left w:w="15" w:type="dxa"/>
              <w:right w:w="15" w:type="dxa"/>
            </w:tcMar>
            <w:vAlign w:val="center"/>
          </w:tcPr>
          <w:p w14:paraId="191B5A75"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92,000,000</w:t>
            </w:r>
          </w:p>
        </w:tc>
        <w:tc>
          <w:tcPr>
            <w:tcW w:w="1180" w:type="dxa"/>
            <w:tcBorders>
              <w:top w:val="single" w:sz="6" w:space="0" w:color="000000"/>
              <w:left w:val="single" w:sz="6" w:space="0" w:color="000000"/>
              <w:bottom w:val="single" w:sz="12" w:space="0" w:color="000000"/>
              <w:right w:val="single" w:sz="6" w:space="0" w:color="000000"/>
            </w:tcBorders>
            <w:tcMar>
              <w:top w:w="15" w:type="dxa"/>
              <w:left w:w="15" w:type="dxa"/>
              <w:right w:w="15" w:type="dxa"/>
            </w:tcMar>
            <w:vAlign w:val="center"/>
          </w:tcPr>
          <w:p w14:paraId="4969F8EB"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46,000,000</w:t>
            </w:r>
          </w:p>
        </w:tc>
        <w:tc>
          <w:tcPr>
            <w:tcW w:w="1008" w:type="dxa"/>
            <w:tcBorders>
              <w:top w:val="single" w:sz="6" w:space="0" w:color="000000"/>
              <w:left w:val="single" w:sz="6" w:space="0" w:color="000000"/>
              <w:bottom w:val="single" w:sz="12" w:space="0" w:color="000000"/>
              <w:right w:val="single" w:sz="6" w:space="0" w:color="000000"/>
            </w:tcBorders>
            <w:tcMar>
              <w:top w:w="15" w:type="dxa"/>
              <w:left w:w="15" w:type="dxa"/>
              <w:right w:w="15" w:type="dxa"/>
            </w:tcMar>
            <w:vAlign w:val="center"/>
          </w:tcPr>
          <w:p w14:paraId="017F34FA"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95" w:type="dxa"/>
            <w:vMerge/>
            <w:tcBorders>
              <w:top w:val="single" w:sz="6" w:space="0" w:color="4472C4"/>
              <w:left w:val="single" w:sz="6" w:space="0" w:color="000000"/>
              <w:bottom w:val="single" w:sz="12" w:space="0" w:color="000000"/>
              <w:right w:val="single" w:sz="6" w:space="0" w:color="000000"/>
            </w:tcBorders>
            <w:shd w:val="clear" w:color="auto" w:fill="D9E2F3"/>
            <w:tcMar>
              <w:top w:w="15" w:type="dxa"/>
              <w:left w:w="15" w:type="dxa"/>
              <w:right w:w="15" w:type="dxa"/>
            </w:tcMar>
            <w:vAlign w:val="center"/>
          </w:tcPr>
          <w:p w14:paraId="082019FD"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8F4B4B" w14:paraId="0C704F50" w14:textId="77777777">
        <w:trPr>
          <w:trHeight w:val="300"/>
        </w:trPr>
        <w:tc>
          <w:tcPr>
            <w:tcW w:w="4307" w:type="dxa"/>
            <w:tcBorders>
              <w:top w:val="single" w:sz="12" w:space="0" w:color="000000"/>
              <w:left w:val="single" w:sz="12" w:space="0" w:color="000000"/>
              <w:bottom w:val="single" w:sz="12" w:space="0" w:color="000000"/>
              <w:right w:val="single" w:sz="12" w:space="0" w:color="000000"/>
            </w:tcBorders>
            <w:shd w:val="clear" w:color="auto" w:fill="D9E2F3"/>
            <w:tcMar>
              <w:top w:w="15" w:type="dxa"/>
              <w:left w:w="15" w:type="dxa"/>
              <w:right w:w="15" w:type="dxa"/>
            </w:tcMar>
            <w:vAlign w:val="center"/>
          </w:tcPr>
          <w:p w14:paraId="3B2A74FE" w14:textId="77777777" w:rsidR="008F4B4B" w:rsidRDefault="00000000">
            <w:pPr>
              <w:spacing w:after="0" w:line="36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TOTALI [Leke]</w:t>
            </w:r>
          </w:p>
        </w:tc>
        <w:tc>
          <w:tcPr>
            <w:tcW w:w="940" w:type="dxa"/>
            <w:tcBorders>
              <w:top w:val="single" w:sz="12" w:space="0" w:color="000000"/>
              <w:left w:val="single" w:sz="12" w:space="0" w:color="000000"/>
              <w:bottom w:val="single" w:sz="12" w:space="0" w:color="000000"/>
              <w:right w:val="single" w:sz="12" w:space="0" w:color="000000"/>
            </w:tcBorders>
            <w:shd w:val="clear" w:color="auto" w:fill="D9E2F3"/>
            <w:tcMar>
              <w:top w:w="15" w:type="dxa"/>
              <w:left w:w="15" w:type="dxa"/>
              <w:right w:w="15" w:type="dxa"/>
            </w:tcMar>
            <w:vAlign w:val="center"/>
          </w:tcPr>
          <w:p w14:paraId="66D6FEE6" w14:textId="77777777" w:rsidR="008F4B4B" w:rsidRDefault="008F4B4B">
            <w:pPr>
              <w:spacing w:line="360" w:lineRule="auto"/>
              <w:rPr>
                <w:rFonts w:ascii="Times New Roman" w:eastAsia="Times New Roman" w:hAnsi="Times New Roman" w:cs="Times New Roman"/>
                <w:sz w:val="20"/>
                <w:szCs w:val="20"/>
              </w:rPr>
            </w:pPr>
          </w:p>
        </w:tc>
        <w:tc>
          <w:tcPr>
            <w:tcW w:w="1180" w:type="dxa"/>
            <w:tcBorders>
              <w:top w:val="single" w:sz="12" w:space="0" w:color="000000"/>
              <w:left w:val="single" w:sz="12" w:space="0" w:color="000000"/>
              <w:bottom w:val="single" w:sz="12" w:space="0" w:color="000000"/>
              <w:right w:val="single" w:sz="12" w:space="0" w:color="000000"/>
            </w:tcBorders>
            <w:shd w:val="clear" w:color="auto" w:fill="D9E2F3"/>
            <w:tcMar>
              <w:top w:w="15" w:type="dxa"/>
              <w:left w:w="15" w:type="dxa"/>
              <w:right w:w="15" w:type="dxa"/>
            </w:tcMar>
            <w:vAlign w:val="center"/>
          </w:tcPr>
          <w:p w14:paraId="60FDBA75"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1,853,855,062</w:t>
            </w:r>
          </w:p>
        </w:tc>
        <w:tc>
          <w:tcPr>
            <w:tcW w:w="1180" w:type="dxa"/>
            <w:tcBorders>
              <w:top w:val="single" w:sz="12" w:space="0" w:color="000000"/>
              <w:left w:val="single" w:sz="12" w:space="0" w:color="000000"/>
              <w:bottom w:val="single" w:sz="12" w:space="0" w:color="000000"/>
              <w:right w:val="single" w:sz="12" w:space="0" w:color="000000"/>
            </w:tcBorders>
            <w:shd w:val="clear" w:color="auto" w:fill="D9E2F3"/>
            <w:tcMar>
              <w:top w:w="15" w:type="dxa"/>
              <w:left w:w="15" w:type="dxa"/>
              <w:right w:w="15" w:type="dxa"/>
            </w:tcMar>
            <w:vAlign w:val="center"/>
          </w:tcPr>
          <w:p w14:paraId="00E712D8"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1,384,707,285</w:t>
            </w:r>
          </w:p>
        </w:tc>
        <w:tc>
          <w:tcPr>
            <w:tcW w:w="1008" w:type="dxa"/>
            <w:tcBorders>
              <w:top w:val="single" w:sz="12" w:space="0" w:color="000000"/>
              <w:left w:val="single" w:sz="12" w:space="0" w:color="000000"/>
              <w:bottom w:val="single" w:sz="12" w:space="0" w:color="000000"/>
              <w:right w:val="single" w:sz="12" w:space="0" w:color="000000"/>
            </w:tcBorders>
            <w:shd w:val="clear" w:color="auto" w:fill="D9E2F3"/>
            <w:tcMar>
              <w:top w:w="15" w:type="dxa"/>
              <w:left w:w="15" w:type="dxa"/>
              <w:right w:w="15" w:type="dxa"/>
            </w:tcMar>
            <w:vAlign w:val="center"/>
          </w:tcPr>
          <w:p w14:paraId="3BCA9101"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0</w:t>
            </w:r>
          </w:p>
        </w:tc>
        <w:tc>
          <w:tcPr>
            <w:tcW w:w="2095" w:type="dxa"/>
            <w:tcBorders>
              <w:top w:val="single" w:sz="12" w:space="0" w:color="000000"/>
              <w:left w:val="single" w:sz="12" w:space="0" w:color="000000"/>
              <w:bottom w:val="single" w:sz="12" w:space="0" w:color="000000"/>
              <w:right w:val="single" w:sz="12" w:space="0" w:color="000000"/>
            </w:tcBorders>
            <w:shd w:val="clear" w:color="auto" w:fill="D9E2F3"/>
            <w:tcMar>
              <w:top w:w="15" w:type="dxa"/>
              <w:left w:w="15" w:type="dxa"/>
              <w:right w:w="15" w:type="dxa"/>
            </w:tcMar>
            <w:vAlign w:val="center"/>
          </w:tcPr>
          <w:p w14:paraId="6529B777" w14:textId="77777777" w:rsidR="008F4B4B" w:rsidRDefault="00000000">
            <w:pP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469,147,779</w:t>
            </w:r>
          </w:p>
        </w:tc>
      </w:tr>
      <w:tr w:rsidR="008F4B4B" w14:paraId="208DE5D1" w14:textId="77777777">
        <w:trPr>
          <w:trHeight w:val="675"/>
        </w:trPr>
        <w:tc>
          <w:tcPr>
            <w:tcW w:w="4307" w:type="dxa"/>
            <w:tcBorders>
              <w:top w:val="single" w:sz="12" w:space="0" w:color="000000"/>
              <w:left w:val="single" w:sz="12" w:space="0" w:color="000000"/>
              <w:bottom w:val="single" w:sz="12" w:space="0" w:color="000000"/>
              <w:right w:val="single" w:sz="12" w:space="0" w:color="000000"/>
            </w:tcBorders>
            <w:tcMar>
              <w:top w:w="15" w:type="dxa"/>
              <w:left w:w="15" w:type="dxa"/>
              <w:right w:w="15" w:type="dxa"/>
            </w:tcMar>
            <w:vAlign w:val="center"/>
          </w:tcPr>
          <w:p w14:paraId="4B9F65F0" w14:textId="77777777" w:rsidR="008F4B4B" w:rsidRDefault="00000000">
            <w:pPr>
              <w:spacing w:after="0" w:line="360" w:lineRule="auto"/>
              <w:jc w:val="right"/>
              <w:rPr>
                <w:rFonts w:ascii="Times New Roman" w:eastAsia="Times New Roman" w:hAnsi="Times New Roman" w:cs="Times New Roman"/>
                <w:color w:val="000000"/>
              </w:rPr>
            </w:pPr>
            <w:r>
              <w:rPr>
                <w:rFonts w:ascii="Times New Roman" w:eastAsia="Times New Roman" w:hAnsi="Times New Roman" w:cs="Times New Roman"/>
                <w:b/>
                <w:bCs/>
                <w:color w:val="000000"/>
              </w:rPr>
              <w:t>TOTALI [Euro]</w:t>
            </w:r>
          </w:p>
        </w:tc>
        <w:tc>
          <w:tcPr>
            <w:tcW w:w="940" w:type="dxa"/>
            <w:vMerge w:val="restart"/>
            <w:tcBorders>
              <w:top w:val="single" w:sz="12" w:space="0" w:color="000000"/>
              <w:left w:val="single" w:sz="6" w:space="0" w:color="8EAADB"/>
              <w:bottom w:val="single" w:sz="12" w:space="0" w:color="000000"/>
              <w:right w:val="single" w:sz="12" w:space="0" w:color="000000"/>
            </w:tcBorders>
            <w:tcMar>
              <w:top w:w="15" w:type="dxa"/>
              <w:left w:w="15" w:type="dxa"/>
              <w:right w:w="15" w:type="dxa"/>
            </w:tcMar>
            <w:vAlign w:val="center"/>
          </w:tcPr>
          <w:p w14:paraId="3D1672AB" w14:textId="77777777" w:rsidR="008F4B4B" w:rsidRDefault="008F4B4B">
            <w:pPr>
              <w:spacing w:line="360" w:lineRule="auto"/>
              <w:rPr>
                <w:rFonts w:ascii="Times New Roman" w:eastAsia="Times New Roman" w:hAnsi="Times New Roman" w:cs="Times New Roman"/>
              </w:rPr>
            </w:pPr>
          </w:p>
        </w:tc>
        <w:tc>
          <w:tcPr>
            <w:tcW w:w="1180" w:type="dxa"/>
            <w:vMerge w:val="restart"/>
            <w:tcBorders>
              <w:top w:val="single" w:sz="12" w:space="0" w:color="000000"/>
              <w:left w:val="single" w:sz="12" w:space="0" w:color="000000"/>
              <w:bottom w:val="single" w:sz="12" w:space="0" w:color="000000"/>
              <w:right w:val="single" w:sz="12" w:space="0" w:color="000000"/>
            </w:tcBorders>
            <w:tcMar>
              <w:top w:w="15" w:type="dxa"/>
              <w:left w:w="15" w:type="dxa"/>
              <w:right w:w="15" w:type="dxa"/>
            </w:tcMar>
            <w:vAlign w:val="center"/>
          </w:tcPr>
          <w:p w14:paraId="2139D2BB" w14:textId="77777777" w:rsidR="008F4B4B" w:rsidRDefault="00000000">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19,310,990</w:t>
            </w:r>
          </w:p>
        </w:tc>
        <w:tc>
          <w:tcPr>
            <w:tcW w:w="1180" w:type="dxa"/>
            <w:vMerge w:val="restart"/>
            <w:tcBorders>
              <w:top w:val="single" w:sz="12" w:space="0" w:color="000000"/>
              <w:left w:val="single" w:sz="12" w:space="0" w:color="000000"/>
              <w:bottom w:val="single" w:sz="12" w:space="0" w:color="000000"/>
              <w:right w:val="single" w:sz="12" w:space="0" w:color="000000"/>
            </w:tcBorders>
            <w:tcMar>
              <w:top w:w="15" w:type="dxa"/>
              <w:left w:w="15" w:type="dxa"/>
              <w:right w:w="15" w:type="dxa"/>
            </w:tcMar>
            <w:vAlign w:val="center"/>
          </w:tcPr>
          <w:p w14:paraId="425603C9" w14:textId="77777777" w:rsidR="008F4B4B" w:rsidRDefault="00000000">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14,424,034</w:t>
            </w:r>
          </w:p>
        </w:tc>
        <w:tc>
          <w:tcPr>
            <w:tcW w:w="1008" w:type="dxa"/>
            <w:vMerge w:val="restart"/>
            <w:tcBorders>
              <w:top w:val="single" w:sz="12" w:space="0" w:color="000000"/>
              <w:left w:val="single" w:sz="12" w:space="0" w:color="000000"/>
              <w:bottom w:val="single" w:sz="12" w:space="0" w:color="000000"/>
              <w:right w:val="single" w:sz="12" w:space="0" w:color="000000"/>
            </w:tcBorders>
            <w:tcMar>
              <w:top w:w="15" w:type="dxa"/>
              <w:left w:w="15" w:type="dxa"/>
              <w:right w:w="15" w:type="dxa"/>
            </w:tcMar>
            <w:vAlign w:val="center"/>
          </w:tcPr>
          <w:p w14:paraId="78DC042B" w14:textId="77777777" w:rsidR="008F4B4B" w:rsidRDefault="00000000">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rPr>
              <w:t>0</w:t>
            </w:r>
          </w:p>
        </w:tc>
        <w:tc>
          <w:tcPr>
            <w:tcW w:w="2095" w:type="dxa"/>
            <w:vMerge w:val="restart"/>
            <w:tcBorders>
              <w:top w:val="single" w:sz="12" w:space="0" w:color="000000"/>
              <w:left w:val="single" w:sz="12" w:space="0" w:color="000000"/>
              <w:bottom w:val="single" w:sz="12" w:space="0" w:color="000000"/>
              <w:right w:val="single" w:sz="12" w:space="0" w:color="000000"/>
            </w:tcBorders>
            <w:tcMar>
              <w:top w:w="15" w:type="dxa"/>
              <w:left w:w="15" w:type="dxa"/>
              <w:right w:w="15" w:type="dxa"/>
            </w:tcMar>
            <w:vAlign w:val="center"/>
          </w:tcPr>
          <w:p w14:paraId="2B98D0C5" w14:textId="77777777" w:rsidR="008F4B4B" w:rsidRDefault="00000000">
            <w:pPr>
              <w:spacing w:after="0" w:line="360" w:lineRule="auto"/>
              <w:jc w:val="center"/>
              <w:rPr>
                <w:rFonts w:ascii="Times New Roman" w:eastAsia="Times New Roman" w:hAnsi="Times New Roman" w:cs="Times New Roman"/>
                <w:color w:val="000000"/>
              </w:rPr>
            </w:pPr>
            <w:r>
              <w:rPr>
                <w:rFonts w:ascii="Times New Roman" w:eastAsia="Times New Roman" w:hAnsi="Times New Roman" w:cs="Times New Roman"/>
                <w:b/>
                <w:bCs/>
                <w:i/>
                <w:iCs/>
                <w:color w:val="000000"/>
              </w:rPr>
              <w:t>4,886,956</w:t>
            </w:r>
          </w:p>
        </w:tc>
      </w:tr>
      <w:tr w:rsidR="008F4B4B" w14:paraId="2D404A26" w14:textId="77777777">
        <w:trPr>
          <w:trHeight w:val="300"/>
        </w:trPr>
        <w:tc>
          <w:tcPr>
            <w:tcW w:w="4307" w:type="dxa"/>
            <w:tcBorders>
              <w:top w:val="single" w:sz="12" w:space="0" w:color="000000"/>
              <w:left w:val="single" w:sz="12" w:space="0" w:color="000000"/>
              <w:bottom w:val="single" w:sz="12" w:space="0" w:color="000000"/>
              <w:right w:val="single" w:sz="12" w:space="0" w:color="000000"/>
            </w:tcBorders>
            <w:tcMar>
              <w:top w:w="15" w:type="dxa"/>
              <w:left w:w="15" w:type="dxa"/>
              <w:right w:w="15" w:type="dxa"/>
            </w:tcMar>
            <w:vAlign w:val="center"/>
          </w:tcPr>
          <w:p w14:paraId="7EB64B01" w14:textId="77777777" w:rsidR="008F4B4B" w:rsidRDefault="00000000">
            <w:pPr>
              <w:spacing w:after="0" w:line="360" w:lineRule="auto"/>
              <w:jc w:val="right"/>
              <w:rPr>
                <w:rFonts w:ascii="Times New Roman" w:eastAsia="Times New Roman" w:hAnsi="Times New Roman" w:cs="Times New Roman"/>
                <w:color w:val="FF0000"/>
              </w:rPr>
            </w:pPr>
            <w:r>
              <w:rPr>
                <w:rFonts w:ascii="Times New Roman" w:eastAsia="Times New Roman" w:hAnsi="Times New Roman" w:cs="Times New Roman"/>
                <w:b/>
                <w:bCs/>
                <w:i/>
                <w:iCs/>
                <w:color w:val="FF0000"/>
              </w:rPr>
              <w:t>1 euro 96Leke</w:t>
            </w:r>
          </w:p>
        </w:tc>
        <w:tc>
          <w:tcPr>
            <w:tcW w:w="940" w:type="dxa"/>
            <w:vMerge/>
            <w:tcBorders>
              <w:top w:val="single" w:sz="12" w:space="0" w:color="000000"/>
              <w:left w:val="single" w:sz="6" w:space="0" w:color="8EAADB"/>
              <w:bottom w:val="single" w:sz="12" w:space="0" w:color="000000"/>
              <w:right w:val="single" w:sz="12" w:space="0" w:color="000000"/>
            </w:tcBorders>
            <w:tcMar>
              <w:top w:w="15" w:type="dxa"/>
              <w:left w:w="15" w:type="dxa"/>
              <w:right w:w="15" w:type="dxa"/>
            </w:tcMar>
            <w:vAlign w:val="center"/>
          </w:tcPr>
          <w:p w14:paraId="32685B87"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FF0000"/>
              </w:rPr>
            </w:pPr>
          </w:p>
        </w:tc>
        <w:tc>
          <w:tcPr>
            <w:tcW w:w="1180" w:type="dxa"/>
            <w:vMerge/>
            <w:tcBorders>
              <w:top w:val="single" w:sz="12" w:space="0" w:color="000000"/>
              <w:left w:val="single" w:sz="12" w:space="0" w:color="000000"/>
              <w:bottom w:val="single" w:sz="12" w:space="0" w:color="000000"/>
              <w:right w:val="single" w:sz="12" w:space="0" w:color="000000"/>
            </w:tcBorders>
            <w:tcMar>
              <w:top w:w="15" w:type="dxa"/>
              <w:left w:w="15" w:type="dxa"/>
              <w:right w:w="15" w:type="dxa"/>
            </w:tcMar>
            <w:vAlign w:val="center"/>
          </w:tcPr>
          <w:p w14:paraId="688C0EC0"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FF0000"/>
              </w:rPr>
            </w:pPr>
          </w:p>
        </w:tc>
        <w:tc>
          <w:tcPr>
            <w:tcW w:w="1180" w:type="dxa"/>
            <w:vMerge/>
            <w:tcBorders>
              <w:top w:val="single" w:sz="12" w:space="0" w:color="000000"/>
              <w:left w:val="single" w:sz="12" w:space="0" w:color="000000"/>
              <w:bottom w:val="single" w:sz="12" w:space="0" w:color="000000"/>
              <w:right w:val="single" w:sz="12" w:space="0" w:color="000000"/>
            </w:tcBorders>
            <w:tcMar>
              <w:top w:w="15" w:type="dxa"/>
              <w:left w:w="15" w:type="dxa"/>
              <w:right w:w="15" w:type="dxa"/>
            </w:tcMar>
            <w:vAlign w:val="center"/>
          </w:tcPr>
          <w:p w14:paraId="601ECB3E"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FF0000"/>
              </w:rPr>
            </w:pPr>
          </w:p>
        </w:tc>
        <w:tc>
          <w:tcPr>
            <w:tcW w:w="1008" w:type="dxa"/>
            <w:vMerge/>
            <w:tcBorders>
              <w:top w:val="single" w:sz="12" w:space="0" w:color="000000"/>
              <w:left w:val="single" w:sz="12" w:space="0" w:color="000000"/>
              <w:bottom w:val="single" w:sz="12" w:space="0" w:color="000000"/>
              <w:right w:val="single" w:sz="12" w:space="0" w:color="000000"/>
            </w:tcBorders>
            <w:tcMar>
              <w:top w:w="15" w:type="dxa"/>
              <w:left w:w="15" w:type="dxa"/>
              <w:right w:w="15" w:type="dxa"/>
            </w:tcMar>
            <w:vAlign w:val="center"/>
          </w:tcPr>
          <w:p w14:paraId="1867EE28"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FF0000"/>
              </w:rPr>
            </w:pPr>
          </w:p>
        </w:tc>
        <w:tc>
          <w:tcPr>
            <w:tcW w:w="2095" w:type="dxa"/>
            <w:vMerge/>
            <w:tcBorders>
              <w:top w:val="single" w:sz="12" w:space="0" w:color="000000"/>
              <w:left w:val="single" w:sz="12" w:space="0" w:color="000000"/>
              <w:bottom w:val="single" w:sz="12" w:space="0" w:color="000000"/>
              <w:right w:val="single" w:sz="12" w:space="0" w:color="000000"/>
            </w:tcBorders>
            <w:tcMar>
              <w:top w:w="15" w:type="dxa"/>
              <w:left w:w="15" w:type="dxa"/>
              <w:right w:w="15" w:type="dxa"/>
            </w:tcMar>
            <w:vAlign w:val="center"/>
          </w:tcPr>
          <w:p w14:paraId="662825D5" w14:textId="77777777" w:rsidR="008F4B4B" w:rsidRDefault="008F4B4B">
            <w:pPr>
              <w:widowControl w:val="0"/>
              <w:pBdr>
                <w:top w:val="nil"/>
                <w:left w:val="nil"/>
                <w:bottom w:val="nil"/>
                <w:right w:val="nil"/>
                <w:between w:val="nil"/>
              </w:pBdr>
              <w:spacing w:after="0"/>
              <w:rPr>
                <w:rFonts w:ascii="Times New Roman" w:eastAsia="Times New Roman" w:hAnsi="Times New Roman" w:cs="Times New Roman"/>
                <w:color w:val="FF0000"/>
              </w:rPr>
            </w:pPr>
          </w:p>
        </w:tc>
      </w:tr>
    </w:tbl>
    <w:p w14:paraId="1669719E" w14:textId="77777777" w:rsidR="008F4B4B" w:rsidRDefault="008F4B4B">
      <w:pPr>
        <w:spacing w:after="0" w:line="360" w:lineRule="auto"/>
        <w:jc w:val="both"/>
        <w:rPr>
          <w:rFonts w:ascii="Times New Roman" w:eastAsia="Times New Roman" w:hAnsi="Times New Roman" w:cs="Times New Roman"/>
          <w:color w:val="000000"/>
          <w:sz w:val="24"/>
          <w:szCs w:val="24"/>
        </w:rPr>
      </w:pPr>
    </w:p>
    <w:p w14:paraId="6E06960D" w14:textId="51EFA05C" w:rsidR="006C0E01" w:rsidRDefault="00000000" w:rsidP="006C0E01">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Tabela: Kostot </w:t>
      </w:r>
      <w:proofErr w:type="spellStart"/>
      <w:r>
        <w:rPr>
          <w:rFonts w:ascii="Times New Roman" w:eastAsia="Times New Roman" w:hAnsi="Times New Roman" w:cs="Times New Roman"/>
          <w:i/>
          <w:iCs/>
          <w:color w:val="000000"/>
          <w:sz w:val="24"/>
          <w:szCs w:val="24"/>
        </w:rPr>
        <w:t>indikative</w:t>
      </w:r>
      <w:proofErr w:type="spellEnd"/>
      <w:r>
        <w:rPr>
          <w:rFonts w:ascii="Times New Roman" w:eastAsia="Times New Roman" w:hAnsi="Times New Roman" w:cs="Times New Roman"/>
          <w:i/>
          <w:iCs/>
          <w:color w:val="000000"/>
          <w:sz w:val="24"/>
          <w:szCs w:val="24"/>
        </w:rPr>
        <w:t xml:space="preserve"> të SKD 2026 </w:t>
      </w:r>
      <w:r w:rsidR="006C0E01">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z w:val="24"/>
          <w:szCs w:val="24"/>
        </w:rPr>
        <w:t xml:space="preserve"> 2028</w:t>
      </w:r>
    </w:p>
    <w:p w14:paraId="04B0E4BC" w14:textId="77777777" w:rsidR="006C0E01" w:rsidRDefault="006C0E01" w:rsidP="006C0E01">
      <w:pPr>
        <w:spacing w:after="0" w:line="360" w:lineRule="auto"/>
        <w:jc w:val="center"/>
        <w:rPr>
          <w:rFonts w:ascii="Times New Roman" w:eastAsia="Times New Roman" w:hAnsi="Times New Roman" w:cs="Times New Roman"/>
          <w:color w:val="000000"/>
          <w:sz w:val="24"/>
          <w:szCs w:val="24"/>
        </w:rPr>
      </w:pPr>
    </w:p>
    <w:p w14:paraId="203D60A2" w14:textId="1143A889" w:rsidR="008F4B4B" w:rsidRPr="006C0E01" w:rsidRDefault="00000000" w:rsidP="0026265B">
      <w:pPr>
        <w:spacing w:after="0"/>
        <w:jc w:val="both"/>
        <w:rPr>
          <w:rFonts w:ascii="Times New Roman" w:eastAsia="Times New Roman" w:hAnsi="Times New Roman" w:cs="Times New Roman"/>
          <w:color w:val="000000"/>
          <w:sz w:val="24"/>
          <w:szCs w:val="24"/>
        </w:rPr>
      </w:pPr>
      <w:r w:rsidRPr="00E34BFA">
        <w:rPr>
          <w:rFonts w:ascii="Times New Roman" w:eastAsia="Times New Roman" w:hAnsi="Times New Roman" w:cs="Times New Roman"/>
          <w:sz w:val="28"/>
          <w:szCs w:val="28"/>
        </w:rPr>
        <w:t xml:space="preserve">Hendeku financiar për të gjithë periudhën 2026-2028 është 469 milionë lekë ose 25.1% e kostove treguese. Për periudhën 2026-2028, buxheti i shtetit pritet të financojë 1.384 milion lekë, të cilat janë planifikuar në buxhetin vjetor dhe Programin Buxhetor Afatmesëm 2026-2028, të institucioneve përgjegjëse për realizimin e masave. Shpenzimet kapitale përbëjnë 21.0% të kostove treguese, ndërsa kostot </w:t>
      </w:r>
      <w:proofErr w:type="spellStart"/>
      <w:r w:rsidRPr="00E34BFA">
        <w:rPr>
          <w:rFonts w:ascii="Times New Roman" w:eastAsia="Times New Roman" w:hAnsi="Times New Roman" w:cs="Times New Roman"/>
          <w:sz w:val="28"/>
          <w:szCs w:val="28"/>
        </w:rPr>
        <w:t>korente</w:t>
      </w:r>
      <w:proofErr w:type="spellEnd"/>
      <w:r w:rsidRPr="00E34BFA">
        <w:rPr>
          <w:rFonts w:ascii="Times New Roman" w:eastAsia="Times New Roman" w:hAnsi="Times New Roman" w:cs="Times New Roman"/>
          <w:sz w:val="28"/>
          <w:szCs w:val="28"/>
        </w:rPr>
        <w:t xml:space="preserve"> 79.0%.</w:t>
      </w:r>
    </w:p>
    <w:p w14:paraId="6DB0E291" w14:textId="77777777" w:rsidR="008F4B4B" w:rsidRPr="00E34BFA" w:rsidRDefault="008F4B4B" w:rsidP="0026265B">
      <w:pPr>
        <w:spacing w:after="0"/>
        <w:jc w:val="both"/>
        <w:rPr>
          <w:rFonts w:ascii="Times New Roman" w:eastAsia="Times New Roman" w:hAnsi="Times New Roman" w:cs="Times New Roman"/>
          <w:sz w:val="28"/>
          <w:szCs w:val="28"/>
        </w:rPr>
      </w:pPr>
    </w:p>
    <w:p w14:paraId="35F0CBF6" w14:textId="77777777" w:rsidR="008F4B4B" w:rsidRPr="00E34BFA" w:rsidRDefault="00000000" w:rsidP="0026265B">
      <w:pPr>
        <w:spacing w:after="0"/>
        <w:jc w:val="both"/>
        <w:rPr>
          <w:rFonts w:ascii="Times New Roman" w:eastAsia="Times New Roman" w:hAnsi="Times New Roman" w:cs="Times New Roman"/>
          <w:sz w:val="28"/>
          <w:szCs w:val="28"/>
        </w:rPr>
      </w:pPr>
      <w:r w:rsidRPr="00E34BFA">
        <w:rPr>
          <w:rFonts w:ascii="Times New Roman" w:eastAsia="Times New Roman" w:hAnsi="Times New Roman" w:cs="Times New Roman"/>
          <w:sz w:val="28"/>
          <w:szCs w:val="28"/>
        </w:rPr>
        <w:t>Të ndara sipas qëllimeve të politikave, kostot pasqyrohen në tabelë më poshtë. Qëllimi i Politikës IV, pritet të ketë në terma financiare peshën më të madhe në zbatimin e PV, përkatësisht 41.7% %. Qëllimi i Politikës II arrin në vlerën 22.0%, Qëllimi e Politikës I 21.1%, ndërsa qëllimi III 14.3% të kostos së përgjithshme të planit.</w:t>
      </w:r>
    </w:p>
    <w:p w14:paraId="71CD7CCC" w14:textId="77777777" w:rsidR="008F4B4B" w:rsidRDefault="008F4B4B" w:rsidP="00C404B5">
      <w:pPr>
        <w:rPr>
          <w:rFonts w:ascii="Times New Roman" w:eastAsia="Times New Roman" w:hAnsi="Times New Roman" w:cs="Times New Roman"/>
          <w:sz w:val="24"/>
          <w:szCs w:val="24"/>
        </w:rPr>
      </w:pPr>
    </w:p>
    <w:p w14:paraId="2E032F3A" w14:textId="77777777" w:rsidR="00086648" w:rsidRPr="00641917" w:rsidRDefault="00086648" w:rsidP="00086648">
      <w:pPr>
        <w:pStyle w:val="ColorfulList-Accent11"/>
        <w:spacing w:after="0" w:line="240" w:lineRule="auto"/>
        <w:ind w:left="0"/>
        <w:jc w:val="center"/>
        <w:rPr>
          <w:rFonts w:ascii="Times New Roman" w:hAnsi="Times New Roman"/>
          <w:b/>
          <w:bCs/>
          <w:color w:val="000000"/>
          <w:sz w:val="28"/>
          <w:szCs w:val="28"/>
        </w:rPr>
      </w:pPr>
    </w:p>
    <w:p w14:paraId="4B378CD3" w14:textId="77777777" w:rsidR="00086648" w:rsidRDefault="00086648" w:rsidP="00086648">
      <w:pPr>
        <w:pStyle w:val="ColorfulList-Accent11"/>
        <w:spacing w:after="0" w:line="240" w:lineRule="auto"/>
        <w:ind w:left="0"/>
        <w:jc w:val="center"/>
        <w:rPr>
          <w:rFonts w:ascii="Times New Roman" w:hAnsi="Times New Roman"/>
          <w:b/>
          <w:bCs/>
          <w:color w:val="000000"/>
          <w:sz w:val="28"/>
          <w:szCs w:val="28"/>
        </w:rPr>
      </w:pPr>
      <w:r w:rsidRPr="00641917">
        <w:rPr>
          <w:rFonts w:ascii="Times New Roman" w:hAnsi="Times New Roman"/>
          <w:b/>
          <w:bCs/>
          <w:color w:val="000000"/>
          <w:sz w:val="28"/>
          <w:szCs w:val="28"/>
        </w:rPr>
        <w:t>MINISTRI PËR EVROPËN DHE PUNËT E JASHTME</w:t>
      </w:r>
    </w:p>
    <w:p w14:paraId="2D2262CE" w14:textId="77777777" w:rsidR="00086648" w:rsidRDefault="00086648" w:rsidP="00086648">
      <w:pPr>
        <w:pStyle w:val="ColorfulList-Accent11"/>
        <w:spacing w:after="0" w:line="240" w:lineRule="auto"/>
        <w:ind w:left="0"/>
        <w:jc w:val="center"/>
        <w:rPr>
          <w:rFonts w:ascii="Times New Roman" w:hAnsi="Times New Roman"/>
          <w:b/>
          <w:bCs/>
          <w:color w:val="000000"/>
          <w:sz w:val="28"/>
          <w:szCs w:val="28"/>
        </w:rPr>
      </w:pPr>
    </w:p>
    <w:p w14:paraId="1B353EBF" w14:textId="77777777" w:rsidR="00086648" w:rsidRPr="00641917" w:rsidRDefault="00086648" w:rsidP="00086648">
      <w:pPr>
        <w:pStyle w:val="ColorfulList-Accent11"/>
        <w:spacing w:after="0" w:line="240" w:lineRule="auto"/>
        <w:ind w:left="0"/>
        <w:jc w:val="center"/>
        <w:rPr>
          <w:rFonts w:ascii="Times New Roman" w:hAnsi="Times New Roman"/>
          <w:b/>
          <w:bCs/>
          <w:color w:val="000000"/>
          <w:sz w:val="28"/>
          <w:szCs w:val="28"/>
        </w:rPr>
      </w:pPr>
    </w:p>
    <w:p w14:paraId="64B4EAEB" w14:textId="77777777" w:rsidR="00086648" w:rsidRPr="00641917" w:rsidRDefault="00086648" w:rsidP="00086648">
      <w:pPr>
        <w:pStyle w:val="ColorfulList-Accent11"/>
        <w:spacing w:after="0" w:line="240" w:lineRule="auto"/>
        <w:ind w:left="0"/>
        <w:rPr>
          <w:rFonts w:ascii="Times New Roman" w:hAnsi="Times New Roman"/>
          <w:b/>
          <w:bCs/>
          <w:color w:val="000000"/>
          <w:sz w:val="28"/>
          <w:szCs w:val="28"/>
        </w:rPr>
      </w:pPr>
    </w:p>
    <w:p w14:paraId="0BA528CB" w14:textId="77777777" w:rsidR="00086648" w:rsidRPr="00641917" w:rsidRDefault="00086648" w:rsidP="00086648">
      <w:pPr>
        <w:pStyle w:val="ColorfulList-Accent11"/>
        <w:spacing w:after="0" w:line="240" w:lineRule="auto"/>
        <w:ind w:left="0"/>
        <w:jc w:val="center"/>
        <w:rPr>
          <w:rFonts w:ascii="Times New Roman" w:hAnsi="Times New Roman"/>
          <w:b/>
          <w:bCs/>
          <w:color w:val="000000"/>
          <w:sz w:val="28"/>
          <w:szCs w:val="28"/>
        </w:rPr>
      </w:pPr>
      <w:r w:rsidRPr="00641917">
        <w:rPr>
          <w:rFonts w:ascii="Times New Roman" w:hAnsi="Times New Roman"/>
          <w:b/>
          <w:bCs/>
          <w:color w:val="000000"/>
          <w:sz w:val="28"/>
          <w:szCs w:val="28"/>
        </w:rPr>
        <w:t xml:space="preserve">     FERIT HOXHA</w:t>
      </w:r>
    </w:p>
    <w:p w14:paraId="7339958B" w14:textId="19FA2FA9" w:rsidR="008F4B4B" w:rsidRPr="00A14261" w:rsidRDefault="008F4B4B" w:rsidP="00086648">
      <w:pPr>
        <w:spacing w:after="0"/>
        <w:jc w:val="both"/>
        <w:rPr>
          <w:rFonts w:ascii="Times New Roman" w:eastAsia="Times New Roman" w:hAnsi="Times New Roman" w:cs="Times New Roman"/>
          <w:b/>
          <w:bCs/>
          <w:sz w:val="24"/>
          <w:szCs w:val="24"/>
        </w:rPr>
      </w:pPr>
    </w:p>
    <w:sectPr w:rsidR="008F4B4B" w:rsidRPr="00A14261">
      <w:footerReference w:type="default" r:id="rId8"/>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C67DC" w14:textId="77777777" w:rsidR="002037FF" w:rsidRDefault="002037FF" w:rsidP="00E34BFA">
      <w:pPr>
        <w:spacing w:after="0" w:line="240" w:lineRule="auto"/>
      </w:pPr>
      <w:r>
        <w:separator/>
      </w:r>
    </w:p>
  </w:endnote>
  <w:endnote w:type="continuationSeparator" w:id="0">
    <w:p w14:paraId="5AC72B93" w14:textId="77777777" w:rsidR="002037FF" w:rsidRDefault="002037FF" w:rsidP="00E34B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B1057B4-19D2-46BC-ACE4-B005CB306835}"/>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C24970B-AB2D-49CB-8CEF-B4C9A3AEB289}"/>
  </w:font>
  <w:font w:name="Calibri">
    <w:panose1 w:val="020F0502020204030204"/>
    <w:charset w:val="00"/>
    <w:family w:val="swiss"/>
    <w:pitch w:val="variable"/>
    <w:sig w:usb0="E4002EFF" w:usb1="C200247B" w:usb2="00000009" w:usb3="00000000" w:csb0="000001FF" w:csb1="00000000"/>
    <w:embedRegular r:id="rId3" w:fontKey="{F68DC377-6C12-401B-AB55-2543DE91867F}"/>
    <w:embedBold r:id="rId4" w:fontKey="{05D7314D-F6C7-45C3-A68F-937204CA1901}"/>
    <w:embedItalic r:id="rId5" w:fontKey="{2F82DB6A-AD25-4E08-B5AE-DEB02A597856}"/>
    <w:embedBoldItalic r:id="rId6" w:fontKey="{A6FE77B7-D755-47A8-BFF4-34A8370C1A3B}"/>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E7879" w14:textId="72C22672" w:rsidR="00E34BFA" w:rsidRPr="00E34BFA" w:rsidRDefault="00E34BFA" w:rsidP="00E34BFA">
    <w:pPr>
      <w:pStyle w:val="Footer"/>
      <w:pBdr>
        <w:top w:val="single" w:sz="4" w:space="1" w:color="auto"/>
      </w:pBdr>
      <w:jc w:val="center"/>
      <w:rPr>
        <w:rFonts w:ascii="Times New Roman" w:hAnsi="Times New Roman" w:cs="Times New Roman"/>
      </w:rPr>
    </w:pPr>
    <w:r w:rsidRPr="00E34BFA">
      <w:rPr>
        <w:rFonts w:ascii="Times New Roman" w:hAnsi="Times New Roman" w:cs="Times New Roman"/>
      </w:rPr>
      <w:t>Relacion p</w:t>
    </w:r>
    <w:r w:rsidR="006C0E01">
      <w:rPr>
        <w:rFonts w:ascii="Times New Roman" w:hAnsi="Times New Roman" w:cs="Times New Roman"/>
      </w:rPr>
      <w:t>ë</w:t>
    </w:r>
    <w:r w:rsidRPr="00E34BFA">
      <w:rPr>
        <w:rFonts w:ascii="Times New Roman" w:hAnsi="Times New Roman" w:cs="Times New Roman"/>
      </w:rPr>
      <w:t>r projektvendimin “P</w:t>
    </w:r>
    <w:r w:rsidRPr="00E34BFA">
      <w:rPr>
        <w:rFonts w:ascii="Times New Roman" w:eastAsia="Times New Roman" w:hAnsi="Times New Roman" w:cs="Times New Roman"/>
      </w:rPr>
      <w:t>ër miratimin e Strategjisë Kombëtare për Diasporën 2026-2030 dhe planit të saj të veprimit 2026-2028”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82625" w14:textId="77777777" w:rsidR="002037FF" w:rsidRDefault="002037FF" w:rsidP="00E34BFA">
      <w:pPr>
        <w:spacing w:after="0" w:line="240" w:lineRule="auto"/>
      </w:pPr>
      <w:r>
        <w:separator/>
      </w:r>
    </w:p>
  </w:footnote>
  <w:footnote w:type="continuationSeparator" w:id="0">
    <w:p w14:paraId="034E483F" w14:textId="77777777" w:rsidR="002037FF" w:rsidRDefault="002037FF" w:rsidP="00E34B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B25BA"/>
    <w:multiLevelType w:val="multilevel"/>
    <w:tmpl w:val="043A9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DF3E95"/>
    <w:multiLevelType w:val="multilevel"/>
    <w:tmpl w:val="1FE4C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4959989">
    <w:abstractNumId w:val="1"/>
  </w:num>
  <w:num w:numId="2" w16cid:durableId="1096318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B4B"/>
    <w:rsid w:val="00086648"/>
    <w:rsid w:val="00121860"/>
    <w:rsid w:val="002037FF"/>
    <w:rsid w:val="0026265B"/>
    <w:rsid w:val="003B2190"/>
    <w:rsid w:val="006C0E01"/>
    <w:rsid w:val="008F4B4B"/>
    <w:rsid w:val="00A14261"/>
    <w:rsid w:val="00B06663"/>
    <w:rsid w:val="00B11188"/>
    <w:rsid w:val="00C404B5"/>
    <w:rsid w:val="00D64C3B"/>
    <w:rsid w:val="00DB0319"/>
    <w:rsid w:val="00E34BFA"/>
    <w:rsid w:val="00EC1DAF"/>
    <w:rsid w:val="00F80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D7123"/>
  <w15:docId w15:val="{FB66F8B2-BB24-4D51-B3F0-C227F61B7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sq-AL"/>
    </w:rPr>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customStyle="1" w:styleId="ColorfulList-Accent11">
    <w:name w:val="Colorful List - Accent 11"/>
    <w:basedOn w:val="Normal"/>
    <w:uiPriority w:val="34"/>
    <w:qFormat/>
    <w:rsid w:val="00086648"/>
    <w:pPr>
      <w:ind w:left="720"/>
      <w:contextualSpacing/>
    </w:pPr>
    <w:rPr>
      <w:rFonts w:ascii="Calibri" w:eastAsia="SimSun" w:hAnsi="Calibri" w:cs="Times New Roman"/>
    </w:rPr>
  </w:style>
  <w:style w:type="paragraph" w:styleId="Header">
    <w:name w:val="header"/>
    <w:basedOn w:val="Normal"/>
    <w:link w:val="HeaderChar"/>
    <w:uiPriority w:val="99"/>
    <w:unhideWhenUsed/>
    <w:rsid w:val="00E34B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4BFA"/>
  </w:style>
  <w:style w:type="paragraph" w:styleId="Footer">
    <w:name w:val="footer"/>
    <w:basedOn w:val="Normal"/>
    <w:link w:val="FooterChar"/>
    <w:uiPriority w:val="99"/>
    <w:unhideWhenUsed/>
    <w:rsid w:val="00E34B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4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iUtBYQC5AOTq+8FRAUCq+yfTJA==">CgMxLjA4AHIhMTVBaTdsMXpLaGJDSGZBS18wRlE2V0VlQXRqM1NDZURt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6cf46c2e-64e9-484b-aa4e-3ffc4469b01c}" enabled="1" method="Privileged" siteId="{f5d8b812-606a-42ba-8cf9-3371cfe29c72}" removed="0"/>
</clbl:labelList>
</file>

<file path=docProps/app.xml><?xml version="1.0" encoding="utf-8"?>
<Properties xmlns="http://schemas.openxmlformats.org/officeDocument/2006/extended-properties" xmlns:vt="http://schemas.openxmlformats.org/officeDocument/2006/docPropsVTypes">
  <Template>Normal</Template>
  <TotalTime>10</TotalTime>
  <Pages>11</Pages>
  <Words>3530</Words>
  <Characters>20122</Characters>
  <Application>Microsoft Office Word</Application>
  <DocSecurity>0</DocSecurity>
  <Lines>167</Lines>
  <Paragraphs>47</Paragraphs>
  <ScaleCrop>false</ScaleCrop>
  <Company/>
  <LinksUpToDate>false</LinksUpToDate>
  <CharactersWithSpaces>23605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Gezim Hysa</cp:lastModifiedBy>
  <cp:revision>11</cp:revision>
  <dcterms:created xsi:type="dcterms:W3CDTF">2026-06-25T10:04:00Z</dcterms:created>
  <dcterms:modified xsi:type="dcterms:W3CDTF">2026-06-29T10:27:00Z</dcterms:modified>
</cp:coreProperties>
</file>