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7427" w14:textId="77777777" w:rsidR="003713FC" w:rsidRPr="000307AC" w:rsidRDefault="003713FC" w:rsidP="000307AC">
      <w:pPr>
        <w:tabs>
          <w:tab w:val="left" w:pos="2070"/>
        </w:tabs>
        <w:spacing w:line="276" w:lineRule="auto"/>
        <w:jc w:val="center"/>
        <w:rPr>
          <w:b/>
          <w:u w:color="000000"/>
        </w:rPr>
      </w:pPr>
      <w:r w:rsidRPr="000307AC">
        <w:rPr>
          <w:b/>
          <w:noProof/>
        </w:rPr>
        <w:drawing>
          <wp:anchor distT="0" distB="0" distL="114300" distR="114300" simplePos="0" relativeHeight="251663360" behindDoc="0" locked="0" layoutInCell="1" allowOverlap="1" wp14:anchorId="40911911" wp14:editId="197B6D15">
            <wp:simplePos x="0" y="0"/>
            <wp:positionH relativeFrom="margin">
              <wp:align>center</wp:align>
            </wp:positionH>
            <wp:positionV relativeFrom="paragraph">
              <wp:posOffset>-133350</wp:posOffset>
            </wp:positionV>
            <wp:extent cx="6852285" cy="1024255"/>
            <wp:effectExtent l="0" t="0" r="5715" b="4445"/>
            <wp:wrapTopAndBottom/>
            <wp:docPr id="100518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2285" cy="1024255"/>
                    </a:xfrm>
                    <a:prstGeom prst="rect">
                      <a:avLst/>
                    </a:prstGeom>
                    <a:noFill/>
                  </pic:spPr>
                </pic:pic>
              </a:graphicData>
            </a:graphic>
            <wp14:sizeRelH relativeFrom="page">
              <wp14:pctWidth>0</wp14:pctWidth>
            </wp14:sizeRelH>
            <wp14:sizeRelV relativeFrom="page">
              <wp14:pctHeight>0</wp14:pctHeight>
            </wp14:sizeRelV>
          </wp:anchor>
        </w:drawing>
      </w:r>
      <w:r w:rsidRPr="000307AC">
        <w:rPr>
          <w:b/>
          <w:u w:color="000000"/>
        </w:rPr>
        <w:t>KUVENDI</w:t>
      </w:r>
    </w:p>
    <w:p w14:paraId="20BAC5D3" w14:textId="77777777" w:rsidR="003713FC" w:rsidRPr="000307AC" w:rsidRDefault="003713FC" w:rsidP="000307AC">
      <w:pPr>
        <w:tabs>
          <w:tab w:val="left" w:pos="2730"/>
        </w:tabs>
        <w:spacing w:line="276" w:lineRule="auto"/>
        <w:ind w:left="10" w:right="206" w:hanging="10"/>
        <w:jc w:val="center"/>
        <w:rPr>
          <w:b/>
          <w:caps/>
          <w:u w:color="000000"/>
        </w:rPr>
      </w:pPr>
      <w:r w:rsidRPr="000307AC">
        <w:rPr>
          <w:noProof/>
          <w:u w:color="000000"/>
        </w:rPr>
        <mc:AlternateContent>
          <mc:Choice Requires="wps">
            <w:drawing>
              <wp:anchor distT="4294967286" distB="4294967286" distL="114290" distR="114290" simplePos="0" relativeHeight="251660288" behindDoc="1" locked="0" layoutInCell="0" allowOverlap="1" wp14:anchorId="2F14722E" wp14:editId="3E6D275A">
                <wp:simplePos x="0" y="0"/>
                <wp:positionH relativeFrom="page">
                  <wp:posOffset>3363595</wp:posOffset>
                </wp:positionH>
                <wp:positionV relativeFrom="page">
                  <wp:posOffset>941705</wp:posOffset>
                </wp:positionV>
                <wp:extent cx="0" cy="0"/>
                <wp:effectExtent l="10795" t="8255" r="8255" b="10795"/>
                <wp:wrapNone/>
                <wp:docPr id="196086066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801FB" id="Freeform 5" o:spid="_x0000_s1026" style="position:absolute;z-index:-251656192;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0307AC">
        <w:rPr>
          <w:noProof/>
          <w:u w:color="000000"/>
        </w:rPr>
        <mc:AlternateContent>
          <mc:Choice Requires="wps">
            <w:drawing>
              <wp:anchor distT="4294967286" distB="4294967286" distL="114290" distR="114290" simplePos="0" relativeHeight="251661312" behindDoc="1" locked="0" layoutInCell="0" allowOverlap="1" wp14:anchorId="7C8B7CF6" wp14:editId="0E45DE55">
                <wp:simplePos x="0" y="0"/>
                <wp:positionH relativeFrom="page">
                  <wp:posOffset>3363595</wp:posOffset>
                </wp:positionH>
                <wp:positionV relativeFrom="page">
                  <wp:posOffset>941705</wp:posOffset>
                </wp:positionV>
                <wp:extent cx="0" cy="0"/>
                <wp:effectExtent l="10795" t="8255" r="8255" b="10795"/>
                <wp:wrapNone/>
                <wp:docPr id="165405387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A6FAC2" id="Freeform 4" o:spid="_x0000_s1026" style="position:absolute;z-index:-251655168;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0307AC">
        <w:rPr>
          <w:noProof/>
          <w:u w:color="000000"/>
        </w:rPr>
        <mc:AlternateContent>
          <mc:Choice Requires="wps">
            <w:drawing>
              <wp:anchor distT="4294967286" distB="4294967286" distL="114290" distR="114290" simplePos="0" relativeHeight="251662336" behindDoc="1" locked="0" layoutInCell="0" allowOverlap="1" wp14:anchorId="296F2B30" wp14:editId="28D88EC8">
                <wp:simplePos x="0" y="0"/>
                <wp:positionH relativeFrom="page">
                  <wp:posOffset>3363595</wp:posOffset>
                </wp:positionH>
                <wp:positionV relativeFrom="page">
                  <wp:posOffset>941705</wp:posOffset>
                </wp:positionV>
                <wp:extent cx="0" cy="0"/>
                <wp:effectExtent l="10795" t="8255" r="8255" b="10795"/>
                <wp:wrapNone/>
                <wp:docPr id="201228317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73B7BB" id="Freeform 3" o:spid="_x0000_s1026" style="position:absolute;z-index:-251654144;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p>
    <w:p w14:paraId="3843F855" w14:textId="77777777" w:rsidR="003713FC" w:rsidRPr="000307AC" w:rsidRDefault="003713FC" w:rsidP="000307AC">
      <w:pPr>
        <w:keepNext/>
        <w:widowControl w:val="0"/>
        <w:spacing w:line="276" w:lineRule="auto"/>
        <w:jc w:val="center"/>
        <w:outlineLvl w:val="1"/>
        <w:rPr>
          <w:b/>
          <w:caps/>
          <w:u w:color="000000"/>
        </w:rPr>
      </w:pPr>
    </w:p>
    <w:p w14:paraId="229AB610" w14:textId="77777777" w:rsidR="003713FC" w:rsidRPr="000307AC" w:rsidRDefault="003713FC" w:rsidP="000307AC">
      <w:pPr>
        <w:keepNext/>
        <w:widowControl w:val="0"/>
        <w:spacing w:line="276" w:lineRule="auto"/>
        <w:ind w:right="26"/>
        <w:jc w:val="center"/>
        <w:outlineLvl w:val="1"/>
        <w:rPr>
          <w:b/>
          <w:caps/>
          <w:u w:color="000000"/>
        </w:rPr>
      </w:pPr>
      <w:r w:rsidRPr="000307AC">
        <w:rPr>
          <w:b/>
          <w:caps/>
          <w:u w:color="000000"/>
        </w:rPr>
        <w:t>PROJEKTLIGJ</w:t>
      </w:r>
    </w:p>
    <w:p w14:paraId="24474DD8" w14:textId="77777777" w:rsidR="003713FC" w:rsidRPr="000307AC" w:rsidRDefault="003713FC" w:rsidP="000307AC">
      <w:pPr>
        <w:spacing w:line="276" w:lineRule="auto"/>
        <w:ind w:left="10" w:right="26" w:hanging="10"/>
        <w:jc w:val="both"/>
        <w:rPr>
          <w:u w:color="000000"/>
        </w:rPr>
      </w:pPr>
    </w:p>
    <w:p w14:paraId="5E821CA0" w14:textId="77777777" w:rsidR="003713FC" w:rsidRPr="000307AC" w:rsidRDefault="003713FC" w:rsidP="000307AC">
      <w:pPr>
        <w:spacing w:line="276" w:lineRule="auto"/>
        <w:ind w:left="10" w:right="26"/>
        <w:jc w:val="center"/>
        <w:rPr>
          <w:b/>
          <w:u w:color="000000"/>
        </w:rPr>
      </w:pPr>
      <w:r w:rsidRPr="000307AC">
        <w:rPr>
          <w:b/>
          <w:u w:color="000000"/>
        </w:rPr>
        <w:t>Nr. _______, datë ____.____.2026</w:t>
      </w:r>
    </w:p>
    <w:p w14:paraId="47085275" w14:textId="77777777" w:rsidR="00E857D4" w:rsidRPr="000307AC" w:rsidRDefault="00E857D4" w:rsidP="000307AC">
      <w:pPr>
        <w:spacing w:after="120" w:line="276" w:lineRule="auto"/>
        <w:rPr>
          <w:lang w:val="sq-AL"/>
        </w:rPr>
      </w:pPr>
    </w:p>
    <w:p w14:paraId="2C4BAAC5" w14:textId="6764BFD1" w:rsidR="003713FC" w:rsidRPr="000307AC" w:rsidRDefault="00250838" w:rsidP="001347BD">
      <w:pPr>
        <w:spacing w:line="276" w:lineRule="auto"/>
        <w:jc w:val="center"/>
        <w:rPr>
          <w:b/>
          <w:lang w:val="sq-AL"/>
        </w:rPr>
      </w:pPr>
      <w:r w:rsidRPr="000307AC">
        <w:rPr>
          <w:b/>
          <w:lang w:val="sq-AL"/>
        </w:rPr>
        <w:t>PËR</w:t>
      </w:r>
    </w:p>
    <w:p w14:paraId="25501C16" w14:textId="2EA23B9B" w:rsidR="00E857D4" w:rsidRPr="000307AC" w:rsidRDefault="00097F02" w:rsidP="000307AC">
      <w:pPr>
        <w:spacing w:after="360" w:line="276" w:lineRule="auto"/>
        <w:jc w:val="center"/>
        <w:rPr>
          <w:lang w:val="sq-AL"/>
        </w:rPr>
      </w:pPr>
      <w:r w:rsidRPr="000307AC">
        <w:rPr>
          <w:b/>
          <w:lang w:val="sq-AL"/>
        </w:rPr>
        <w:t xml:space="preserve">RAPORTIMIN DHE SHKËMBIMIN AUTOMATIK TË INFORMACIONIT </w:t>
      </w:r>
      <w:r w:rsidR="00250838" w:rsidRPr="000307AC">
        <w:rPr>
          <w:b/>
          <w:lang w:val="sq-AL"/>
        </w:rPr>
        <w:t xml:space="preserve">MBI MEKANIZMAT NDËRKUFITARE </w:t>
      </w:r>
      <w:r w:rsidRPr="000307AC">
        <w:rPr>
          <w:b/>
          <w:lang w:val="sq-AL"/>
        </w:rPr>
        <w:t>NË FUSHËN E TATIMEVE</w:t>
      </w:r>
      <w:r w:rsidR="00A76300" w:rsidRPr="000307AC">
        <w:rPr>
          <w:rStyle w:val="FootnoteReference"/>
          <w:b/>
          <w:bCs/>
          <w:lang w:val="sq-AL"/>
        </w:rPr>
        <w:footnoteReference w:id="1"/>
      </w:r>
    </w:p>
    <w:p w14:paraId="31495B79" w14:textId="48C455D9" w:rsidR="00E857D4" w:rsidRPr="000307AC" w:rsidRDefault="00E857D4" w:rsidP="000307AC">
      <w:pPr>
        <w:spacing w:after="120" w:line="276" w:lineRule="auto"/>
        <w:rPr>
          <w:lang w:val="sq-AL"/>
        </w:rPr>
      </w:pPr>
    </w:p>
    <w:p w14:paraId="6646EBC6" w14:textId="37187CE1" w:rsidR="00E857D4" w:rsidRPr="000307AC" w:rsidRDefault="001B65BA" w:rsidP="000307AC">
      <w:pPr>
        <w:spacing w:after="160" w:line="276" w:lineRule="auto"/>
        <w:rPr>
          <w:lang w:val="sq-AL"/>
        </w:rPr>
      </w:pPr>
      <w:r w:rsidRPr="000307AC">
        <w:rPr>
          <w:lang w:val="sq-AL"/>
        </w:rPr>
        <w:t>Në mbështetje të neneve 78</w:t>
      </w:r>
      <w:r w:rsidR="003713FC" w:rsidRPr="000307AC">
        <w:rPr>
          <w:lang w:val="sq-AL"/>
        </w:rPr>
        <w:t xml:space="preserve">, </w:t>
      </w:r>
      <w:r w:rsidRPr="000307AC">
        <w:rPr>
          <w:lang w:val="sq-AL"/>
        </w:rPr>
        <w:t>83</w:t>
      </w:r>
      <w:r w:rsidR="003713FC" w:rsidRPr="000307AC">
        <w:rPr>
          <w:lang w:val="sq-AL"/>
        </w:rPr>
        <w:t>,</w:t>
      </w:r>
      <w:r w:rsidR="000845F6" w:rsidRPr="000307AC">
        <w:rPr>
          <w:lang w:val="sq-AL"/>
        </w:rPr>
        <w:t xml:space="preserve"> pika 1</w:t>
      </w:r>
      <w:r w:rsidR="003713FC" w:rsidRPr="000307AC">
        <w:rPr>
          <w:lang w:val="sq-AL"/>
        </w:rPr>
        <w:t>,</w:t>
      </w:r>
      <w:r w:rsidRPr="000307AC">
        <w:rPr>
          <w:lang w:val="sq-AL"/>
        </w:rPr>
        <w:t xml:space="preserve"> dhe 155</w:t>
      </w:r>
      <w:r w:rsidR="003713FC" w:rsidRPr="000307AC">
        <w:rPr>
          <w:lang w:val="sq-AL"/>
        </w:rPr>
        <w:t>,</w:t>
      </w:r>
      <w:r w:rsidRPr="000307AC">
        <w:rPr>
          <w:lang w:val="sq-AL"/>
        </w:rPr>
        <w:t xml:space="preserve"> të Kushtetutës, me propozimin e Këshillit të Ministrave, Kuvendi i Republikës së Shqipërisë</w:t>
      </w:r>
    </w:p>
    <w:p w14:paraId="49CFFB52" w14:textId="77777777" w:rsidR="00E857D4" w:rsidRPr="000307AC" w:rsidRDefault="00E857D4" w:rsidP="000307AC">
      <w:pPr>
        <w:spacing w:after="120" w:line="276" w:lineRule="auto"/>
        <w:rPr>
          <w:lang w:val="sq-AL"/>
        </w:rPr>
      </w:pPr>
    </w:p>
    <w:p w14:paraId="4AE96450" w14:textId="77777777" w:rsidR="00E857D4" w:rsidRPr="000307AC" w:rsidRDefault="001B65BA" w:rsidP="000307AC">
      <w:pPr>
        <w:spacing w:after="160" w:line="276" w:lineRule="auto"/>
        <w:jc w:val="center"/>
        <w:rPr>
          <w:lang w:val="sq-AL"/>
        </w:rPr>
      </w:pPr>
      <w:r w:rsidRPr="000307AC">
        <w:rPr>
          <w:b/>
          <w:lang w:val="sq-AL"/>
        </w:rPr>
        <w:t>VENDOSI:</w:t>
      </w:r>
    </w:p>
    <w:p w14:paraId="76BA1DA3" w14:textId="1461EF09" w:rsidR="00E857D4" w:rsidRPr="000307AC" w:rsidRDefault="00E857D4" w:rsidP="000307AC">
      <w:pPr>
        <w:spacing w:line="276" w:lineRule="auto"/>
        <w:rPr>
          <w:lang w:val="sq-AL"/>
        </w:rPr>
      </w:pPr>
    </w:p>
    <w:p w14:paraId="5D0FE87B" w14:textId="77777777" w:rsidR="00E857D4" w:rsidRPr="000307AC" w:rsidRDefault="001B65BA" w:rsidP="000307AC">
      <w:pPr>
        <w:pStyle w:val="Heading1"/>
        <w:spacing w:line="276" w:lineRule="auto"/>
        <w:rPr>
          <w:sz w:val="24"/>
          <w:szCs w:val="24"/>
          <w:lang w:val="sq-AL"/>
        </w:rPr>
      </w:pPr>
      <w:r w:rsidRPr="000307AC">
        <w:rPr>
          <w:sz w:val="24"/>
          <w:szCs w:val="24"/>
          <w:lang w:val="sq-AL"/>
        </w:rPr>
        <w:t>KAPITULLI I</w:t>
      </w:r>
    </w:p>
    <w:p w14:paraId="465690AC" w14:textId="77777777" w:rsidR="00E857D4" w:rsidRPr="000307AC" w:rsidRDefault="001B65BA" w:rsidP="000307AC">
      <w:pPr>
        <w:pStyle w:val="Heading2"/>
        <w:spacing w:line="276" w:lineRule="auto"/>
        <w:rPr>
          <w:sz w:val="24"/>
          <w:szCs w:val="24"/>
          <w:lang w:val="sq-AL"/>
        </w:rPr>
      </w:pPr>
      <w:r w:rsidRPr="000307AC">
        <w:rPr>
          <w:sz w:val="24"/>
          <w:szCs w:val="24"/>
          <w:lang w:val="sq-AL"/>
        </w:rPr>
        <w:t>DISPOZITA TË PËRGJITHSHME</w:t>
      </w:r>
    </w:p>
    <w:p w14:paraId="79D98BE0" w14:textId="77777777" w:rsidR="00823AA0" w:rsidRPr="000307AC" w:rsidRDefault="00823AA0" w:rsidP="000307AC">
      <w:pPr>
        <w:spacing w:before="280" w:after="160" w:line="276" w:lineRule="auto"/>
        <w:jc w:val="center"/>
        <w:rPr>
          <w:b/>
          <w:bCs/>
          <w:lang w:val="sq-AL"/>
        </w:rPr>
      </w:pPr>
      <w:r w:rsidRPr="000307AC">
        <w:rPr>
          <w:b/>
          <w:lang w:val="sq-AL"/>
        </w:rPr>
        <w:t>Neni 1</w:t>
      </w:r>
    </w:p>
    <w:p w14:paraId="21CA23D5" w14:textId="77621567" w:rsidR="006B0D5F" w:rsidRPr="000307AC" w:rsidRDefault="00D836AE" w:rsidP="000307AC">
      <w:pPr>
        <w:spacing w:before="280" w:after="160" w:line="276" w:lineRule="auto"/>
        <w:jc w:val="center"/>
        <w:rPr>
          <w:b/>
          <w:bCs/>
          <w:lang w:val="sq-AL"/>
        </w:rPr>
      </w:pPr>
      <w:r w:rsidRPr="000307AC">
        <w:rPr>
          <w:b/>
          <w:lang w:val="sq-AL"/>
        </w:rPr>
        <w:t>Objekti</w:t>
      </w:r>
    </w:p>
    <w:p w14:paraId="6EF96887" w14:textId="626A0DDE" w:rsidR="006B0D5F" w:rsidRPr="000307AC" w:rsidRDefault="006B0D5F" w:rsidP="000307AC">
      <w:pPr>
        <w:tabs>
          <w:tab w:val="left" w:pos="450"/>
        </w:tabs>
        <w:spacing w:before="280" w:after="160" w:line="276" w:lineRule="auto"/>
        <w:jc w:val="both"/>
        <w:rPr>
          <w:lang w:val="sq-AL"/>
        </w:rPr>
      </w:pPr>
      <w:r w:rsidRPr="000307AC">
        <w:rPr>
          <w:bCs/>
          <w:color w:val="000000"/>
          <w:lang w:val="sq-AL"/>
        </w:rPr>
        <w:t>Ky ligj përcakton rregullat dhe procedurat për raportimin</w:t>
      </w:r>
      <w:r w:rsidR="009D0556" w:rsidRPr="000307AC">
        <w:rPr>
          <w:bCs/>
          <w:color w:val="000000"/>
          <w:lang w:val="sq-AL"/>
        </w:rPr>
        <w:t xml:space="preserve"> e mekanizmave nd</w:t>
      </w:r>
      <w:r w:rsidR="00BD57C6" w:rsidRPr="000307AC">
        <w:rPr>
          <w:bCs/>
          <w:color w:val="000000"/>
          <w:lang w:val="sq-AL"/>
        </w:rPr>
        <w:t>ë</w:t>
      </w:r>
      <w:r w:rsidR="009D0556" w:rsidRPr="000307AC">
        <w:rPr>
          <w:bCs/>
          <w:color w:val="000000"/>
          <w:lang w:val="sq-AL"/>
        </w:rPr>
        <w:t>rkufitar nga nd</w:t>
      </w:r>
      <w:r w:rsidR="00BD57C6" w:rsidRPr="000307AC">
        <w:rPr>
          <w:bCs/>
          <w:color w:val="000000"/>
          <w:lang w:val="sq-AL"/>
        </w:rPr>
        <w:t>ë</w:t>
      </w:r>
      <w:r w:rsidR="009D0556" w:rsidRPr="000307AC">
        <w:rPr>
          <w:bCs/>
          <w:color w:val="000000"/>
          <w:lang w:val="sq-AL"/>
        </w:rPr>
        <w:t>rmjet</w:t>
      </w:r>
      <w:r w:rsidR="00BD57C6" w:rsidRPr="000307AC">
        <w:rPr>
          <w:bCs/>
          <w:color w:val="000000"/>
          <w:lang w:val="sq-AL"/>
        </w:rPr>
        <w:t>ë</w:t>
      </w:r>
      <w:r w:rsidR="009D0556" w:rsidRPr="000307AC">
        <w:rPr>
          <w:bCs/>
          <w:color w:val="000000"/>
          <w:lang w:val="sq-AL"/>
        </w:rPr>
        <w:t>sit ose nga tatimpaguesit p</w:t>
      </w:r>
      <w:r w:rsidR="00BD57C6" w:rsidRPr="000307AC">
        <w:rPr>
          <w:bCs/>
          <w:color w:val="000000"/>
          <w:lang w:val="sq-AL"/>
        </w:rPr>
        <w:t>ë</w:t>
      </w:r>
      <w:r w:rsidR="009D0556" w:rsidRPr="000307AC">
        <w:rPr>
          <w:bCs/>
          <w:color w:val="000000"/>
          <w:lang w:val="sq-AL"/>
        </w:rPr>
        <w:t>rk</w:t>
      </w:r>
      <w:r w:rsidR="00A3012C" w:rsidRPr="000307AC">
        <w:rPr>
          <w:bCs/>
          <w:color w:val="000000"/>
          <w:lang w:val="sq-AL"/>
        </w:rPr>
        <w:t>a</w:t>
      </w:r>
      <w:r w:rsidR="009D0556" w:rsidRPr="000307AC">
        <w:rPr>
          <w:bCs/>
          <w:color w:val="000000"/>
          <w:lang w:val="sq-AL"/>
        </w:rPr>
        <w:t>t</w:t>
      </w:r>
      <w:r w:rsidR="00BD57C6" w:rsidRPr="000307AC">
        <w:rPr>
          <w:bCs/>
          <w:color w:val="000000"/>
          <w:lang w:val="sq-AL"/>
        </w:rPr>
        <w:t>ë</w:t>
      </w:r>
      <w:r w:rsidR="009D0556" w:rsidRPr="000307AC">
        <w:rPr>
          <w:bCs/>
          <w:color w:val="000000"/>
          <w:lang w:val="sq-AL"/>
        </w:rPr>
        <w:t>s</w:t>
      </w:r>
      <w:r w:rsidRPr="000307AC">
        <w:rPr>
          <w:bCs/>
          <w:color w:val="000000"/>
          <w:lang w:val="sq-AL"/>
        </w:rPr>
        <w:t xml:space="preserve"> pranë </w:t>
      </w:r>
      <w:r w:rsidR="00E05A08" w:rsidRPr="000307AC">
        <w:rPr>
          <w:bCs/>
          <w:color w:val="000000"/>
          <w:lang w:val="sq-AL"/>
        </w:rPr>
        <w:t>Drejtoris</w:t>
      </w:r>
      <w:r w:rsidR="002E3518" w:rsidRPr="000307AC">
        <w:rPr>
          <w:bCs/>
          <w:color w:val="000000"/>
          <w:lang w:val="sq-AL"/>
        </w:rPr>
        <w:t>ë</w:t>
      </w:r>
      <w:r w:rsidR="00E05A08" w:rsidRPr="000307AC">
        <w:rPr>
          <w:bCs/>
          <w:color w:val="000000"/>
          <w:lang w:val="sq-AL"/>
        </w:rPr>
        <w:t xml:space="preserve"> s</w:t>
      </w:r>
      <w:r w:rsidR="002E3518" w:rsidRPr="000307AC">
        <w:rPr>
          <w:bCs/>
          <w:color w:val="000000"/>
          <w:lang w:val="sq-AL"/>
        </w:rPr>
        <w:t>ë</w:t>
      </w:r>
      <w:r w:rsidR="00E05A08" w:rsidRPr="000307AC">
        <w:rPr>
          <w:bCs/>
          <w:color w:val="000000"/>
          <w:lang w:val="sq-AL"/>
        </w:rPr>
        <w:t xml:space="preserve"> P</w:t>
      </w:r>
      <w:r w:rsidR="002E3518" w:rsidRPr="000307AC">
        <w:rPr>
          <w:bCs/>
          <w:color w:val="000000"/>
          <w:lang w:val="sq-AL"/>
        </w:rPr>
        <w:t>ë</w:t>
      </w:r>
      <w:r w:rsidR="00E05A08" w:rsidRPr="000307AC">
        <w:rPr>
          <w:bCs/>
          <w:color w:val="000000"/>
          <w:lang w:val="sq-AL"/>
        </w:rPr>
        <w:t>rgjithshme t</w:t>
      </w:r>
      <w:r w:rsidR="002E3518" w:rsidRPr="000307AC">
        <w:rPr>
          <w:bCs/>
          <w:color w:val="000000"/>
          <w:lang w:val="sq-AL"/>
        </w:rPr>
        <w:t>ë</w:t>
      </w:r>
      <w:r w:rsidR="00E05A08" w:rsidRPr="000307AC">
        <w:rPr>
          <w:bCs/>
          <w:color w:val="000000"/>
          <w:lang w:val="sq-AL"/>
        </w:rPr>
        <w:t xml:space="preserve"> Tatimeve</w:t>
      </w:r>
      <w:r w:rsidRPr="000307AC">
        <w:rPr>
          <w:bCs/>
          <w:color w:val="000000"/>
          <w:lang w:val="sq-AL"/>
        </w:rPr>
        <w:t xml:space="preserve"> dhe shkë</w:t>
      </w:r>
      <w:r w:rsidR="00A3012C" w:rsidRPr="000307AC">
        <w:rPr>
          <w:bCs/>
          <w:color w:val="000000"/>
          <w:lang w:val="sq-AL"/>
        </w:rPr>
        <w:t xml:space="preserve">mbimin automatik </w:t>
      </w:r>
      <w:r w:rsidRPr="000307AC">
        <w:rPr>
          <w:bCs/>
          <w:color w:val="000000"/>
          <w:lang w:val="sq-AL"/>
        </w:rPr>
        <w:t xml:space="preserve">të informacionit mbi mekanizmat ndërkufitarë të raportueshëm, me </w:t>
      </w:r>
      <w:r w:rsidRPr="000307AC">
        <w:rPr>
          <w:bCs/>
          <w:color w:val="000000"/>
          <w:lang w:val="sq-AL"/>
        </w:rPr>
        <w:lastRenderedPageBreak/>
        <w:t xml:space="preserve">autoritetet kompetente të shteteve </w:t>
      </w:r>
      <w:r w:rsidR="00E05A08" w:rsidRPr="000307AC">
        <w:rPr>
          <w:bCs/>
          <w:color w:val="000000"/>
          <w:lang w:val="sq-AL"/>
        </w:rPr>
        <w:t>t</w:t>
      </w:r>
      <w:r w:rsidR="002E3518" w:rsidRPr="000307AC">
        <w:rPr>
          <w:bCs/>
          <w:color w:val="000000"/>
          <w:lang w:val="sq-AL"/>
        </w:rPr>
        <w:t>ë</w:t>
      </w:r>
      <w:r w:rsidR="00E05A08" w:rsidRPr="000307AC">
        <w:rPr>
          <w:bCs/>
          <w:color w:val="000000"/>
          <w:lang w:val="sq-AL"/>
        </w:rPr>
        <w:t xml:space="preserve"> tjera </w:t>
      </w:r>
      <w:r w:rsidRPr="000307AC">
        <w:rPr>
          <w:bCs/>
          <w:color w:val="000000"/>
          <w:lang w:val="sq-AL"/>
        </w:rPr>
        <w:t>anëtare të Bashkimit Evropian,</w:t>
      </w:r>
      <w:r w:rsidRPr="000307AC">
        <w:rPr>
          <w:lang w:val="sq-AL"/>
        </w:rPr>
        <w:t xml:space="preserve"> në përputhje me nenin 8ab të Direktivës 2011/16/BE.</w:t>
      </w:r>
    </w:p>
    <w:p w14:paraId="45DF7B98" w14:textId="77777777" w:rsidR="00843BBD" w:rsidRPr="000307AC" w:rsidRDefault="00843BBD" w:rsidP="001347BD">
      <w:pPr>
        <w:pStyle w:val="ListParagraph"/>
        <w:spacing w:line="276" w:lineRule="auto"/>
        <w:ind w:left="720"/>
        <w:jc w:val="center"/>
        <w:rPr>
          <w:lang w:val="sq-AL"/>
        </w:rPr>
      </w:pPr>
    </w:p>
    <w:p w14:paraId="541BE417" w14:textId="73E7414D" w:rsidR="00823AA0" w:rsidRPr="000307AC" w:rsidRDefault="009A117E" w:rsidP="001347BD">
      <w:pPr>
        <w:pStyle w:val="ListParagraph"/>
        <w:spacing w:line="276" w:lineRule="auto"/>
        <w:ind w:left="720"/>
        <w:rPr>
          <w:b/>
          <w:bCs/>
          <w:lang w:val="sq-AL"/>
        </w:rPr>
      </w:pPr>
      <w:r w:rsidRPr="000307AC">
        <w:rPr>
          <w:b/>
          <w:lang w:val="sq-AL"/>
        </w:rPr>
        <w:t xml:space="preserve">                                                         </w:t>
      </w:r>
      <w:r w:rsidR="00823AA0" w:rsidRPr="000307AC">
        <w:rPr>
          <w:b/>
          <w:lang w:val="sq-AL"/>
        </w:rPr>
        <w:t>Neni 2</w:t>
      </w:r>
    </w:p>
    <w:p w14:paraId="62061623" w14:textId="00F4CCD7" w:rsidR="00C36B8E" w:rsidRPr="000307AC" w:rsidRDefault="00823AA0" w:rsidP="000307AC">
      <w:pPr>
        <w:spacing w:before="280" w:after="160" w:line="276" w:lineRule="auto"/>
        <w:jc w:val="center"/>
        <w:rPr>
          <w:b/>
          <w:bCs/>
          <w:lang w:val="sq-AL"/>
        </w:rPr>
      </w:pPr>
      <w:r w:rsidRPr="000307AC">
        <w:rPr>
          <w:b/>
          <w:lang w:val="sq-AL"/>
        </w:rPr>
        <w:t>Qëllimi</w:t>
      </w:r>
    </w:p>
    <w:p w14:paraId="3F1D146F" w14:textId="19A2FBFB" w:rsidR="00823AA0" w:rsidRPr="000307AC" w:rsidRDefault="00C36B8E" w:rsidP="000307AC">
      <w:pPr>
        <w:spacing w:line="276" w:lineRule="auto"/>
        <w:jc w:val="both"/>
        <w:rPr>
          <w:color w:val="000000"/>
          <w:lang w:val="sq-AL"/>
        </w:rPr>
      </w:pPr>
      <w:r w:rsidRPr="000307AC">
        <w:rPr>
          <w:bCs/>
          <w:color w:val="000000"/>
          <w:lang w:val="sq-AL"/>
        </w:rPr>
        <w:t xml:space="preserve">Qëllimi i këtij ligji është rritja e transparencës në fushën e tatimeve dhe forcimi i bashkëpunimit administrativ </w:t>
      </w:r>
      <w:r w:rsidR="00E05A08" w:rsidRPr="000307AC">
        <w:rPr>
          <w:bCs/>
          <w:color w:val="000000"/>
          <w:lang w:val="sq-AL"/>
        </w:rPr>
        <w:t>ndërkufitar</w:t>
      </w:r>
      <w:r w:rsidR="002E3518" w:rsidRPr="000307AC">
        <w:rPr>
          <w:bCs/>
          <w:color w:val="000000"/>
          <w:lang w:val="sq-AL"/>
        </w:rPr>
        <w:t>ë</w:t>
      </w:r>
      <w:r w:rsidR="00E05A08" w:rsidRPr="000307AC">
        <w:rPr>
          <w:bCs/>
          <w:color w:val="000000"/>
          <w:lang w:val="sq-AL"/>
        </w:rPr>
        <w:t xml:space="preserve"> </w:t>
      </w:r>
      <w:r w:rsidRPr="000307AC">
        <w:rPr>
          <w:bCs/>
          <w:color w:val="000000"/>
          <w:lang w:val="sq-AL"/>
        </w:rPr>
        <w:t>nëpërmjet raportimit dhe shkëmbimit automatik të informacionit mbi mekanizmat ndërkufitarë të raportueshëm, me synim identifikimin në kohë të rreziqeve që lidhen me evazionin, shmangien dhe planifikimin agresiv tatimor.</w:t>
      </w:r>
    </w:p>
    <w:p w14:paraId="27AC6B69" w14:textId="77777777" w:rsidR="001C3C9B" w:rsidRPr="000307AC" w:rsidRDefault="00823AA0" w:rsidP="000307AC">
      <w:pPr>
        <w:spacing w:before="280" w:after="160" w:line="276" w:lineRule="auto"/>
        <w:jc w:val="center"/>
        <w:rPr>
          <w:b/>
          <w:bCs/>
          <w:lang w:val="sq-AL"/>
        </w:rPr>
      </w:pPr>
      <w:r w:rsidRPr="000307AC">
        <w:rPr>
          <w:b/>
          <w:lang w:val="sq-AL"/>
        </w:rPr>
        <w:t>Neni 3</w:t>
      </w:r>
    </w:p>
    <w:p w14:paraId="48C985E9" w14:textId="03C13F77" w:rsidR="00823AA0" w:rsidRPr="000307AC" w:rsidRDefault="00823AA0" w:rsidP="000307AC">
      <w:pPr>
        <w:spacing w:before="280" w:after="160" w:line="276" w:lineRule="auto"/>
        <w:jc w:val="center"/>
        <w:rPr>
          <w:b/>
          <w:bCs/>
          <w:lang w:val="sq-AL"/>
        </w:rPr>
      </w:pPr>
      <w:r w:rsidRPr="000307AC">
        <w:rPr>
          <w:b/>
          <w:lang w:val="sq-AL"/>
        </w:rPr>
        <w:t>Fusha e zbatimit</w:t>
      </w:r>
    </w:p>
    <w:p w14:paraId="7A2BC7CA" w14:textId="77777777" w:rsidR="00E05A08" w:rsidRPr="000307AC" w:rsidRDefault="00B14B47" w:rsidP="000307AC">
      <w:pPr>
        <w:spacing w:before="280" w:after="160" w:line="276" w:lineRule="auto"/>
        <w:jc w:val="both"/>
        <w:rPr>
          <w:lang w:val="sq-AL"/>
        </w:rPr>
      </w:pPr>
      <w:r w:rsidRPr="000307AC">
        <w:rPr>
          <w:lang w:val="sq-AL"/>
        </w:rPr>
        <w:t>Ky l</w:t>
      </w:r>
      <w:r w:rsidR="001C3C9B" w:rsidRPr="000307AC">
        <w:rPr>
          <w:lang w:val="sq-AL"/>
        </w:rPr>
        <w:t xml:space="preserve">igj zbatohet </w:t>
      </w:r>
      <w:r w:rsidR="00823AA0" w:rsidRPr="000307AC">
        <w:rPr>
          <w:lang w:val="sq-AL"/>
        </w:rPr>
        <w:t>për ndërmjetësit dhe</w:t>
      </w:r>
      <w:r w:rsidR="001C3C9B" w:rsidRPr="000307AC">
        <w:rPr>
          <w:lang w:val="sq-AL"/>
        </w:rPr>
        <w:t xml:space="preserve"> tatimpaguesit</w:t>
      </w:r>
      <w:r w:rsidR="009A117E" w:rsidRPr="000307AC">
        <w:rPr>
          <w:lang w:val="sq-AL"/>
        </w:rPr>
        <w:t xml:space="preserve"> përkatës</w:t>
      </w:r>
      <w:r w:rsidR="001C3C9B" w:rsidRPr="000307AC">
        <w:rPr>
          <w:lang w:val="sq-AL"/>
        </w:rPr>
        <w:t xml:space="preserve"> që kanë </w:t>
      </w:r>
      <w:r w:rsidR="00823AA0" w:rsidRPr="000307AC">
        <w:rPr>
          <w:lang w:val="sq-AL"/>
        </w:rPr>
        <w:t>d</w:t>
      </w:r>
      <w:r w:rsidR="001C3C9B" w:rsidRPr="000307AC">
        <w:rPr>
          <w:lang w:val="sq-AL"/>
        </w:rPr>
        <w:t>etyrimin</w:t>
      </w:r>
      <w:r w:rsidR="00823AA0" w:rsidRPr="000307AC">
        <w:rPr>
          <w:lang w:val="sq-AL"/>
        </w:rPr>
        <w:t xml:space="preserve"> </w:t>
      </w:r>
      <w:r w:rsidR="001C3C9B" w:rsidRPr="000307AC">
        <w:rPr>
          <w:lang w:val="sq-AL"/>
        </w:rPr>
        <w:t>e raportimit t</w:t>
      </w:r>
      <w:r w:rsidR="004A55C0" w:rsidRPr="000307AC">
        <w:rPr>
          <w:lang w:val="sq-AL"/>
        </w:rPr>
        <w:t>ë</w:t>
      </w:r>
      <w:r w:rsidR="001C3C9B" w:rsidRPr="000307AC">
        <w:rPr>
          <w:lang w:val="sq-AL"/>
        </w:rPr>
        <w:t xml:space="preserve"> mekanizmave ndërkufitare të raportueshëm sipas p</w:t>
      </w:r>
      <w:r w:rsidR="004A55C0" w:rsidRPr="000307AC">
        <w:rPr>
          <w:lang w:val="sq-AL"/>
        </w:rPr>
        <w:t>ë</w:t>
      </w:r>
      <w:r w:rsidR="001C3C9B" w:rsidRPr="000307AC">
        <w:rPr>
          <w:lang w:val="sq-AL"/>
        </w:rPr>
        <w:t>rcaktimeve t</w:t>
      </w:r>
      <w:r w:rsidR="004A55C0" w:rsidRPr="000307AC">
        <w:rPr>
          <w:lang w:val="sq-AL"/>
        </w:rPr>
        <w:t>ë</w:t>
      </w:r>
      <w:r w:rsidR="001C3C9B" w:rsidRPr="000307AC">
        <w:rPr>
          <w:lang w:val="sq-AL"/>
        </w:rPr>
        <w:t xml:space="preserve"> k</w:t>
      </w:r>
      <w:r w:rsidR="004A55C0" w:rsidRPr="000307AC">
        <w:rPr>
          <w:lang w:val="sq-AL"/>
        </w:rPr>
        <w:t>ë</w:t>
      </w:r>
      <w:r w:rsidR="001C3C9B" w:rsidRPr="000307AC">
        <w:rPr>
          <w:lang w:val="sq-AL"/>
        </w:rPr>
        <w:t xml:space="preserve">tij ligji. </w:t>
      </w:r>
    </w:p>
    <w:p w14:paraId="367F72ED" w14:textId="77777777" w:rsidR="001662A3" w:rsidRPr="000307AC" w:rsidRDefault="001662A3" w:rsidP="000307AC">
      <w:pPr>
        <w:pStyle w:val="Heading3"/>
        <w:spacing w:line="276" w:lineRule="auto"/>
        <w:jc w:val="center"/>
        <w:rPr>
          <w:lang w:val="sq-AL"/>
        </w:rPr>
      </w:pPr>
      <w:r w:rsidRPr="000307AC">
        <w:rPr>
          <w:lang w:val="sq-AL"/>
        </w:rPr>
        <w:t>Neni 4</w:t>
      </w:r>
    </w:p>
    <w:p w14:paraId="5268C829" w14:textId="77777777" w:rsidR="001662A3" w:rsidRPr="000307AC" w:rsidRDefault="001662A3" w:rsidP="000307AC">
      <w:pPr>
        <w:pStyle w:val="NormalWeb"/>
        <w:spacing w:line="276" w:lineRule="auto"/>
        <w:jc w:val="center"/>
        <w:rPr>
          <w:lang w:val="sq-AL"/>
        </w:rPr>
      </w:pPr>
      <w:r w:rsidRPr="000307AC">
        <w:rPr>
          <w:rStyle w:val="Strong"/>
          <w:lang w:val="sq-AL"/>
        </w:rPr>
        <w:t>Përkufizime</w:t>
      </w:r>
    </w:p>
    <w:p w14:paraId="18D3B379" w14:textId="684F9DAA" w:rsidR="001662A3" w:rsidRPr="000307AC" w:rsidRDefault="001C3C9B" w:rsidP="000307AC">
      <w:pPr>
        <w:pStyle w:val="NormalWeb"/>
        <w:spacing w:line="276" w:lineRule="auto"/>
        <w:rPr>
          <w:lang w:val="sq-AL"/>
        </w:rPr>
      </w:pPr>
      <w:r w:rsidRPr="000307AC">
        <w:rPr>
          <w:lang w:val="sq-AL"/>
        </w:rPr>
        <w:t>Për qëllimet e këtij l</w:t>
      </w:r>
      <w:r w:rsidR="001662A3" w:rsidRPr="000307AC">
        <w:rPr>
          <w:lang w:val="sq-AL"/>
        </w:rPr>
        <w:t>igji, termat e mëposhtëm kanë kuptimet e mëposhtme:</w:t>
      </w:r>
    </w:p>
    <w:p w14:paraId="7E5BB400" w14:textId="61AE13A1" w:rsidR="0020354C" w:rsidRPr="000307AC" w:rsidRDefault="009C2BF0" w:rsidP="000307AC">
      <w:pPr>
        <w:pStyle w:val="NormalWeb"/>
        <w:spacing w:before="0" w:beforeAutospacing="0" w:after="0" w:afterAutospacing="0" w:line="276" w:lineRule="auto"/>
        <w:jc w:val="both"/>
        <w:rPr>
          <w:lang w:val="sq-AL"/>
        </w:rPr>
      </w:pPr>
      <w:r w:rsidRPr="001347BD">
        <w:rPr>
          <w:rStyle w:val="Strong"/>
          <w:b w:val="0"/>
          <w:bCs w:val="0"/>
          <w:lang w:val="sq-AL"/>
        </w:rPr>
        <w:t>1</w:t>
      </w:r>
      <w:r w:rsidR="001C3C9B" w:rsidRPr="001347BD">
        <w:rPr>
          <w:rStyle w:val="Strong"/>
          <w:b w:val="0"/>
          <w:bCs w:val="0"/>
          <w:lang w:val="sq-AL"/>
        </w:rPr>
        <w:t>. “Mekanizëm</w:t>
      </w:r>
      <w:r w:rsidR="001662A3" w:rsidRPr="001347BD">
        <w:rPr>
          <w:rStyle w:val="Strong"/>
          <w:b w:val="0"/>
          <w:bCs w:val="0"/>
          <w:lang w:val="sq-AL"/>
        </w:rPr>
        <w:t xml:space="preserve"> ndërkufitar” </w:t>
      </w:r>
      <w:r w:rsidR="001662A3" w:rsidRPr="000307AC">
        <w:rPr>
          <w:lang w:val="sq-AL"/>
        </w:rPr>
        <w:t>ë</w:t>
      </w:r>
      <w:r w:rsidR="003A652E" w:rsidRPr="000307AC">
        <w:rPr>
          <w:lang w:val="sq-AL"/>
        </w:rPr>
        <w:t>shtë</w:t>
      </w:r>
      <w:r w:rsidR="001662A3" w:rsidRPr="000307AC">
        <w:rPr>
          <w:lang w:val="sq-AL"/>
        </w:rPr>
        <w:t xml:space="preserve"> një marrëveshje që ka të bëjë me më shumë se një juridiksion, ku plotësohet të paktën një nga kushtet e mëposhtme:</w:t>
      </w:r>
    </w:p>
    <w:p w14:paraId="66D0C101" w14:textId="282DC141" w:rsidR="0020354C" w:rsidRPr="000307AC" w:rsidRDefault="001662A3" w:rsidP="001347BD">
      <w:pPr>
        <w:pStyle w:val="NormalWeb"/>
        <w:spacing w:before="0" w:beforeAutospacing="0" w:after="0" w:afterAutospacing="0" w:line="276" w:lineRule="auto"/>
        <w:jc w:val="both"/>
        <w:rPr>
          <w:lang w:val="sq-AL"/>
        </w:rPr>
      </w:pPr>
      <w:r w:rsidRPr="000307AC">
        <w:rPr>
          <w:lang w:val="sq-AL"/>
        </w:rPr>
        <w:t xml:space="preserve"> </w:t>
      </w:r>
      <w:r w:rsidRPr="000307AC">
        <w:rPr>
          <w:lang w:val="sq-AL"/>
        </w:rPr>
        <w:br/>
        <w:t xml:space="preserve">a) jo të gjithë pjesëmarrësit në marrëveshje janë rezidentë për qëllime tatimore në të njëjtin juridiksion; </w:t>
      </w:r>
    </w:p>
    <w:p w14:paraId="543787BC" w14:textId="715F0F09" w:rsidR="0020354C" w:rsidRPr="000307AC" w:rsidRDefault="001662A3" w:rsidP="000307AC">
      <w:pPr>
        <w:pStyle w:val="NormalWeb"/>
        <w:spacing w:before="0" w:beforeAutospacing="0" w:after="0" w:afterAutospacing="0" w:line="276" w:lineRule="auto"/>
        <w:jc w:val="both"/>
        <w:rPr>
          <w:lang w:val="sq-AL"/>
        </w:rPr>
      </w:pPr>
      <w:r w:rsidRPr="000307AC">
        <w:rPr>
          <w:lang w:val="sq-AL"/>
        </w:rPr>
        <w:t xml:space="preserve">b) një ose më shumë pjesëmarrës në marrëveshje janë njëkohësisht rezidentë për qëllime tatimore në më shumë se një juridiksion; </w:t>
      </w:r>
    </w:p>
    <w:p w14:paraId="632193E5" w14:textId="532D66A5" w:rsidR="001662A3" w:rsidRPr="000307AC" w:rsidRDefault="001662A3" w:rsidP="000307AC">
      <w:pPr>
        <w:pStyle w:val="NormalWeb"/>
        <w:spacing w:before="0" w:beforeAutospacing="0" w:after="0" w:afterAutospacing="0" w:line="276" w:lineRule="auto"/>
        <w:jc w:val="both"/>
        <w:rPr>
          <w:lang w:val="sq-AL"/>
        </w:rPr>
      </w:pPr>
      <w:r w:rsidRPr="000307AC">
        <w:rPr>
          <w:lang w:val="sq-AL"/>
        </w:rPr>
        <w:t xml:space="preserve">c) një ose më shumë pjesëmarrës në marrëveshje ushtrojnë një </w:t>
      </w:r>
      <w:r w:rsidR="00A13E70" w:rsidRPr="000307AC">
        <w:rPr>
          <w:lang w:val="sq-AL"/>
        </w:rPr>
        <w:t xml:space="preserve">veprimtari ekonomike </w:t>
      </w:r>
      <w:r w:rsidRPr="000307AC">
        <w:rPr>
          <w:lang w:val="sq-AL"/>
        </w:rPr>
        <w:t>në një juridiksion tjetër nëpërmjet një selie të përhershme të vendosur në atë juridiksion dhe marrëveshja përbën një pjesë ose të gjithë aktivitetin e asaj selie të përhershme;</w:t>
      </w:r>
      <w:r w:rsidRPr="000307AC">
        <w:rPr>
          <w:lang w:val="sq-AL"/>
        </w:rPr>
        <w:br/>
        <w:t xml:space="preserve">ç) një ose më shumë pjesëmarrës në marrëveshje ushtrojnë një aktivitet në një juridiksion tjetër pa qenë rezidentë për qëllime tatimore ose pa krijuar një seli të përhershme në atë juridiksion; d) marrëveshja ka një </w:t>
      </w:r>
      <w:r w:rsidR="002C6574" w:rsidRPr="000307AC">
        <w:rPr>
          <w:lang w:val="sq-AL"/>
        </w:rPr>
        <w:t xml:space="preserve">efekt </w:t>
      </w:r>
      <w:r w:rsidRPr="000307AC">
        <w:rPr>
          <w:lang w:val="sq-AL"/>
        </w:rPr>
        <w:t xml:space="preserve"> të mundshëm në shkëmbimin automatik të informacionit ose identifikimin e pronar</w:t>
      </w:r>
      <w:r w:rsidR="00843BBD" w:rsidRPr="000307AC">
        <w:rPr>
          <w:lang w:val="sq-AL"/>
        </w:rPr>
        <w:t>ë</w:t>
      </w:r>
      <w:r w:rsidR="002C6574" w:rsidRPr="000307AC">
        <w:rPr>
          <w:lang w:val="sq-AL"/>
        </w:rPr>
        <w:t>ve</w:t>
      </w:r>
      <w:r w:rsidRPr="000307AC">
        <w:rPr>
          <w:lang w:val="sq-AL"/>
        </w:rPr>
        <w:t xml:space="preserve"> përfitues</w:t>
      </w:r>
      <w:r w:rsidR="002C6574" w:rsidRPr="000307AC">
        <w:rPr>
          <w:lang w:val="sq-AL"/>
        </w:rPr>
        <w:t xml:space="preserve"> të personave të përfshirë në marrëveshje</w:t>
      </w:r>
      <w:r w:rsidRPr="000307AC">
        <w:rPr>
          <w:lang w:val="sq-AL"/>
        </w:rPr>
        <w:t>.</w:t>
      </w:r>
    </w:p>
    <w:p w14:paraId="39C22AD6" w14:textId="1CA9891A" w:rsidR="00554F69" w:rsidRPr="001347BD" w:rsidRDefault="009C2BF0" w:rsidP="000307AC">
      <w:pPr>
        <w:pStyle w:val="NormalWeb"/>
        <w:spacing w:line="276" w:lineRule="auto"/>
        <w:jc w:val="both"/>
        <w:rPr>
          <w:lang w:val="sq-AL"/>
        </w:rPr>
      </w:pPr>
      <w:r w:rsidRPr="001347BD">
        <w:rPr>
          <w:rStyle w:val="Strong"/>
          <w:b w:val="0"/>
          <w:bCs w:val="0"/>
          <w:lang w:val="sq-AL"/>
        </w:rPr>
        <w:t>2</w:t>
      </w:r>
      <w:r w:rsidR="007779FF" w:rsidRPr="001347BD">
        <w:rPr>
          <w:rStyle w:val="Strong"/>
          <w:b w:val="0"/>
          <w:bCs w:val="0"/>
          <w:lang w:val="sq-AL"/>
        </w:rPr>
        <w:t>. “</w:t>
      </w:r>
      <w:r w:rsidR="001C3C9B" w:rsidRPr="001347BD">
        <w:rPr>
          <w:lang w:val="sq-AL"/>
        </w:rPr>
        <w:t>Mekaniz</w:t>
      </w:r>
      <w:r w:rsidR="004A55C0" w:rsidRPr="001347BD">
        <w:rPr>
          <w:lang w:val="sq-AL"/>
        </w:rPr>
        <w:t>ë</w:t>
      </w:r>
      <w:r w:rsidR="001C3C9B" w:rsidRPr="001347BD">
        <w:rPr>
          <w:lang w:val="sq-AL"/>
        </w:rPr>
        <w:t>m ndërkufitar i raportueshëm</w:t>
      </w:r>
      <w:r w:rsidR="001662A3" w:rsidRPr="001347BD">
        <w:rPr>
          <w:lang w:val="sq-AL"/>
        </w:rPr>
        <w:t xml:space="preserve">” </w:t>
      </w:r>
      <w:r w:rsidR="003A652E" w:rsidRPr="000307AC">
        <w:rPr>
          <w:lang w:val="sq-AL"/>
        </w:rPr>
        <w:t>është</w:t>
      </w:r>
      <w:r w:rsidR="001662A3" w:rsidRPr="000307AC">
        <w:rPr>
          <w:lang w:val="sq-AL"/>
        </w:rPr>
        <w:t xml:space="preserve"> çdo marrëveshje ndërkufitare që përmban të paktën një nga shenjat dall</w:t>
      </w:r>
      <w:r w:rsidR="007779FF" w:rsidRPr="000307AC">
        <w:rPr>
          <w:lang w:val="sq-AL"/>
        </w:rPr>
        <w:t xml:space="preserve">uese të përcaktuara në </w:t>
      </w:r>
      <w:r w:rsidR="00C227AD">
        <w:rPr>
          <w:lang w:val="sq-AL"/>
        </w:rPr>
        <w:t>s</w:t>
      </w:r>
      <w:r w:rsidR="007779FF" w:rsidRPr="000307AC">
        <w:rPr>
          <w:lang w:val="sq-AL"/>
        </w:rPr>
        <w:t>htojcën</w:t>
      </w:r>
      <w:r w:rsidR="00E16633" w:rsidRPr="000307AC">
        <w:rPr>
          <w:lang w:val="sq-AL"/>
        </w:rPr>
        <w:t xml:space="preserve"> I</w:t>
      </w:r>
      <w:r w:rsidR="00554F69" w:rsidRPr="000307AC">
        <w:rPr>
          <w:rStyle w:val="FootnoteReference"/>
          <w:lang w:val="sq-AL"/>
        </w:rPr>
        <w:footnoteReference w:id="2"/>
      </w:r>
      <w:r w:rsidR="0020354C" w:rsidRPr="000307AC">
        <w:rPr>
          <w:lang w:val="sq-AL"/>
        </w:rPr>
        <w:t xml:space="preserve"> </w:t>
      </w:r>
      <w:r w:rsidR="001662A3" w:rsidRPr="000307AC">
        <w:rPr>
          <w:lang w:val="sq-AL"/>
        </w:rPr>
        <w:t>bashkëngjitur këtij ligji</w:t>
      </w:r>
      <w:r w:rsidR="0020354C" w:rsidRPr="001347BD">
        <w:rPr>
          <w:lang w:val="sq-AL"/>
        </w:rPr>
        <w:t>.</w:t>
      </w:r>
    </w:p>
    <w:p w14:paraId="498416E9" w14:textId="2EFD77C6" w:rsidR="001662A3" w:rsidRPr="000307AC" w:rsidRDefault="009C2BF0" w:rsidP="001347BD">
      <w:pPr>
        <w:spacing w:line="276" w:lineRule="auto"/>
        <w:jc w:val="both"/>
        <w:rPr>
          <w:lang w:val="sq-AL"/>
        </w:rPr>
      </w:pPr>
      <w:r w:rsidRPr="001347BD">
        <w:rPr>
          <w:rStyle w:val="Strong"/>
          <w:b w:val="0"/>
          <w:bCs w:val="0"/>
          <w:lang w:val="sq-AL"/>
        </w:rPr>
        <w:lastRenderedPageBreak/>
        <w:t>3</w:t>
      </w:r>
      <w:r w:rsidR="001662A3" w:rsidRPr="001347BD">
        <w:rPr>
          <w:rStyle w:val="Strong"/>
          <w:b w:val="0"/>
          <w:bCs w:val="0"/>
          <w:lang w:val="sq-AL"/>
        </w:rPr>
        <w:t>. “</w:t>
      </w:r>
      <w:r w:rsidR="00403901" w:rsidRPr="001347BD">
        <w:rPr>
          <w:rStyle w:val="Strong"/>
          <w:b w:val="0"/>
          <w:bCs w:val="0"/>
          <w:lang w:val="sq-AL"/>
        </w:rPr>
        <w:t>Shenjë dalluese”</w:t>
      </w:r>
      <w:r w:rsidR="00403901" w:rsidRPr="000307AC">
        <w:rPr>
          <w:lang w:val="sq-AL"/>
        </w:rPr>
        <w:t xml:space="preserve"> </w:t>
      </w:r>
      <w:r w:rsidR="00FD743F" w:rsidRPr="000307AC">
        <w:rPr>
          <w:lang w:val="sq-AL"/>
        </w:rPr>
        <w:t xml:space="preserve">është </w:t>
      </w:r>
      <w:r w:rsidR="00403901" w:rsidRPr="000307AC">
        <w:rPr>
          <w:lang w:val="sq-AL"/>
        </w:rPr>
        <w:t xml:space="preserve">një karakteristikë ose tipar i një marrëveshjeje ndërkufitare që paraqet një tregues të një rreziku të mundshëm të shmangies tatimore, siç përcaktohet në </w:t>
      </w:r>
      <w:r w:rsidR="00407B11" w:rsidRPr="000307AC">
        <w:rPr>
          <w:lang w:val="sq-AL"/>
        </w:rPr>
        <w:t>shtojcën</w:t>
      </w:r>
      <w:r w:rsidR="00C227AD">
        <w:rPr>
          <w:lang w:val="sq-AL"/>
        </w:rPr>
        <w:t xml:space="preserve"> I</w:t>
      </w:r>
      <w:r w:rsidR="00407B11" w:rsidRPr="000307AC">
        <w:rPr>
          <w:lang w:val="sq-AL"/>
        </w:rPr>
        <w:t xml:space="preserve"> </w:t>
      </w:r>
      <w:r w:rsidR="00C227AD">
        <w:rPr>
          <w:lang w:val="sq-AL"/>
        </w:rPr>
        <w:t>të</w:t>
      </w:r>
      <w:r w:rsidR="00403901" w:rsidRPr="000307AC">
        <w:rPr>
          <w:lang w:val="sq-AL"/>
        </w:rPr>
        <w:t xml:space="preserve"> këtij ligji</w:t>
      </w:r>
      <w:r w:rsidR="00407B11" w:rsidRPr="000307AC">
        <w:rPr>
          <w:lang w:val="sq-AL"/>
        </w:rPr>
        <w:t>.</w:t>
      </w:r>
    </w:p>
    <w:p w14:paraId="6B6FCF25" w14:textId="75454959" w:rsidR="001662A3" w:rsidRPr="000307AC" w:rsidRDefault="009C2BF0" w:rsidP="000307AC">
      <w:pPr>
        <w:pStyle w:val="NormalWeb"/>
        <w:spacing w:line="276" w:lineRule="auto"/>
        <w:jc w:val="both"/>
        <w:rPr>
          <w:lang w:val="sq-AL"/>
        </w:rPr>
      </w:pPr>
      <w:r w:rsidRPr="001347BD">
        <w:rPr>
          <w:rStyle w:val="Strong"/>
          <w:b w:val="0"/>
          <w:bCs w:val="0"/>
          <w:lang w:val="sq-AL"/>
        </w:rPr>
        <w:t>4</w:t>
      </w:r>
      <w:r w:rsidR="001662A3" w:rsidRPr="001347BD">
        <w:rPr>
          <w:rStyle w:val="Strong"/>
          <w:b w:val="0"/>
          <w:bCs w:val="0"/>
          <w:lang w:val="sq-AL"/>
        </w:rPr>
        <w:t xml:space="preserve">. “Ndërmjetës” </w:t>
      </w:r>
      <w:r w:rsidR="00FD743F" w:rsidRPr="000307AC">
        <w:rPr>
          <w:lang w:val="sq-AL"/>
        </w:rPr>
        <w:t xml:space="preserve">është </w:t>
      </w:r>
      <w:r w:rsidR="001662A3" w:rsidRPr="000307AC">
        <w:rPr>
          <w:lang w:val="sq-AL"/>
        </w:rPr>
        <w:t xml:space="preserve">çdo person që harton, tregton, organizon ose vë në dispozicion për zbatim, ose menaxhon zbatimin e një </w:t>
      </w:r>
      <w:r w:rsidR="001259F0" w:rsidRPr="000307AC">
        <w:rPr>
          <w:lang w:val="sq-AL"/>
        </w:rPr>
        <w:t>Mekanizëm ndërkufitar i raportueshëm</w:t>
      </w:r>
      <w:r w:rsidR="001662A3" w:rsidRPr="000307AC">
        <w:rPr>
          <w:lang w:val="sq-AL"/>
        </w:rPr>
        <w:t xml:space="preserve">. Ky term përfshin gjithashtu çdo person që, duke pasur parasysh faktet dhe rrethanat përkatëse, si dhe bazuar në informacionin e disponueshëm dhe ekspertizën përkatëse, e di ose mund të pritet në mënyrë të arsyeshme të dijë se </w:t>
      </w:r>
      <w:r w:rsidR="00B72601" w:rsidRPr="000307AC">
        <w:rPr>
          <w:lang w:val="sq-AL"/>
        </w:rPr>
        <w:t xml:space="preserve">ka marrë përsipër  </w:t>
      </w:r>
      <w:r w:rsidR="001662A3" w:rsidRPr="000307AC">
        <w:rPr>
          <w:lang w:val="sq-AL"/>
        </w:rPr>
        <w:t xml:space="preserve">të ofrojë, drejtpërdrejt ose me anë të personave të tjerë, ndihmë, asistencë ose këshilla në lidhje me hartimin, </w:t>
      </w:r>
      <w:r w:rsidR="003B4C25" w:rsidRPr="000307AC">
        <w:rPr>
          <w:lang w:val="sq-AL"/>
        </w:rPr>
        <w:t>tregtimin,</w:t>
      </w:r>
      <w:r w:rsidR="001662A3" w:rsidRPr="000307AC">
        <w:rPr>
          <w:lang w:val="sq-AL"/>
        </w:rPr>
        <w:t xml:space="preserve"> organizimin, vënien në dispozicion për zbatim ose menaxhimin e zbatimit të </w:t>
      </w:r>
      <w:r w:rsidR="00B72601" w:rsidRPr="000307AC">
        <w:rPr>
          <w:lang w:val="sq-AL"/>
        </w:rPr>
        <w:t xml:space="preserve">një </w:t>
      </w:r>
      <w:r w:rsidR="001259F0" w:rsidRPr="000307AC">
        <w:rPr>
          <w:lang w:val="sq-AL"/>
        </w:rPr>
        <w:t>Mekanizëm ndërkufitar i raportueshëm</w:t>
      </w:r>
      <w:r w:rsidR="00B72601" w:rsidRPr="000307AC">
        <w:rPr>
          <w:lang w:val="sq-AL"/>
        </w:rPr>
        <w:t>.</w:t>
      </w:r>
      <w:r w:rsidR="00B72601" w:rsidRPr="000307AC" w:rsidDel="00B72601">
        <w:rPr>
          <w:lang w:val="sq-AL"/>
        </w:rPr>
        <w:t xml:space="preserve"> </w:t>
      </w:r>
    </w:p>
    <w:p w14:paraId="67BFEEB0" w14:textId="4CE8ABCA" w:rsidR="0020354C" w:rsidRPr="000307AC" w:rsidRDefault="001662A3" w:rsidP="000307AC">
      <w:pPr>
        <w:pStyle w:val="NormalWeb"/>
        <w:spacing w:line="276" w:lineRule="auto"/>
        <w:jc w:val="both"/>
        <w:rPr>
          <w:lang w:val="sq-AL"/>
        </w:rPr>
      </w:pPr>
      <w:r w:rsidRPr="000307AC">
        <w:rPr>
          <w:lang w:val="sq-AL"/>
        </w:rPr>
        <w:t xml:space="preserve">Çdo person ka të drejtë të paraqesë prova se </w:t>
      </w:r>
      <w:r w:rsidR="00904E6C" w:rsidRPr="000307AC">
        <w:t>nuk kishte dijeni dhe, bazuar në rrethanat konkrete, nuk mund të pritej në mënyrë të arsyeshme të kishte dijeni</w:t>
      </w:r>
      <w:r w:rsidRPr="000307AC">
        <w:rPr>
          <w:lang w:val="sq-AL"/>
        </w:rPr>
        <w:t xml:space="preserve">se ishte i përfshirë në një </w:t>
      </w:r>
      <w:r w:rsidR="001259F0" w:rsidRPr="000307AC">
        <w:rPr>
          <w:lang w:val="sq-AL"/>
        </w:rPr>
        <w:t>mekaniz</w:t>
      </w:r>
      <w:r w:rsidR="002E3518" w:rsidRPr="000307AC">
        <w:rPr>
          <w:lang w:val="sq-AL"/>
        </w:rPr>
        <w:t>ë</w:t>
      </w:r>
      <w:r w:rsidR="001259F0" w:rsidRPr="000307AC">
        <w:rPr>
          <w:lang w:val="sq-AL"/>
        </w:rPr>
        <w:t>m</w:t>
      </w:r>
      <w:r w:rsidRPr="000307AC">
        <w:rPr>
          <w:lang w:val="sq-AL"/>
        </w:rPr>
        <w:t xml:space="preserve"> ndërkufitar të raportueshme.</w:t>
      </w:r>
      <w:r w:rsidR="006E2804" w:rsidRPr="000307AC">
        <w:rPr>
          <w:lang w:val="sq-AL"/>
        </w:rPr>
        <w:t xml:space="preserve"> </w:t>
      </w:r>
      <w:r w:rsidR="0020354C" w:rsidRPr="000307AC">
        <w:rPr>
          <w:lang w:val="sq-AL"/>
        </w:rPr>
        <w:t xml:space="preserve"> </w:t>
      </w:r>
    </w:p>
    <w:p w14:paraId="3B6AAADD" w14:textId="2C51AD4C" w:rsidR="001662A3" w:rsidRPr="000307AC" w:rsidRDefault="00DC45F7" w:rsidP="000307AC">
      <w:pPr>
        <w:pStyle w:val="NormalWeb"/>
        <w:spacing w:line="276" w:lineRule="auto"/>
        <w:jc w:val="both"/>
        <w:rPr>
          <w:lang w:val="sq-AL"/>
        </w:rPr>
      </w:pPr>
      <w:r w:rsidRPr="000307AC">
        <w:rPr>
          <w:lang w:val="sq-AL"/>
        </w:rPr>
        <w:t>Për këtë qëllim, ai person mund t'i referohet të gjitha fakteve dhe rrethanave përkatëse, si dhe informacionit të disponueshëm dhe ekspertizës dhe kuptimit të tij përkatës.</w:t>
      </w:r>
    </w:p>
    <w:p w14:paraId="601F2847" w14:textId="77777777" w:rsidR="009926FA" w:rsidRDefault="001662A3" w:rsidP="000307AC">
      <w:pPr>
        <w:spacing w:line="276" w:lineRule="auto"/>
        <w:jc w:val="both"/>
        <w:rPr>
          <w:lang w:val="sq-AL"/>
        </w:rPr>
      </w:pPr>
      <w:r w:rsidRPr="000307AC">
        <w:rPr>
          <w:lang w:val="sq-AL"/>
        </w:rPr>
        <w:t>Për të qenë ndërmjetës, një person duhet të përmbushë të paktën një nga kushtet</w:t>
      </w:r>
      <w:r w:rsidR="00DC45F7" w:rsidRPr="000307AC">
        <w:rPr>
          <w:lang w:val="sq-AL"/>
        </w:rPr>
        <w:t xml:space="preserve"> shtesë </w:t>
      </w:r>
      <w:r w:rsidRPr="000307AC">
        <w:rPr>
          <w:lang w:val="sq-AL"/>
        </w:rPr>
        <w:t xml:space="preserve"> </w:t>
      </w:r>
      <w:r w:rsidR="00DC45F7" w:rsidRPr="000307AC">
        <w:rPr>
          <w:lang w:val="sq-AL"/>
        </w:rPr>
        <w:t xml:space="preserve">të </w:t>
      </w:r>
      <w:r w:rsidRPr="000307AC">
        <w:rPr>
          <w:lang w:val="sq-AL"/>
        </w:rPr>
        <w:t xml:space="preserve">mëposhtme: </w:t>
      </w:r>
    </w:p>
    <w:p w14:paraId="6822EF9F" w14:textId="15133B74" w:rsidR="00795D6D" w:rsidRPr="000307AC" w:rsidRDefault="001662A3" w:rsidP="000307AC">
      <w:pPr>
        <w:spacing w:line="276" w:lineRule="auto"/>
        <w:jc w:val="both"/>
        <w:rPr>
          <w:lang w:val="sq-AL"/>
        </w:rPr>
      </w:pPr>
      <w:r w:rsidRPr="000307AC">
        <w:rPr>
          <w:lang w:val="sq-AL"/>
        </w:rPr>
        <w:br/>
        <w:t xml:space="preserve">a) </w:t>
      </w:r>
      <w:r w:rsidR="00795D6D" w:rsidRPr="000307AC">
        <w:rPr>
          <w:lang w:val="sq-AL"/>
        </w:rPr>
        <w:t xml:space="preserve">të jetë rezident për qëllime tatimore në </w:t>
      </w:r>
      <w:r w:rsidR="002B76C2" w:rsidRPr="000307AC">
        <w:rPr>
          <w:lang w:val="sq-AL"/>
        </w:rPr>
        <w:t>Shqip</w:t>
      </w:r>
      <w:r w:rsidR="002E3518" w:rsidRPr="000307AC">
        <w:rPr>
          <w:lang w:val="sq-AL"/>
        </w:rPr>
        <w:t>ë</w:t>
      </w:r>
      <w:r w:rsidR="002B76C2" w:rsidRPr="000307AC">
        <w:rPr>
          <w:lang w:val="sq-AL"/>
        </w:rPr>
        <w:t>ri</w:t>
      </w:r>
      <w:r w:rsidR="00795D6D" w:rsidRPr="000307AC">
        <w:rPr>
          <w:lang w:val="sq-AL"/>
        </w:rPr>
        <w:t>;</w:t>
      </w:r>
    </w:p>
    <w:p w14:paraId="67D3A62E" w14:textId="431D6336" w:rsidR="00795D6D" w:rsidRPr="000307AC" w:rsidRDefault="001662A3" w:rsidP="000307AC">
      <w:pPr>
        <w:spacing w:line="276" w:lineRule="auto"/>
        <w:jc w:val="both"/>
        <w:rPr>
          <w:lang w:val="sq-AL"/>
        </w:rPr>
      </w:pPr>
      <w:r w:rsidRPr="000307AC">
        <w:rPr>
          <w:lang w:val="sq-AL"/>
        </w:rPr>
        <w:t xml:space="preserve">b) </w:t>
      </w:r>
      <w:r w:rsidR="00795D6D" w:rsidRPr="000307AC">
        <w:rPr>
          <w:lang w:val="sq-AL"/>
        </w:rPr>
        <w:t xml:space="preserve">të ketë një seli të përhershme në </w:t>
      </w:r>
      <w:r w:rsidR="002B76C2" w:rsidRPr="000307AC">
        <w:rPr>
          <w:lang w:val="sq-AL"/>
        </w:rPr>
        <w:t>Shqip</w:t>
      </w:r>
      <w:r w:rsidR="002E3518" w:rsidRPr="000307AC">
        <w:rPr>
          <w:lang w:val="sq-AL"/>
        </w:rPr>
        <w:t>ë</w:t>
      </w:r>
      <w:r w:rsidR="002B76C2" w:rsidRPr="000307AC">
        <w:rPr>
          <w:lang w:val="sq-AL"/>
        </w:rPr>
        <w:t>ri</w:t>
      </w:r>
      <w:r w:rsidR="00795D6D" w:rsidRPr="000307AC">
        <w:rPr>
          <w:lang w:val="sq-AL"/>
        </w:rPr>
        <w:t>, nëpërmjet së cilës ofrohen shërbimet në lidhje me marrëveshjen;</w:t>
      </w:r>
    </w:p>
    <w:p w14:paraId="4A919533" w14:textId="3EE400EB" w:rsidR="00795D6D" w:rsidRPr="000307AC" w:rsidRDefault="001662A3" w:rsidP="000307AC">
      <w:pPr>
        <w:spacing w:line="276" w:lineRule="auto"/>
        <w:jc w:val="both"/>
        <w:rPr>
          <w:lang w:val="sq-AL"/>
        </w:rPr>
      </w:pPr>
      <w:r w:rsidRPr="000307AC">
        <w:rPr>
          <w:lang w:val="sq-AL"/>
        </w:rPr>
        <w:t xml:space="preserve">c) </w:t>
      </w:r>
      <w:r w:rsidR="00795D6D" w:rsidRPr="000307AC">
        <w:rPr>
          <w:lang w:val="sq-AL"/>
        </w:rPr>
        <w:t xml:space="preserve">të jetë i themeluar në, ose i rregulluar nga ligjet e </w:t>
      </w:r>
      <w:r w:rsidR="002B76C2" w:rsidRPr="000307AC">
        <w:rPr>
          <w:lang w:val="sq-AL"/>
        </w:rPr>
        <w:t>Republik</w:t>
      </w:r>
      <w:r w:rsidR="002E3518" w:rsidRPr="000307AC">
        <w:rPr>
          <w:lang w:val="sq-AL"/>
        </w:rPr>
        <w:t>ë</w:t>
      </w:r>
      <w:r w:rsidR="002B76C2" w:rsidRPr="000307AC">
        <w:rPr>
          <w:lang w:val="sq-AL"/>
        </w:rPr>
        <w:t>s s</w:t>
      </w:r>
      <w:r w:rsidR="002E3518" w:rsidRPr="000307AC">
        <w:rPr>
          <w:lang w:val="sq-AL"/>
        </w:rPr>
        <w:t>ë</w:t>
      </w:r>
      <w:r w:rsidR="002B76C2" w:rsidRPr="000307AC">
        <w:rPr>
          <w:lang w:val="sq-AL"/>
        </w:rPr>
        <w:t xml:space="preserve"> Shqip</w:t>
      </w:r>
      <w:r w:rsidR="002E3518" w:rsidRPr="000307AC">
        <w:rPr>
          <w:lang w:val="sq-AL"/>
        </w:rPr>
        <w:t>ë</w:t>
      </w:r>
      <w:r w:rsidR="002B76C2" w:rsidRPr="000307AC">
        <w:rPr>
          <w:lang w:val="sq-AL"/>
        </w:rPr>
        <w:t>ris</w:t>
      </w:r>
      <w:r w:rsidR="002E3518" w:rsidRPr="000307AC">
        <w:rPr>
          <w:lang w:val="sq-AL"/>
        </w:rPr>
        <w:t>ë</w:t>
      </w:r>
      <w:r w:rsidR="00795D6D" w:rsidRPr="000307AC">
        <w:rPr>
          <w:lang w:val="sq-AL"/>
        </w:rPr>
        <w:t>;</w:t>
      </w:r>
    </w:p>
    <w:p w14:paraId="0629B3D6" w14:textId="0DEFC04A" w:rsidR="001662A3" w:rsidRPr="000307AC" w:rsidRDefault="001662A3" w:rsidP="001347BD">
      <w:pPr>
        <w:pStyle w:val="NormalWeb"/>
        <w:spacing w:before="0" w:beforeAutospacing="0" w:after="0" w:afterAutospacing="0" w:line="276" w:lineRule="auto"/>
        <w:jc w:val="both"/>
        <w:rPr>
          <w:lang w:val="sq-AL"/>
        </w:rPr>
      </w:pPr>
      <w:r w:rsidRPr="000307AC">
        <w:rPr>
          <w:lang w:val="sq-AL"/>
        </w:rPr>
        <w:t xml:space="preserve">ç) </w:t>
      </w:r>
      <w:r w:rsidR="00795D6D" w:rsidRPr="000307AC">
        <w:rPr>
          <w:lang w:val="sq-AL"/>
        </w:rPr>
        <w:t xml:space="preserve">të jetë i regjistruar në një shoqatë profesionale që lidhet me shërbimet ligjore, tatimore ose të </w:t>
      </w:r>
      <w:r w:rsidR="002B76C2" w:rsidRPr="000307AC">
        <w:rPr>
          <w:lang w:val="sq-AL"/>
        </w:rPr>
        <w:t>k</w:t>
      </w:r>
      <w:r w:rsidR="002E3518" w:rsidRPr="000307AC">
        <w:rPr>
          <w:lang w:val="sq-AL"/>
        </w:rPr>
        <w:t>ë</w:t>
      </w:r>
      <w:r w:rsidR="002B76C2" w:rsidRPr="000307AC">
        <w:rPr>
          <w:lang w:val="sq-AL"/>
        </w:rPr>
        <w:t xml:space="preserve">shillimit </w:t>
      </w:r>
      <w:r w:rsidR="00795D6D" w:rsidRPr="000307AC">
        <w:rPr>
          <w:lang w:val="sq-AL"/>
        </w:rPr>
        <w:t xml:space="preserve">në </w:t>
      </w:r>
      <w:r w:rsidR="002B76C2" w:rsidRPr="000307AC">
        <w:rPr>
          <w:lang w:val="sq-AL"/>
        </w:rPr>
        <w:t>Republikn</w:t>
      </w:r>
      <w:r w:rsidR="002E3518" w:rsidRPr="000307AC">
        <w:rPr>
          <w:lang w:val="sq-AL"/>
        </w:rPr>
        <w:t>ë</w:t>
      </w:r>
      <w:r w:rsidR="002B76C2" w:rsidRPr="000307AC">
        <w:rPr>
          <w:lang w:val="sq-AL"/>
        </w:rPr>
        <w:t xml:space="preserve"> e Shqip</w:t>
      </w:r>
      <w:r w:rsidR="002E3518" w:rsidRPr="000307AC">
        <w:rPr>
          <w:lang w:val="sq-AL"/>
        </w:rPr>
        <w:t>ë</w:t>
      </w:r>
      <w:r w:rsidR="002B76C2" w:rsidRPr="000307AC">
        <w:rPr>
          <w:lang w:val="sq-AL"/>
        </w:rPr>
        <w:t>ris</w:t>
      </w:r>
      <w:r w:rsidR="002E3518" w:rsidRPr="000307AC">
        <w:rPr>
          <w:lang w:val="sq-AL"/>
        </w:rPr>
        <w:t>ë</w:t>
      </w:r>
      <w:r w:rsidR="00795D6D" w:rsidRPr="000307AC">
        <w:rPr>
          <w:lang w:val="sq-AL"/>
        </w:rPr>
        <w:t>.</w:t>
      </w:r>
    </w:p>
    <w:p w14:paraId="08E4BA2A" w14:textId="47130E0D" w:rsidR="001662A3" w:rsidRPr="000307AC" w:rsidRDefault="009C2BF0" w:rsidP="000307AC">
      <w:pPr>
        <w:pStyle w:val="NormalWeb"/>
        <w:spacing w:line="276" w:lineRule="auto"/>
        <w:jc w:val="both"/>
        <w:rPr>
          <w:lang w:val="sq-AL"/>
        </w:rPr>
      </w:pPr>
      <w:r w:rsidRPr="001347BD">
        <w:rPr>
          <w:rStyle w:val="Strong"/>
          <w:b w:val="0"/>
          <w:bCs w:val="0"/>
          <w:lang w:val="sq-AL"/>
        </w:rPr>
        <w:t>5</w:t>
      </w:r>
      <w:r w:rsidR="001662A3" w:rsidRPr="001347BD">
        <w:rPr>
          <w:rStyle w:val="Strong"/>
          <w:b w:val="0"/>
          <w:bCs w:val="0"/>
          <w:lang w:val="sq-AL"/>
        </w:rPr>
        <w:t xml:space="preserve">. “Tatimpagues përkatës” </w:t>
      </w:r>
      <w:r w:rsidR="00FD743F" w:rsidRPr="000307AC">
        <w:rPr>
          <w:lang w:val="sq-AL"/>
        </w:rPr>
        <w:t xml:space="preserve">është </w:t>
      </w:r>
      <w:r w:rsidR="001662A3" w:rsidRPr="000307AC">
        <w:rPr>
          <w:lang w:val="sq-AL"/>
        </w:rPr>
        <w:t>çdo person të cilit i është vënë në dispozi</w:t>
      </w:r>
      <w:r w:rsidR="001C3C9B" w:rsidRPr="000307AC">
        <w:rPr>
          <w:lang w:val="sq-AL"/>
        </w:rPr>
        <w:t>cion për zbatim një mekaniz</w:t>
      </w:r>
      <w:r w:rsidR="004A55C0" w:rsidRPr="000307AC">
        <w:rPr>
          <w:lang w:val="sq-AL"/>
        </w:rPr>
        <w:t>ë</w:t>
      </w:r>
      <w:r w:rsidR="001C3C9B" w:rsidRPr="000307AC">
        <w:rPr>
          <w:lang w:val="sq-AL"/>
        </w:rPr>
        <w:t>m ndërkufitar i raportueshëm</w:t>
      </w:r>
      <w:r w:rsidR="001662A3" w:rsidRPr="000307AC">
        <w:rPr>
          <w:lang w:val="sq-AL"/>
        </w:rPr>
        <w:t>, ose i cili është</w:t>
      </w:r>
      <w:r w:rsidR="001C3C9B" w:rsidRPr="000307AC">
        <w:rPr>
          <w:lang w:val="sq-AL"/>
        </w:rPr>
        <w:t xml:space="preserve"> gati të zbatojë një mekaniz</w:t>
      </w:r>
      <w:r w:rsidR="004A55C0" w:rsidRPr="000307AC">
        <w:rPr>
          <w:lang w:val="sq-AL"/>
        </w:rPr>
        <w:t>ë</w:t>
      </w:r>
      <w:r w:rsidR="001C3C9B" w:rsidRPr="000307AC">
        <w:rPr>
          <w:lang w:val="sq-AL"/>
        </w:rPr>
        <w:t>m</w:t>
      </w:r>
      <w:r w:rsidR="001662A3" w:rsidRPr="000307AC">
        <w:rPr>
          <w:lang w:val="sq-AL"/>
        </w:rPr>
        <w:t xml:space="preserve"> të tillë, os</w:t>
      </w:r>
      <w:r w:rsidR="001C3C9B" w:rsidRPr="000307AC">
        <w:rPr>
          <w:lang w:val="sq-AL"/>
        </w:rPr>
        <w:t>e ka zbatuar hapin e parë të tij</w:t>
      </w:r>
      <w:r w:rsidR="001662A3" w:rsidRPr="000307AC">
        <w:rPr>
          <w:lang w:val="sq-AL"/>
        </w:rPr>
        <w:t>.</w:t>
      </w:r>
    </w:p>
    <w:p w14:paraId="6E210714" w14:textId="77777777" w:rsidR="009926FA" w:rsidRDefault="009C2BF0" w:rsidP="000307AC">
      <w:pPr>
        <w:pStyle w:val="NormalWeb"/>
        <w:spacing w:before="0" w:beforeAutospacing="0" w:after="0" w:afterAutospacing="0" w:line="276" w:lineRule="auto"/>
        <w:rPr>
          <w:lang w:val="sq-AL"/>
        </w:rPr>
      </w:pPr>
      <w:r w:rsidRPr="001347BD">
        <w:rPr>
          <w:rStyle w:val="Strong"/>
          <w:b w:val="0"/>
          <w:bCs w:val="0"/>
          <w:lang w:val="sq-AL"/>
        </w:rPr>
        <w:t>6</w:t>
      </w:r>
      <w:r w:rsidR="001662A3" w:rsidRPr="001347BD">
        <w:rPr>
          <w:rStyle w:val="Strong"/>
          <w:b w:val="0"/>
          <w:bCs w:val="0"/>
          <w:lang w:val="sq-AL"/>
        </w:rPr>
        <w:t xml:space="preserve">. “Ndërmarrje e lidhur” </w:t>
      </w:r>
      <w:r w:rsidR="00FD743F" w:rsidRPr="000307AC">
        <w:rPr>
          <w:lang w:val="sq-AL"/>
        </w:rPr>
        <w:t xml:space="preserve">është </w:t>
      </w:r>
      <w:r w:rsidR="001662A3" w:rsidRPr="000307AC">
        <w:rPr>
          <w:lang w:val="sq-AL"/>
        </w:rPr>
        <w:t>një person që është i lidhur me një person tjetër në të paktën njërën nga mënyrat e mëposhtme:</w:t>
      </w:r>
    </w:p>
    <w:p w14:paraId="76005B0B" w14:textId="7A962BF3" w:rsidR="00992664" w:rsidRPr="000307AC" w:rsidRDefault="001662A3" w:rsidP="000307AC">
      <w:pPr>
        <w:pStyle w:val="NormalWeb"/>
        <w:spacing w:before="0" w:beforeAutospacing="0" w:after="0" w:afterAutospacing="0" w:line="276" w:lineRule="auto"/>
        <w:rPr>
          <w:lang w:val="sq-AL"/>
        </w:rPr>
      </w:pPr>
      <w:r w:rsidRPr="000307AC">
        <w:rPr>
          <w:lang w:val="sq-AL"/>
        </w:rPr>
        <w:br/>
        <w:t>a) merr pjesë në menaxhimin e personi</w:t>
      </w:r>
      <w:r w:rsidR="00EE30FD" w:rsidRPr="000307AC">
        <w:rPr>
          <w:lang w:val="sq-AL"/>
        </w:rPr>
        <w:t>t</w:t>
      </w:r>
      <w:r w:rsidRPr="000307AC">
        <w:rPr>
          <w:lang w:val="sq-AL"/>
        </w:rPr>
        <w:t xml:space="preserve"> tjetër duke qenë në një pozicion për të ushtruar ndikim të rëndësishëmmbi personin tjetër; </w:t>
      </w:r>
      <w:r w:rsidRPr="000307AC">
        <w:rPr>
          <w:lang w:val="sq-AL"/>
        </w:rPr>
        <w:br/>
        <w:t xml:space="preserve">b) merr pjesë në kontrollin e personit tjetër nëpërmjet një zotërimi që tejkalon 25 përqind të të drejtave të votës; </w:t>
      </w:r>
    </w:p>
    <w:p w14:paraId="49C6912F" w14:textId="00591ED4" w:rsidR="001662A3" w:rsidRPr="000307AC" w:rsidRDefault="001662A3" w:rsidP="000307AC">
      <w:pPr>
        <w:pStyle w:val="NormalWeb"/>
        <w:spacing w:before="0" w:beforeAutospacing="0" w:after="0" w:afterAutospacing="0" w:line="276" w:lineRule="auto"/>
        <w:rPr>
          <w:lang w:val="sq-AL"/>
        </w:rPr>
      </w:pPr>
      <w:r w:rsidRPr="000307AC">
        <w:rPr>
          <w:lang w:val="sq-AL"/>
        </w:rPr>
        <w:lastRenderedPageBreak/>
        <w:t xml:space="preserve">c) merr pjesë në kapitalin e personit tjetër nëpërmjet një të drejte pronësie që, drejtpërdrejt ose tërthorazi, tejkalon 25 përqind të kapitalit; </w:t>
      </w:r>
      <w:r w:rsidRPr="000307AC">
        <w:rPr>
          <w:lang w:val="sq-AL"/>
        </w:rPr>
        <w:br/>
        <w:t>ç) ka të drejtë për 25 përqind ose më shumë të fitimeve të personit tjetër.</w:t>
      </w:r>
    </w:p>
    <w:p w14:paraId="61BC8D31" w14:textId="4802E211" w:rsidR="001662A3" w:rsidRPr="000307AC" w:rsidRDefault="001662A3" w:rsidP="000307AC">
      <w:pPr>
        <w:pStyle w:val="NormalWeb"/>
        <w:spacing w:line="276" w:lineRule="auto"/>
        <w:jc w:val="both"/>
        <w:rPr>
          <w:lang w:val="sq-AL"/>
        </w:rPr>
      </w:pPr>
      <w:r w:rsidRPr="000307AC">
        <w:rPr>
          <w:lang w:val="sq-AL"/>
        </w:rPr>
        <w:t>Kur më shumë se një person merr pjesë në menaxhimin, kontrollin, kapitalin ose fitimet e të njëjtit person</w:t>
      </w:r>
      <w:r w:rsidR="00DC45F7" w:rsidRPr="000307AC">
        <w:rPr>
          <w:lang w:val="sq-AL"/>
        </w:rPr>
        <w:t xml:space="preserve"> </w:t>
      </w:r>
      <w:r w:rsidR="00EE30FD" w:rsidRPr="000307AC">
        <w:rPr>
          <w:lang w:val="sq-AL"/>
        </w:rPr>
        <w:t xml:space="preserve">siç përcaktohet në </w:t>
      </w:r>
      <w:r w:rsidR="002B76C2" w:rsidRPr="000307AC">
        <w:rPr>
          <w:lang w:val="sq-AL"/>
        </w:rPr>
        <w:t xml:space="preserve">shkronjat </w:t>
      </w:r>
      <w:r w:rsidR="00EE30FD" w:rsidRPr="000307AC">
        <w:rPr>
          <w:lang w:val="sq-AL"/>
        </w:rPr>
        <w:t xml:space="preserve">a) deri në ç) </w:t>
      </w:r>
      <w:r w:rsidR="002B76C2" w:rsidRPr="000307AC">
        <w:rPr>
          <w:lang w:val="sq-AL"/>
        </w:rPr>
        <w:t>t</w:t>
      </w:r>
      <w:r w:rsidR="002E3518" w:rsidRPr="000307AC">
        <w:rPr>
          <w:lang w:val="sq-AL"/>
        </w:rPr>
        <w:t>ë</w:t>
      </w:r>
      <w:r w:rsidR="002B76C2" w:rsidRPr="000307AC">
        <w:rPr>
          <w:lang w:val="sq-AL"/>
        </w:rPr>
        <w:t xml:space="preserve"> k</w:t>
      </w:r>
      <w:r w:rsidR="002E3518" w:rsidRPr="000307AC">
        <w:rPr>
          <w:lang w:val="sq-AL"/>
        </w:rPr>
        <w:t>ë</w:t>
      </w:r>
      <w:r w:rsidR="002B76C2" w:rsidRPr="000307AC">
        <w:rPr>
          <w:lang w:val="sq-AL"/>
        </w:rPr>
        <w:t xml:space="preserve">tij </w:t>
      </w:r>
      <w:r w:rsidR="002E3518" w:rsidRPr="000307AC">
        <w:rPr>
          <w:lang w:val="sq-AL"/>
        </w:rPr>
        <w:t>paragrafi</w:t>
      </w:r>
      <w:r w:rsidRPr="000307AC">
        <w:rPr>
          <w:lang w:val="sq-AL"/>
        </w:rPr>
        <w:t>, të gjithë personat e përfshirë  konsiderohen si ndërmarrje të lidhura.</w:t>
      </w:r>
    </w:p>
    <w:p w14:paraId="198177D4" w14:textId="4A4801BA" w:rsidR="001662A3" w:rsidRPr="000307AC" w:rsidRDefault="001662A3" w:rsidP="000307AC">
      <w:pPr>
        <w:pStyle w:val="NormalWeb"/>
        <w:spacing w:line="276" w:lineRule="auto"/>
        <w:jc w:val="both"/>
        <w:rPr>
          <w:lang w:val="sq-AL"/>
        </w:rPr>
      </w:pPr>
      <w:r w:rsidRPr="000307AC">
        <w:rPr>
          <w:lang w:val="sq-AL"/>
        </w:rPr>
        <w:t xml:space="preserve">Kur të njëjtët persona marrin pjesë në menaxhimin, kontrollin, kapitalin ose fitimet e më shumë se një personi, </w:t>
      </w:r>
      <w:r w:rsidR="003A15E0" w:rsidRPr="000307AC">
        <w:rPr>
          <w:lang w:val="sq-AL"/>
        </w:rPr>
        <w:t xml:space="preserve">siç përcaktohet në </w:t>
      </w:r>
      <w:r w:rsidR="002B76C2" w:rsidRPr="000307AC">
        <w:rPr>
          <w:lang w:val="sq-AL"/>
        </w:rPr>
        <w:t xml:space="preserve">shkronjat </w:t>
      </w:r>
      <w:r w:rsidR="003A15E0" w:rsidRPr="000307AC">
        <w:rPr>
          <w:lang w:val="sq-AL"/>
        </w:rPr>
        <w:t xml:space="preserve">a) deri në ç) </w:t>
      </w:r>
      <w:r w:rsidR="002B76C2" w:rsidRPr="000307AC">
        <w:rPr>
          <w:lang w:val="sq-AL"/>
        </w:rPr>
        <w:t>t</w:t>
      </w:r>
      <w:r w:rsidR="002E3518" w:rsidRPr="000307AC">
        <w:rPr>
          <w:lang w:val="sq-AL"/>
        </w:rPr>
        <w:t>ë</w:t>
      </w:r>
      <w:r w:rsidR="002B76C2" w:rsidRPr="000307AC">
        <w:rPr>
          <w:lang w:val="sq-AL"/>
        </w:rPr>
        <w:t xml:space="preserve"> k</w:t>
      </w:r>
      <w:r w:rsidR="002E3518" w:rsidRPr="000307AC">
        <w:rPr>
          <w:lang w:val="sq-AL"/>
        </w:rPr>
        <w:t>ë</w:t>
      </w:r>
      <w:r w:rsidR="002B76C2" w:rsidRPr="000307AC">
        <w:rPr>
          <w:lang w:val="sq-AL"/>
        </w:rPr>
        <w:t xml:space="preserve">tij </w:t>
      </w:r>
      <w:r w:rsidR="002E3518" w:rsidRPr="000307AC">
        <w:rPr>
          <w:lang w:val="sq-AL"/>
        </w:rPr>
        <w:t>paragrafi</w:t>
      </w:r>
      <w:r w:rsidR="003A15E0" w:rsidRPr="000307AC">
        <w:rPr>
          <w:lang w:val="sq-AL"/>
        </w:rPr>
        <w:t xml:space="preserve">, </w:t>
      </w:r>
      <w:r w:rsidRPr="000307AC">
        <w:rPr>
          <w:lang w:val="sq-AL"/>
        </w:rPr>
        <w:t>të gjithë personat e përfshirë d</w:t>
      </w:r>
      <w:r w:rsidR="00756EC7" w:rsidRPr="000307AC">
        <w:rPr>
          <w:lang w:val="sq-AL"/>
        </w:rPr>
        <w:t>o të</w:t>
      </w:r>
      <w:r w:rsidRPr="000307AC">
        <w:rPr>
          <w:lang w:val="sq-AL"/>
        </w:rPr>
        <w:t xml:space="preserve"> konsiderohen si ndërmarrje të lidhura.</w:t>
      </w:r>
    </w:p>
    <w:p w14:paraId="16DED07E" w14:textId="25BE9697" w:rsidR="001662A3" w:rsidRPr="000307AC" w:rsidRDefault="001662A3" w:rsidP="000307AC">
      <w:pPr>
        <w:pStyle w:val="NormalWeb"/>
        <w:spacing w:line="276" w:lineRule="auto"/>
        <w:jc w:val="both"/>
        <w:rPr>
          <w:lang w:val="sq-AL"/>
        </w:rPr>
      </w:pPr>
      <w:r w:rsidRPr="000307AC">
        <w:rPr>
          <w:lang w:val="sq-AL"/>
        </w:rPr>
        <w:t xml:space="preserve">Një person që vepron së bashku me një person tjetër në lidhje me të drejtat e votës ose pronësinë e kapitalit të një </w:t>
      </w:r>
      <w:r w:rsidR="00E96596" w:rsidRPr="000307AC">
        <w:rPr>
          <w:lang w:val="sq-AL"/>
        </w:rPr>
        <w:t xml:space="preserve">subjekti trajtohet si mbajtës i të gjitha të drejtave të votës ose pronësisë së kapitalit të zotëruara nga personi tjetër. </w:t>
      </w:r>
    </w:p>
    <w:p w14:paraId="7CF12865" w14:textId="47771AD5" w:rsidR="001662A3" w:rsidRPr="000307AC" w:rsidRDefault="001662A3" w:rsidP="000307AC">
      <w:pPr>
        <w:pStyle w:val="NormalWeb"/>
        <w:spacing w:line="276" w:lineRule="auto"/>
        <w:jc w:val="both"/>
        <w:rPr>
          <w:lang w:val="sq-AL"/>
        </w:rPr>
      </w:pPr>
      <w:r w:rsidRPr="000307AC">
        <w:rPr>
          <w:lang w:val="sq-AL"/>
        </w:rPr>
        <w:t xml:space="preserve">Në pjesëmarrjet indirekte, përmbushja e pragut </w:t>
      </w:r>
      <w:r w:rsidR="00734B21" w:rsidRPr="000307AC">
        <w:rPr>
          <w:lang w:val="sq-AL"/>
        </w:rPr>
        <w:t xml:space="preserve"> </w:t>
      </w:r>
      <w:r w:rsidR="00DC45F7" w:rsidRPr="000307AC">
        <w:rPr>
          <w:lang w:val="sq-AL"/>
        </w:rPr>
        <w:t xml:space="preserve">në </w:t>
      </w:r>
      <w:r w:rsidR="002B76C2" w:rsidRPr="000307AC">
        <w:rPr>
          <w:lang w:val="sq-AL"/>
        </w:rPr>
        <w:t>shkronj</w:t>
      </w:r>
      <w:r w:rsidR="002E3518" w:rsidRPr="000307AC">
        <w:rPr>
          <w:lang w:val="sq-AL"/>
        </w:rPr>
        <w:t>ë</w:t>
      </w:r>
      <w:r w:rsidR="002B76C2" w:rsidRPr="000307AC">
        <w:rPr>
          <w:lang w:val="sq-AL"/>
        </w:rPr>
        <w:t xml:space="preserve">n </w:t>
      </w:r>
      <w:r w:rsidR="00734B21" w:rsidRPr="000307AC">
        <w:rPr>
          <w:lang w:val="sq-AL"/>
        </w:rPr>
        <w:t>c)</w:t>
      </w:r>
      <w:r w:rsidR="002E3518" w:rsidRPr="000307AC">
        <w:rPr>
          <w:lang w:val="sq-AL"/>
        </w:rPr>
        <w:t xml:space="preserve"> të këtij paragrafi</w:t>
      </w:r>
      <w:r w:rsidR="00DC45F7" w:rsidRPr="000307AC">
        <w:rPr>
          <w:lang w:val="sq-AL"/>
        </w:rPr>
        <w:t xml:space="preserve"> </w:t>
      </w:r>
      <w:r w:rsidR="00756EC7" w:rsidRPr="000307AC">
        <w:rPr>
          <w:lang w:val="sq-AL"/>
        </w:rPr>
        <w:t xml:space="preserve">do të </w:t>
      </w:r>
      <w:r w:rsidRPr="000307AC">
        <w:rPr>
          <w:lang w:val="sq-AL"/>
        </w:rPr>
        <w:t>përcaktohet duke shumëzuar shkallët e zotërimit në të gjitha nivelet pasuese. Një person që zotëron më shumë se 50 përqind të të drejtave të votës konsiderohet se zotëron 100 përqind.</w:t>
      </w:r>
    </w:p>
    <w:p w14:paraId="4AA7947D" w14:textId="77777777" w:rsidR="001662A3" w:rsidRPr="000307AC" w:rsidRDefault="001662A3" w:rsidP="000307AC">
      <w:pPr>
        <w:pStyle w:val="NormalWeb"/>
        <w:spacing w:line="276" w:lineRule="auto"/>
        <w:jc w:val="both"/>
        <w:rPr>
          <w:lang w:val="sq-AL"/>
        </w:rPr>
      </w:pPr>
      <w:r w:rsidRPr="000307AC">
        <w:rPr>
          <w:lang w:val="sq-AL"/>
        </w:rPr>
        <w:t>Një individ, bashkëshorti/ja i/e tij/saj dhe paraardhësit ose pasardhësit e tij/saj të linjës trajtohen si një person i vetëm.</w:t>
      </w:r>
    </w:p>
    <w:p w14:paraId="19F86B89" w14:textId="0113DBF7" w:rsidR="001662A3" w:rsidRPr="001347BD" w:rsidRDefault="009C2BF0" w:rsidP="000307AC">
      <w:pPr>
        <w:pStyle w:val="NormalWeb"/>
        <w:spacing w:line="276" w:lineRule="auto"/>
        <w:jc w:val="both"/>
        <w:rPr>
          <w:lang w:val="sq-AL"/>
        </w:rPr>
      </w:pPr>
      <w:r w:rsidRPr="001347BD">
        <w:rPr>
          <w:rStyle w:val="Strong"/>
          <w:b w:val="0"/>
          <w:bCs w:val="0"/>
          <w:lang w:val="sq-AL"/>
        </w:rPr>
        <w:t>7</w:t>
      </w:r>
      <w:r w:rsidR="001662A3" w:rsidRPr="001347BD">
        <w:rPr>
          <w:rStyle w:val="Strong"/>
          <w:b w:val="0"/>
          <w:bCs w:val="0"/>
          <w:lang w:val="sq-AL"/>
        </w:rPr>
        <w:t xml:space="preserve">. </w:t>
      </w:r>
      <w:r w:rsidRPr="001347BD">
        <w:rPr>
          <w:rStyle w:val="Strong"/>
          <w:b w:val="0"/>
          <w:bCs w:val="0"/>
          <w:lang w:val="sq-AL"/>
        </w:rPr>
        <w:t xml:space="preserve">“Mekanizëm i tregtueshëm” </w:t>
      </w:r>
      <w:r w:rsidRPr="000307AC">
        <w:rPr>
          <w:rStyle w:val="Strong"/>
          <w:b w:val="0"/>
          <w:bCs w:val="0"/>
          <w:lang w:val="sq-AL"/>
        </w:rPr>
        <w:t>është një mekanizëm ndërkufitar që është i dizenjuar, tregtuar,</w:t>
      </w:r>
      <w:r w:rsidR="006E35CF" w:rsidRPr="000307AC">
        <w:rPr>
          <w:rStyle w:val="Strong"/>
          <w:b w:val="0"/>
          <w:bCs w:val="0"/>
          <w:lang w:val="sq-AL"/>
        </w:rPr>
        <w:t xml:space="preserve"> gati p</w:t>
      </w:r>
      <w:r w:rsidR="00BD57C6" w:rsidRPr="000307AC">
        <w:rPr>
          <w:rStyle w:val="Strong"/>
          <w:b w:val="0"/>
          <w:bCs w:val="0"/>
          <w:lang w:val="sq-AL"/>
        </w:rPr>
        <w:t>ë</w:t>
      </w:r>
      <w:r w:rsidR="006E35CF" w:rsidRPr="000307AC">
        <w:rPr>
          <w:rStyle w:val="Strong"/>
          <w:b w:val="0"/>
          <w:bCs w:val="0"/>
          <w:lang w:val="sq-AL"/>
        </w:rPr>
        <w:t xml:space="preserve">r zbatim ose </w:t>
      </w:r>
      <w:r w:rsidR="00BD57C6" w:rsidRPr="000307AC">
        <w:rPr>
          <w:rStyle w:val="Strong"/>
          <w:b w:val="0"/>
          <w:bCs w:val="0"/>
          <w:lang w:val="sq-AL"/>
        </w:rPr>
        <w:t>ë</w:t>
      </w:r>
      <w:r w:rsidR="006E35CF" w:rsidRPr="000307AC">
        <w:rPr>
          <w:rStyle w:val="Strong"/>
          <w:b w:val="0"/>
          <w:bCs w:val="0"/>
          <w:lang w:val="sq-AL"/>
        </w:rPr>
        <w:t>sht</w:t>
      </w:r>
      <w:r w:rsidR="00BD57C6" w:rsidRPr="000307AC">
        <w:rPr>
          <w:rStyle w:val="Strong"/>
          <w:b w:val="0"/>
          <w:bCs w:val="0"/>
          <w:lang w:val="sq-AL"/>
        </w:rPr>
        <w:t>ë</w:t>
      </w:r>
      <w:r w:rsidRPr="000307AC">
        <w:rPr>
          <w:rStyle w:val="Strong"/>
          <w:b w:val="0"/>
          <w:bCs w:val="0"/>
          <w:lang w:val="sq-AL"/>
        </w:rPr>
        <w:t xml:space="preserve"> vënë në dispozicion për zbatim pa pasur nevojë </w:t>
      </w:r>
      <w:r w:rsidR="006E35CF" w:rsidRPr="000307AC">
        <w:rPr>
          <w:rStyle w:val="Strong"/>
          <w:b w:val="0"/>
          <w:bCs w:val="0"/>
          <w:lang w:val="sq-AL"/>
        </w:rPr>
        <w:t>t</w:t>
      </w:r>
      <w:r w:rsidR="00BD57C6" w:rsidRPr="000307AC">
        <w:rPr>
          <w:rStyle w:val="Strong"/>
          <w:b w:val="0"/>
          <w:bCs w:val="0"/>
          <w:lang w:val="sq-AL"/>
        </w:rPr>
        <w:t>ë</w:t>
      </w:r>
      <w:r w:rsidRPr="000307AC">
        <w:rPr>
          <w:rStyle w:val="Strong"/>
          <w:b w:val="0"/>
          <w:bCs w:val="0"/>
          <w:lang w:val="sq-AL"/>
        </w:rPr>
        <w:t xml:space="preserve"> përshtat</w:t>
      </w:r>
      <w:r w:rsidR="006E35CF" w:rsidRPr="000307AC">
        <w:rPr>
          <w:rStyle w:val="Strong"/>
          <w:b w:val="0"/>
          <w:bCs w:val="0"/>
          <w:lang w:val="sq-AL"/>
        </w:rPr>
        <w:t>et</w:t>
      </w:r>
      <w:r w:rsidRPr="000307AC">
        <w:rPr>
          <w:rStyle w:val="Strong"/>
          <w:b w:val="0"/>
          <w:bCs w:val="0"/>
          <w:lang w:val="sq-AL"/>
        </w:rPr>
        <w:t xml:space="preserve"> </w:t>
      </w:r>
      <w:r w:rsidR="006E35CF" w:rsidRPr="000307AC">
        <w:rPr>
          <w:rStyle w:val="Strong"/>
          <w:b w:val="0"/>
          <w:bCs w:val="0"/>
          <w:lang w:val="sq-AL"/>
        </w:rPr>
        <w:t>n</w:t>
      </w:r>
      <w:r w:rsidRPr="000307AC">
        <w:rPr>
          <w:rStyle w:val="Strong"/>
          <w:b w:val="0"/>
          <w:bCs w:val="0"/>
          <w:lang w:val="sq-AL"/>
        </w:rPr>
        <w:t xml:space="preserve">ë </w:t>
      </w:r>
      <w:r w:rsidR="006E35CF" w:rsidRPr="000307AC">
        <w:rPr>
          <w:rStyle w:val="Strong"/>
          <w:b w:val="0"/>
          <w:bCs w:val="0"/>
          <w:lang w:val="sq-AL"/>
        </w:rPr>
        <w:t xml:space="preserve"> m</w:t>
      </w:r>
      <w:r w:rsidR="00BD57C6" w:rsidRPr="000307AC">
        <w:rPr>
          <w:rStyle w:val="Strong"/>
          <w:b w:val="0"/>
          <w:bCs w:val="0"/>
          <w:lang w:val="sq-AL"/>
        </w:rPr>
        <w:t>ë</w:t>
      </w:r>
      <w:r w:rsidR="006E35CF" w:rsidRPr="000307AC">
        <w:rPr>
          <w:rStyle w:val="Strong"/>
          <w:b w:val="0"/>
          <w:bCs w:val="0"/>
          <w:lang w:val="sq-AL"/>
        </w:rPr>
        <w:t>nyr</w:t>
      </w:r>
      <w:r w:rsidR="00BD57C6" w:rsidRPr="000307AC">
        <w:rPr>
          <w:rStyle w:val="Strong"/>
          <w:b w:val="0"/>
          <w:bCs w:val="0"/>
          <w:lang w:val="sq-AL"/>
        </w:rPr>
        <w:t>ë</w:t>
      </w:r>
      <w:r w:rsidR="006E35CF" w:rsidRPr="000307AC">
        <w:rPr>
          <w:rStyle w:val="Strong"/>
          <w:b w:val="0"/>
          <w:bCs w:val="0"/>
          <w:lang w:val="sq-AL"/>
        </w:rPr>
        <w:t xml:space="preserve"> thelb</w:t>
      </w:r>
      <w:r w:rsidR="00BD57C6" w:rsidRPr="000307AC">
        <w:rPr>
          <w:rStyle w:val="Strong"/>
          <w:b w:val="0"/>
          <w:bCs w:val="0"/>
          <w:lang w:val="sq-AL"/>
        </w:rPr>
        <w:t>ë</w:t>
      </w:r>
      <w:r w:rsidR="006E35CF" w:rsidRPr="000307AC">
        <w:rPr>
          <w:rStyle w:val="Strong"/>
          <w:b w:val="0"/>
          <w:bCs w:val="0"/>
          <w:lang w:val="sq-AL"/>
        </w:rPr>
        <w:t>sore</w:t>
      </w:r>
      <w:r w:rsidRPr="000307AC">
        <w:rPr>
          <w:rStyle w:val="Strong"/>
          <w:b w:val="0"/>
          <w:bCs w:val="0"/>
          <w:lang w:val="sq-AL"/>
        </w:rPr>
        <w:t>.</w:t>
      </w:r>
    </w:p>
    <w:p w14:paraId="6A421E5D" w14:textId="40A312D0" w:rsidR="001662A3" w:rsidRPr="000307AC" w:rsidRDefault="009C2BF0" w:rsidP="000307AC">
      <w:pPr>
        <w:pStyle w:val="NormalWeb"/>
        <w:spacing w:line="276" w:lineRule="auto"/>
        <w:jc w:val="both"/>
        <w:rPr>
          <w:lang w:val="sq-AL"/>
        </w:rPr>
      </w:pPr>
      <w:r w:rsidRPr="001347BD">
        <w:rPr>
          <w:rStyle w:val="Strong"/>
          <w:b w:val="0"/>
          <w:bCs w:val="0"/>
          <w:lang w:val="sq-AL"/>
        </w:rPr>
        <w:t>8</w:t>
      </w:r>
      <w:r w:rsidR="001662A3" w:rsidRPr="001347BD">
        <w:rPr>
          <w:rStyle w:val="Strong"/>
          <w:b w:val="0"/>
          <w:bCs w:val="0"/>
          <w:lang w:val="sq-AL"/>
        </w:rPr>
        <w:t>. “M</w:t>
      </w:r>
      <w:r w:rsidR="006E35CF" w:rsidRPr="001347BD">
        <w:rPr>
          <w:rStyle w:val="Strong"/>
          <w:b w:val="0"/>
          <w:bCs w:val="0"/>
          <w:lang w:val="sq-AL"/>
        </w:rPr>
        <w:t>ekaniz</w:t>
      </w:r>
      <w:r w:rsidR="00BD57C6" w:rsidRPr="001347BD">
        <w:rPr>
          <w:rStyle w:val="Strong"/>
          <w:b w:val="0"/>
          <w:bCs w:val="0"/>
          <w:lang w:val="sq-AL"/>
        </w:rPr>
        <w:t>ë</w:t>
      </w:r>
      <w:r w:rsidR="006E35CF" w:rsidRPr="001347BD">
        <w:rPr>
          <w:rStyle w:val="Strong"/>
          <w:b w:val="0"/>
          <w:bCs w:val="0"/>
          <w:lang w:val="sq-AL"/>
        </w:rPr>
        <w:t>m</w:t>
      </w:r>
      <w:r w:rsidR="001662A3" w:rsidRPr="001347BD">
        <w:rPr>
          <w:rStyle w:val="Strong"/>
          <w:b w:val="0"/>
          <w:bCs w:val="0"/>
          <w:lang w:val="sq-AL"/>
        </w:rPr>
        <w:t xml:space="preserve"> </w:t>
      </w:r>
      <w:r w:rsidR="006E35CF" w:rsidRPr="001347BD">
        <w:rPr>
          <w:rStyle w:val="Strong"/>
          <w:b w:val="0"/>
          <w:bCs w:val="0"/>
          <w:lang w:val="sq-AL"/>
        </w:rPr>
        <w:t>i</w:t>
      </w:r>
      <w:r w:rsidR="001662A3" w:rsidRPr="001347BD">
        <w:rPr>
          <w:rStyle w:val="Strong"/>
          <w:b w:val="0"/>
          <w:bCs w:val="0"/>
          <w:lang w:val="sq-AL"/>
        </w:rPr>
        <w:t xml:space="preserve"> personalizuar” </w:t>
      </w:r>
      <w:r w:rsidR="006E35CF" w:rsidRPr="000307AC">
        <w:rPr>
          <w:rStyle w:val="Strong"/>
          <w:b w:val="0"/>
          <w:bCs w:val="0"/>
          <w:lang w:val="sq-AL"/>
        </w:rPr>
        <w:t xml:space="preserve">është </w:t>
      </w:r>
      <w:r w:rsidR="001662A3" w:rsidRPr="000307AC">
        <w:rPr>
          <w:lang w:val="sq-AL"/>
        </w:rPr>
        <w:t xml:space="preserve">çdo marrëveshje ndërkufitare që nuk është një marrëveshje e </w:t>
      </w:r>
      <w:r w:rsidR="006E35CF" w:rsidRPr="000307AC">
        <w:rPr>
          <w:rStyle w:val="Strong"/>
          <w:b w:val="0"/>
          <w:bCs w:val="0"/>
          <w:lang w:val="sq-AL"/>
        </w:rPr>
        <w:t>tregtueshëm</w:t>
      </w:r>
      <w:r w:rsidR="001662A3" w:rsidRPr="000307AC">
        <w:rPr>
          <w:lang w:val="sq-AL"/>
        </w:rPr>
        <w:t>.</w:t>
      </w:r>
    </w:p>
    <w:p w14:paraId="0593CD73" w14:textId="28EECAF1" w:rsidR="001662A3" w:rsidRPr="000307AC" w:rsidRDefault="009C2BF0" w:rsidP="000307AC">
      <w:pPr>
        <w:pStyle w:val="NormalWeb"/>
        <w:spacing w:line="276" w:lineRule="auto"/>
        <w:jc w:val="both"/>
        <w:rPr>
          <w:lang w:val="sq-AL"/>
        </w:rPr>
      </w:pPr>
      <w:r w:rsidRPr="001347BD">
        <w:rPr>
          <w:rStyle w:val="Strong"/>
          <w:b w:val="0"/>
          <w:bCs w:val="0"/>
          <w:lang w:val="sq-AL"/>
        </w:rPr>
        <w:t>9</w:t>
      </w:r>
      <w:r w:rsidR="001662A3" w:rsidRPr="001347BD">
        <w:rPr>
          <w:rStyle w:val="Strong"/>
          <w:b w:val="0"/>
          <w:bCs w:val="0"/>
          <w:lang w:val="sq-AL"/>
        </w:rPr>
        <w:t xml:space="preserve">. “Testi i përfitimit kryesor” </w:t>
      </w:r>
      <w:r w:rsidR="006E35CF" w:rsidRPr="000307AC">
        <w:rPr>
          <w:rStyle w:val="Strong"/>
          <w:b w:val="0"/>
          <w:bCs w:val="0"/>
          <w:lang w:val="sq-AL"/>
        </w:rPr>
        <w:t>është</w:t>
      </w:r>
      <w:r w:rsidR="006E35CF" w:rsidRPr="000307AC">
        <w:rPr>
          <w:lang w:val="sq-AL"/>
        </w:rPr>
        <w:t xml:space="preserve"> </w:t>
      </w:r>
      <w:r w:rsidR="001662A3" w:rsidRPr="000307AC">
        <w:rPr>
          <w:lang w:val="sq-AL"/>
        </w:rPr>
        <w:t>testi që do të konsiderohet i përmbushur nëse mund të përcaktohet se përfitimi kryesor ose një nga përfitimet kryesore që, duke pasur parasysh të gjitha faktet dhe rrethanat përkatëse, një person mund të presë në mënyrë të arsyeshme të nxjerrë nga një marrëveshje, është marrja e një avantazhi tatimor.</w:t>
      </w:r>
    </w:p>
    <w:p w14:paraId="7A5869C4" w14:textId="77777777" w:rsidR="005D1B29" w:rsidRDefault="009C2BF0" w:rsidP="000307AC">
      <w:pPr>
        <w:spacing w:line="276" w:lineRule="auto"/>
        <w:rPr>
          <w:rStyle w:val="Strong"/>
          <w:b w:val="0"/>
          <w:bCs w:val="0"/>
          <w:lang w:val="sq-AL"/>
        </w:rPr>
      </w:pPr>
      <w:r w:rsidRPr="001347BD">
        <w:rPr>
          <w:rStyle w:val="Strong"/>
          <w:b w:val="0"/>
          <w:bCs w:val="0"/>
          <w:lang w:val="sq-AL"/>
        </w:rPr>
        <w:t>10</w:t>
      </w:r>
      <w:r w:rsidR="001662A3" w:rsidRPr="001347BD">
        <w:rPr>
          <w:rStyle w:val="Strong"/>
          <w:b w:val="0"/>
          <w:bCs w:val="0"/>
          <w:lang w:val="sq-AL"/>
        </w:rPr>
        <w:t>. “Autoriteti kompetent”</w:t>
      </w:r>
      <w:r w:rsidR="00B31B34" w:rsidRPr="001347BD">
        <w:rPr>
          <w:rStyle w:val="Strong"/>
          <w:b w:val="0"/>
          <w:bCs w:val="0"/>
          <w:lang w:val="sq-AL"/>
        </w:rPr>
        <w:t xml:space="preserve">, </w:t>
      </w:r>
      <w:r w:rsidR="006E35CF" w:rsidRPr="000307AC">
        <w:rPr>
          <w:rStyle w:val="Strong"/>
          <w:b w:val="0"/>
          <w:bCs w:val="0"/>
          <w:lang w:val="sq-AL"/>
        </w:rPr>
        <w:t>është</w:t>
      </w:r>
      <w:r w:rsidR="00B31B34" w:rsidRPr="000307AC">
        <w:rPr>
          <w:rStyle w:val="Strong"/>
          <w:b w:val="0"/>
          <w:bCs w:val="0"/>
          <w:lang w:val="sq-AL"/>
        </w:rPr>
        <w:t>:</w:t>
      </w:r>
    </w:p>
    <w:p w14:paraId="31048E72" w14:textId="2977F756" w:rsidR="006D79A6" w:rsidRPr="001347BD" w:rsidRDefault="00B31B34" w:rsidP="001347BD">
      <w:pPr>
        <w:spacing w:line="276" w:lineRule="auto"/>
        <w:rPr>
          <w:rStyle w:val="Strong"/>
          <w:b w:val="0"/>
          <w:bCs w:val="0"/>
          <w:lang w:val="sq-AL"/>
        </w:rPr>
      </w:pPr>
      <w:r w:rsidRPr="001347BD">
        <w:rPr>
          <w:rStyle w:val="Strong"/>
          <w:b w:val="0"/>
          <w:bCs w:val="0"/>
          <w:lang w:val="sq-AL"/>
        </w:rPr>
        <w:t xml:space="preserve"> </w:t>
      </w:r>
    </w:p>
    <w:p w14:paraId="79138A72" w14:textId="0F7D3A55" w:rsidR="005D1B29" w:rsidRDefault="00CE2E5C" w:rsidP="005D1B29">
      <w:pPr>
        <w:spacing w:line="276" w:lineRule="auto"/>
        <w:jc w:val="both"/>
        <w:rPr>
          <w:lang w:val="sq-AL"/>
        </w:rPr>
      </w:pPr>
      <w:r w:rsidRPr="000307AC">
        <w:rPr>
          <w:lang w:val="sq-AL"/>
        </w:rPr>
        <w:t>a) në Republikën e Shqipërisë, Drejtoria e Përgjithshme e Tatimeve; dhe</w:t>
      </w:r>
    </w:p>
    <w:p w14:paraId="123D6B54" w14:textId="523377B7" w:rsidR="001662A3" w:rsidRPr="000307AC" w:rsidRDefault="00CE2E5C" w:rsidP="001347BD">
      <w:pPr>
        <w:spacing w:line="276" w:lineRule="auto"/>
        <w:jc w:val="both"/>
        <w:rPr>
          <w:lang w:val="sq-AL"/>
        </w:rPr>
      </w:pPr>
      <w:r w:rsidRPr="000307AC">
        <w:rPr>
          <w:lang w:val="sq-AL"/>
        </w:rPr>
        <w:t>b) në lidhje me juridiksionet e tjera, autoriteti i përcaktuar si kompetent në përputhje me legjislacionin në fuqi të atyre juridiksioneve</w:t>
      </w:r>
    </w:p>
    <w:p w14:paraId="34C95A6D" w14:textId="0B33852C" w:rsidR="001662A3" w:rsidRPr="000307AC" w:rsidRDefault="009C2BF0" w:rsidP="000307AC">
      <w:pPr>
        <w:pStyle w:val="NormalWeb"/>
        <w:spacing w:line="276" w:lineRule="auto"/>
        <w:jc w:val="both"/>
        <w:rPr>
          <w:lang w:val="sq-AL"/>
        </w:rPr>
      </w:pPr>
      <w:r w:rsidRPr="001347BD">
        <w:rPr>
          <w:rStyle w:val="Strong"/>
          <w:b w:val="0"/>
          <w:bCs w:val="0"/>
          <w:lang w:val="sq-AL"/>
        </w:rPr>
        <w:t>11</w:t>
      </w:r>
      <w:r w:rsidR="001662A3" w:rsidRPr="001347BD">
        <w:rPr>
          <w:rStyle w:val="Strong"/>
          <w:b w:val="0"/>
          <w:bCs w:val="0"/>
          <w:lang w:val="sq-AL"/>
        </w:rPr>
        <w:t xml:space="preserve">. “Shtet Anëtar” </w:t>
      </w:r>
      <w:r w:rsidR="006E35CF" w:rsidRPr="000307AC">
        <w:rPr>
          <w:rStyle w:val="Strong"/>
          <w:b w:val="0"/>
          <w:bCs w:val="0"/>
          <w:lang w:val="sq-AL"/>
        </w:rPr>
        <w:t>është</w:t>
      </w:r>
      <w:r w:rsidR="006E35CF" w:rsidRPr="000307AC">
        <w:rPr>
          <w:lang w:val="sq-AL"/>
        </w:rPr>
        <w:t xml:space="preserve"> </w:t>
      </w:r>
      <w:r w:rsidR="001662A3" w:rsidRPr="000307AC">
        <w:rPr>
          <w:lang w:val="sq-AL"/>
        </w:rPr>
        <w:t>çdo Shtet Anëtar i Bashkimit Evropian.</w:t>
      </w:r>
    </w:p>
    <w:p w14:paraId="2B9EE52F" w14:textId="2CD31790" w:rsidR="001662A3" w:rsidRPr="000307AC" w:rsidRDefault="00756EC7" w:rsidP="000307AC">
      <w:pPr>
        <w:pStyle w:val="NormalWeb"/>
        <w:spacing w:line="276" w:lineRule="auto"/>
        <w:jc w:val="both"/>
        <w:rPr>
          <w:lang w:val="sq-AL"/>
        </w:rPr>
      </w:pPr>
      <w:r w:rsidRPr="001347BD">
        <w:rPr>
          <w:rStyle w:val="Strong"/>
          <w:b w:val="0"/>
          <w:bCs w:val="0"/>
          <w:lang w:val="sq-AL"/>
        </w:rPr>
        <w:t>1</w:t>
      </w:r>
      <w:r w:rsidR="009C2BF0" w:rsidRPr="001347BD">
        <w:rPr>
          <w:rStyle w:val="Strong"/>
          <w:b w:val="0"/>
          <w:bCs w:val="0"/>
          <w:lang w:val="sq-AL"/>
        </w:rPr>
        <w:t>2</w:t>
      </w:r>
      <w:r w:rsidR="001662A3" w:rsidRPr="001347BD">
        <w:rPr>
          <w:rStyle w:val="Strong"/>
          <w:b w:val="0"/>
          <w:bCs w:val="0"/>
          <w:lang w:val="sq-AL"/>
        </w:rPr>
        <w:t xml:space="preserve">. “Numër reference” </w:t>
      </w:r>
      <w:r w:rsidR="006E35CF" w:rsidRPr="000307AC">
        <w:rPr>
          <w:rStyle w:val="Strong"/>
          <w:b w:val="0"/>
          <w:bCs w:val="0"/>
          <w:lang w:val="sq-AL"/>
        </w:rPr>
        <w:t>është</w:t>
      </w:r>
      <w:r w:rsidR="006E35CF" w:rsidRPr="000307AC">
        <w:rPr>
          <w:lang w:val="sq-AL"/>
        </w:rPr>
        <w:t xml:space="preserve"> </w:t>
      </w:r>
      <w:r w:rsidR="001662A3" w:rsidRPr="000307AC">
        <w:rPr>
          <w:lang w:val="sq-AL"/>
        </w:rPr>
        <w:t>numri unik i identifikimit i caktuar nga autorite</w:t>
      </w:r>
      <w:r w:rsidR="00187BCF" w:rsidRPr="000307AC">
        <w:rPr>
          <w:lang w:val="sq-AL"/>
        </w:rPr>
        <w:t>ti kompetent për çdo mekanizëm ndërkufitar</w:t>
      </w:r>
      <w:r w:rsidR="001662A3" w:rsidRPr="000307AC">
        <w:rPr>
          <w:lang w:val="sq-AL"/>
        </w:rPr>
        <w:t xml:space="preserve"> të raportuesh</w:t>
      </w:r>
      <w:r w:rsidR="00187BCF" w:rsidRPr="000307AC">
        <w:rPr>
          <w:lang w:val="sq-AL"/>
        </w:rPr>
        <w:t>ëm</w:t>
      </w:r>
      <w:r w:rsidR="001662A3" w:rsidRPr="000307AC">
        <w:rPr>
          <w:lang w:val="sq-AL"/>
        </w:rPr>
        <w:t>.</w:t>
      </w:r>
    </w:p>
    <w:p w14:paraId="46A75B0E" w14:textId="207B09EB" w:rsidR="00E857D4" w:rsidRPr="000307AC" w:rsidRDefault="001B65BA" w:rsidP="000307AC">
      <w:pPr>
        <w:spacing w:line="276" w:lineRule="auto"/>
        <w:jc w:val="center"/>
        <w:rPr>
          <w:lang w:val="sq-AL"/>
        </w:rPr>
      </w:pPr>
      <w:r w:rsidRPr="000307AC">
        <w:rPr>
          <w:b/>
          <w:lang w:val="sq-AL"/>
        </w:rPr>
        <w:lastRenderedPageBreak/>
        <w:t>KAPITULLI II</w:t>
      </w:r>
    </w:p>
    <w:p w14:paraId="1D5D024D" w14:textId="77777777" w:rsidR="00E857D4" w:rsidRPr="000307AC" w:rsidRDefault="001B65BA" w:rsidP="000307AC">
      <w:pPr>
        <w:pStyle w:val="Heading2"/>
        <w:spacing w:line="276" w:lineRule="auto"/>
        <w:rPr>
          <w:sz w:val="24"/>
          <w:szCs w:val="24"/>
          <w:lang w:val="sq-AL"/>
        </w:rPr>
      </w:pPr>
      <w:r w:rsidRPr="000307AC">
        <w:rPr>
          <w:sz w:val="24"/>
          <w:szCs w:val="24"/>
          <w:lang w:val="sq-AL"/>
        </w:rPr>
        <w:t>DETYRIMET E RAPORTIMIT</w:t>
      </w:r>
    </w:p>
    <w:p w14:paraId="65E7424C" w14:textId="77777777" w:rsidR="00554DCE" w:rsidRPr="000307AC" w:rsidRDefault="00554DCE" w:rsidP="000307AC">
      <w:pPr>
        <w:pStyle w:val="Heading2"/>
        <w:spacing w:line="276" w:lineRule="auto"/>
        <w:rPr>
          <w:sz w:val="24"/>
          <w:szCs w:val="24"/>
          <w:lang w:val="sq-AL"/>
        </w:rPr>
      </w:pPr>
      <w:r w:rsidRPr="000307AC">
        <w:rPr>
          <w:sz w:val="24"/>
          <w:szCs w:val="24"/>
          <w:lang w:val="sq-AL"/>
        </w:rPr>
        <w:t>Neni 5</w:t>
      </w:r>
    </w:p>
    <w:p w14:paraId="09AF3F89" w14:textId="232532A1" w:rsidR="00554DCE" w:rsidRPr="000307AC" w:rsidRDefault="00554DCE" w:rsidP="000307AC">
      <w:pPr>
        <w:pStyle w:val="Heading2"/>
        <w:spacing w:line="276" w:lineRule="auto"/>
        <w:ind w:left="720"/>
        <w:rPr>
          <w:sz w:val="24"/>
          <w:szCs w:val="24"/>
          <w:lang w:val="sq-AL"/>
        </w:rPr>
      </w:pPr>
      <w:r w:rsidRPr="000307AC">
        <w:rPr>
          <w:sz w:val="24"/>
          <w:szCs w:val="24"/>
          <w:lang w:val="sq-AL"/>
        </w:rPr>
        <w:t>Detyrimi i raportimit për ndërmjetësin</w:t>
      </w:r>
    </w:p>
    <w:p w14:paraId="085287F0" w14:textId="19F35C06" w:rsidR="00554DCE" w:rsidRPr="000307AC" w:rsidRDefault="00554DCE" w:rsidP="000307AC">
      <w:pPr>
        <w:pStyle w:val="Heading2"/>
        <w:numPr>
          <w:ilvl w:val="0"/>
          <w:numId w:val="4"/>
        </w:numPr>
        <w:spacing w:line="276" w:lineRule="auto"/>
        <w:ind w:left="360" w:hanging="270"/>
        <w:jc w:val="both"/>
        <w:rPr>
          <w:b w:val="0"/>
          <w:bCs w:val="0"/>
          <w:sz w:val="24"/>
          <w:szCs w:val="24"/>
          <w:lang w:val="sq-AL"/>
        </w:rPr>
      </w:pPr>
      <w:r w:rsidRPr="000307AC">
        <w:rPr>
          <w:b w:val="0"/>
          <w:sz w:val="24"/>
          <w:szCs w:val="24"/>
          <w:lang w:val="sq-AL"/>
        </w:rPr>
        <w:t xml:space="preserve">Çdo ndërmjetës ka detyrimin t’i raportojë autoritetit kompetent informacionin mbi </w:t>
      </w:r>
      <w:r w:rsidR="001D357C" w:rsidRPr="000307AC">
        <w:rPr>
          <w:b w:val="0"/>
          <w:sz w:val="24"/>
          <w:szCs w:val="24"/>
          <w:lang w:val="sq-AL"/>
        </w:rPr>
        <w:t>mekanizmat</w:t>
      </w:r>
      <w:r w:rsidRPr="000307AC">
        <w:rPr>
          <w:b w:val="0"/>
          <w:sz w:val="24"/>
          <w:szCs w:val="24"/>
          <w:lang w:val="sq-AL"/>
        </w:rPr>
        <w:t xml:space="preserve"> ndërkufitare të raportueshme që janë brenda njohurive, zotërimit ose kontrollit të tij, brenda 30 ditëve duke filluar nga:</w:t>
      </w:r>
    </w:p>
    <w:p w14:paraId="6135A4E1" w14:textId="0FB26297" w:rsidR="00554DCE" w:rsidRPr="000307AC" w:rsidRDefault="00554DCE" w:rsidP="000307AC">
      <w:pPr>
        <w:pStyle w:val="Heading2"/>
        <w:tabs>
          <w:tab w:val="left" w:pos="450"/>
        </w:tabs>
        <w:spacing w:before="0" w:after="0" w:line="276" w:lineRule="auto"/>
        <w:ind w:left="360"/>
        <w:jc w:val="both"/>
        <w:rPr>
          <w:b w:val="0"/>
          <w:bCs w:val="0"/>
          <w:sz w:val="24"/>
          <w:szCs w:val="24"/>
          <w:lang w:val="sq-AL"/>
        </w:rPr>
      </w:pPr>
      <w:r w:rsidRPr="000307AC">
        <w:rPr>
          <w:b w:val="0"/>
          <w:sz w:val="24"/>
          <w:szCs w:val="24"/>
          <w:lang w:val="sq-AL"/>
        </w:rPr>
        <w:t xml:space="preserve">a) </w:t>
      </w:r>
      <w:r w:rsidR="00904E6C" w:rsidRPr="000307AC">
        <w:rPr>
          <w:b w:val="0"/>
          <w:sz w:val="24"/>
          <w:szCs w:val="24"/>
          <w:lang w:val="sq-AL"/>
        </w:rPr>
        <w:t>nga e nes</w:t>
      </w:r>
      <w:r w:rsidR="002E3518" w:rsidRPr="000307AC">
        <w:rPr>
          <w:b w:val="0"/>
          <w:sz w:val="24"/>
          <w:szCs w:val="24"/>
          <w:lang w:val="sq-AL"/>
        </w:rPr>
        <w:t>ë</w:t>
      </w:r>
      <w:r w:rsidR="00904E6C" w:rsidRPr="000307AC">
        <w:rPr>
          <w:b w:val="0"/>
          <w:sz w:val="24"/>
          <w:szCs w:val="24"/>
          <w:lang w:val="sq-AL"/>
        </w:rPr>
        <w:t>rmja e dit</w:t>
      </w:r>
      <w:r w:rsidR="002E3518" w:rsidRPr="000307AC">
        <w:rPr>
          <w:b w:val="0"/>
          <w:sz w:val="24"/>
          <w:szCs w:val="24"/>
          <w:lang w:val="sq-AL"/>
        </w:rPr>
        <w:t>ë</w:t>
      </w:r>
      <w:r w:rsidR="00904E6C" w:rsidRPr="000307AC">
        <w:rPr>
          <w:b w:val="0"/>
          <w:sz w:val="24"/>
          <w:szCs w:val="24"/>
          <w:lang w:val="sq-AL"/>
        </w:rPr>
        <w:t>s kur</w:t>
      </w:r>
      <w:r w:rsidRPr="000307AC">
        <w:rPr>
          <w:b w:val="0"/>
          <w:sz w:val="24"/>
          <w:szCs w:val="24"/>
          <w:lang w:val="sq-AL"/>
        </w:rPr>
        <w:t xml:space="preserve"> </w:t>
      </w:r>
      <w:r w:rsidR="001259F0" w:rsidRPr="000307AC">
        <w:rPr>
          <w:b w:val="0"/>
          <w:sz w:val="24"/>
          <w:szCs w:val="24"/>
          <w:lang w:val="sq-AL"/>
        </w:rPr>
        <w:t>mekanizmi</w:t>
      </w:r>
      <w:r w:rsidRPr="000307AC">
        <w:rPr>
          <w:b w:val="0"/>
          <w:sz w:val="24"/>
          <w:szCs w:val="24"/>
          <w:lang w:val="sq-AL"/>
        </w:rPr>
        <w:t xml:space="preserve"> ndërkufitar </w:t>
      </w:r>
      <w:r w:rsidR="001259F0" w:rsidRPr="000307AC">
        <w:rPr>
          <w:b w:val="0"/>
          <w:sz w:val="24"/>
          <w:szCs w:val="24"/>
          <w:lang w:val="sq-AL"/>
        </w:rPr>
        <w:t>i</w:t>
      </w:r>
      <w:r w:rsidRPr="000307AC">
        <w:rPr>
          <w:b w:val="0"/>
          <w:sz w:val="24"/>
          <w:szCs w:val="24"/>
          <w:lang w:val="sq-AL"/>
        </w:rPr>
        <w:t xml:space="preserve"> raportuesh</w:t>
      </w:r>
      <w:r w:rsidR="002E3518" w:rsidRPr="000307AC">
        <w:rPr>
          <w:b w:val="0"/>
          <w:sz w:val="24"/>
          <w:szCs w:val="24"/>
          <w:lang w:val="sq-AL"/>
        </w:rPr>
        <w:t>ë</w:t>
      </w:r>
      <w:r w:rsidRPr="000307AC">
        <w:rPr>
          <w:b w:val="0"/>
          <w:sz w:val="24"/>
          <w:szCs w:val="24"/>
          <w:lang w:val="sq-AL"/>
        </w:rPr>
        <w:t>m vihet në dispozicion për zbatim; ose</w:t>
      </w:r>
    </w:p>
    <w:p w14:paraId="62032966" w14:textId="0523979C" w:rsidR="00554DCE" w:rsidRPr="000307AC" w:rsidRDefault="00554DCE" w:rsidP="000307AC">
      <w:pPr>
        <w:pStyle w:val="Heading2"/>
        <w:tabs>
          <w:tab w:val="left" w:pos="450"/>
        </w:tabs>
        <w:spacing w:before="0" w:after="0" w:line="276" w:lineRule="auto"/>
        <w:ind w:left="360"/>
        <w:jc w:val="both"/>
        <w:rPr>
          <w:b w:val="0"/>
          <w:bCs w:val="0"/>
          <w:sz w:val="24"/>
          <w:szCs w:val="24"/>
          <w:lang w:val="sq-AL"/>
        </w:rPr>
      </w:pPr>
      <w:r w:rsidRPr="000307AC">
        <w:rPr>
          <w:b w:val="0"/>
          <w:sz w:val="24"/>
          <w:szCs w:val="24"/>
          <w:lang w:val="sq-AL"/>
        </w:rPr>
        <w:t xml:space="preserve">b) ditën pas datës në të cilën </w:t>
      </w:r>
      <w:r w:rsidR="001259F0" w:rsidRPr="000307AC">
        <w:rPr>
          <w:b w:val="0"/>
          <w:sz w:val="24"/>
          <w:szCs w:val="24"/>
          <w:lang w:val="sq-AL"/>
        </w:rPr>
        <w:t>mekanizmi</w:t>
      </w:r>
      <w:r w:rsidRPr="000307AC">
        <w:rPr>
          <w:b w:val="0"/>
          <w:sz w:val="24"/>
          <w:szCs w:val="24"/>
          <w:lang w:val="sq-AL"/>
        </w:rPr>
        <w:t xml:space="preserve"> ndërkufitar </w:t>
      </w:r>
      <w:r w:rsidR="001259F0" w:rsidRPr="000307AC">
        <w:rPr>
          <w:b w:val="0"/>
          <w:sz w:val="24"/>
          <w:szCs w:val="24"/>
          <w:lang w:val="sq-AL"/>
        </w:rPr>
        <w:t>i</w:t>
      </w:r>
      <w:r w:rsidRPr="000307AC">
        <w:rPr>
          <w:b w:val="0"/>
          <w:sz w:val="24"/>
          <w:szCs w:val="24"/>
          <w:lang w:val="sq-AL"/>
        </w:rPr>
        <w:t xml:space="preserve"> raportueshm është gati për zbatim; ose</w:t>
      </w:r>
    </w:p>
    <w:p w14:paraId="4D8E4A6C" w14:textId="497CE198" w:rsidR="00554DCE" w:rsidRPr="000307AC" w:rsidRDefault="00554DCE" w:rsidP="000307AC">
      <w:pPr>
        <w:pStyle w:val="Heading2"/>
        <w:tabs>
          <w:tab w:val="left" w:pos="450"/>
        </w:tabs>
        <w:spacing w:before="0" w:after="0" w:line="276" w:lineRule="auto"/>
        <w:ind w:left="360"/>
        <w:jc w:val="both"/>
        <w:rPr>
          <w:b w:val="0"/>
          <w:bCs w:val="0"/>
          <w:sz w:val="24"/>
          <w:szCs w:val="24"/>
          <w:lang w:val="sq-AL"/>
        </w:rPr>
      </w:pPr>
      <w:r w:rsidRPr="000307AC">
        <w:rPr>
          <w:b w:val="0"/>
          <w:sz w:val="24"/>
          <w:szCs w:val="24"/>
          <w:lang w:val="sq-AL"/>
        </w:rPr>
        <w:t xml:space="preserve">c) dita në të cilën është bërë hapi i parë në zbatimin e </w:t>
      </w:r>
      <w:r w:rsidR="001259F0" w:rsidRPr="000307AC">
        <w:rPr>
          <w:b w:val="0"/>
          <w:sz w:val="24"/>
          <w:szCs w:val="24"/>
          <w:lang w:val="sq-AL"/>
        </w:rPr>
        <w:t>mekanizmit</w:t>
      </w:r>
      <w:r w:rsidRPr="000307AC">
        <w:rPr>
          <w:b w:val="0"/>
          <w:sz w:val="24"/>
          <w:szCs w:val="24"/>
          <w:lang w:val="sq-AL"/>
        </w:rPr>
        <w:t xml:space="preserve"> ndërkufitare të raportuesh</w:t>
      </w:r>
      <w:r w:rsidR="002E3518" w:rsidRPr="000307AC">
        <w:rPr>
          <w:b w:val="0"/>
          <w:sz w:val="24"/>
          <w:szCs w:val="24"/>
          <w:lang w:val="sq-AL"/>
        </w:rPr>
        <w:t>ë</w:t>
      </w:r>
      <w:r w:rsidRPr="000307AC">
        <w:rPr>
          <w:b w:val="0"/>
          <w:sz w:val="24"/>
          <w:szCs w:val="24"/>
          <w:lang w:val="sq-AL"/>
        </w:rPr>
        <w:t>m, cilado nga këto data që ndodh e para.</w:t>
      </w:r>
    </w:p>
    <w:p w14:paraId="46C891D5" w14:textId="1B3208CB" w:rsidR="00554DCE" w:rsidRPr="000307AC" w:rsidRDefault="00554DCE" w:rsidP="000307AC">
      <w:pPr>
        <w:pStyle w:val="Heading2"/>
        <w:numPr>
          <w:ilvl w:val="0"/>
          <w:numId w:val="2"/>
        </w:numPr>
        <w:spacing w:line="276" w:lineRule="auto"/>
        <w:ind w:left="360" w:hanging="90"/>
        <w:jc w:val="both"/>
        <w:rPr>
          <w:b w:val="0"/>
          <w:bCs w:val="0"/>
          <w:sz w:val="24"/>
          <w:szCs w:val="24"/>
          <w:lang w:val="sq-AL"/>
        </w:rPr>
      </w:pPr>
      <w:r w:rsidRPr="000307AC">
        <w:rPr>
          <w:b w:val="0"/>
          <w:sz w:val="24"/>
          <w:szCs w:val="24"/>
          <w:lang w:val="sq-AL"/>
        </w:rPr>
        <w:t xml:space="preserve">Një ndërmjetës që ofron, drejtpërdrejt ose nëpërmjet personave të tjerë, ndihmë, asistencë ose këshilla në lidhje me një </w:t>
      </w:r>
      <w:r w:rsidR="001259F0" w:rsidRPr="000307AC">
        <w:rPr>
          <w:b w:val="0"/>
          <w:sz w:val="24"/>
          <w:szCs w:val="24"/>
          <w:lang w:val="sq-AL"/>
        </w:rPr>
        <w:t>mekaniz</w:t>
      </w:r>
      <w:r w:rsidR="002E3518" w:rsidRPr="000307AC">
        <w:rPr>
          <w:b w:val="0"/>
          <w:sz w:val="24"/>
          <w:szCs w:val="24"/>
          <w:lang w:val="sq-AL"/>
        </w:rPr>
        <w:t>ë</w:t>
      </w:r>
      <w:r w:rsidR="001259F0" w:rsidRPr="000307AC">
        <w:rPr>
          <w:b w:val="0"/>
          <w:sz w:val="24"/>
          <w:szCs w:val="24"/>
          <w:lang w:val="sq-AL"/>
        </w:rPr>
        <w:t>m</w:t>
      </w:r>
      <w:r w:rsidRPr="000307AC">
        <w:rPr>
          <w:b w:val="0"/>
          <w:sz w:val="24"/>
          <w:szCs w:val="24"/>
          <w:lang w:val="sq-AL"/>
        </w:rPr>
        <w:t xml:space="preserve"> ndërkufitar të raportuesh</w:t>
      </w:r>
      <w:r w:rsidR="002E3518" w:rsidRPr="000307AC">
        <w:rPr>
          <w:b w:val="0"/>
          <w:sz w:val="24"/>
          <w:szCs w:val="24"/>
          <w:lang w:val="sq-AL"/>
        </w:rPr>
        <w:t>ë</w:t>
      </w:r>
      <w:r w:rsidRPr="000307AC">
        <w:rPr>
          <w:b w:val="0"/>
          <w:sz w:val="24"/>
          <w:szCs w:val="24"/>
          <w:lang w:val="sq-AL"/>
        </w:rPr>
        <w:t xml:space="preserve">m ka detyrimin të raportojë informacionin brenda 30 ditëve duke filluar nga </w:t>
      </w:r>
      <w:r w:rsidR="004D0CF1" w:rsidRPr="000307AC">
        <w:rPr>
          <w:b w:val="0"/>
          <w:sz w:val="24"/>
          <w:szCs w:val="24"/>
          <w:lang w:val="sq-AL"/>
        </w:rPr>
        <w:t>e nes</w:t>
      </w:r>
      <w:r w:rsidR="002E3518" w:rsidRPr="000307AC">
        <w:rPr>
          <w:b w:val="0"/>
          <w:sz w:val="24"/>
          <w:szCs w:val="24"/>
          <w:lang w:val="sq-AL"/>
        </w:rPr>
        <w:t>ë</w:t>
      </w:r>
      <w:r w:rsidR="004D0CF1" w:rsidRPr="000307AC">
        <w:rPr>
          <w:b w:val="0"/>
          <w:sz w:val="24"/>
          <w:szCs w:val="24"/>
          <w:lang w:val="sq-AL"/>
        </w:rPr>
        <w:t>rmja</w:t>
      </w:r>
      <w:r w:rsidR="00504747" w:rsidRPr="000307AC">
        <w:rPr>
          <w:b w:val="0"/>
          <w:sz w:val="24"/>
          <w:szCs w:val="24"/>
          <w:lang w:val="sq-AL"/>
        </w:rPr>
        <w:t xml:space="preserve"> e dat</w:t>
      </w:r>
      <w:r w:rsidR="00BD57C6" w:rsidRPr="000307AC">
        <w:rPr>
          <w:b w:val="0"/>
          <w:sz w:val="24"/>
          <w:szCs w:val="24"/>
          <w:lang w:val="sq-AL"/>
        </w:rPr>
        <w:t>ë</w:t>
      </w:r>
      <w:r w:rsidR="00504747" w:rsidRPr="000307AC">
        <w:rPr>
          <w:b w:val="0"/>
          <w:sz w:val="24"/>
          <w:szCs w:val="24"/>
          <w:lang w:val="sq-AL"/>
        </w:rPr>
        <w:t>s</w:t>
      </w:r>
      <w:r w:rsidRPr="000307AC">
        <w:rPr>
          <w:b w:val="0"/>
          <w:sz w:val="24"/>
          <w:szCs w:val="24"/>
          <w:lang w:val="sq-AL"/>
        </w:rPr>
        <w:t xml:space="preserve"> në të cilën është ofruar ndihma, asistenca ose këshilla.</w:t>
      </w:r>
    </w:p>
    <w:p w14:paraId="74D5DA40" w14:textId="06DC2B04" w:rsidR="00554DCE" w:rsidRPr="000307AC" w:rsidRDefault="00554DCE" w:rsidP="000307AC">
      <w:pPr>
        <w:pStyle w:val="Heading2"/>
        <w:numPr>
          <w:ilvl w:val="0"/>
          <w:numId w:val="2"/>
        </w:numPr>
        <w:spacing w:line="276" w:lineRule="auto"/>
        <w:ind w:left="360" w:hanging="90"/>
        <w:jc w:val="both"/>
        <w:rPr>
          <w:b w:val="0"/>
          <w:bCs w:val="0"/>
          <w:sz w:val="24"/>
          <w:szCs w:val="24"/>
          <w:lang w:val="sq-AL"/>
        </w:rPr>
      </w:pPr>
      <w:r w:rsidRPr="000307AC">
        <w:rPr>
          <w:b w:val="0"/>
          <w:sz w:val="24"/>
          <w:szCs w:val="24"/>
          <w:lang w:val="sq-AL"/>
        </w:rPr>
        <w:t>Një ndërmjetës përjashtohet nga detyrimi për raportim nëse vërteton se i njëjti informacion është raportuar tashmë nga një ndërmjetës tjetër.</w:t>
      </w:r>
      <w:r w:rsidR="00904E6C" w:rsidRPr="000307AC">
        <w:rPr>
          <w:b w:val="0"/>
          <w:bCs w:val="0"/>
          <w:sz w:val="24"/>
          <w:szCs w:val="24"/>
        </w:rPr>
        <w:t xml:space="preserve"> </w:t>
      </w:r>
      <w:r w:rsidR="00904E6C" w:rsidRPr="000307AC">
        <w:rPr>
          <w:b w:val="0"/>
          <w:sz w:val="24"/>
          <w:szCs w:val="24"/>
        </w:rPr>
        <w:t>V</w:t>
      </w:r>
      <w:r w:rsidR="00764EA4" w:rsidRPr="000307AC">
        <w:rPr>
          <w:b w:val="0"/>
          <w:sz w:val="24"/>
          <w:szCs w:val="24"/>
        </w:rPr>
        <w:t>erifikim</w:t>
      </w:r>
      <w:r w:rsidR="00904E6C" w:rsidRPr="000307AC">
        <w:rPr>
          <w:b w:val="0"/>
          <w:sz w:val="24"/>
          <w:szCs w:val="24"/>
        </w:rPr>
        <w:t>i bëhet nëpërmjet numrit unik të referencës së raportimit ose dokumentacionit tjetër të lëshuar nga autoriteti kompetent.</w:t>
      </w:r>
    </w:p>
    <w:p w14:paraId="4B22B3DF" w14:textId="77777777" w:rsidR="00554DCE" w:rsidRPr="000307AC" w:rsidRDefault="00554DCE" w:rsidP="000307AC">
      <w:pPr>
        <w:pStyle w:val="Heading2"/>
        <w:spacing w:line="276" w:lineRule="auto"/>
        <w:rPr>
          <w:sz w:val="24"/>
          <w:szCs w:val="24"/>
          <w:lang w:val="sq-AL"/>
        </w:rPr>
      </w:pPr>
      <w:r w:rsidRPr="000307AC">
        <w:rPr>
          <w:sz w:val="24"/>
          <w:szCs w:val="24"/>
          <w:lang w:val="sq-AL"/>
        </w:rPr>
        <w:t>Neni 6</w:t>
      </w:r>
    </w:p>
    <w:p w14:paraId="6A5608A2" w14:textId="6F13A5CF" w:rsidR="00554DCE" w:rsidRPr="000307AC" w:rsidRDefault="00554DCE" w:rsidP="000307AC">
      <w:pPr>
        <w:pStyle w:val="Heading2"/>
        <w:spacing w:line="276" w:lineRule="auto"/>
        <w:rPr>
          <w:sz w:val="24"/>
          <w:szCs w:val="24"/>
          <w:lang w:val="sq-AL"/>
        </w:rPr>
      </w:pPr>
      <w:r w:rsidRPr="000307AC">
        <w:rPr>
          <w:sz w:val="24"/>
          <w:szCs w:val="24"/>
          <w:lang w:val="sq-AL"/>
        </w:rPr>
        <w:t xml:space="preserve">Raportimi periodik për </w:t>
      </w:r>
      <w:r w:rsidR="00504747" w:rsidRPr="000307AC">
        <w:rPr>
          <w:sz w:val="24"/>
          <w:szCs w:val="24"/>
          <w:lang w:val="sq-AL"/>
        </w:rPr>
        <w:t>mekanizmat e tregtuesh</w:t>
      </w:r>
      <w:r w:rsidR="00BD57C6" w:rsidRPr="000307AC">
        <w:rPr>
          <w:sz w:val="24"/>
          <w:szCs w:val="24"/>
          <w:lang w:val="sq-AL"/>
        </w:rPr>
        <w:t>ë</w:t>
      </w:r>
      <w:r w:rsidR="00504747" w:rsidRPr="000307AC">
        <w:rPr>
          <w:sz w:val="24"/>
          <w:szCs w:val="24"/>
          <w:lang w:val="sq-AL"/>
        </w:rPr>
        <w:t>m</w:t>
      </w:r>
    </w:p>
    <w:p w14:paraId="05371C51" w14:textId="3FB14757" w:rsidR="00554DCE" w:rsidRPr="000307AC" w:rsidRDefault="00554DCE" w:rsidP="000307AC">
      <w:pPr>
        <w:pStyle w:val="Heading2"/>
        <w:numPr>
          <w:ilvl w:val="0"/>
          <w:numId w:val="3"/>
        </w:numPr>
        <w:tabs>
          <w:tab w:val="clear" w:pos="720"/>
          <w:tab w:val="num" w:pos="450"/>
        </w:tabs>
        <w:spacing w:line="276" w:lineRule="auto"/>
        <w:ind w:left="360"/>
        <w:jc w:val="both"/>
        <w:rPr>
          <w:b w:val="0"/>
          <w:bCs w:val="0"/>
          <w:sz w:val="24"/>
          <w:szCs w:val="24"/>
          <w:lang w:val="sq-AL"/>
        </w:rPr>
      </w:pPr>
      <w:r w:rsidRPr="000307AC">
        <w:rPr>
          <w:b w:val="0"/>
          <w:sz w:val="24"/>
          <w:szCs w:val="24"/>
          <w:lang w:val="sq-AL"/>
        </w:rPr>
        <w:t xml:space="preserve">Në rastin e </w:t>
      </w:r>
      <w:r w:rsidR="00A958A5" w:rsidRPr="000307AC">
        <w:rPr>
          <w:b w:val="0"/>
          <w:sz w:val="24"/>
          <w:szCs w:val="24"/>
          <w:lang w:val="sq-AL"/>
        </w:rPr>
        <w:t>mekanizmave</w:t>
      </w:r>
      <w:r w:rsidRPr="000307AC">
        <w:rPr>
          <w:b w:val="0"/>
          <w:sz w:val="24"/>
          <w:szCs w:val="24"/>
          <w:lang w:val="sq-AL"/>
        </w:rPr>
        <w:t xml:space="preserve"> të </w:t>
      </w:r>
      <w:r w:rsidR="00A958A5" w:rsidRPr="000307AC">
        <w:rPr>
          <w:b w:val="0"/>
          <w:sz w:val="24"/>
          <w:szCs w:val="24"/>
          <w:lang w:val="sq-AL"/>
        </w:rPr>
        <w:t>tregtuesh</w:t>
      </w:r>
      <w:r w:rsidR="00BD57C6" w:rsidRPr="000307AC">
        <w:rPr>
          <w:b w:val="0"/>
          <w:sz w:val="24"/>
          <w:szCs w:val="24"/>
          <w:lang w:val="sq-AL"/>
        </w:rPr>
        <w:t>ë</w:t>
      </w:r>
      <w:r w:rsidR="00A958A5" w:rsidRPr="000307AC">
        <w:rPr>
          <w:b w:val="0"/>
          <w:sz w:val="24"/>
          <w:szCs w:val="24"/>
          <w:lang w:val="sq-AL"/>
        </w:rPr>
        <w:t>m</w:t>
      </w:r>
      <w:r w:rsidRPr="000307AC">
        <w:rPr>
          <w:b w:val="0"/>
          <w:sz w:val="24"/>
          <w:szCs w:val="24"/>
          <w:lang w:val="sq-AL"/>
        </w:rPr>
        <w:t xml:space="preserve">, ndërmjetësi duhet t'i paraqesë autoritetit kompetent një raport periodik çdo tre muaj </w:t>
      </w:r>
      <w:r w:rsidR="00DC45F7" w:rsidRPr="000307AC">
        <w:rPr>
          <w:b w:val="0"/>
          <w:sz w:val="24"/>
          <w:szCs w:val="24"/>
          <w:lang w:val="sq-AL"/>
        </w:rPr>
        <w:t xml:space="preserve"> </w:t>
      </w:r>
      <w:r w:rsidR="00683A42" w:rsidRPr="000307AC">
        <w:rPr>
          <w:b w:val="0"/>
          <w:sz w:val="24"/>
          <w:szCs w:val="24"/>
          <w:lang w:val="sq-AL"/>
        </w:rPr>
        <w:t>duke ofruar një përditësim që përmban informacion të ri të raportueshëm në lidhje me këto marrëveshje</w:t>
      </w:r>
      <w:r w:rsidR="00EB0791" w:rsidRPr="000307AC">
        <w:rPr>
          <w:b w:val="0"/>
          <w:sz w:val="24"/>
          <w:szCs w:val="24"/>
          <w:lang w:val="sq-AL"/>
        </w:rPr>
        <w:t xml:space="preserve">. </w:t>
      </w:r>
      <w:r w:rsidR="00DC45F7" w:rsidRPr="000307AC">
        <w:rPr>
          <w:b w:val="0"/>
          <w:sz w:val="24"/>
          <w:szCs w:val="24"/>
          <w:lang w:val="sq-AL"/>
        </w:rPr>
        <w:t xml:space="preserve"> </w:t>
      </w:r>
      <w:r w:rsidR="00904E6C" w:rsidRPr="000307AC">
        <w:rPr>
          <w:b w:val="0"/>
          <w:sz w:val="24"/>
          <w:szCs w:val="24"/>
        </w:rPr>
        <w:t>Forma, përmbajtja dhe mënyra elektronike e raportimit përcaktohen me vendim të Këshillit të Ministrave.</w:t>
      </w:r>
    </w:p>
    <w:p w14:paraId="24448728" w14:textId="2BC4C24F" w:rsidR="008871BF" w:rsidRPr="000307AC" w:rsidRDefault="00554DCE" w:rsidP="000307AC">
      <w:pPr>
        <w:pStyle w:val="Heading2"/>
        <w:numPr>
          <w:ilvl w:val="0"/>
          <w:numId w:val="3"/>
        </w:numPr>
        <w:tabs>
          <w:tab w:val="clear" w:pos="720"/>
          <w:tab w:val="num" w:pos="450"/>
        </w:tabs>
        <w:spacing w:line="276" w:lineRule="auto"/>
        <w:ind w:left="360"/>
        <w:jc w:val="both"/>
        <w:rPr>
          <w:b w:val="0"/>
          <w:bCs w:val="0"/>
          <w:sz w:val="24"/>
          <w:szCs w:val="24"/>
          <w:lang w:val="sq-AL"/>
        </w:rPr>
      </w:pPr>
      <w:r w:rsidRPr="000307AC">
        <w:rPr>
          <w:b w:val="0"/>
          <w:sz w:val="24"/>
          <w:szCs w:val="24"/>
          <w:lang w:val="sq-AL"/>
        </w:rPr>
        <w:t>Raporti periodik duhet të përmbajë çdo përditësim të informacionit të raportueshëm që është bërë i disponueshëm pas dorëzimit të raportit të fundit .</w:t>
      </w:r>
    </w:p>
    <w:p w14:paraId="71680455" w14:textId="77777777" w:rsidR="008871BF" w:rsidRPr="000307AC" w:rsidRDefault="008871BF" w:rsidP="000307AC">
      <w:pPr>
        <w:pStyle w:val="Heading2"/>
        <w:spacing w:line="276" w:lineRule="auto"/>
        <w:rPr>
          <w:sz w:val="24"/>
          <w:szCs w:val="24"/>
          <w:lang w:val="sq-AL"/>
        </w:rPr>
      </w:pPr>
      <w:r w:rsidRPr="000307AC">
        <w:rPr>
          <w:sz w:val="24"/>
          <w:szCs w:val="24"/>
          <w:lang w:val="sq-AL"/>
        </w:rPr>
        <w:t>Neni 7</w:t>
      </w:r>
    </w:p>
    <w:p w14:paraId="3E7B1C7A" w14:textId="77777777" w:rsidR="008871BF" w:rsidRPr="000307AC" w:rsidRDefault="008871BF" w:rsidP="000307AC">
      <w:pPr>
        <w:pStyle w:val="Heading2"/>
        <w:spacing w:line="276" w:lineRule="auto"/>
        <w:rPr>
          <w:sz w:val="24"/>
          <w:szCs w:val="24"/>
          <w:lang w:val="sq-AL"/>
        </w:rPr>
      </w:pPr>
      <w:r w:rsidRPr="000307AC">
        <w:rPr>
          <w:sz w:val="24"/>
          <w:szCs w:val="24"/>
          <w:lang w:val="sq-AL"/>
        </w:rPr>
        <w:t>Rregullat për shmangien e raportimit të shumëfishtë nga ndërmjetësi</w:t>
      </w:r>
    </w:p>
    <w:p w14:paraId="140047DE" w14:textId="2D0CC44A" w:rsidR="008871BF" w:rsidRPr="000307AC" w:rsidRDefault="008871BF" w:rsidP="000307AC">
      <w:pPr>
        <w:pStyle w:val="Heading2"/>
        <w:numPr>
          <w:ilvl w:val="0"/>
          <w:numId w:val="5"/>
        </w:numPr>
        <w:spacing w:line="276" w:lineRule="auto"/>
        <w:jc w:val="both"/>
        <w:rPr>
          <w:b w:val="0"/>
          <w:bCs w:val="0"/>
          <w:sz w:val="24"/>
          <w:szCs w:val="24"/>
          <w:lang w:val="sq-AL"/>
        </w:rPr>
      </w:pPr>
      <w:r w:rsidRPr="000307AC">
        <w:rPr>
          <w:b w:val="0"/>
          <w:sz w:val="24"/>
          <w:szCs w:val="24"/>
          <w:lang w:val="sq-AL"/>
        </w:rPr>
        <w:lastRenderedPageBreak/>
        <w:t xml:space="preserve">Kur ndërmjetësi ka detyrimin të raportojë </w:t>
      </w:r>
      <w:r w:rsidR="003609F7" w:rsidRPr="000307AC">
        <w:rPr>
          <w:b w:val="0"/>
          <w:sz w:val="24"/>
          <w:szCs w:val="24"/>
          <w:lang w:val="sq-AL"/>
        </w:rPr>
        <w:t xml:space="preserve">informacionin për të njëjtin mekanizëm ndërkufitarë </w:t>
      </w:r>
      <w:r w:rsidRPr="000307AC">
        <w:rPr>
          <w:b w:val="0"/>
          <w:sz w:val="24"/>
          <w:szCs w:val="24"/>
          <w:lang w:val="sq-AL"/>
        </w:rPr>
        <w:t xml:space="preserve">te autoriteti kompetent i më shumë se një </w:t>
      </w:r>
      <w:r w:rsidR="00311A5F" w:rsidRPr="000307AC">
        <w:rPr>
          <w:b w:val="0"/>
          <w:sz w:val="24"/>
          <w:szCs w:val="24"/>
          <w:lang w:val="sq-AL"/>
        </w:rPr>
        <w:t>shteti an</w:t>
      </w:r>
      <w:r w:rsidR="00BD57C6" w:rsidRPr="000307AC">
        <w:rPr>
          <w:b w:val="0"/>
          <w:sz w:val="24"/>
          <w:szCs w:val="24"/>
          <w:lang w:val="sq-AL"/>
        </w:rPr>
        <w:t>ë</w:t>
      </w:r>
      <w:r w:rsidR="00311A5F" w:rsidRPr="000307AC">
        <w:rPr>
          <w:b w:val="0"/>
          <w:sz w:val="24"/>
          <w:szCs w:val="24"/>
          <w:lang w:val="sq-AL"/>
        </w:rPr>
        <w:t>tar</w:t>
      </w:r>
      <w:r w:rsidRPr="000307AC">
        <w:rPr>
          <w:b w:val="0"/>
          <w:sz w:val="24"/>
          <w:szCs w:val="24"/>
          <w:lang w:val="sq-AL"/>
        </w:rPr>
        <w:t xml:space="preserve">, informacioni duhet të raportohet në </w:t>
      </w:r>
      <w:r w:rsidR="00764EA4" w:rsidRPr="000307AC">
        <w:rPr>
          <w:b w:val="0"/>
          <w:sz w:val="24"/>
          <w:szCs w:val="24"/>
          <w:lang w:val="sq-AL"/>
        </w:rPr>
        <w:t>Republik</w:t>
      </w:r>
      <w:r w:rsidR="002E3518" w:rsidRPr="000307AC">
        <w:rPr>
          <w:b w:val="0"/>
          <w:sz w:val="24"/>
          <w:szCs w:val="24"/>
          <w:lang w:val="sq-AL"/>
        </w:rPr>
        <w:t>ë</w:t>
      </w:r>
      <w:r w:rsidR="00764EA4" w:rsidRPr="000307AC">
        <w:rPr>
          <w:b w:val="0"/>
          <w:sz w:val="24"/>
          <w:szCs w:val="24"/>
          <w:lang w:val="sq-AL"/>
        </w:rPr>
        <w:t>n e Shqip</w:t>
      </w:r>
      <w:r w:rsidR="002E3518" w:rsidRPr="000307AC">
        <w:rPr>
          <w:b w:val="0"/>
          <w:sz w:val="24"/>
          <w:szCs w:val="24"/>
          <w:lang w:val="sq-AL"/>
        </w:rPr>
        <w:t>ë</w:t>
      </w:r>
      <w:r w:rsidR="00764EA4" w:rsidRPr="000307AC">
        <w:rPr>
          <w:b w:val="0"/>
          <w:sz w:val="24"/>
          <w:szCs w:val="24"/>
          <w:lang w:val="sq-AL"/>
        </w:rPr>
        <w:t>ris</w:t>
      </w:r>
      <w:r w:rsidR="002E3518" w:rsidRPr="000307AC">
        <w:rPr>
          <w:b w:val="0"/>
          <w:sz w:val="24"/>
          <w:szCs w:val="24"/>
          <w:lang w:val="sq-AL"/>
        </w:rPr>
        <w:t>ë</w:t>
      </w:r>
      <w:r w:rsidR="00764EA4" w:rsidRPr="000307AC">
        <w:rPr>
          <w:b w:val="0"/>
          <w:sz w:val="24"/>
          <w:szCs w:val="24"/>
          <w:lang w:val="sq-AL"/>
        </w:rPr>
        <w:t xml:space="preserve">, </w:t>
      </w:r>
      <w:r w:rsidR="00C16EBE" w:rsidRPr="000307AC">
        <w:rPr>
          <w:b w:val="0"/>
          <w:sz w:val="24"/>
          <w:szCs w:val="24"/>
          <w:lang w:val="sq-AL"/>
        </w:rPr>
        <w:t xml:space="preserve">vetëm nëse Republika e Shqipërisë është </w:t>
      </w:r>
      <w:r w:rsidR="00764EA4" w:rsidRPr="000307AC">
        <w:rPr>
          <w:b w:val="0"/>
          <w:sz w:val="24"/>
          <w:szCs w:val="24"/>
          <w:lang w:val="sq-AL"/>
        </w:rPr>
        <w:t>shteti</w:t>
      </w:r>
      <w:r w:rsidRPr="000307AC">
        <w:rPr>
          <w:b w:val="0"/>
          <w:sz w:val="24"/>
          <w:szCs w:val="24"/>
          <w:lang w:val="sq-AL"/>
        </w:rPr>
        <w:t xml:space="preserve"> që renditet i pari sipas </w:t>
      </w:r>
      <w:r w:rsidR="00C16EBE" w:rsidRPr="000307AC">
        <w:rPr>
          <w:b w:val="0"/>
          <w:sz w:val="24"/>
          <w:szCs w:val="24"/>
          <w:lang w:val="sq-AL"/>
        </w:rPr>
        <w:t xml:space="preserve">rendit të </w:t>
      </w:r>
      <w:r w:rsidRPr="000307AC">
        <w:rPr>
          <w:b w:val="0"/>
          <w:sz w:val="24"/>
          <w:szCs w:val="24"/>
          <w:lang w:val="sq-AL"/>
        </w:rPr>
        <w:t xml:space="preserve"> mëposht</w:t>
      </w:r>
      <w:r w:rsidR="00C16EBE" w:rsidRPr="000307AC">
        <w:rPr>
          <w:b w:val="0"/>
          <w:sz w:val="24"/>
          <w:szCs w:val="24"/>
          <w:lang w:val="sq-AL"/>
        </w:rPr>
        <w:t xml:space="preserve">ëm </w:t>
      </w:r>
      <w:r w:rsidRPr="000307AC">
        <w:rPr>
          <w:b w:val="0"/>
          <w:sz w:val="24"/>
          <w:szCs w:val="24"/>
          <w:lang w:val="sq-AL"/>
        </w:rPr>
        <w:t xml:space="preserve"> të përparësisë:</w:t>
      </w:r>
    </w:p>
    <w:p w14:paraId="69D1D76D" w14:textId="3D3AFEFF" w:rsidR="008871BF" w:rsidRPr="000307AC" w:rsidRDefault="008871BF" w:rsidP="000307AC">
      <w:pPr>
        <w:pStyle w:val="Heading2"/>
        <w:tabs>
          <w:tab w:val="num" w:pos="360"/>
        </w:tabs>
        <w:spacing w:before="0" w:after="0" w:line="276" w:lineRule="auto"/>
        <w:ind w:left="360"/>
        <w:jc w:val="both"/>
        <w:rPr>
          <w:b w:val="0"/>
          <w:bCs w:val="0"/>
          <w:sz w:val="24"/>
          <w:szCs w:val="24"/>
          <w:lang w:val="sq-AL"/>
        </w:rPr>
      </w:pPr>
      <w:r w:rsidRPr="000307AC">
        <w:rPr>
          <w:b w:val="0"/>
          <w:sz w:val="24"/>
          <w:szCs w:val="24"/>
          <w:lang w:val="sq-AL"/>
        </w:rPr>
        <w:t xml:space="preserve">a) </w:t>
      </w:r>
      <w:r w:rsidR="00B46EB8" w:rsidRPr="000307AC">
        <w:rPr>
          <w:b w:val="0"/>
          <w:sz w:val="24"/>
          <w:szCs w:val="24"/>
          <w:lang w:val="sq-AL"/>
        </w:rPr>
        <w:t xml:space="preserve"> Shteti Anëtar</w:t>
      </w:r>
      <w:r w:rsidRPr="000307AC">
        <w:rPr>
          <w:b w:val="0"/>
          <w:sz w:val="24"/>
          <w:szCs w:val="24"/>
          <w:lang w:val="sq-AL"/>
        </w:rPr>
        <w:t xml:space="preserve"> ku ndërmjetësi është rezident për qëllime tatimore;</w:t>
      </w:r>
    </w:p>
    <w:p w14:paraId="32427140" w14:textId="31FAADFB" w:rsidR="008871BF" w:rsidRPr="000307AC" w:rsidRDefault="008871BF" w:rsidP="000307AC">
      <w:pPr>
        <w:pStyle w:val="Heading2"/>
        <w:tabs>
          <w:tab w:val="num" w:pos="360"/>
        </w:tabs>
        <w:spacing w:before="0" w:after="0" w:line="276" w:lineRule="auto"/>
        <w:ind w:left="360"/>
        <w:jc w:val="both"/>
        <w:rPr>
          <w:b w:val="0"/>
          <w:bCs w:val="0"/>
          <w:sz w:val="24"/>
          <w:szCs w:val="24"/>
          <w:lang w:val="sq-AL"/>
        </w:rPr>
      </w:pPr>
      <w:r w:rsidRPr="000307AC">
        <w:rPr>
          <w:b w:val="0"/>
          <w:sz w:val="24"/>
          <w:szCs w:val="24"/>
          <w:lang w:val="sq-AL"/>
        </w:rPr>
        <w:t xml:space="preserve">b) </w:t>
      </w:r>
      <w:r w:rsidR="0012386E" w:rsidRPr="000307AC">
        <w:rPr>
          <w:b w:val="0"/>
          <w:sz w:val="24"/>
          <w:szCs w:val="24"/>
          <w:lang w:val="sq-AL"/>
        </w:rPr>
        <w:t xml:space="preserve">Shteti Anëtar </w:t>
      </w:r>
      <w:r w:rsidRPr="000307AC">
        <w:rPr>
          <w:b w:val="0"/>
          <w:sz w:val="24"/>
          <w:szCs w:val="24"/>
          <w:lang w:val="sq-AL"/>
        </w:rPr>
        <w:t>ku ndërmjetësi ka një seli të përhershme nëpërmjet të cilës ofrohen shërbimet në lidhje me marrëveshjen;</w:t>
      </w:r>
    </w:p>
    <w:p w14:paraId="39FF795F" w14:textId="5847F983" w:rsidR="008871BF" w:rsidRPr="000307AC" w:rsidRDefault="008871BF" w:rsidP="000307AC">
      <w:pPr>
        <w:pStyle w:val="Heading2"/>
        <w:tabs>
          <w:tab w:val="num" w:pos="360"/>
        </w:tabs>
        <w:spacing w:before="0" w:after="0" w:line="276" w:lineRule="auto"/>
        <w:ind w:left="360"/>
        <w:jc w:val="both"/>
        <w:rPr>
          <w:b w:val="0"/>
          <w:bCs w:val="0"/>
          <w:sz w:val="24"/>
          <w:szCs w:val="24"/>
          <w:lang w:val="sq-AL"/>
        </w:rPr>
      </w:pPr>
      <w:r w:rsidRPr="000307AC">
        <w:rPr>
          <w:b w:val="0"/>
          <w:sz w:val="24"/>
          <w:szCs w:val="24"/>
          <w:lang w:val="sq-AL"/>
        </w:rPr>
        <w:t>c)</w:t>
      </w:r>
      <w:r w:rsidR="00F60332" w:rsidRPr="000307AC">
        <w:rPr>
          <w:b w:val="0"/>
          <w:sz w:val="24"/>
          <w:szCs w:val="24"/>
          <w:lang w:val="sq-AL"/>
        </w:rPr>
        <w:t xml:space="preserve"> Shteti Anëtar sipas ligjeve të të cilit ndërmjetësi është themeluar ose rregullohet;</w:t>
      </w:r>
    </w:p>
    <w:p w14:paraId="18DFF22D" w14:textId="5DD32073" w:rsidR="008871BF" w:rsidRPr="000307AC" w:rsidRDefault="008871BF" w:rsidP="000307AC">
      <w:pPr>
        <w:pStyle w:val="Heading2"/>
        <w:tabs>
          <w:tab w:val="num" w:pos="360"/>
        </w:tabs>
        <w:spacing w:before="0" w:after="0" w:line="276" w:lineRule="auto"/>
        <w:ind w:left="360"/>
        <w:jc w:val="both"/>
        <w:rPr>
          <w:b w:val="0"/>
          <w:bCs w:val="0"/>
          <w:sz w:val="24"/>
          <w:szCs w:val="24"/>
          <w:lang w:val="sq-AL"/>
        </w:rPr>
      </w:pPr>
      <w:r w:rsidRPr="000307AC">
        <w:rPr>
          <w:b w:val="0"/>
          <w:sz w:val="24"/>
          <w:szCs w:val="24"/>
          <w:lang w:val="sq-AL"/>
        </w:rPr>
        <w:t xml:space="preserve">ç) </w:t>
      </w:r>
      <w:r w:rsidR="00B46EB8" w:rsidRPr="000307AC">
        <w:rPr>
          <w:b w:val="0"/>
          <w:sz w:val="24"/>
          <w:szCs w:val="24"/>
          <w:lang w:val="sq-AL"/>
        </w:rPr>
        <w:t xml:space="preserve">Shteti Anëtar ku ndërmjetësi është i regjistruar në një shoqatë profesionale që lidhet me shërbime ligjore, tatimore ose </w:t>
      </w:r>
      <w:r w:rsidR="002B76C2" w:rsidRPr="000307AC">
        <w:rPr>
          <w:b w:val="0"/>
          <w:sz w:val="24"/>
          <w:szCs w:val="24"/>
          <w:lang w:val="sq-AL"/>
        </w:rPr>
        <w:t>k</w:t>
      </w:r>
      <w:r w:rsidR="002E3518" w:rsidRPr="000307AC">
        <w:rPr>
          <w:b w:val="0"/>
          <w:sz w:val="24"/>
          <w:szCs w:val="24"/>
          <w:lang w:val="sq-AL"/>
        </w:rPr>
        <w:t>ë</w:t>
      </w:r>
      <w:r w:rsidR="002B76C2" w:rsidRPr="000307AC">
        <w:rPr>
          <w:b w:val="0"/>
          <w:sz w:val="24"/>
          <w:szCs w:val="24"/>
          <w:lang w:val="sq-AL"/>
        </w:rPr>
        <w:t>shillim</w:t>
      </w:r>
      <w:r w:rsidRPr="000307AC">
        <w:rPr>
          <w:b w:val="0"/>
          <w:sz w:val="24"/>
          <w:szCs w:val="24"/>
          <w:lang w:val="sq-AL"/>
        </w:rPr>
        <w:t>.</w:t>
      </w:r>
    </w:p>
    <w:p w14:paraId="1FE90760" w14:textId="0790C641" w:rsidR="00D10B4D" w:rsidRPr="000307AC" w:rsidRDefault="008871BF" w:rsidP="000307AC">
      <w:pPr>
        <w:pStyle w:val="Heading2"/>
        <w:numPr>
          <w:ilvl w:val="0"/>
          <w:numId w:val="6"/>
        </w:numPr>
        <w:spacing w:after="160" w:line="276" w:lineRule="auto"/>
        <w:jc w:val="both"/>
        <w:rPr>
          <w:sz w:val="24"/>
          <w:szCs w:val="24"/>
          <w:lang w:val="sq-AL"/>
        </w:rPr>
      </w:pPr>
      <w:r w:rsidRPr="000307AC">
        <w:rPr>
          <w:b w:val="0"/>
          <w:sz w:val="24"/>
          <w:szCs w:val="24"/>
          <w:lang w:val="sq-AL"/>
        </w:rPr>
        <w:t xml:space="preserve">Ndërmjetësi përjashtohet nga detyrimi për raportim nëse vërteton, me dokumentacion të mjaftueshëm, se i njëjti informacion është raportuar tashmë </w:t>
      </w:r>
      <w:r w:rsidR="0012386E" w:rsidRPr="000307AC">
        <w:rPr>
          <w:b w:val="0"/>
          <w:sz w:val="24"/>
          <w:szCs w:val="24"/>
          <w:lang w:val="sq-AL"/>
        </w:rPr>
        <w:t xml:space="preserve">në një </w:t>
      </w:r>
      <w:r w:rsidR="00D10B4D" w:rsidRPr="000307AC">
        <w:rPr>
          <w:b w:val="0"/>
          <w:sz w:val="24"/>
          <w:szCs w:val="24"/>
          <w:lang w:val="sq-AL"/>
        </w:rPr>
        <w:t>S</w:t>
      </w:r>
      <w:r w:rsidR="0012386E" w:rsidRPr="000307AC">
        <w:rPr>
          <w:b w:val="0"/>
          <w:sz w:val="24"/>
          <w:szCs w:val="24"/>
          <w:lang w:val="sq-AL"/>
        </w:rPr>
        <w:t xml:space="preserve">htet </w:t>
      </w:r>
      <w:r w:rsidR="00D10B4D" w:rsidRPr="000307AC">
        <w:rPr>
          <w:b w:val="0"/>
          <w:sz w:val="24"/>
          <w:szCs w:val="24"/>
          <w:lang w:val="sq-AL"/>
        </w:rPr>
        <w:t>A</w:t>
      </w:r>
      <w:r w:rsidR="0012386E" w:rsidRPr="000307AC">
        <w:rPr>
          <w:b w:val="0"/>
          <w:sz w:val="24"/>
          <w:szCs w:val="24"/>
          <w:lang w:val="sq-AL"/>
        </w:rPr>
        <w:t>nëtar</w:t>
      </w:r>
      <w:r w:rsidR="00D10B4D" w:rsidRPr="000307AC">
        <w:rPr>
          <w:b w:val="0"/>
          <w:sz w:val="24"/>
          <w:szCs w:val="24"/>
          <w:lang w:val="sq-AL"/>
        </w:rPr>
        <w:t xml:space="preserve"> tjetër</w:t>
      </w:r>
      <w:r w:rsidR="00764EA4" w:rsidRPr="000307AC">
        <w:rPr>
          <w:b w:val="0"/>
          <w:sz w:val="24"/>
          <w:szCs w:val="24"/>
          <w:lang w:val="sq-AL"/>
        </w:rPr>
        <w:t xml:space="preserve"> t</w:t>
      </w:r>
      <w:r w:rsidR="002E3518" w:rsidRPr="000307AC">
        <w:rPr>
          <w:b w:val="0"/>
          <w:sz w:val="24"/>
          <w:szCs w:val="24"/>
          <w:lang w:val="sq-AL"/>
        </w:rPr>
        <w:t>ë</w:t>
      </w:r>
      <w:r w:rsidR="00764EA4" w:rsidRPr="000307AC">
        <w:rPr>
          <w:b w:val="0"/>
          <w:sz w:val="24"/>
          <w:szCs w:val="24"/>
          <w:lang w:val="sq-AL"/>
        </w:rPr>
        <w:t xml:space="preserve"> Bashkimit Europian</w:t>
      </w:r>
      <w:r w:rsidR="0012386E" w:rsidRPr="000307AC">
        <w:rPr>
          <w:b w:val="0"/>
          <w:sz w:val="24"/>
          <w:szCs w:val="24"/>
          <w:lang w:val="sq-AL"/>
        </w:rPr>
        <w:t>.</w:t>
      </w:r>
      <w:r w:rsidR="0012386E" w:rsidRPr="000307AC" w:rsidDel="0012386E">
        <w:rPr>
          <w:b w:val="0"/>
          <w:sz w:val="24"/>
          <w:szCs w:val="24"/>
          <w:lang w:val="sq-AL"/>
        </w:rPr>
        <w:t xml:space="preserve"> </w:t>
      </w:r>
    </w:p>
    <w:p w14:paraId="58604E93" w14:textId="6CC90FA2" w:rsidR="00904E6C" w:rsidRPr="000307AC" w:rsidRDefault="00904E6C" w:rsidP="000307AC">
      <w:pPr>
        <w:pStyle w:val="Heading2"/>
        <w:numPr>
          <w:ilvl w:val="0"/>
          <w:numId w:val="6"/>
        </w:numPr>
        <w:spacing w:after="160" w:line="276" w:lineRule="auto"/>
        <w:jc w:val="both"/>
        <w:rPr>
          <w:b w:val="0"/>
          <w:bCs w:val="0"/>
          <w:sz w:val="24"/>
          <w:szCs w:val="24"/>
          <w:lang w:val="sq-AL"/>
        </w:rPr>
      </w:pPr>
      <w:r w:rsidRPr="000307AC">
        <w:rPr>
          <w:b w:val="0"/>
          <w:bCs w:val="0"/>
          <w:sz w:val="24"/>
          <w:szCs w:val="24"/>
        </w:rPr>
        <w:t>Ky nen zbatohet pa cenuar rregullat e nenit 10 për rastet kur përfshihen më shumë se një ndërmjetës</w:t>
      </w:r>
      <w:r w:rsidR="00764EA4" w:rsidRPr="000307AC">
        <w:rPr>
          <w:b w:val="0"/>
          <w:bCs w:val="0"/>
          <w:sz w:val="24"/>
          <w:szCs w:val="24"/>
        </w:rPr>
        <w:t>.</w:t>
      </w:r>
    </w:p>
    <w:p w14:paraId="27C51A85" w14:textId="3FAE61C1" w:rsidR="002536C8" w:rsidRPr="000307AC" w:rsidRDefault="002536C8" w:rsidP="000307AC">
      <w:pPr>
        <w:pStyle w:val="Heading2"/>
        <w:spacing w:after="160" w:line="276" w:lineRule="auto"/>
        <w:ind w:left="360"/>
        <w:rPr>
          <w:sz w:val="24"/>
          <w:szCs w:val="24"/>
          <w:lang w:val="sq-AL"/>
        </w:rPr>
      </w:pPr>
      <w:r w:rsidRPr="000307AC">
        <w:rPr>
          <w:sz w:val="24"/>
          <w:szCs w:val="24"/>
          <w:lang w:val="sq-AL"/>
        </w:rPr>
        <w:t>Neni 8</w:t>
      </w:r>
    </w:p>
    <w:p w14:paraId="4F9733DC" w14:textId="77777777" w:rsidR="002536C8" w:rsidRPr="000307AC" w:rsidRDefault="002536C8" w:rsidP="000307AC">
      <w:pPr>
        <w:spacing w:before="280" w:after="160" w:line="276" w:lineRule="auto"/>
        <w:jc w:val="center"/>
        <w:rPr>
          <w:b/>
          <w:bCs/>
          <w:lang w:val="sq-AL"/>
        </w:rPr>
      </w:pPr>
      <w:r w:rsidRPr="000307AC">
        <w:rPr>
          <w:b/>
          <w:lang w:val="sq-AL"/>
        </w:rPr>
        <w:t>Përjashtim nga raportimi për shkak të sekretit profesional</w:t>
      </w:r>
    </w:p>
    <w:p w14:paraId="2B238493" w14:textId="77777777" w:rsidR="002258D8" w:rsidRPr="000307AC" w:rsidRDefault="002258D8" w:rsidP="001347BD">
      <w:pPr>
        <w:spacing w:line="276" w:lineRule="auto"/>
        <w:rPr>
          <w:lang w:val="sq-AL"/>
        </w:rPr>
      </w:pPr>
    </w:p>
    <w:p w14:paraId="21BD9370" w14:textId="46EBCAE1" w:rsidR="002258D8" w:rsidRPr="000307AC" w:rsidRDefault="002258D8" w:rsidP="001347BD">
      <w:pPr>
        <w:pStyle w:val="ListParagraph"/>
        <w:numPr>
          <w:ilvl w:val="0"/>
          <w:numId w:val="24"/>
        </w:numPr>
        <w:spacing w:line="276" w:lineRule="auto"/>
        <w:jc w:val="both"/>
        <w:rPr>
          <w:lang w:val="sq-AL"/>
        </w:rPr>
      </w:pPr>
      <w:r w:rsidRPr="000307AC">
        <w:rPr>
          <w:lang w:val="sq-AL"/>
        </w:rPr>
        <w:t xml:space="preserve">Ndërmjetësi përjashtohet nga detyrimi për raportim në masën që raportimi do të shkelte detyrimin për </w:t>
      </w:r>
      <w:r w:rsidR="006D79A6" w:rsidRPr="000307AC">
        <w:rPr>
          <w:lang w:val="sq-AL"/>
        </w:rPr>
        <w:t>ruajtjen e</w:t>
      </w:r>
      <w:r w:rsidRPr="000307AC">
        <w:rPr>
          <w:lang w:val="sq-AL"/>
        </w:rPr>
        <w:t xml:space="preserve"> </w:t>
      </w:r>
      <w:r w:rsidR="006D79A6" w:rsidRPr="000307AC">
        <w:rPr>
          <w:lang w:val="sq-AL"/>
        </w:rPr>
        <w:t xml:space="preserve">sekretit </w:t>
      </w:r>
      <w:r w:rsidRPr="000307AC">
        <w:rPr>
          <w:lang w:val="sq-AL"/>
        </w:rPr>
        <w:t xml:space="preserve">profesional, në përputhje me </w:t>
      </w:r>
      <w:r w:rsidR="006D79A6" w:rsidRPr="000307AC">
        <w:rPr>
          <w:lang w:val="sq-AL"/>
        </w:rPr>
        <w:t xml:space="preserve">legjislacionin kombëtar në fuqi </w:t>
      </w:r>
      <w:r w:rsidRPr="000307AC">
        <w:rPr>
          <w:lang w:val="sq-AL"/>
        </w:rPr>
        <w:t xml:space="preserve">që rregullon sekretin profesional të ndërmjetësit, për aq sa ky detyrim njihet sipas </w:t>
      </w:r>
      <w:r w:rsidR="006D79A6" w:rsidRPr="000307AC">
        <w:rPr>
          <w:lang w:val="sq-AL"/>
        </w:rPr>
        <w:t>kë</w:t>
      </w:r>
      <w:r w:rsidRPr="000307AC">
        <w:rPr>
          <w:lang w:val="sq-AL"/>
        </w:rPr>
        <w:t>tij legjislacion</w:t>
      </w:r>
      <w:r w:rsidR="00115710" w:rsidRPr="000307AC">
        <w:rPr>
          <w:lang w:val="sq-AL"/>
        </w:rPr>
        <w:t>i.</w:t>
      </w:r>
    </w:p>
    <w:p w14:paraId="6BC3FDC0" w14:textId="77777777" w:rsidR="006D79A6" w:rsidRPr="000307AC" w:rsidRDefault="006D79A6" w:rsidP="001347BD">
      <w:pPr>
        <w:pStyle w:val="ListParagraph"/>
        <w:spacing w:line="276" w:lineRule="auto"/>
        <w:ind w:left="720"/>
        <w:jc w:val="both"/>
        <w:rPr>
          <w:lang w:val="sq-AL"/>
        </w:rPr>
      </w:pPr>
    </w:p>
    <w:p w14:paraId="763DFF76" w14:textId="77777777" w:rsidR="002536C8" w:rsidRPr="000307AC" w:rsidRDefault="002536C8" w:rsidP="001347BD">
      <w:pPr>
        <w:pStyle w:val="ListParagraph"/>
        <w:numPr>
          <w:ilvl w:val="0"/>
          <w:numId w:val="24"/>
        </w:numPr>
        <w:spacing w:line="276" w:lineRule="auto"/>
        <w:jc w:val="both"/>
        <w:rPr>
          <w:lang w:val="sq-AL"/>
        </w:rPr>
      </w:pPr>
      <w:r w:rsidRPr="000307AC">
        <w:rPr>
          <w:lang w:val="sq-AL"/>
        </w:rPr>
        <w:t>Në rastet e parashikuara në paragrafin 1 të këtij neni, ndërmjetësi duhet të njoftojë pa vonesë një ndërmjetës tjetër ose, në mungesë të tij, tatimpaguesin përkatës, për transferimin e detyrimit të raportimit.</w:t>
      </w:r>
    </w:p>
    <w:p w14:paraId="437E4D6D" w14:textId="18C5EA9C" w:rsidR="002536C8" w:rsidRPr="000307AC" w:rsidRDefault="002536C8" w:rsidP="000307AC">
      <w:pPr>
        <w:pStyle w:val="ListParagraph"/>
        <w:numPr>
          <w:ilvl w:val="0"/>
          <w:numId w:val="24"/>
        </w:numPr>
        <w:spacing w:before="120" w:after="120" w:line="276" w:lineRule="auto"/>
        <w:jc w:val="both"/>
        <w:rPr>
          <w:lang w:val="sq-AL"/>
        </w:rPr>
      </w:pPr>
      <w:r w:rsidRPr="000307AC">
        <w:rPr>
          <w:lang w:val="sq-AL"/>
        </w:rPr>
        <w:t xml:space="preserve">Njoftimi sipas </w:t>
      </w:r>
      <w:r w:rsidR="002B76C2" w:rsidRPr="000307AC">
        <w:rPr>
          <w:lang w:val="sq-AL"/>
        </w:rPr>
        <w:t>pik</w:t>
      </w:r>
      <w:r w:rsidR="002E3518" w:rsidRPr="000307AC">
        <w:rPr>
          <w:lang w:val="sq-AL"/>
        </w:rPr>
        <w:t>ë</w:t>
      </w:r>
      <w:r w:rsidR="002B76C2" w:rsidRPr="000307AC">
        <w:rPr>
          <w:lang w:val="sq-AL"/>
        </w:rPr>
        <w:t xml:space="preserve">s </w:t>
      </w:r>
      <w:r w:rsidRPr="000307AC">
        <w:rPr>
          <w:lang w:val="sq-AL"/>
        </w:rPr>
        <w:t xml:space="preserve">2 të këtij neni nuk duhet të përmbajë informacione </w:t>
      </w:r>
      <w:r w:rsidR="00C201ED" w:rsidRPr="000307AC">
        <w:rPr>
          <w:lang w:val="sq-AL"/>
        </w:rPr>
        <w:t>q</w:t>
      </w:r>
      <w:r w:rsidR="002E3518" w:rsidRPr="000307AC">
        <w:rPr>
          <w:lang w:val="sq-AL"/>
        </w:rPr>
        <w:t>ë</w:t>
      </w:r>
      <w:r w:rsidR="00C201ED" w:rsidRPr="000307AC">
        <w:rPr>
          <w:lang w:val="sq-AL"/>
        </w:rPr>
        <w:t xml:space="preserve"> p</w:t>
      </w:r>
      <w:r w:rsidR="002E3518" w:rsidRPr="000307AC">
        <w:rPr>
          <w:lang w:val="sq-AL"/>
        </w:rPr>
        <w:t>ë</w:t>
      </w:r>
      <w:r w:rsidR="00C201ED" w:rsidRPr="000307AC">
        <w:rPr>
          <w:lang w:val="sq-AL"/>
        </w:rPr>
        <w:t>rb</w:t>
      </w:r>
      <w:r w:rsidR="002E3518" w:rsidRPr="000307AC">
        <w:rPr>
          <w:lang w:val="sq-AL"/>
        </w:rPr>
        <w:t>ë</w:t>
      </w:r>
      <w:r w:rsidR="00C201ED" w:rsidRPr="000307AC">
        <w:rPr>
          <w:lang w:val="sq-AL"/>
        </w:rPr>
        <w:t xml:space="preserve">jne </w:t>
      </w:r>
      <w:r w:rsidRPr="000307AC">
        <w:rPr>
          <w:lang w:val="sq-AL"/>
        </w:rPr>
        <w:t xml:space="preserve"> sekret profesional.</w:t>
      </w:r>
    </w:p>
    <w:p w14:paraId="47D4DBFD" w14:textId="39ECC926" w:rsidR="002B76C2" w:rsidRPr="000307AC" w:rsidRDefault="002536C8" w:rsidP="000307AC">
      <w:pPr>
        <w:pStyle w:val="ListParagraph"/>
        <w:numPr>
          <w:ilvl w:val="0"/>
          <w:numId w:val="24"/>
        </w:numPr>
        <w:spacing w:before="120" w:after="120" w:line="276" w:lineRule="auto"/>
        <w:jc w:val="both"/>
        <w:rPr>
          <w:lang w:val="sq-AL"/>
        </w:rPr>
      </w:pPr>
      <w:r w:rsidRPr="000307AC">
        <w:rPr>
          <w:lang w:val="sq-AL"/>
        </w:rPr>
        <w:t xml:space="preserve">Përjashtimi sipas këtij neni zbatohet vetëm në masën që ndërmjetësi vepron brenda kufijve të </w:t>
      </w:r>
      <w:r w:rsidR="00DC45F7" w:rsidRPr="000307AC">
        <w:rPr>
          <w:lang w:val="sq-AL"/>
        </w:rPr>
        <w:t>sekretit profesional të përfshirë në</w:t>
      </w:r>
      <w:r w:rsidR="00DC45F7" w:rsidRPr="000307AC" w:rsidDel="00DC45F7">
        <w:rPr>
          <w:lang w:val="sq-AL"/>
        </w:rPr>
        <w:t xml:space="preserve"> </w:t>
      </w:r>
      <w:r w:rsidRPr="000307AC">
        <w:rPr>
          <w:lang w:val="sq-AL"/>
        </w:rPr>
        <w:t>legjislacioni</w:t>
      </w:r>
      <w:r w:rsidR="00DC45F7" w:rsidRPr="000307AC">
        <w:rPr>
          <w:lang w:val="sq-AL"/>
        </w:rPr>
        <w:t>n</w:t>
      </w:r>
      <w:r w:rsidRPr="000307AC">
        <w:rPr>
          <w:lang w:val="sq-AL"/>
        </w:rPr>
        <w:t xml:space="preserve"> në fuqi që rregullon profesionin e tij.</w:t>
      </w:r>
      <w:r w:rsidR="002B76C2" w:rsidRPr="000307AC">
        <w:rPr>
          <w:lang w:val="sq-AL"/>
        </w:rPr>
        <w:t xml:space="preserve"> </w:t>
      </w:r>
    </w:p>
    <w:p w14:paraId="09FA8C8A" w14:textId="2F606DE4" w:rsidR="00115710" w:rsidRPr="000307AC" w:rsidRDefault="002536C8" w:rsidP="000307AC">
      <w:pPr>
        <w:pStyle w:val="ListParagraph"/>
        <w:numPr>
          <w:ilvl w:val="0"/>
          <w:numId w:val="24"/>
        </w:numPr>
        <w:spacing w:before="120" w:after="120" w:line="276" w:lineRule="auto"/>
        <w:jc w:val="both"/>
        <w:rPr>
          <w:lang w:val="sq-AL"/>
        </w:rPr>
      </w:pPr>
      <w:r w:rsidRPr="000307AC">
        <w:rPr>
          <w:lang w:val="sq-AL"/>
        </w:rPr>
        <w:t xml:space="preserve">Kushtet, procedurat dhe forma e njoftimit në përputhje me këtë nen përcaktohen me </w:t>
      </w:r>
      <w:r w:rsidR="009776F2" w:rsidRPr="000307AC">
        <w:rPr>
          <w:lang w:val="sq-AL"/>
        </w:rPr>
        <w:t>vendim t</w:t>
      </w:r>
      <w:r w:rsidR="00BD57C6" w:rsidRPr="000307AC">
        <w:rPr>
          <w:lang w:val="sq-AL"/>
        </w:rPr>
        <w:t>ë</w:t>
      </w:r>
      <w:r w:rsidR="009776F2" w:rsidRPr="000307AC">
        <w:rPr>
          <w:lang w:val="sq-AL"/>
        </w:rPr>
        <w:t xml:space="preserve"> </w:t>
      </w:r>
      <w:r w:rsidR="002B76C2" w:rsidRPr="000307AC">
        <w:rPr>
          <w:lang w:val="sq-AL"/>
        </w:rPr>
        <w:t>K</w:t>
      </w:r>
      <w:r w:rsidR="00BD57C6" w:rsidRPr="000307AC">
        <w:rPr>
          <w:lang w:val="sq-AL"/>
        </w:rPr>
        <w:t>ë</w:t>
      </w:r>
      <w:r w:rsidR="009776F2" w:rsidRPr="000307AC">
        <w:rPr>
          <w:lang w:val="sq-AL"/>
        </w:rPr>
        <w:t>shilllit t</w:t>
      </w:r>
      <w:r w:rsidR="00BD57C6" w:rsidRPr="000307AC">
        <w:rPr>
          <w:lang w:val="sq-AL"/>
        </w:rPr>
        <w:t>ë</w:t>
      </w:r>
      <w:r w:rsidR="009776F2" w:rsidRPr="000307AC">
        <w:rPr>
          <w:lang w:val="sq-AL"/>
        </w:rPr>
        <w:t xml:space="preserve"> </w:t>
      </w:r>
      <w:r w:rsidR="002B76C2" w:rsidRPr="000307AC">
        <w:rPr>
          <w:lang w:val="sq-AL"/>
        </w:rPr>
        <w:t>M</w:t>
      </w:r>
      <w:r w:rsidR="009776F2" w:rsidRPr="000307AC">
        <w:rPr>
          <w:lang w:val="sq-AL"/>
        </w:rPr>
        <w:t>inistrave</w:t>
      </w:r>
      <w:r w:rsidRPr="000307AC">
        <w:rPr>
          <w:lang w:val="sq-AL"/>
        </w:rPr>
        <w:t>.</w:t>
      </w:r>
    </w:p>
    <w:p w14:paraId="5863EC21" w14:textId="189B4F7F" w:rsidR="006F4E00" w:rsidRPr="000307AC" w:rsidRDefault="002536C8" w:rsidP="000307AC">
      <w:pPr>
        <w:pStyle w:val="ListParagraph"/>
        <w:numPr>
          <w:ilvl w:val="0"/>
          <w:numId w:val="24"/>
        </w:numPr>
        <w:spacing w:before="120" w:after="120" w:line="276" w:lineRule="auto"/>
        <w:jc w:val="both"/>
        <w:rPr>
          <w:lang w:val="sq-AL"/>
        </w:rPr>
      </w:pPr>
      <w:r w:rsidRPr="000307AC">
        <w:rPr>
          <w:lang w:val="sq-AL"/>
        </w:rPr>
        <w:t>Asnjë dispozitë e këtij neni nuk duhet të interpretohet si kufizim ose zgjerim i fushëveprimit të sekretit profesional sipas legjislacionit në fuqi.</w:t>
      </w:r>
    </w:p>
    <w:p w14:paraId="61E3FD22" w14:textId="298E6FCE" w:rsidR="002536C8" w:rsidRPr="000307AC" w:rsidRDefault="002536C8" w:rsidP="000307AC">
      <w:pPr>
        <w:spacing w:before="280" w:after="160" w:line="276" w:lineRule="auto"/>
        <w:jc w:val="center"/>
        <w:rPr>
          <w:b/>
          <w:bCs/>
          <w:lang w:val="sq-AL"/>
        </w:rPr>
      </w:pPr>
      <w:r w:rsidRPr="000307AC">
        <w:rPr>
          <w:b/>
          <w:lang w:val="sq-AL"/>
        </w:rPr>
        <w:t>Neni 9</w:t>
      </w:r>
    </w:p>
    <w:p w14:paraId="0272E16A" w14:textId="77777777" w:rsidR="002536C8" w:rsidRPr="000307AC" w:rsidRDefault="002536C8" w:rsidP="000307AC">
      <w:pPr>
        <w:spacing w:before="280" w:after="160" w:line="276" w:lineRule="auto"/>
        <w:jc w:val="center"/>
        <w:rPr>
          <w:b/>
          <w:bCs/>
          <w:lang w:val="sq-AL"/>
        </w:rPr>
      </w:pPr>
      <w:r w:rsidRPr="000307AC">
        <w:rPr>
          <w:b/>
          <w:lang w:val="sq-AL"/>
        </w:rPr>
        <w:lastRenderedPageBreak/>
        <w:t>Detyrimi për raportim për tatimpaguesin përkatës</w:t>
      </w:r>
    </w:p>
    <w:p w14:paraId="0C3E4DBE" w14:textId="404C03CB" w:rsidR="002536C8" w:rsidRPr="000307AC" w:rsidRDefault="00034DDD" w:rsidP="000307AC">
      <w:pPr>
        <w:numPr>
          <w:ilvl w:val="0"/>
          <w:numId w:val="7"/>
        </w:numPr>
        <w:tabs>
          <w:tab w:val="clear" w:pos="360"/>
          <w:tab w:val="num" w:pos="270"/>
          <w:tab w:val="num" w:pos="720"/>
        </w:tabs>
        <w:spacing w:before="280" w:after="160" w:line="276" w:lineRule="auto"/>
        <w:jc w:val="both"/>
        <w:rPr>
          <w:lang w:val="sq-AL"/>
        </w:rPr>
      </w:pPr>
      <w:r w:rsidRPr="000307AC">
        <w:rPr>
          <w:lang w:val="sq-AL"/>
        </w:rPr>
        <w:t>Kur nuk ka ndërmjetës, ose kur ndërmjetësi është i përjashtuar nga detyrimi për raportim në përputhje me nenin 8 të këtij ligji dhe ka njoftuar një ndërmjetës tjetër ose, në mungesë të tij, tatimpaguesin përkatës për transferimin e detyrimit të raportimit, detyrimi për raportim i takon ndërmjetësit tjetër të njoftuar ose, në mungesë të tij, tatimpaguesit përkatës.</w:t>
      </w:r>
    </w:p>
    <w:p w14:paraId="4D392846" w14:textId="16EC5A3E" w:rsidR="002536C8" w:rsidRPr="000307AC" w:rsidRDefault="002536C8" w:rsidP="000307AC">
      <w:pPr>
        <w:numPr>
          <w:ilvl w:val="0"/>
          <w:numId w:val="7"/>
        </w:numPr>
        <w:tabs>
          <w:tab w:val="clear" w:pos="360"/>
          <w:tab w:val="num" w:pos="270"/>
          <w:tab w:val="num" w:pos="720"/>
        </w:tabs>
        <w:spacing w:before="280" w:after="160" w:line="276" w:lineRule="auto"/>
        <w:jc w:val="both"/>
        <w:rPr>
          <w:lang w:val="sq-AL"/>
        </w:rPr>
      </w:pPr>
      <w:r w:rsidRPr="000307AC">
        <w:rPr>
          <w:lang w:val="sq-AL"/>
        </w:rPr>
        <w:t xml:space="preserve">Tatimpaguesi përkatës mbi të cilin bie detyrimi për raportim duhet t'ia paraqesë informacionin autoritetit kompetent </w:t>
      </w:r>
      <w:r w:rsidR="00C201ED" w:rsidRPr="000307AC">
        <w:rPr>
          <w:lang w:val="sq-AL"/>
        </w:rPr>
        <w:t>b</w:t>
      </w:r>
      <w:r w:rsidR="00C201ED" w:rsidRPr="000307AC">
        <w:t>renda 30 ditëve nga data më e hershme ndër datat e mëposhtme</w:t>
      </w:r>
      <w:r w:rsidRPr="000307AC">
        <w:rPr>
          <w:lang w:val="sq-AL"/>
        </w:rPr>
        <w:t>:</w:t>
      </w:r>
    </w:p>
    <w:p w14:paraId="24CAE362" w14:textId="7BC62594" w:rsidR="002536C8" w:rsidRPr="000307AC" w:rsidRDefault="002536C8" w:rsidP="000307AC">
      <w:pPr>
        <w:tabs>
          <w:tab w:val="num" w:pos="270"/>
        </w:tabs>
        <w:spacing w:before="120" w:after="160" w:line="276" w:lineRule="auto"/>
        <w:ind w:left="360"/>
        <w:rPr>
          <w:lang w:val="sq-AL"/>
        </w:rPr>
      </w:pPr>
      <w:r w:rsidRPr="000307AC">
        <w:rPr>
          <w:lang w:val="sq-AL"/>
        </w:rPr>
        <w:t xml:space="preserve">a) </w:t>
      </w:r>
      <w:r w:rsidR="001259F0" w:rsidRPr="000307AC">
        <w:rPr>
          <w:lang w:val="sq-AL"/>
        </w:rPr>
        <w:t>mekanizmi</w:t>
      </w:r>
      <w:r w:rsidRPr="000307AC">
        <w:rPr>
          <w:lang w:val="sq-AL"/>
        </w:rPr>
        <w:t xml:space="preserve"> ndërkufitar </w:t>
      </w:r>
      <w:r w:rsidR="001259F0" w:rsidRPr="000307AC">
        <w:rPr>
          <w:lang w:val="sq-AL"/>
        </w:rPr>
        <w:t>i</w:t>
      </w:r>
      <w:r w:rsidRPr="000307AC">
        <w:rPr>
          <w:lang w:val="sq-AL"/>
        </w:rPr>
        <w:t xml:space="preserve"> raportuesh</w:t>
      </w:r>
      <w:r w:rsidR="002E3518" w:rsidRPr="000307AC">
        <w:rPr>
          <w:lang w:val="sq-AL"/>
        </w:rPr>
        <w:t>ë</w:t>
      </w:r>
      <w:r w:rsidRPr="000307AC">
        <w:rPr>
          <w:lang w:val="sq-AL"/>
        </w:rPr>
        <w:t>m vihet në dispozicion për zbatim;</w:t>
      </w:r>
    </w:p>
    <w:p w14:paraId="6BFE2D77" w14:textId="7B9CA6D5" w:rsidR="00380642" w:rsidRPr="000307AC" w:rsidRDefault="002536C8" w:rsidP="000307AC">
      <w:pPr>
        <w:tabs>
          <w:tab w:val="num" w:pos="270"/>
        </w:tabs>
        <w:spacing w:before="120" w:after="160" w:line="276" w:lineRule="auto"/>
        <w:ind w:left="360"/>
        <w:rPr>
          <w:lang w:val="sq-AL"/>
        </w:rPr>
      </w:pPr>
      <w:r w:rsidRPr="000307AC">
        <w:rPr>
          <w:lang w:val="sq-AL"/>
        </w:rPr>
        <w:t>b) m</w:t>
      </w:r>
      <w:r w:rsidR="001259F0" w:rsidRPr="000307AC">
        <w:rPr>
          <w:lang w:val="sq-AL"/>
        </w:rPr>
        <w:t>ekanizmi</w:t>
      </w:r>
      <w:r w:rsidRPr="000307AC">
        <w:rPr>
          <w:lang w:val="sq-AL"/>
        </w:rPr>
        <w:t xml:space="preserve"> ndërkufitar </w:t>
      </w:r>
      <w:r w:rsidR="001259F0" w:rsidRPr="000307AC">
        <w:rPr>
          <w:lang w:val="sq-AL"/>
        </w:rPr>
        <w:t>i</w:t>
      </w:r>
      <w:r w:rsidRPr="000307AC">
        <w:rPr>
          <w:lang w:val="sq-AL"/>
        </w:rPr>
        <w:t xml:space="preserve"> raportuesh</w:t>
      </w:r>
      <w:r w:rsidR="002E3518" w:rsidRPr="000307AC">
        <w:rPr>
          <w:lang w:val="sq-AL"/>
        </w:rPr>
        <w:t>ë</w:t>
      </w:r>
      <w:r w:rsidR="001259F0" w:rsidRPr="000307AC">
        <w:rPr>
          <w:lang w:val="sq-AL"/>
        </w:rPr>
        <w:t>m</w:t>
      </w:r>
      <w:r w:rsidRPr="000307AC">
        <w:rPr>
          <w:lang w:val="sq-AL"/>
        </w:rPr>
        <w:t xml:space="preserve"> është gati për zbatim; ose</w:t>
      </w:r>
    </w:p>
    <w:p w14:paraId="109F1187" w14:textId="3A448BEC" w:rsidR="00871B2D" w:rsidRPr="000307AC" w:rsidRDefault="00871B2D" w:rsidP="000307AC">
      <w:pPr>
        <w:tabs>
          <w:tab w:val="num" w:pos="270"/>
        </w:tabs>
        <w:spacing w:before="120" w:after="160" w:line="276" w:lineRule="auto"/>
        <w:ind w:left="360"/>
        <w:jc w:val="both"/>
        <w:rPr>
          <w:lang w:val="sq-AL"/>
        </w:rPr>
      </w:pPr>
      <w:r w:rsidRPr="000307AC">
        <w:rPr>
          <w:lang w:val="sq-AL"/>
        </w:rPr>
        <w:t xml:space="preserve">c) kur është kryer hapi i parë në zbatimin </w:t>
      </w:r>
      <w:r w:rsidR="001259F0" w:rsidRPr="000307AC">
        <w:rPr>
          <w:lang w:val="sq-AL"/>
        </w:rPr>
        <w:t>e mekanizmit</w:t>
      </w:r>
      <w:r w:rsidRPr="000307AC">
        <w:rPr>
          <w:lang w:val="sq-AL"/>
        </w:rPr>
        <w:t xml:space="preserve"> në lidhje me tatimpaguesin përkatës.</w:t>
      </w:r>
    </w:p>
    <w:p w14:paraId="081F0138" w14:textId="3313E430" w:rsidR="0079780C" w:rsidRPr="000307AC" w:rsidRDefault="00045AE7" w:rsidP="001347BD">
      <w:pPr>
        <w:pStyle w:val="Heading2"/>
        <w:numPr>
          <w:ilvl w:val="0"/>
          <w:numId w:val="34"/>
        </w:numPr>
        <w:spacing w:line="276" w:lineRule="auto"/>
        <w:jc w:val="both"/>
        <w:rPr>
          <w:b w:val="0"/>
          <w:sz w:val="24"/>
          <w:szCs w:val="24"/>
          <w:lang w:val="sq-AL"/>
        </w:rPr>
      </w:pPr>
      <w:r w:rsidRPr="000307AC">
        <w:rPr>
          <w:b w:val="0"/>
          <w:sz w:val="24"/>
          <w:szCs w:val="24"/>
          <w:lang w:val="sq-AL"/>
        </w:rPr>
        <w:t>Kur tatimpaguesi përkatës</w:t>
      </w:r>
      <w:r w:rsidR="0079780C" w:rsidRPr="000307AC">
        <w:rPr>
          <w:b w:val="0"/>
          <w:sz w:val="24"/>
          <w:szCs w:val="24"/>
          <w:lang w:val="sq-AL"/>
        </w:rPr>
        <w:t xml:space="preserve"> ka detyrimin të raportojë informacionin për të njëjtin mekanizëm ndërkufitarë te autoriteti kompetent i më shumë se një shteti anëtar, informacioni duhet të raportohet në Republik</w:t>
      </w:r>
      <w:r w:rsidR="002E3518" w:rsidRPr="000307AC">
        <w:rPr>
          <w:b w:val="0"/>
          <w:sz w:val="24"/>
          <w:szCs w:val="24"/>
          <w:lang w:val="sq-AL"/>
        </w:rPr>
        <w:t>ë</w:t>
      </w:r>
      <w:r w:rsidR="0079780C" w:rsidRPr="000307AC">
        <w:rPr>
          <w:b w:val="0"/>
          <w:sz w:val="24"/>
          <w:szCs w:val="24"/>
          <w:lang w:val="sq-AL"/>
        </w:rPr>
        <w:t>n e Shqip</w:t>
      </w:r>
      <w:r w:rsidR="002E3518" w:rsidRPr="000307AC">
        <w:rPr>
          <w:b w:val="0"/>
          <w:sz w:val="24"/>
          <w:szCs w:val="24"/>
          <w:lang w:val="sq-AL"/>
        </w:rPr>
        <w:t>ë</w:t>
      </w:r>
      <w:r w:rsidR="0079780C" w:rsidRPr="000307AC">
        <w:rPr>
          <w:b w:val="0"/>
          <w:sz w:val="24"/>
          <w:szCs w:val="24"/>
          <w:lang w:val="sq-AL"/>
        </w:rPr>
        <w:t>risë, vetëm nëse Republika e Shqipërisë është shteti që renditet i pari sipas rendit të  mëposhtëm  të përparësisë:</w:t>
      </w:r>
    </w:p>
    <w:p w14:paraId="6766E553" w14:textId="48BEC641" w:rsidR="002536C8" w:rsidRPr="000307AC" w:rsidRDefault="002536C8" w:rsidP="000307AC">
      <w:pPr>
        <w:tabs>
          <w:tab w:val="num" w:pos="270"/>
        </w:tabs>
        <w:spacing w:before="120" w:line="276" w:lineRule="auto"/>
        <w:ind w:left="360"/>
        <w:jc w:val="both"/>
        <w:rPr>
          <w:lang w:val="sq-AL"/>
        </w:rPr>
      </w:pPr>
      <w:r w:rsidRPr="000307AC">
        <w:rPr>
          <w:lang w:val="sq-AL"/>
        </w:rPr>
        <w:t xml:space="preserve">a) </w:t>
      </w:r>
      <w:r w:rsidR="00D13508" w:rsidRPr="000307AC">
        <w:rPr>
          <w:lang w:val="sq-AL"/>
        </w:rPr>
        <w:t>S</w:t>
      </w:r>
      <w:r w:rsidR="004A4AB2" w:rsidRPr="000307AC">
        <w:rPr>
          <w:lang w:val="sq-AL"/>
        </w:rPr>
        <w:t xml:space="preserve">hteti anëtar </w:t>
      </w:r>
      <w:r w:rsidRPr="000307AC">
        <w:rPr>
          <w:lang w:val="sq-AL"/>
        </w:rPr>
        <w:t>ku tatimpaguesi përkatës është rezident për qëllime tatimore;</w:t>
      </w:r>
    </w:p>
    <w:p w14:paraId="71789A9C" w14:textId="59C87C4F" w:rsidR="002536C8" w:rsidRPr="000307AC" w:rsidRDefault="002536C8" w:rsidP="000307AC">
      <w:pPr>
        <w:tabs>
          <w:tab w:val="num" w:pos="270"/>
        </w:tabs>
        <w:spacing w:before="120" w:line="276" w:lineRule="auto"/>
        <w:ind w:left="360"/>
        <w:jc w:val="both"/>
        <w:rPr>
          <w:lang w:val="sq-AL"/>
        </w:rPr>
      </w:pPr>
      <w:r w:rsidRPr="000307AC">
        <w:rPr>
          <w:lang w:val="sq-AL"/>
        </w:rPr>
        <w:t>b)</w:t>
      </w:r>
      <w:r w:rsidR="00364244" w:rsidRPr="000307AC">
        <w:rPr>
          <w:lang w:val="sq-AL"/>
        </w:rPr>
        <w:t xml:space="preserve"> </w:t>
      </w:r>
      <w:r w:rsidR="00D13508" w:rsidRPr="000307AC">
        <w:rPr>
          <w:lang w:val="sq-AL"/>
        </w:rPr>
        <w:t>Shteti Anëtar ku tatimpaguesi përkatës ka një seli të përhershme që përfiton nga marrëveshja;</w:t>
      </w:r>
    </w:p>
    <w:p w14:paraId="308E0783" w14:textId="7B55D496" w:rsidR="00763DD1" w:rsidRPr="000307AC" w:rsidRDefault="00FB5D9E" w:rsidP="001347BD">
      <w:pPr>
        <w:pStyle w:val="NormalWeb"/>
        <w:tabs>
          <w:tab w:val="num" w:pos="270"/>
        </w:tabs>
        <w:spacing w:before="120" w:beforeAutospacing="0" w:after="0" w:afterAutospacing="0" w:line="276" w:lineRule="auto"/>
        <w:ind w:left="360"/>
        <w:jc w:val="both"/>
        <w:rPr>
          <w:lang w:val="sq-AL"/>
        </w:rPr>
      </w:pPr>
      <w:r w:rsidRPr="000307AC">
        <w:rPr>
          <w:lang w:val="sq-AL"/>
        </w:rPr>
        <w:t>c) Shteti Anëtar ku tatimpaguesi përkatës merr të ardhura ose gjeneron fitime, pa qenë rezident dhe pa pasur seli të përhershme në atë Shtet Anëtar;</w:t>
      </w:r>
      <w:r w:rsidRPr="000307AC" w:rsidDel="00FB5D9E">
        <w:rPr>
          <w:lang w:val="sq-AL"/>
        </w:rPr>
        <w:t xml:space="preserve"> </w:t>
      </w:r>
    </w:p>
    <w:p w14:paraId="61CF3229" w14:textId="5B1C6010" w:rsidR="002536C8" w:rsidRPr="000307AC" w:rsidRDefault="00A42D3F" w:rsidP="001347BD">
      <w:pPr>
        <w:pStyle w:val="NormalWeb"/>
        <w:tabs>
          <w:tab w:val="num" w:pos="270"/>
        </w:tabs>
        <w:spacing w:before="120" w:beforeAutospacing="0" w:after="0" w:afterAutospacing="0" w:line="276" w:lineRule="auto"/>
        <w:ind w:left="360"/>
        <w:jc w:val="both"/>
        <w:rPr>
          <w:lang w:val="sq-AL"/>
        </w:rPr>
      </w:pPr>
      <w:r w:rsidRPr="000307AC">
        <w:rPr>
          <w:lang w:val="sq-AL"/>
        </w:rPr>
        <w:t>ç) Shteti Anëtar ku tatimpaguesi përkatës ushtron një aktivitet, pa qenë rezident dhe pa pasur seli të përhershme në atë Shtet Anëtar.</w:t>
      </w:r>
    </w:p>
    <w:p w14:paraId="28966AF7" w14:textId="0BE701FB" w:rsidR="00CB143B" w:rsidRPr="00467607" w:rsidRDefault="002536C8" w:rsidP="001347BD">
      <w:pPr>
        <w:pStyle w:val="ListParagraph"/>
        <w:numPr>
          <w:ilvl w:val="0"/>
          <w:numId w:val="34"/>
        </w:numPr>
        <w:spacing w:before="280" w:after="160" w:line="276" w:lineRule="auto"/>
        <w:jc w:val="both"/>
        <w:rPr>
          <w:lang w:val="sq-AL"/>
        </w:rPr>
      </w:pPr>
      <w:r w:rsidRPr="00467607">
        <w:rPr>
          <w:lang w:val="sq-AL"/>
        </w:rPr>
        <w:t xml:space="preserve">Tatimpaguesi përkatës përjashtohet nga detyrimi i raportimit nëse vërteton, me dokumentacion të mjaftueshëm, se i njëjti informacion është raportuar tashmë </w:t>
      </w:r>
      <w:r w:rsidR="00DC410C" w:rsidRPr="00467607">
        <w:rPr>
          <w:lang w:val="sq-AL"/>
        </w:rPr>
        <w:t>në një Shtet tjetër Anëtar</w:t>
      </w:r>
      <w:r w:rsidR="00764EA4" w:rsidRPr="00467607">
        <w:rPr>
          <w:lang w:val="sq-AL"/>
        </w:rPr>
        <w:t xml:space="preserve"> t</w:t>
      </w:r>
      <w:r w:rsidR="002E3518" w:rsidRPr="00467607">
        <w:rPr>
          <w:lang w:val="sq-AL"/>
        </w:rPr>
        <w:t>ë</w:t>
      </w:r>
      <w:r w:rsidR="00764EA4" w:rsidRPr="00467607">
        <w:rPr>
          <w:lang w:val="sq-AL"/>
        </w:rPr>
        <w:t xml:space="preserve"> Bashkimit Europian</w:t>
      </w:r>
      <w:r w:rsidR="00DC410C" w:rsidRPr="00467607">
        <w:rPr>
          <w:lang w:val="sq-AL"/>
        </w:rPr>
        <w:t>.</w:t>
      </w:r>
    </w:p>
    <w:p w14:paraId="2713D1DD" w14:textId="74942769" w:rsidR="001B1027" w:rsidRPr="000307AC" w:rsidRDefault="001B1027" w:rsidP="000307AC">
      <w:pPr>
        <w:spacing w:before="280" w:after="160" w:line="276" w:lineRule="auto"/>
        <w:ind w:left="720"/>
        <w:jc w:val="center"/>
        <w:rPr>
          <w:b/>
          <w:bCs/>
          <w:lang w:val="sq-AL"/>
        </w:rPr>
      </w:pPr>
      <w:r w:rsidRPr="000307AC">
        <w:rPr>
          <w:b/>
          <w:lang w:val="sq-AL"/>
        </w:rPr>
        <w:t>Neni 10</w:t>
      </w:r>
    </w:p>
    <w:p w14:paraId="3E66DE88" w14:textId="376271C0" w:rsidR="001B1027" w:rsidRPr="000307AC" w:rsidRDefault="001B1027" w:rsidP="000307AC">
      <w:pPr>
        <w:spacing w:before="280" w:after="160" w:line="276" w:lineRule="auto"/>
        <w:jc w:val="center"/>
        <w:rPr>
          <w:b/>
          <w:bCs/>
          <w:lang w:val="sq-AL"/>
        </w:rPr>
      </w:pPr>
      <w:r w:rsidRPr="000307AC">
        <w:rPr>
          <w:b/>
          <w:lang w:val="sq-AL"/>
        </w:rPr>
        <w:t xml:space="preserve">Detyrimi për raportim kur ka </w:t>
      </w:r>
      <w:r w:rsidR="00B54399" w:rsidRPr="000307AC">
        <w:rPr>
          <w:b/>
          <w:lang w:val="sq-AL"/>
        </w:rPr>
        <w:t xml:space="preserve">më </w:t>
      </w:r>
      <w:r w:rsidRPr="000307AC">
        <w:rPr>
          <w:b/>
          <w:lang w:val="sq-AL"/>
        </w:rPr>
        <w:t>shum</w:t>
      </w:r>
      <w:r w:rsidR="00BD57C6" w:rsidRPr="000307AC">
        <w:rPr>
          <w:b/>
          <w:lang w:val="sq-AL"/>
        </w:rPr>
        <w:t>ë</w:t>
      </w:r>
      <w:r w:rsidR="00B54399" w:rsidRPr="000307AC">
        <w:rPr>
          <w:b/>
          <w:lang w:val="sq-AL"/>
        </w:rPr>
        <w:t xml:space="preserve"> se nj</w:t>
      </w:r>
      <w:r w:rsidR="00BD57C6" w:rsidRPr="000307AC">
        <w:rPr>
          <w:b/>
          <w:lang w:val="sq-AL"/>
        </w:rPr>
        <w:t>ë</w:t>
      </w:r>
      <w:r w:rsidR="00B54399" w:rsidRPr="000307AC">
        <w:rPr>
          <w:b/>
          <w:lang w:val="sq-AL"/>
        </w:rPr>
        <w:t xml:space="preserve"> nd</w:t>
      </w:r>
      <w:r w:rsidR="00BD57C6" w:rsidRPr="000307AC">
        <w:rPr>
          <w:b/>
          <w:lang w:val="sq-AL"/>
        </w:rPr>
        <w:t>ë</w:t>
      </w:r>
      <w:r w:rsidR="00B54399" w:rsidRPr="000307AC">
        <w:rPr>
          <w:b/>
          <w:lang w:val="sq-AL"/>
        </w:rPr>
        <w:t>rmjet</w:t>
      </w:r>
      <w:r w:rsidR="00BD57C6" w:rsidRPr="000307AC">
        <w:rPr>
          <w:b/>
          <w:lang w:val="sq-AL"/>
        </w:rPr>
        <w:t>ë</w:t>
      </w:r>
      <w:r w:rsidR="00B54399" w:rsidRPr="000307AC">
        <w:rPr>
          <w:b/>
          <w:lang w:val="sq-AL"/>
        </w:rPr>
        <w:t>s</w:t>
      </w:r>
      <w:r w:rsidRPr="000307AC">
        <w:rPr>
          <w:b/>
          <w:lang w:val="sq-AL"/>
        </w:rPr>
        <w:t xml:space="preserve"> ose tatimpagues përkatës</w:t>
      </w:r>
    </w:p>
    <w:p w14:paraId="0B73D9AE" w14:textId="18ABEF96" w:rsidR="001B1027" w:rsidRPr="000307AC" w:rsidRDefault="001B1027" w:rsidP="000307AC">
      <w:pPr>
        <w:numPr>
          <w:ilvl w:val="0"/>
          <w:numId w:val="9"/>
        </w:numPr>
        <w:spacing w:before="280" w:after="160" w:line="276" w:lineRule="auto"/>
        <w:jc w:val="both"/>
        <w:rPr>
          <w:lang w:val="sq-AL"/>
        </w:rPr>
      </w:pPr>
      <w:r w:rsidRPr="000307AC">
        <w:rPr>
          <w:lang w:val="sq-AL"/>
        </w:rPr>
        <w:t xml:space="preserve">Kur më shumë se një ndërmjetës është i përfshirë në të njëjtën </w:t>
      </w:r>
      <w:r w:rsidR="00E60515" w:rsidRPr="000307AC">
        <w:rPr>
          <w:lang w:val="sq-AL"/>
        </w:rPr>
        <w:t>mekaniz</w:t>
      </w:r>
      <w:r w:rsidR="002E3518" w:rsidRPr="000307AC">
        <w:rPr>
          <w:lang w:val="sq-AL"/>
        </w:rPr>
        <w:t>ë</w:t>
      </w:r>
      <w:r w:rsidR="00E60515" w:rsidRPr="000307AC">
        <w:rPr>
          <w:lang w:val="sq-AL"/>
        </w:rPr>
        <w:t>m</w:t>
      </w:r>
      <w:r w:rsidRPr="000307AC">
        <w:rPr>
          <w:lang w:val="sq-AL"/>
        </w:rPr>
        <w:t xml:space="preserve"> ndërkufitar të raportuesh</w:t>
      </w:r>
      <w:r w:rsidR="002E3518" w:rsidRPr="000307AC">
        <w:rPr>
          <w:lang w:val="sq-AL"/>
        </w:rPr>
        <w:t>ë</w:t>
      </w:r>
      <w:r w:rsidRPr="000307AC">
        <w:rPr>
          <w:lang w:val="sq-AL"/>
        </w:rPr>
        <w:t>m, detyrimi për raportim zbatohet për secilin prej tyre .</w:t>
      </w:r>
    </w:p>
    <w:p w14:paraId="7672AC9E" w14:textId="55D0195F" w:rsidR="001B1027" w:rsidRPr="000307AC" w:rsidRDefault="001B1027" w:rsidP="000307AC">
      <w:pPr>
        <w:numPr>
          <w:ilvl w:val="0"/>
          <w:numId w:val="9"/>
        </w:numPr>
        <w:spacing w:before="280" w:after="160" w:line="276" w:lineRule="auto"/>
        <w:jc w:val="both"/>
        <w:rPr>
          <w:lang w:val="sq-AL"/>
        </w:rPr>
      </w:pPr>
      <w:r w:rsidRPr="000307AC">
        <w:rPr>
          <w:lang w:val="sq-AL"/>
        </w:rPr>
        <w:t>Një ndërmjetës përjashtohet nga detyrimi për raportim nëse vërteton, me dokumentacion të mjaftueshëm, se i njëjti informacion është raportuar tashmë nga një ndërmjetës tjetër.</w:t>
      </w:r>
    </w:p>
    <w:p w14:paraId="34900330" w14:textId="77728EE9" w:rsidR="00195D49" w:rsidRPr="000307AC" w:rsidRDefault="00195D49" w:rsidP="000307AC">
      <w:pPr>
        <w:numPr>
          <w:ilvl w:val="0"/>
          <w:numId w:val="9"/>
        </w:numPr>
        <w:spacing w:before="280" w:after="160" w:line="276" w:lineRule="auto"/>
        <w:jc w:val="both"/>
        <w:rPr>
          <w:lang w:val="sq-AL"/>
        </w:rPr>
      </w:pPr>
      <w:r w:rsidRPr="000307AC">
        <w:rPr>
          <w:lang w:val="sq-AL"/>
        </w:rPr>
        <w:lastRenderedPageBreak/>
        <w:t>Kur detyrimi për raportim i takon tatimpaguesit përkatës dhe në marrëveshje është i përfshirë më shumë se një tatimpagues, informacioni raportohet nga tatimpaguesi që renditet i pari sipas rendit të mëposhtëm të përparësisë:</w:t>
      </w:r>
    </w:p>
    <w:p w14:paraId="653B3559" w14:textId="389292E7" w:rsidR="001B1027" w:rsidRPr="000307AC" w:rsidRDefault="001B1027" w:rsidP="000307AC">
      <w:pPr>
        <w:pStyle w:val="ListParagraph"/>
        <w:numPr>
          <w:ilvl w:val="1"/>
          <w:numId w:val="9"/>
        </w:numPr>
        <w:spacing w:before="120" w:line="276" w:lineRule="auto"/>
        <w:jc w:val="both"/>
        <w:rPr>
          <w:lang w:val="sq-AL"/>
        </w:rPr>
      </w:pPr>
      <w:r w:rsidRPr="000307AC">
        <w:rPr>
          <w:lang w:val="sq-AL"/>
        </w:rPr>
        <w:t xml:space="preserve">tatimpaguesi që ka rënë dakord </w:t>
      </w:r>
      <w:r w:rsidR="00195D49" w:rsidRPr="000307AC">
        <w:rPr>
          <w:lang w:val="sq-AL"/>
        </w:rPr>
        <w:t xml:space="preserve">me ndërmjetësin </w:t>
      </w:r>
      <w:r w:rsidRPr="000307AC">
        <w:rPr>
          <w:lang w:val="sq-AL"/>
        </w:rPr>
        <w:t xml:space="preserve">për </w:t>
      </w:r>
      <w:r w:rsidR="00E60515" w:rsidRPr="000307AC">
        <w:rPr>
          <w:lang w:val="sq-AL"/>
        </w:rPr>
        <w:t>mekanizmin</w:t>
      </w:r>
      <w:r w:rsidRPr="000307AC">
        <w:rPr>
          <w:lang w:val="sq-AL"/>
        </w:rPr>
        <w:t xml:space="preserve"> ndërkufitar të raportueshm</w:t>
      </w:r>
      <w:r w:rsidR="00195D49" w:rsidRPr="000307AC">
        <w:rPr>
          <w:lang w:val="sq-AL"/>
        </w:rPr>
        <w:t>.</w:t>
      </w:r>
      <w:r w:rsidRPr="000307AC">
        <w:rPr>
          <w:lang w:val="sq-AL"/>
        </w:rPr>
        <w:t xml:space="preserve"> </w:t>
      </w:r>
    </w:p>
    <w:p w14:paraId="2B7A93DD" w14:textId="7C7EE95F" w:rsidR="001B1027" w:rsidRPr="000307AC" w:rsidRDefault="001B1027" w:rsidP="000307AC">
      <w:pPr>
        <w:pStyle w:val="ListParagraph"/>
        <w:numPr>
          <w:ilvl w:val="1"/>
          <w:numId w:val="9"/>
        </w:numPr>
        <w:spacing w:before="120" w:line="276" w:lineRule="auto"/>
        <w:jc w:val="both"/>
        <w:rPr>
          <w:lang w:val="sq-AL"/>
        </w:rPr>
      </w:pPr>
      <w:r w:rsidRPr="000307AC">
        <w:rPr>
          <w:lang w:val="sq-AL"/>
        </w:rPr>
        <w:t>tatimpaguesi  që menaxhon zbatimin e marrëveshjes.</w:t>
      </w:r>
    </w:p>
    <w:p w14:paraId="2C74A0A1" w14:textId="2DD34D5D" w:rsidR="00E67422" w:rsidRPr="000307AC" w:rsidRDefault="00E67422" w:rsidP="000307AC">
      <w:pPr>
        <w:pStyle w:val="ListParagraph"/>
        <w:numPr>
          <w:ilvl w:val="0"/>
          <w:numId w:val="9"/>
        </w:numPr>
        <w:spacing w:before="120" w:line="276" w:lineRule="auto"/>
        <w:jc w:val="both"/>
        <w:rPr>
          <w:lang w:val="sq-AL"/>
        </w:rPr>
      </w:pPr>
      <w:r w:rsidRPr="000307AC">
        <w:rPr>
          <w:lang w:val="sq-AL"/>
        </w:rPr>
        <w:t>Tatimpaguesi përkatës përjashtohet nga detyrimi për raportim vetëm nëse vërteton, me dokumentacion të mjaftueshëm, se i njëjti informacion, i referuar në nenin 11 të këtij ligji, është raportuar tashmë nga një tatimpagues tjetër.</w:t>
      </w:r>
    </w:p>
    <w:p w14:paraId="171004E6" w14:textId="4B4FEF04" w:rsidR="002A6354" w:rsidRPr="000307AC" w:rsidRDefault="002A6354" w:rsidP="000307AC">
      <w:pPr>
        <w:pStyle w:val="ListParagraph"/>
        <w:numPr>
          <w:ilvl w:val="0"/>
          <w:numId w:val="9"/>
        </w:numPr>
        <w:spacing w:before="120" w:line="276" w:lineRule="auto"/>
        <w:jc w:val="both"/>
        <w:rPr>
          <w:lang w:val="sq-AL"/>
        </w:rPr>
      </w:pPr>
      <w:r w:rsidRPr="000307AC">
        <w:t>Dispozitat e këtij neni zbatohen në përputhje dhe në harmoni me rregullat për shmangien e raportimit të shumëfishtë të përcaktuara në nenet 7 dhe 9 të këtij ligji</w:t>
      </w:r>
      <w:r w:rsidR="00464470">
        <w:t>.</w:t>
      </w:r>
    </w:p>
    <w:p w14:paraId="4AD17D61" w14:textId="2E119D1B" w:rsidR="00E67422" w:rsidRPr="000307AC" w:rsidRDefault="00E67422" w:rsidP="000307AC">
      <w:pPr>
        <w:spacing w:before="120" w:line="276" w:lineRule="auto"/>
        <w:ind w:left="720"/>
        <w:jc w:val="both"/>
        <w:rPr>
          <w:lang w:val="sq-AL"/>
        </w:rPr>
      </w:pPr>
    </w:p>
    <w:p w14:paraId="2F143FE6" w14:textId="77777777" w:rsidR="00E857D4" w:rsidRPr="000307AC" w:rsidRDefault="001B65BA" w:rsidP="000307AC">
      <w:pPr>
        <w:pStyle w:val="Heading1"/>
        <w:spacing w:line="276" w:lineRule="auto"/>
        <w:rPr>
          <w:sz w:val="24"/>
          <w:szCs w:val="24"/>
          <w:lang w:val="sq-AL"/>
        </w:rPr>
      </w:pPr>
      <w:r w:rsidRPr="000307AC">
        <w:rPr>
          <w:sz w:val="24"/>
          <w:szCs w:val="24"/>
          <w:lang w:val="sq-AL"/>
        </w:rPr>
        <w:t>KAPITULLI III</w:t>
      </w:r>
    </w:p>
    <w:p w14:paraId="753F9BD9" w14:textId="0EF3D672" w:rsidR="001B1027" w:rsidRPr="000307AC" w:rsidRDefault="001B65BA" w:rsidP="000307AC">
      <w:pPr>
        <w:pStyle w:val="Heading2"/>
        <w:spacing w:line="276" w:lineRule="auto"/>
        <w:rPr>
          <w:sz w:val="24"/>
          <w:szCs w:val="24"/>
          <w:lang w:val="sq-AL"/>
        </w:rPr>
      </w:pPr>
      <w:r w:rsidRPr="000307AC">
        <w:rPr>
          <w:sz w:val="24"/>
          <w:szCs w:val="24"/>
          <w:lang w:val="sq-AL"/>
        </w:rPr>
        <w:t>INFORMACIONI I RAPORTUAR DHE SHKËMBIMI AUTOMATIK</w:t>
      </w:r>
    </w:p>
    <w:p w14:paraId="71220CDF" w14:textId="77777777" w:rsidR="001B1027" w:rsidRPr="000307AC" w:rsidRDefault="001B1027" w:rsidP="000307AC">
      <w:pPr>
        <w:spacing w:before="280" w:after="160" w:line="276" w:lineRule="auto"/>
        <w:jc w:val="center"/>
        <w:rPr>
          <w:b/>
          <w:bCs/>
          <w:lang w:val="sq-AL"/>
        </w:rPr>
      </w:pPr>
      <w:r w:rsidRPr="000307AC">
        <w:rPr>
          <w:b/>
          <w:lang w:val="sq-AL"/>
        </w:rPr>
        <w:t>Neni 11</w:t>
      </w:r>
    </w:p>
    <w:p w14:paraId="4254C591" w14:textId="77777777" w:rsidR="001B1027" w:rsidRPr="000307AC" w:rsidRDefault="001B1027" w:rsidP="000307AC">
      <w:pPr>
        <w:spacing w:before="280" w:after="160" w:line="276" w:lineRule="auto"/>
        <w:jc w:val="center"/>
        <w:rPr>
          <w:b/>
          <w:bCs/>
          <w:lang w:val="sq-AL"/>
        </w:rPr>
      </w:pPr>
      <w:r w:rsidRPr="000307AC">
        <w:rPr>
          <w:b/>
          <w:lang w:val="sq-AL"/>
        </w:rPr>
        <w:t>Informacioni i raportuar</w:t>
      </w:r>
    </w:p>
    <w:p w14:paraId="492C1D92" w14:textId="16703AA9" w:rsidR="001B1027" w:rsidRPr="000307AC" w:rsidRDefault="003531C6" w:rsidP="000307AC">
      <w:pPr>
        <w:spacing w:before="280" w:after="160" w:line="276" w:lineRule="auto"/>
        <w:jc w:val="both"/>
        <w:rPr>
          <w:lang w:val="sq-AL"/>
        </w:rPr>
      </w:pPr>
      <w:r w:rsidRPr="000307AC">
        <w:rPr>
          <w:lang w:val="sq-AL"/>
        </w:rPr>
        <w:t xml:space="preserve">1. Informacioni i raportuar </w:t>
      </w:r>
      <w:r w:rsidR="006C3002" w:rsidRPr="000307AC">
        <w:rPr>
          <w:lang w:val="sq-AL"/>
        </w:rPr>
        <w:t>Drejtoris</w:t>
      </w:r>
      <w:r w:rsidR="002E3518" w:rsidRPr="000307AC">
        <w:rPr>
          <w:lang w:val="sq-AL"/>
        </w:rPr>
        <w:t>ë</w:t>
      </w:r>
      <w:r w:rsidR="006C3002" w:rsidRPr="000307AC">
        <w:rPr>
          <w:lang w:val="sq-AL"/>
        </w:rPr>
        <w:t xml:space="preserve"> s</w:t>
      </w:r>
      <w:r w:rsidR="002E3518" w:rsidRPr="000307AC">
        <w:rPr>
          <w:lang w:val="sq-AL"/>
        </w:rPr>
        <w:t>ë</w:t>
      </w:r>
      <w:r w:rsidR="006C3002" w:rsidRPr="000307AC">
        <w:rPr>
          <w:lang w:val="sq-AL"/>
        </w:rPr>
        <w:t xml:space="preserve"> P</w:t>
      </w:r>
      <w:r w:rsidR="002E3518" w:rsidRPr="000307AC">
        <w:rPr>
          <w:lang w:val="sq-AL"/>
        </w:rPr>
        <w:t>ë</w:t>
      </w:r>
      <w:r w:rsidR="006C3002" w:rsidRPr="000307AC">
        <w:rPr>
          <w:lang w:val="sq-AL"/>
        </w:rPr>
        <w:t>rgjithshme t</w:t>
      </w:r>
      <w:r w:rsidR="002E3518" w:rsidRPr="000307AC">
        <w:rPr>
          <w:lang w:val="sq-AL"/>
        </w:rPr>
        <w:t>ë</w:t>
      </w:r>
      <w:r w:rsidR="006C3002" w:rsidRPr="000307AC">
        <w:rPr>
          <w:lang w:val="sq-AL"/>
        </w:rPr>
        <w:t xml:space="preserve"> Tatimeve, n</w:t>
      </w:r>
      <w:r w:rsidR="002E3518" w:rsidRPr="000307AC">
        <w:rPr>
          <w:lang w:val="sq-AL"/>
        </w:rPr>
        <w:t>ë</w:t>
      </w:r>
      <w:r w:rsidR="006C3002" w:rsidRPr="000307AC">
        <w:rPr>
          <w:lang w:val="sq-AL"/>
        </w:rPr>
        <w:t xml:space="preserve"> cil</w:t>
      </w:r>
      <w:r w:rsidR="002E3518" w:rsidRPr="000307AC">
        <w:rPr>
          <w:lang w:val="sq-AL"/>
        </w:rPr>
        <w:t>ë</w:t>
      </w:r>
      <w:r w:rsidR="006C3002" w:rsidRPr="000307AC">
        <w:rPr>
          <w:lang w:val="sq-AL"/>
        </w:rPr>
        <w:t>sie  A</w:t>
      </w:r>
      <w:r w:rsidRPr="000307AC">
        <w:rPr>
          <w:lang w:val="sq-AL"/>
        </w:rPr>
        <w:t>utoritet</w:t>
      </w:r>
      <w:r w:rsidR="006C3002" w:rsidRPr="000307AC">
        <w:rPr>
          <w:lang w:val="sq-AL"/>
        </w:rPr>
        <w:t>it</w:t>
      </w:r>
      <w:r w:rsidRPr="000307AC">
        <w:rPr>
          <w:lang w:val="sq-AL"/>
        </w:rPr>
        <w:t xml:space="preserve"> kompetent</w:t>
      </w:r>
      <w:r w:rsidR="006C3002" w:rsidRPr="000307AC">
        <w:rPr>
          <w:lang w:val="sq-AL"/>
        </w:rPr>
        <w:t xml:space="preserve">, </w:t>
      </w:r>
      <w:r w:rsidRPr="000307AC">
        <w:rPr>
          <w:lang w:val="sq-AL"/>
        </w:rPr>
        <w:t>duhet të përfshijë, sipas rastit:</w:t>
      </w:r>
    </w:p>
    <w:p w14:paraId="3C775856" w14:textId="654BA146" w:rsidR="001B1027" w:rsidRPr="000307AC" w:rsidRDefault="001B1027" w:rsidP="000307AC">
      <w:pPr>
        <w:spacing w:before="120" w:line="276" w:lineRule="auto"/>
        <w:jc w:val="both"/>
        <w:rPr>
          <w:lang w:val="sq-AL"/>
        </w:rPr>
      </w:pPr>
      <w:r w:rsidRPr="000307AC">
        <w:rPr>
          <w:lang w:val="sq-AL"/>
        </w:rPr>
        <w:t>a) identifikimin e ndërmjetësve dhe tatimpaguesve përkatës, duke përfshirë emrin, datën dhe vendin e lindjes në rastin e</w:t>
      </w:r>
      <w:r w:rsidR="00357353" w:rsidRPr="000307AC">
        <w:rPr>
          <w:lang w:val="sq-AL"/>
        </w:rPr>
        <w:t xml:space="preserve"> </w:t>
      </w:r>
      <w:r w:rsidRPr="000307AC">
        <w:rPr>
          <w:lang w:val="sq-AL"/>
        </w:rPr>
        <w:t>individ</w:t>
      </w:r>
      <w:r w:rsidR="00357353" w:rsidRPr="000307AC">
        <w:rPr>
          <w:lang w:val="sq-AL"/>
        </w:rPr>
        <w:t>ëve</w:t>
      </w:r>
      <w:r w:rsidR="00ED492F" w:rsidRPr="000307AC">
        <w:rPr>
          <w:lang w:val="sq-AL"/>
        </w:rPr>
        <w:t>,</w:t>
      </w:r>
      <w:r w:rsidRPr="000307AC">
        <w:rPr>
          <w:lang w:val="sq-AL"/>
        </w:rPr>
        <w:t xml:space="preserve"> rezidencën tatimore, numrin e identifikimit tatimor dhe, kur është e </w:t>
      </w:r>
      <w:r w:rsidR="00E7137F" w:rsidRPr="000307AC">
        <w:rPr>
          <w:lang w:val="sq-AL"/>
        </w:rPr>
        <w:t>zbatueshme</w:t>
      </w:r>
      <w:r w:rsidRPr="000307AC">
        <w:rPr>
          <w:lang w:val="sq-AL"/>
        </w:rPr>
        <w:t>, identifikimin e personave që janë ndërmarrje të lidhura me tatimpaguesin përkatës;</w:t>
      </w:r>
    </w:p>
    <w:p w14:paraId="49849D1B" w14:textId="6F5C3301" w:rsidR="001B1027" w:rsidRPr="000307AC" w:rsidRDefault="001B1027" w:rsidP="000307AC">
      <w:pPr>
        <w:spacing w:before="120" w:line="276" w:lineRule="auto"/>
        <w:jc w:val="both"/>
        <w:rPr>
          <w:lang w:val="sq-AL"/>
        </w:rPr>
      </w:pPr>
      <w:r w:rsidRPr="000307AC">
        <w:rPr>
          <w:lang w:val="sq-AL"/>
        </w:rPr>
        <w:t xml:space="preserve">b) detajet e shenjave dalluese të përcaktuara në Shtojcën e këtij ligji që e bëjnë </w:t>
      </w:r>
      <w:r w:rsidR="00E60515" w:rsidRPr="000307AC">
        <w:rPr>
          <w:lang w:val="sq-AL"/>
        </w:rPr>
        <w:t>mekanizmin</w:t>
      </w:r>
      <w:r w:rsidRPr="000307AC">
        <w:rPr>
          <w:lang w:val="sq-AL"/>
        </w:rPr>
        <w:t xml:space="preserve"> ndërkufitare të raportueshme;</w:t>
      </w:r>
    </w:p>
    <w:p w14:paraId="7F8BE1AE" w14:textId="400BE0D7" w:rsidR="001B1027" w:rsidRPr="000307AC" w:rsidRDefault="001B1027" w:rsidP="000307AC">
      <w:pPr>
        <w:spacing w:before="120" w:line="276" w:lineRule="auto"/>
        <w:jc w:val="both"/>
        <w:rPr>
          <w:lang w:val="sq-AL"/>
        </w:rPr>
      </w:pPr>
      <w:r w:rsidRPr="000307AC">
        <w:rPr>
          <w:lang w:val="sq-AL"/>
        </w:rPr>
        <w:t>c) një përmbledhje të përmbajtjes së m</w:t>
      </w:r>
      <w:r w:rsidR="00E60515" w:rsidRPr="000307AC">
        <w:rPr>
          <w:lang w:val="sq-AL"/>
        </w:rPr>
        <w:t>ekanizmit</w:t>
      </w:r>
      <w:r w:rsidRPr="000307AC">
        <w:rPr>
          <w:lang w:val="sq-AL"/>
        </w:rPr>
        <w:t xml:space="preserve"> ndërkufitar të raportueshm, duke përfshirë një referencë për emrin me të cilin njihet zakonisht, nëse ka, dhe një përshkrim në terma </w:t>
      </w:r>
      <w:r w:rsidR="006C3002" w:rsidRPr="000307AC">
        <w:rPr>
          <w:lang w:val="sq-AL"/>
        </w:rPr>
        <w:t>t</w:t>
      </w:r>
      <w:r w:rsidR="002E3518" w:rsidRPr="000307AC">
        <w:rPr>
          <w:lang w:val="sq-AL"/>
        </w:rPr>
        <w:t>ë</w:t>
      </w:r>
      <w:r w:rsidR="006C3002" w:rsidRPr="000307AC">
        <w:rPr>
          <w:lang w:val="sq-AL"/>
        </w:rPr>
        <w:t xml:space="preserve"> p</w:t>
      </w:r>
      <w:r w:rsidR="002E3518" w:rsidRPr="000307AC">
        <w:rPr>
          <w:lang w:val="sq-AL"/>
        </w:rPr>
        <w:t>ë</w:t>
      </w:r>
      <w:r w:rsidR="006C3002" w:rsidRPr="000307AC">
        <w:rPr>
          <w:lang w:val="sq-AL"/>
        </w:rPr>
        <w:t>rgjithsh</w:t>
      </w:r>
      <w:r w:rsidR="002E3518" w:rsidRPr="000307AC">
        <w:rPr>
          <w:lang w:val="sq-AL"/>
        </w:rPr>
        <w:t>ë</w:t>
      </w:r>
      <w:r w:rsidR="006C3002" w:rsidRPr="000307AC">
        <w:rPr>
          <w:lang w:val="sq-AL"/>
        </w:rPr>
        <w:t xml:space="preserve">m </w:t>
      </w:r>
      <w:r w:rsidRPr="000307AC">
        <w:rPr>
          <w:lang w:val="sq-AL"/>
        </w:rPr>
        <w:t xml:space="preserve">të aktiviteteve ose marrëveshjeve përkatëse të biznesit, pa </w:t>
      </w:r>
      <w:r w:rsidR="005A0557" w:rsidRPr="000307AC">
        <w:rPr>
          <w:lang w:val="sq-AL"/>
        </w:rPr>
        <w:t>zbuluar</w:t>
      </w:r>
      <w:r w:rsidRPr="000307AC">
        <w:rPr>
          <w:lang w:val="sq-AL"/>
        </w:rPr>
        <w:t xml:space="preserve"> një sekret tregtar, industrial ose profesional, ose të informacionit, zbulimi i të cilit do të ishte në kundërshtim me </w:t>
      </w:r>
      <w:r w:rsidR="0016633E" w:rsidRPr="000307AC">
        <w:rPr>
          <w:lang w:val="sq-AL"/>
        </w:rPr>
        <w:t>interesin publik;</w:t>
      </w:r>
      <w:r w:rsidR="00357353" w:rsidRPr="000307AC">
        <w:rPr>
          <w:lang w:val="sq-AL"/>
        </w:rPr>
        <w:t xml:space="preserve"> </w:t>
      </w:r>
    </w:p>
    <w:p w14:paraId="345DDE5A" w14:textId="40624B58" w:rsidR="001B1027" w:rsidRPr="000307AC" w:rsidRDefault="00357353" w:rsidP="000307AC">
      <w:pPr>
        <w:spacing w:before="120" w:line="276" w:lineRule="auto"/>
        <w:jc w:val="both"/>
        <w:rPr>
          <w:lang w:val="sq-AL"/>
        </w:rPr>
      </w:pPr>
      <w:r w:rsidRPr="000307AC">
        <w:rPr>
          <w:lang w:val="sq-AL"/>
        </w:rPr>
        <w:t xml:space="preserve">ç) datën në të cilën është kryer ose do </w:t>
      </w:r>
      <w:r w:rsidR="001B1027" w:rsidRPr="000307AC">
        <w:rPr>
          <w:lang w:val="sq-AL"/>
        </w:rPr>
        <w:t>të</w:t>
      </w:r>
      <w:r w:rsidRPr="000307AC">
        <w:rPr>
          <w:rStyle w:val="CommentReference"/>
          <w:sz w:val="24"/>
          <w:szCs w:val="24"/>
          <w:lang w:val="sq-AL"/>
        </w:rPr>
        <w:t xml:space="preserve"> kryhet</w:t>
      </w:r>
      <w:r w:rsidR="001B1027" w:rsidRPr="000307AC">
        <w:rPr>
          <w:lang w:val="sq-AL"/>
        </w:rPr>
        <w:t xml:space="preserve">  hapi i parë në zbatimin e </w:t>
      </w:r>
      <w:r w:rsidR="00E60515" w:rsidRPr="000307AC">
        <w:rPr>
          <w:lang w:val="sq-AL"/>
        </w:rPr>
        <w:t xml:space="preserve">mekanizmit </w:t>
      </w:r>
      <w:r w:rsidR="006F4E00" w:rsidRPr="000307AC">
        <w:rPr>
          <w:lang w:val="sq-AL"/>
        </w:rPr>
        <w:t xml:space="preserve"> ndërkufitar të raportueshm</w:t>
      </w:r>
      <w:r w:rsidR="001B1027" w:rsidRPr="000307AC">
        <w:rPr>
          <w:lang w:val="sq-AL"/>
        </w:rPr>
        <w:t>;</w:t>
      </w:r>
    </w:p>
    <w:p w14:paraId="1027EC34" w14:textId="369AF135" w:rsidR="001B1027" w:rsidRPr="000307AC" w:rsidRDefault="001B1027" w:rsidP="000307AC">
      <w:pPr>
        <w:spacing w:before="120" w:line="276" w:lineRule="auto"/>
        <w:jc w:val="both"/>
        <w:rPr>
          <w:lang w:val="sq-AL"/>
        </w:rPr>
      </w:pPr>
      <w:r w:rsidRPr="000307AC">
        <w:rPr>
          <w:lang w:val="sq-AL"/>
        </w:rPr>
        <w:t xml:space="preserve">d) referencë për dispozitat ligjore kombëtare që </w:t>
      </w:r>
      <w:r w:rsidR="00357353" w:rsidRPr="000307AC">
        <w:rPr>
          <w:lang w:val="sq-AL"/>
        </w:rPr>
        <w:t xml:space="preserve">përbëjnë </w:t>
      </w:r>
      <w:r w:rsidRPr="000307AC">
        <w:rPr>
          <w:lang w:val="sq-AL"/>
        </w:rPr>
        <w:t xml:space="preserve">bazën e </w:t>
      </w:r>
      <w:r w:rsidR="00E60515" w:rsidRPr="000307AC">
        <w:rPr>
          <w:lang w:val="sq-AL"/>
        </w:rPr>
        <w:t>mekanizmit</w:t>
      </w:r>
      <w:r w:rsidRPr="000307AC">
        <w:rPr>
          <w:lang w:val="sq-AL"/>
        </w:rPr>
        <w:t xml:space="preserve"> ndërkufitar të raportueshm;</w:t>
      </w:r>
    </w:p>
    <w:p w14:paraId="669D41A2" w14:textId="22BD7B50" w:rsidR="001B1027" w:rsidRPr="000307AC" w:rsidRDefault="001B1027" w:rsidP="000307AC">
      <w:pPr>
        <w:spacing w:before="120" w:line="276" w:lineRule="auto"/>
        <w:jc w:val="both"/>
        <w:rPr>
          <w:lang w:val="sq-AL"/>
        </w:rPr>
      </w:pPr>
      <w:r w:rsidRPr="000307AC">
        <w:rPr>
          <w:lang w:val="sq-AL"/>
        </w:rPr>
        <w:t xml:space="preserve">dh) vlera e </w:t>
      </w:r>
      <w:r w:rsidR="00E60515" w:rsidRPr="000307AC">
        <w:rPr>
          <w:lang w:val="sq-AL"/>
        </w:rPr>
        <w:t>mekanizmit</w:t>
      </w:r>
      <w:r w:rsidRPr="000307AC">
        <w:rPr>
          <w:lang w:val="sq-AL"/>
        </w:rPr>
        <w:t xml:space="preserve"> ndërkufitar të raportuesh</w:t>
      </w:r>
      <w:r w:rsidR="002E3518" w:rsidRPr="000307AC">
        <w:rPr>
          <w:lang w:val="sq-AL"/>
        </w:rPr>
        <w:t>ë</w:t>
      </w:r>
      <w:r w:rsidRPr="000307AC">
        <w:rPr>
          <w:lang w:val="sq-AL"/>
        </w:rPr>
        <w:t>m, kur ajo mund të përcaktohet;</w:t>
      </w:r>
    </w:p>
    <w:p w14:paraId="39EBCD47" w14:textId="2086F06E" w:rsidR="001B1027" w:rsidRPr="000307AC" w:rsidRDefault="001B1027" w:rsidP="000307AC">
      <w:pPr>
        <w:spacing w:before="120" w:line="276" w:lineRule="auto"/>
        <w:jc w:val="both"/>
        <w:rPr>
          <w:lang w:val="sq-AL"/>
        </w:rPr>
      </w:pPr>
      <w:r w:rsidRPr="000307AC">
        <w:rPr>
          <w:lang w:val="sq-AL"/>
        </w:rPr>
        <w:lastRenderedPageBreak/>
        <w:t xml:space="preserve">e) identifikimin e </w:t>
      </w:r>
      <w:r w:rsidR="00416098" w:rsidRPr="000307AC">
        <w:rPr>
          <w:lang w:val="sq-AL"/>
        </w:rPr>
        <w:t xml:space="preserve">shteteve anëtare </w:t>
      </w:r>
      <w:r w:rsidRPr="000307AC">
        <w:rPr>
          <w:lang w:val="sq-AL"/>
        </w:rPr>
        <w:t xml:space="preserve"> ku tatimpaguesit përkatës janë rezidentë për qëllime tatimore, dhe të çdo juridiksioni tjetër që mund të preket nga </w:t>
      </w:r>
      <w:r w:rsidR="00E60515" w:rsidRPr="000307AC">
        <w:rPr>
          <w:lang w:val="sq-AL"/>
        </w:rPr>
        <w:t>mekanizmi</w:t>
      </w:r>
      <w:r w:rsidRPr="000307AC">
        <w:rPr>
          <w:lang w:val="sq-AL"/>
        </w:rPr>
        <w:t>;</w:t>
      </w:r>
    </w:p>
    <w:p w14:paraId="34BA0508" w14:textId="0FA26238" w:rsidR="00364244" w:rsidRDefault="001B1027" w:rsidP="000307AC">
      <w:pPr>
        <w:spacing w:before="120" w:line="276" w:lineRule="auto"/>
        <w:jc w:val="both"/>
        <w:rPr>
          <w:lang w:val="sq-AL"/>
        </w:rPr>
      </w:pPr>
      <w:r w:rsidRPr="000307AC">
        <w:rPr>
          <w:lang w:val="sq-AL"/>
        </w:rPr>
        <w:t>ë) identifikimin e çdo personi tjetër</w:t>
      </w:r>
      <w:r w:rsidR="00B92216" w:rsidRPr="000307AC">
        <w:rPr>
          <w:lang w:val="sq-AL"/>
        </w:rPr>
        <w:t xml:space="preserve"> që </w:t>
      </w:r>
      <w:r w:rsidR="005A0557" w:rsidRPr="000307AC">
        <w:rPr>
          <w:lang w:val="sq-AL"/>
        </w:rPr>
        <w:t>q</w:t>
      </w:r>
      <w:r w:rsidR="002E3518" w:rsidRPr="000307AC">
        <w:rPr>
          <w:lang w:val="sq-AL"/>
        </w:rPr>
        <w:t>ë</w:t>
      </w:r>
      <w:r w:rsidR="005A0557" w:rsidRPr="000307AC">
        <w:rPr>
          <w:lang w:val="sq-AL"/>
        </w:rPr>
        <w:t xml:space="preserve"> mund t</w:t>
      </w:r>
      <w:r w:rsidR="002E3518" w:rsidRPr="000307AC">
        <w:rPr>
          <w:lang w:val="sq-AL"/>
        </w:rPr>
        <w:t>ë</w:t>
      </w:r>
      <w:r w:rsidR="005A0557" w:rsidRPr="000307AC">
        <w:rPr>
          <w:lang w:val="sq-AL"/>
        </w:rPr>
        <w:t xml:space="preserve"> ndikohet </w:t>
      </w:r>
      <w:r w:rsidRPr="000307AC">
        <w:rPr>
          <w:lang w:val="sq-AL"/>
        </w:rPr>
        <w:t xml:space="preserve">nga </w:t>
      </w:r>
      <w:r w:rsidR="00E60515" w:rsidRPr="000307AC">
        <w:rPr>
          <w:lang w:val="sq-AL"/>
        </w:rPr>
        <w:t>mekanizmi</w:t>
      </w:r>
      <w:r w:rsidRPr="000307AC">
        <w:rPr>
          <w:lang w:val="sq-AL"/>
        </w:rPr>
        <w:t xml:space="preserve"> ndërkufitar e raportueshm, duke treguar </w:t>
      </w:r>
      <w:r w:rsidR="00416098" w:rsidRPr="000307AC">
        <w:rPr>
          <w:lang w:val="sq-AL"/>
        </w:rPr>
        <w:t xml:space="preserve">shtetet anëtare </w:t>
      </w:r>
      <w:r w:rsidR="006F4E00" w:rsidRPr="000307AC">
        <w:rPr>
          <w:lang w:val="sq-AL"/>
        </w:rPr>
        <w:t>me të cilat lidhet ky person.</w:t>
      </w:r>
    </w:p>
    <w:p w14:paraId="024C5442" w14:textId="77777777" w:rsidR="006D0599" w:rsidRPr="000307AC" w:rsidRDefault="006D0599" w:rsidP="001347BD">
      <w:pPr>
        <w:spacing w:line="276" w:lineRule="auto"/>
        <w:jc w:val="both"/>
        <w:rPr>
          <w:lang w:val="sq-AL"/>
        </w:rPr>
      </w:pPr>
    </w:p>
    <w:p w14:paraId="7F9CEF1A" w14:textId="5F5FC94A" w:rsidR="001B1027" w:rsidRPr="000307AC" w:rsidRDefault="001B1027" w:rsidP="000307AC">
      <w:pPr>
        <w:spacing w:before="120" w:line="276" w:lineRule="auto"/>
        <w:jc w:val="center"/>
        <w:rPr>
          <w:b/>
          <w:bCs/>
          <w:lang w:val="sq-AL"/>
        </w:rPr>
      </w:pPr>
      <w:r w:rsidRPr="000307AC">
        <w:rPr>
          <w:b/>
          <w:lang w:val="sq-AL"/>
        </w:rPr>
        <w:t>Neni 12</w:t>
      </w:r>
    </w:p>
    <w:p w14:paraId="428DB979" w14:textId="77777777" w:rsidR="001B1027" w:rsidRPr="000307AC" w:rsidRDefault="001B1027" w:rsidP="000307AC">
      <w:pPr>
        <w:spacing w:before="280" w:after="160" w:line="276" w:lineRule="auto"/>
        <w:jc w:val="center"/>
        <w:rPr>
          <w:b/>
          <w:bCs/>
          <w:lang w:val="sq-AL"/>
        </w:rPr>
      </w:pPr>
      <w:r w:rsidRPr="000307AC">
        <w:rPr>
          <w:b/>
          <w:lang w:val="sq-AL"/>
        </w:rPr>
        <w:t>Transmetimi dhe shkëmbimi automatik i informacionit</w:t>
      </w:r>
    </w:p>
    <w:p w14:paraId="7D90E34E" w14:textId="2C17D028" w:rsidR="00763DD1" w:rsidRPr="000307AC" w:rsidRDefault="00763DD1" w:rsidP="000307AC">
      <w:pPr>
        <w:spacing w:line="276" w:lineRule="auto"/>
        <w:jc w:val="both"/>
        <w:rPr>
          <w:lang w:val="sq-AL"/>
        </w:rPr>
      </w:pPr>
      <w:r w:rsidRPr="000307AC">
        <w:rPr>
          <w:lang w:val="sq-AL"/>
        </w:rPr>
        <w:t xml:space="preserve">1. </w:t>
      </w:r>
      <w:r w:rsidR="00E67422" w:rsidRPr="000307AC">
        <w:rPr>
          <w:lang w:val="sq-AL"/>
        </w:rPr>
        <w:t xml:space="preserve">Drejtoria e Përgjithshme e Tatimeve, në cilësinë e autoritetit kompetent, transmeton dhe shkëmben automatikisht informacionin e raportuar në përputhje me këtë ligj me autoritetet kompetente të të gjitha Shteteve të tjera Anëtare, përmes sistemeve të komunikimit dhe rrjeteve të përcaktuara nga legjislacioni në fuqi </w:t>
      </w:r>
      <w:r w:rsidR="002332A3" w:rsidRPr="000307AC">
        <w:rPr>
          <w:bCs/>
          <w:lang w:val="sq-AL"/>
        </w:rPr>
        <w:t>“Për bashkëpunimin administrativ në fushën e tatimeve dhe shkëmbimit të informacionit tatimor”.</w:t>
      </w:r>
    </w:p>
    <w:p w14:paraId="7A05F97E" w14:textId="77777777" w:rsidR="002332A3" w:rsidRPr="000307AC" w:rsidRDefault="002332A3" w:rsidP="000307AC">
      <w:pPr>
        <w:spacing w:line="276" w:lineRule="auto"/>
        <w:jc w:val="both"/>
        <w:rPr>
          <w:lang w:val="sq-AL"/>
        </w:rPr>
      </w:pPr>
    </w:p>
    <w:p w14:paraId="775361BF" w14:textId="20ABCDE1" w:rsidR="001B1027" w:rsidRPr="000307AC" w:rsidRDefault="00763DD1" w:rsidP="000307AC">
      <w:pPr>
        <w:spacing w:line="276" w:lineRule="auto"/>
        <w:jc w:val="both"/>
        <w:rPr>
          <w:lang w:val="sq-AL"/>
        </w:rPr>
      </w:pPr>
      <w:r w:rsidRPr="000307AC">
        <w:rPr>
          <w:lang w:val="sq-AL"/>
        </w:rPr>
        <w:t xml:space="preserve">2. </w:t>
      </w:r>
      <w:r w:rsidR="001B1027" w:rsidRPr="000307AC">
        <w:rPr>
          <w:lang w:val="sq-AL"/>
        </w:rPr>
        <w:t>Shkëmbimi automatik i informacionit do të kryhet brenda një muaji nga fundi i tremujorit në të cilin është raportuar informacioni.</w:t>
      </w:r>
    </w:p>
    <w:p w14:paraId="54D9CCDA" w14:textId="63CD7CA2" w:rsidR="001B1027" w:rsidRPr="000307AC" w:rsidRDefault="00763DD1" w:rsidP="000307AC">
      <w:pPr>
        <w:spacing w:before="280" w:after="160" w:line="276" w:lineRule="auto"/>
        <w:jc w:val="both"/>
        <w:rPr>
          <w:lang w:val="sq-AL"/>
        </w:rPr>
      </w:pPr>
      <w:r w:rsidRPr="000307AC">
        <w:rPr>
          <w:lang w:val="sq-AL"/>
        </w:rPr>
        <w:t>3.</w:t>
      </w:r>
      <w:r w:rsidR="006D0599">
        <w:rPr>
          <w:lang w:val="sq-AL"/>
        </w:rPr>
        <w:t xml:space="preserve"> </w:t>
      </w:r>
      <w:r w:rsidR="001B1027" w:rsidRPr="000307AC">
        <w:rPr>
          <w:lang w:val="sq-AL"/>
        </w:rPr>
        <w:t xml:space="preserve">Forma standarde, procedurat teknike dhe metoda e transmetimit të informacionit do të përcaktohen me </w:t>
      </w:r>
      <w:r w:rsidR="001D357C" w:rsidRPr="000307AC">
        <w:rPr>
          <w:lang w:val="sq-AL"/>
        </w:rPr>
        <w:t>vendim t</w:t>
      </w:r>
      <w:r w:rsidR="00BD57C6" w:rsidRPr="000307AC">
        <w:rPr>
          <w:lang w:val="sq-AL"/>
        </w:rPr>
        <w:t>ë</w:t>
      </w:r>
      <w:r w:rsidR="001D357C" w:rsidRPr="000307AC">
        <w:rPr>
          <w:lang w:val="sq-AL"/>
        </w:rPr>
        <w:t xml:space="preserve"> </w:t>
      </w:r>
      <w:r w:rsidR="00E04C10" w:rsidRPr="000307AC">
        <w:rPr>
          <w:lang w:val="sq-AL"/>
        </w:rPr>
        <w:t>K</w:t>
      </w:r>
      <w:r w:rsidR="00BD57C6" w:rsidRPr="000307AC">
        <w:rPr>
          <w:lang w:val="sq-AL"/>
        </w:rPr>
        <w:t>ë</w:t>
      </w:r>
      <w:r w:rsidR="001D357C" w:rsidRPr="000307AC">
        <w:rPr>
          <w:lang w:val="sq-AL"/>
        </w:rPr>
        <w:t>shillit t</w:t>
      </w:r>
      <w:r w:rsidR="00BD57C6" w:rsidRPr="000307AC">
        <w:rPr>
          <w:lang w:val="sq-AL"/>
        </w:rPr>
        <w:t>ë</w:t>
      </w:r>
      <w:r w:rsidR="001D357C" w:rsidRPr="000307AC">
        <w:rPr>
          <w:lang w:val="sq-AL"/>
        </w:rPr>
        <w:t xml:space="preserve"> </w:t>
      </w:r>
      <w:r w:rsidR="00E04C10" w:rsidRPr="000307AC">
        <w:rPr>
          <w:lang w:val="sq-AL"/>
        </w:rPr>
        <w:t>M</w:t>
      </w:r>
      <w:r w:rsidR="001D357C" w:rsidRPr="000307AC">
        <w:rPr>
          <w:lang w:val="sq-AL"/>
        </w:rPr>
        <w:t>inistrave</w:t>
      </w:r>
      <w:r w:rsidR="001B1027" w:rsidRPr="000307AC">
        <w:rPr>
          <w:lang w:val="sq-AL"/>
        </w:rPr>
        <w:t>.</w:t>
      </w:r>
    </w:p>
    <w:p w14:paraId="3DBB2781" w14:textId="599FDC64" w:rsidR="00E857D4" w:rsidRPr="000307AC" w:rsidRDefault="001B65BA" w:rsidP="000307AC">
      <w:pPr>
        <w:spacing w:before="280" w:after="160" w:line="276" w:lineRule="auto"/>
        <w:jc w:val="center"/>
        <w:rPr>
          <w:lang w:val="sq-AL"/>
        </w:rPr>
      </w:pPr>
      <w:r w:rsidRPr="000307AC">
        <w:rPr>
          <w:b/>
          <w:color w:val="000000" w:themeColor="text1"/>
          <w:lang w:val="sq-AL"/>
        </w:rPr>
        <w:t xml:space="preserve">Neni 13 </w:t>
      </w:r>
      <w:r w:rsidRPr="000307AC">
        <w:rPr>
          <w:b/>
          <w:color w:val="EE0000"/>
          <w:lang w:val="sq-AL"/>
        </w:rPr>
        <w:br/>
      </w:r>
      <w:r w:rsidR="006D0599">
        <w:rPr>
          <w:b/>
          <w:lang w:val="sq-AL"/>
        </w:rPr>
        <w:t>Raportimi i</w:t>
      </w:r>
      <w:r w:rsidRPr="000307AC">
        <w:rPr>
          <w:b/>
          <w:lang w:val="sq-AL"/>
        </w:rPr>
        <w:t xml:space="preserve"> një </w:t>
      </w:r>
      <w:r w:rsidR="0082658B" w:rsidRPr="000307AC">
        <w:rPr>
          <w:b/>
          <w:lang w:val="sq-AL"/>
        </w:rPr>
        <w:t>mekanizmi ndërkufitar t</w:t>
      </w:r>
      <w:r w:rsidR="00BD57C6" w:rsidRPr="000307AC">
        <w:rPr>
          <w:b/>
          <w:lang w:val="sq-AL"/>
        </w:rPr>
        <w:t>ë</w:t>
      </w:r>
      <w:r w:rsidR="0082658B" w:rsidRPr="000307AC">
        <w:rPr>
          <w:b/>
          <w:lang w:val="sq-AL"/>
        </w:rPr>
        <w:t xml:space="preserve"> raportueshëm</w:t>
      </w:r>
    </w:p>
    <w:p w14:paraId="7B322B7F" w14:textId="6C379C5C" w:rsidR="00E857D4" w:rsidRPr="000307AC" w:rsidRDefault="005A0557" w:rsidP="001347BD">
      <w:pPr>
        <w:spacing w:after="160" w:line="276" w:lineRule="auto"/>
        <w:jc w:val="both"/>
        <w:rPr>
          <w:lang w:val="sq-AL"/>
        </w:rPr>
      </w:pPr>
      <w:r w:rsidRPr="000307AC">
        <w:t xml:space="preserve">Raportimi i një mekanizmi ndërkufitar të raportueshëm nuk përbën miratim të vlefshmërisë ose trajtimit tatimor të tij nga autoriteti kompetent </w:t>
      </w:r>
      <w:r w:rsidRPr="000307AC">
        <w:rPr>
          <w:lang w:val="sq-AL"/>
        </w:rPr>
        <w:t>në Republikën e Shqipërisë.</w:t>
      </w:r>
    </w:p>
    <w:p w14:paraId="1844CCDE" w14:textId="77777777" w:rsidR="00CC7FE6" w:rsidRPr="000307AC" w:rsidRDefault="00CC7FE6" w:rsidP="000307AC">
      <w:pPr>
        <w:spacing w:after="120" w:line="276" w:lineRule="auto"/>
        <w:ind w:left="720" w:hanging="360"/>
        <w:jc w:val="both"/>
        <w:rPr>
          <w:lang w:val="sq-AL"/>
        </w:rPr>
      </w:pPr>
    </w:p>
    <w:p w14:paraId="0234CA7B" w14:textId="77777777" w:rsidR="00CC7FE6" w:rsidRPr="000307AC" w:rsidRDefault="00CC7FE6" w:rsidP="000307AC">
      <w:pPr>
        <w:spacing w:after="120" w:line="276" w:lineRule="auto"/>
        <w:ind w:left="720" w:hanging="360"/>
        <w:jc w:val="center"/>
        <w:rPr>
          <w:b/>
          <w:bCs/>
          <w:lang w:val="sq-AL"/>
        </w:rPr>
      </w:pPr>
      <w:r w:rsidRPr="000307AC">
        <w:rPr>
          <w:b/>
          <w:lang w:val="sq-AL"/>
        </w:rPr>
        <w:t>Neni 14</w:t>
      </w:r>
    </w:p>
    <w:p w14:paraId="16303404" w14:textId="77777777" w:rsidR="006D0599" w:rsidRDefault="00CC7FE6" w:rsidP="001347BD">
      <w:pPr>
        <w:spacing w:after="120" w:line="276" w:lineRule="auto"/>
        <w:ind w:left="360"/>
        <w:jc w:val="center"/>
        <w:rPr>
          <w:b/>
          <w:lang w:val="sq-AL"/>
        </w:rPr>
      </w:pPr>
      <w:r w:rsidRPr="000307AC">
        <w:rPr>
          <w:b/>
          <w:lang w:val="sq-AL"/>
        </w:rPr>
        <w:t>Mbrojtja dhe përpunimi i të dhënave personal</w:t>
      </w:r>
    </w:p>
    <w:p w14:paraId="5B7289AC" w14:textId="20C39C30" w:rsidR="00A84FF0" w:rsidRPr="000307AC" w:rsidRDefault="00A84FF0" w:rsidP="000307AC">
      <w:pPr>
        <w:spacing w:after="120" w:line="276" w:lineRule="auto"/>
        <w:ind w:left="360"/>
        <w:jc w:val="both"/>
        <w:rPr>
          <w:bCs/>
          <w:lang w:val="sq-AL"/>
        </w:rPr>
      </w:pPr>
      <w:r w:rsidRPr="000307AC">
        <w:rPr>
          <w:bCs/>
          <w:lang w:val="sq-AL"/>
        </w:rPr>
        <w:t>Dispozitat mbi mbrojtjen e të dhënave personale të parashikuara në ligjin “Për bashkëpunimin administrativ në fushën e tatimeve dhe shkëmbimit të informacionit tatimor”</w:t>
      </w:r>
      <w:r w:rsidRPr="000307AC">
        <w:rPr>
          <w:rStyle w:val="FootnoteReference"/>
          <w:bCs/>
          <w:lang w:val="sq-AL"/>
        </w:rPr>
        <w:footnoteReference w:id="3"/>
      </w:r>
      <w:r w:rsidRPr="000307AC">
        <w:rPr>
          <w:bCs/>
          <w:lang w:val="sq-AL"/>
        </w:rPr>
        <w:t xml:space="preserve">, </w:t>
      </w:r>
      <w:r w:rsidR="00EB26D0" w:rsidRPr="000307AC">
        <w:rPr>
          <w:bCs/>
        </w:rPr>
        <w:t>si dhe legjislacioni në fuqi për mbrojtjen e të dhënave personale</w:t>
      </w:r>
      <w:r w:rsidR="00EB26D0" w:rsidRPr="000307AC">
        <w:rPr>
          <w:bCs/>
          <w:lang w:val="sq-AL"/>
        </w:rPr>
        <w:t xml:space="preserve">, </w:t>
      </w:r>
      <w:r w:rsidRPr="000307AC">
        <w:rPr>
          <w:bCs/>
          <w:lang w:val="sq-AL"/>
        </w:rPr>
        <w:t>zbatohen edhe për këtë ligj.</w:t>
      </w:r>
    </w:p>
    <w:p w14:paraId="19FE4D46" w14:textId="1F5D510B" w:rsidR="00CC7FE6" w:rsidRPr="000307AC" w:rsidRDefault="00CC7FE6" w:rsidP="000307AC">
      <w:pPr>
        <w:pStyle w:val="Heading2"/>
        <w:spacing w:line="276" w:lineRule="auto"/>
        <w:rPr>
          <w:sz w:val="24"/>
          <w:szCs w:val="24"/>
          <w:lang w:val="sq-AL"/>
        </w:rPr>
      </w:pPr>
      <w:r w:rsidRPr="000307AC">
        <w:rPr>
          <w:sz w:val="24"/>
          <w:szCs w:val="24"/>
          <w:lang w:val="sq-AL"/>
        </w:rPr>
        <w:t>Neni 1</w:t>
      </w:r>
      <w:r w:rsidR="00BD57C6" w:rsidRPr="000307AC">
        <w:rPr>
          <w:sz w:val="24"/>
          <w:szCs w:val="24"/>
          <w:lang w:val="sq-AL"/>
        </w:rPr>
        <w:t>5</w:t>
      </w:r>
    </w:p>
    <w:p w14:paraId="4BE736B8" w14:textId="77777777" w:rsidR="00CC7FE6" w:rsidRPr="000307AC" w:rsidRDefault="00CC7FE6" w:rsidP="000307AC">
      <w:pPr>
        <w:pStyle w:val="Heading2"/>
        <w:spacing w:line="276" w:lineRule="auto"/>
        <w:rPr>
          <w:sz w:val="24"/>
          <w:szCs w:val="24"/>
          <w:lang w:val="sq-AL"/>
        </w:rPr>
      </w:pPr>
      <w:r w:rsidRPr="000307AC">
        <w:rPr>
          <w:sz w:val="24"/>
          <w:szCs w:val="24"/>
          <w:lang w:val="sq-AL"/>
        </w:rPr>
        <w:t>Sistemi elektronik i raportimit</w:t>
      </w:r>
    </w:p>
    <w:p w14:paraId="002B1058" w14:textId="14AEC3E4" w:rsidR="00CC7FE6" w:rsidRPr="000307AC" w:rsidRDefault="00EB26D0" w:rsidP="000307AC">
      <w:pPr>
        <w:pStyle w:val="Heading2"/>
        <w:numPr>
          <w:ilvl w:val="0"/>
          <w:numId w:val="10"/>
        </w:numPr>
        <w:spacing w:line="276" w:lineRule="auto"/>
        <w:jc w:val="both"/>
        <w:rPr>
          <w:b w:val="0"/>
          <w:bCs w:val="0"/>
          <w:sz w:val="24"/>
          <w:szCs w:val="24"/>
          <w:lang w:val="sq-AL"/>
        </w:rPr>
      </w:pPr>
      <w:r w:rsidRPr="000307AC">
        <w:rPr>
          <w:b w:val="0"/>
          <w:sz w:val="24"/>
          <w:szCs w:val="24"/>
        </w:rPr>
        <w:t xml:space="preserve">Drejtoria e Përgjithshme e Tatimeve, në cilësinë e </w:t>
      </w:r>
      <w:r w:rsidR="00CC7FE6" w:rsidRPr="000307AC">
        <w:rPr>
          <w:b w:val="0"/>
          <w:sz w:val="24"/>
          <w:szCs w:val="24"/>
          <w:lang w:val="sq-AL"/>
        </w:rPr>
        <w:t>Autoriteti</w:t>
      </w:r>
      <w:r w:rsidRPr="000307AC">
        <w:rPr>
          <w:b w:val="0"/>
          <w:sz w:val="24"/>
          <w:szCs w:val="24"/>
          <w:lang w:val="sq-AL"/>
        </w:rPr>
        <w:t>t</w:t>
      </w:r>
      <w:r w:rsidR="00CC7FE6" w:rsidRPr="000307AC">
        <w:rPr>
          <w:b w:val="0"/>
          <w:sz w:val="24"/>
          <w:szCs w:val="24"/>
          <w:lang w:val="sq-AL"/>
        </w:rPr>
        <w:t xml:space="preserve"> kompetent administron sistemin elektronik për marrjen, përpunimin, ruajtjen dhe transmetimin e informacionit të raportuar në përputhje me këtë ligj.</w:t>
      </w:r>
    </w:p>
    <w:p w14:paraId="0F1EB386" w14:textId="1685D3FB" w:rsidR="00CC7FE6" w:rsidRPr="000307AC" w:rsidRDefault="00CC7FE6" w:rsidP="000307AC">
      <w:pPr>
        <w:pStyle w:val="Heading2"/>
        <w:numPr>
          <w:ilvl w:val="0"/>
          <w:numId w:val="10"/>
        </w:numPr>
        <w:spacing w:line="276" w:lineRule="auto"/>
        <w:jc w:val="both"/>
        <w:rPr>
          <w:b w:val="0"/>
          <w:bCs w:val="0"/>
          <w:sz w:val="24"/>
          <w:szCs w:val="24"/>
          <w:lang w:val="sq-AL"/>
        </w:rPr>
      </w:pPr>
      <w:r w:rsidRPr="000307AC">
        <w:rPr>
          <w:b w:val="0"/>
          <w:sz w:val="24"/>
          <w:szCs w:val="24"/>
          <w:lang w:val="sq-AL"/>
        </w:rPr>
        <w:lastRenderedPageBreak/>
        <w:t xml:space="preserve">Sistemi elektronik duhet të </w:t>
      </w:r>
      <w:r w:rsidR="00BD57C6" w:rsidRPr="000307AC">
        <w:rPr>
          <w:b w:val="0"/>
          <w:sz w:val="24"/>
          <w:szCs w:val="24"/>
          <w:lang w:val="sq-AL"/>
        </w:rPr>
        <w:t>garantojë</w:t>
      </w:r>
      <w:r w:rsidRPr="000307AC">
        <w:rPr>
          <w:b w:val="0"/>
          <w:sz w:val="24"/>
          <w:szCs w:val="24"/>
          <w:lang w:val="sq-AL"/>
        </w:rPr>
        <w:t xml:space="preserve"> sigurinë, integritetin dhe konfidencialitetin e të dhënave, si dhe ndërveprimin me sistemet ndërkombëtare të shkëmbimit të informacionit.</w:t>
      </w:r>
    </w:p>
    <w:p w14:paraId="27D9CDF6" w14:textId="24FDC026" w:rsidR="00CC7FE6" w:rsidRPr="000307AC" w:rsidRDefault="00CC7FE6" w:rsidP="000307AC">
      <w:pPr>
        <w:pStyle w:val="Heading2"/>
        <w:numPr>
          <w:ilvl w:val="0"/>
          <w:numId w:val="10"/>
        </w:numPr>
        <w:spacing w:line="276" w:lineRule="auto"/>
        <w:jc w:val="both"/>
        <w:rPr>
          <w:b w:val="0"/>
          <w:bCs w:val="0"/>
          <w:sz w:val="24"/>
          <w:szCs w:val="24"/>
          <w:lang w:val="sq-AL"/>
        </w:rPr>
      </w:pPr>
      <w:r w:rsidRPr="000307AC">
        <w:rPr>
          <w:b w:val="0"/>
          <w:sz w:val="24"/>
          <w:szCs w:val="24"/>
          <w:lang w:val="sq-AL"/>
        </w:rPr>
        <w:t xml:space="preserve">Rregullat teknike dhe formati i raportimit do të përcaktohen me </w:t>
      </w:r>
      <w:r w:rsidR="00BD57C6" w:rsidRPr="000307AC">
        <w:rPr>
          <w:b w:val="0"/>
          <w:sz w:val="24"/>
          <w:szCs w:val="24"/>
          <w:lang w:val="sq-AL"/>
        </w:rPr>
        <w:t xml:space="preserve">vendim të </w:t>
      </w:r>
      <w:r w:rsidR="006C3002" w:rsidRPr="000307AC">
        <w:rPr>
          <w:b w:val="0"/>
          <w:sz w:val="24"/>
          <w:szCs w:val="24"/>
          <w:lang w:val="sq-AL"/>
        </w:rPr>
        <w:t>K</w:t>
      </w:r>
      <w:r w:rsidR="00BD57C6" w:rsidRPr="000307AC">
        <w:rPr>
          <w:b w:val="0"/>
          <w:sz w:val="24"/>
          <w:szCs w:val="24"/>
          <w:lang w:val="sq-AL"/>
        </w:rPr>
        <w:t xml:space="preserve">ëshillit të </w:t>
      </w:r>
      <w:r w:rsidR="006C3002" w:rsidRPr="000307AC">
        <w:rPr>
          <w:b w:val="0"/>
          <w:sz w:val="24"/>
          <w:szCs w:val="24"/>
          <w:lang w:val="sq-AL"/>
        </w:rPr>
        <w:t>M</w:t>
      </w:r>
      <w:r w:rsidR="00BD57C6" w:rsidRPr="000307AC">
        <w:rPr>
          <w:b w:val="0"/>
          <w:sz w:val="24"/>
          <w:szCs w:val="24"/>
          <w:lang w:val="sq-AL"/>
        </w:rPr>
        <w:t>inistrave</w:t>
      </w:r>
      <w:r w:rsidRPr="000307AC">
        <w:rPr>
          <w:b w:val="0"/>
          <w:sz w:val="24"/>
          <w:szCs w:val="24"/>
          <w:lang w:val="sq-AL"/>
        </w:rPr>
        <w:t>.</w:t>
      </w:r>
    </w:p>
    <w:p w14:paraId="359ABECE" w14:textId="0873F567" w:rsidR="00CC7FE6" w:rsidRPr="000307AC" w:rsidRDefault="00CC7FE6" w:rsidP="000307AC">
      <w:pPr>
        <w:pStyle w:val="Heading3"/>
        <w:spacing w:line="276" w:lineRule="auto"/>
        <w:jc w:val="center"/>
        <w:rPr>
          <w:lang w:val="sq-AL"/>
        </w:rPr>
      </w:pPr>
      <w:r w:rsidRPr="000307AC">
        <w:rPr>
          <w:lang w:val="sq-AL"/>
        </w:rPr>
        <w:t>Neni 1</w:t>
      </w:r>
      <w:r w:rsidR="00BD57C6" w:rsidRPr="000307AC">
        <w:rPr>
          <w:lang w:val="sq-AL"/>
        </w:rPr>
        <w:t>6</w:t>
      </w:r>
    </w:p>
    <w:p w14:paraId="0C96BDB4" w14:textId="6E935DCE" w:rsidR="00CC7FE6" w:rsidRPr="000307AC" w:rsidRDefault="00CC7FE6" w:rsidP="000307AC">
      <w:pPr>
        <w:pStyle w:val="NormalWeb"/>
        <w:spacing w:line="276" w:lineRule="auto"/>
        <w:jc w:val="center"/>
        <w:rPr>
          <w:lang w:val="sq-AL"/>
        </w:rPr>
      </w:pPr>
      <w:r w:rsidRPr="000307AC">
        <w:rPr>
          <w:rStyle w:val="Strong"/>
          <w:lang w:val="sq-AL"/>
        </w:rPr>
        <w:t>Numër unik</w:t>
      </w:r>
      <w:r w:rsidR="00BD57C6" w:rsidRPr="000307AC">
        <w:rPr>
          <w:rStyle w:val="Strong"/>
          <w:lang w:val="sq-AL"/>
        </w:rPr>
        <w:t xml:space="preserve"> i</w:t>
      </w:r>
      <w:r w:rsidRPr="000307AC">
        <w:rPr>
          <w:rStyle w:val="Strong"/>
          <w:lang w:val="sq-AL"/>
        </w:rPr>
        <w:t xml:space="preserve"> reference</w:t>
      </w:r>
    </w:p>
    <w:p w14:paraId="0DF86634" w14:textId="3BA8F5DB" w:rsidR="00CC7FE6" w:rsidRPr="000307AC" w:rsidRDefault="006C3002" w:rsidP="000307AC">
      <w:pPr>
        <w:pStyle w:val="NormalWeb"/>
        <w:spacing w:line="276" w:lineRule="auto"/>
        <w:jc w:val="both"/>
        <w:rPr>
          <w:lang w:val="sq-AL"/>
        </w:rPr>
      </w:pPr>
      <w:r w:rsidRPr="000307AC">
        <w:rPr>
          <w:lang w:val="sq-AL"/>
        </w:rPr>
        <w:t>Drejtoria e P</w:t>
      </w:r>
      <w:r w:rsidR="002E3518" w:rsidRPr="000307AC">
        <w:rPr>
          <w:lang w:val="sq-AL"/>
        </w:rPr>
        <w:t>ë</w:t>
      </w:r>
      <w:r w:rsidRPr="000307AC">
        <w:rPr>
          <w:lang w:val="sq-AL"/>
        </w:rPr>
        <w:t>rgjithshme e Tatimeve n</w:t>
      </w:r>
      <w:r w:rsidR="002E3518" w:rsidRPr="000307AC">
        <w:rPr>
          <w:lang w:val="sq-AL"/>
        </w:rPr>
        <w:t>ë</w:t>
      </w:r>
      <w:r w:rsidRPr="000307AC">
        <w:rPr>
          <w:lang w:val="sq-AL"/>
        </w:rPr>
        <w:t xml:space="preserve"> cil</w:t>
      </w:r>
      <w:r w:rsidR="002E3518" w:rsidRPr="000307AC">
        <w:rPr>
          <w:lang w:val="sq-AL"/>
        </w:rPr>
        <w:t>ë</w:t>
      </w:r>
      <w:r w:rsidRPr="000307AC">
        <w:rPr>
          <w:lang w:val="sq-AL"/>
        </w:rPr>
        <w:t>sin</w:t>
      </w:r>
      <w:r w:rsidR="002E3518" w:rsidRPr="000307AC">
        <w:rPr>
          <w:lang w:val="sq-AL"/>
        </w:rPr>
        <w:t>ë</w:t>
      </w:r>
      <w:r w:rsidRPr="000307AC">
        <w:rPr>
          <w:lang w:val="sq-AL"/>
        </w:rPr>
        <w:t xml:space="preserve"> e </w:t>
      </w:r>
      <w:r w:rsidR="00CC7FE6" w:rsidRPr="000307AC">
        <w:rPr>
          <w:lang w:val="sq-AL"/>
        </w:rPr>
        <w:t>Autoriteti</w:t>
      </w:r>
      <w:r w:rsidRPr="000307AC">
        <w:rPr>
          <w:lang w:val="sq-AL"/>
        </w:rPr>
        <w:t>t</w:t>
      </w:r>
      <w:r w:rsidR="00CC7FE6" w:rsidRPr="000307AC">
        <w:rPr>
          <w:lang w:val="sq-AL"/>
        </w:rPr>
        <w:t xml:space="preserve"> kompetent do të caktojë një numër unik reference për çdo </w:t>
      </w:r>
      <w:r w:rsidR="00E60515" w:rsidRPr="000307AC">
        <w:rPr>
          <w:lang w:val="sq-AL"/>
        </w:rPr>
        <w:t>mekaniz</w:t>
      </w:r>
      <w:r w:rsidR="002E3518" w:rsidRPr="000307AC">
        <w:rPr>
          <w:lang w:val="sq-AL"/>
        </w:rPr>
        <w:t>ë</w:t>
      </w:r>
      <w:r w:rsidR="00E60515" w:rsidRPr="000307AC">
        <w:rPr>
          <w:lang w:val="sq-AL"/>
        </w:rPr>
        <w:t>m</w:t>
      </w:r>
      <w:r w:rsidR="00CC7FE6" w:rsidRPr="000307AC">
        <w:rPr>
          <w:lang w:val="sq-AL"/>
        </w:rPr>
        <w:t xml:space="preserve"> ndërkufitar të raportueshm, i cili do të përdoret për identifikimin dhe ndjekjen administrative të raportimit, si dhe në çdo komunikim të mëvonshëm që lidhet me atë marrëveshje.</w:t>
      </w:r>
    </w:p>
    <w:p w14:paraId="4CE71B8A" w14:textId="2C21F107" w:rsidR="00BD57C6" w:rsidRPr="000307AC" w:rsidRDefault="00BD57C6" w:rsidP="000307AC">
      <w:pPr>
        <w:pStyle w:val="Heading3"/>
        <w:spacing w:line="276" w:lineRule="auto"/>
        <w:jc w:val="center"/>
        <w:rPr>
          <w:lang w:val="sq-AL"/>
        </w:rPr>
      </w:pPr>
      <w:r w:rsidRPr="000307AC">
        <w:rPr>
          <w:lang w:val="sq-AL"/>
        </w:rPr>
        <w:t>Neni 17</w:t>
      </w:r>
    </w:p>
    <w:p w14:paraId="00D11787" w14:textId="77777777" w:rsidR="0015507C" w:rsidRDefault="008667F7" w:rsidP="001347BD">
      <w:pPr>
        <w:pStyle w:val="NormalWeb"/>
        <w:spacing w:line="276" w:lineRule="auto"/>
        <w:jc w:val="center"/>
        <w:rPr>
          <w:rStyle w:val="Strong"/>
        </w:rPr>
      </w:pPr>
      <w:r w:rsidRPr="000307AC">
        <w:rPr>
          <w:rStyle w:val="Strong"/>
          <w:lang w:val="sq-AL"/>
        </w:rPr>
        <w:t>Kërkesa për informacion mbi përdorimin e mekanizmit</w:t>
      </w:r>
    </w:p>
    <w:p w14:paraId="1606DD8C" w14:textId="5BECB623" w:rsidR="00BD57C6" w:rsidRPr="000307AC" w:rsidRDefault="00BD57C6" w:rsidP="000307AC">
      <w:pPr>
        <w:pStyle w:val="NormalWeb"/>
        <w:spacing w:line="276" w:lineRule="auto"/>
        <w:jc w:val="both"/>
        <w:rPr>
          <w:lang w:val="sq-AL"/>
        </w:rPr>
      </w:pPr>
      <w:r w:rsidRPr="000307AC">
        <w:rPr>
          <w:lang w:val="sq-AL"/>
        </w:rPr>
        <w:t xml:space="preserve">Kur kërkohet nga autoriteti kompetent, tatimpaguesi përkatës duhet të paraqesë informacion mbi përdorimin e </w:t>
      </w:r>
      <w:r w:rsidR="00E60515" w:rsidRPr="000307AC">
        <w:rPr>
          <w:lang w:val="sq-AL"/>
        </w:rPr>
        <w:t>mekanizmave</w:t>
      </w:r>
      <w:r w:rsidRPr="000307AC">
        <w:rPr>
          <w:lang w:val="sq-AL"/>
        </w:rPr>
        <w:t xml:space="preserve"> ndërkufitare të raportueshme për çdo vit </w:t>
      </w:r>
      <w:r w:rsidR="00E7137F" w:rsidRPr="000307AC">
        <w:rPr>
          <w:lang w:val="sq-AL"/>
        </w:rPr>
        <w:t xml:space="preserve">tatimor </w:t>
      </w:r>
      <w:r w:rsidRPr="000307AC">
        <w:rPr>
          <w:lang w:val="sq-AL"/>
        </w:rPr>
        <w:t>gjatë të cilit përdoret marrëveshja.</w:t>
      </w:r>
    </w:p>
    <w:p w14:paraId="5221DC9B" w14:textId="0332D009" w:rsidR="00BD57C6" w:rsidRPr="000307AC" w:rsidRDefault="00BD57C6" w:rsidP="000307AC">
      <w:pPr>
        <w:pStyle w:val="Heading2"/>
        <w:spacing w:line="276" w:lineRule="auto"/>
        <w:rPr>
          <w:sz w:val="24"/>
          <w:szCs w:val="24"/>
          <w:lang w:val="sq-AL"/>
        </w:rPr>
      </w:pPr>
      <w:r w:rsidRPr="000307AC">
        <w:rPr>
          <w:sz w:val="24"/>
          <w:szCs w:val="24"/>
          <w:lang w:val="sq-AL"/>
        </w:rPr>
        <w:t>Neni 18</w:t>
      </w:r>
    </w:p>
    <w:p w14:paraId="781908C3" w14:textId="77777777" w:rsidR="00BD57C6" w:rsidRPr="000307AC" w:rsidRDefault="00BD57C6" w:rsidP="000307AC">
      <w:pPr>
        <w:pStyle w:val="Heading2"/>
        <w:spacing w:line="276" w:lineRule="auto"/>
        <w:rPr>
          <w:color w:val="000000" w:themeColor="text1"/>
          <w:sz w:val="24"/>
          <w:szCs w:val="24"/>
          <w:lang w:val="sq-AL"/>
        </w:rPr>
      </w:pPr>
      <w:r w:rsidRPr="000307AC">
        <w:rPr>
          <w:color w:val="000000" w:themeColor="text1"/>
          <w:sz w:val="24"/>
          <w:szCs w:val="24"/>
          <w:lang w:val="sq-AL"/>
        </w:rPr>
        <w:t>Kundërvajtjet administrative dhe sanksionet</w:t>
      </w:r>
    </w:p>
    <w:p w14:paraId="31D63AFC" w14:textId="306D7C06" w:rsidR="00F504F2" w:rsidRPr="000307AC" w:rsidRDefault="00F504F2" w:rsidP="001347BD">
      <w:pPr>
        <w:pStyle w:val="NormalWeb"/>
        <w:numPr>
          <w:ilvl w:val="0"/>
          <w:numId w:val="21"/>
        </w:numPr>
        <w:tabs>
          <w:tab w:val="clear" w:pos="720"/>
          <w:tab w:val="num" w:pos="360"/>
          <w:tab w:val="left" w:pos="810"/>
        </w:tabs>
        <w:spacing w:before="120" w:after="0" w:line="276" w:lineRule="auto"/>
        <w:ind w:left="360"/>
        <w:jc w:val="both"/>
        <w:rPr>
          <w:lang w:val="sq-AL"/>
        </w:rPr>
      </w:pPr>
      <w:r w:rsidRPr="000307AC">
        <w:rPr>
          <w:lang w:val="sq-AL"/>
        </w:rPr>
        <w:t xml:space="preserve">Mospërmbushja e detyrimeve të parashikuara në këtë ligj përbën kundërvajtje administrative dhe dënohet me gjobë </w:t>
      </w:r>
      <w:r w:rsidRPr="000307AC">
        <w:t xml:space="preserve">nga </w:t>
      </w:r>
      <w:r w:rsidRPr="001347BD">
        <w:rPr>
          <w:rStyle w:val="Strong"/>
          <w:b w:val="0"/>
          <w:bCs w:val="0"/>
        </w:rPr>
        <w:t>100,000 (njëqind mijë) lekë deri në 1,000,000 (një milion) lekë</w:t>
      </w:r>
      <w:r w:rsidRPr="000307AC">
        <w:t>.</w:t>
      </w:r>
    </w:p>
    <w:p w14:paraId="02A1B5FC" w14:textId="77777777" w:rsidR="00F504F2" w:rsidRPr="000307AC" w:rsidRDefault="00F504F2" w:rsidP="0015507C">
      <w:pPr>
        <w:pStyle w:val="Heading1"/>
        <w:numPr>
          <w:ilvl w:val="0"/>
          <w:numId w:val="21"/>
        </w:numPr>
        <w:tabs>
          <w:tab w:val="clear" w:pos="720"/>
          <w:tab w:val="num" w:pos="540"/>
          <w:tab w:val="left" w:pos="810"/>
        </w:tabs>
        <w:spacing w:before="120" w:after="0" w:line="276" w:lineRule="auto"/>
        <w:ind w:left="450"/>
        <w:jc w:val="both"/>
        <w:rPr>
          <w:b w:val="0"/>
          <w:bCs w:val="0"/>
          <w:sz w:val="24"/>
          <w:szCs w:val="24"/>
          <w:lang w:val="sq-AL"/>
        </w:rPr>
      </w:pPr>
      <w:r w:rsidRPr="000307AC">
        <w:rPr>
          <w:b w:val="0"/>
          <w:bCs w:val="0"/>
          <w:sz w:val="24"/>
          <w:szCs w:val="24"/>
        </w:rPr>
        <w:t>Pa cënuar paragrafin 1 të këtij neni, përbëjnë në veçanti kundërvajtje administrative rastet e mëposhtme:</w:t>
      </w:r>
    </w:p>
    <w:p w14:paraId="7754BEFB" w14:textId="13510709" w:rsidR="00F504F2" w:rsidRPr="000307AC" w:rsidRDefault="00F504F2" w:rsidP="001347BD">
      <w:pPr>
        <w:pStyle w:val="NormalWeb"/>
        <w:spacing w:line="276" w:lineRule="auto"/>
        <w:jc w:val="both"/>
      </w:pPr>
      <w:r w:rsidRPr="000307AC">
        <w:rPr>
          <w:lang w:val="sq-AL"/>
        </w:rPr>
        <w:t xml:space="preserve">a) mospërmbushja e detyrimit për të raportuar informacionin e kërkuar brenda afateve të përcaktuara në këtë ligj, dënohet me gjobë në shumën </w:t>
      </w:r>
      <w:r w:rsidRPr="000307AC">
        <w:t xml:space="preserve">prej </w:t>
      </w:r>
      <w:r w:rsidRPr="001347BD">
        <w:rPr>
          <w:rStyle w:val="Strong"/>
          <w:b w:val="0"/>
          <w:bCs w:val="0"/>
        </w:rPr>
        <w:t>300,000 (treqind mijë) lekë deri në 700,000 (shtatëqind mijë) lekë</w:t>
      </w:r>
      <w:r w:rsidRPr="000307AC">
        <w:t>;</w:t>
      </w:r>
    </w:p>
    <w:p w14:paraId="0481D45F" w14:textId="1C04A040" w:rsidR="00F504F2" w:rsidRPr="000307AC" w:rsidRDefault="00F504F2" w:rsidP="001347BD">
      <w:pPr>
        <w:pStyle w:val="NormalWeb"/>
        <w:spacing w:line="276" w:lineRule="auto"/>
        <w:jc w:val="both"/>
      </w:pPr>
      <w:r w:rsidRPr="000307AC">
        <w:rPr>
          <w:lang w:val="sq-AL"/>
        </w:rPr>
        <w:t>b) dorëzimi i një raportimi që përmban të dhëna të paplota, të pasakta ose të rreme që ndikojnë në përmbushjen e detyrimit të raportimit, dënohet me gjobë në shumën prej</w:t>
      </w:r>
      <w:r w:rsidR="0015507C">
        <w:rPr>
          <w:lang w:val="sq-AL"/>
        </w:rPr>
        <w:t xml:space="preserve"> </w:t>
      </w:r>
      <w:r w:rsidRPr="001347BD">
        <w:rPr>
          <w:rStyle w:val="Strong"/>
          <w:b w:val="0"/>
          <w:bCs w:val="0"/>
        </w:rPr>
        <w:t>200,000 (dyqind mijë) lekë deri në 600,000 (gjashtëqind mijë) lekë</w:t>
      </w:r>
      <w:r w:rsidRPr="000307AC">
        <w:t>;</w:t>
      </w:r>
    </w:p>
    <w:p w14:paraId="00793EA6" w14:textId="14C819E7" w:rsidR="00F504F2" w:rsidRPr="000307AC" w:rsidRDefault="00F504F2" w:rsidP="001347BD">
      <w:pPr>
        <w:pStyle w:val="NormalWeb"/>
        <w:spacing w:line="276" w:lineRule="auto"/>
        <w:jc w:val="both"/>
      </w:pPr>
      <w:r w:rsidRPr="000307AC">
        <w:rPr>
          <w:lang w:val="sq-AL"/>
        </w:rPr>
        <w:t xml:space="preserve">c) mospërmbushja e detyrimit për njoftim, në rastet e parashikuara në nenin 8, dënohet me gjobë në shumën prej </w:t>
      </w:r>
      <w:r w:rsidRPr="001347BD">
        <w:rPr>
          <w:rStyle w:val="Strong"/>
          <w:b w:val="0"/>
          <w:bCs w:val="0"/>
        </w:rPr>
        <w:t>150,000 (njëqind e pesëdhjetë mijë) lekë deri në 400,000 (katërqind mijë) lekë</w:t>
      </w:r>
      <w:r w:rsidRPr="000307AC">
        <w:t>;</w:t>
      </w:r>
    </w:p>
    <w:p w14:paraId="4665253F" w14:textId="77777777" w:rsidR="00F504F2" w:rsidRPr="000307AC" w:rsidRDefault="00F504F2" w:rsidP="001347BD">
      <w:pPr>
        <w:pStyle w:val="NormalWeb"/>
        <w:spacing w:line="276" w:lineRule="auto"/>
        <w:jc w:val="both"/>
      </w:pPr>
      <w:r w:rsidRPr="000307AC">
        <w:rPr>
          <w:lang w:val="sq-AL"/>
        </w:rPr>
        <w:lastRenderedPageBreak/>
        <w:t>d) pengimi, refuzimi për të bashkëpunuar ose mosdhënia e informacionit të kërkuar nga autoriteti kompetent gjatë procedurave të verifikimit dhe kontrollit, dënohet me gjobë në shumën prej</w:t>
      </w:r>
      <w:r w:rsidRPr="000307AC">
        <w:t xml:space="preserve"> prej </w:t>
      </w:r>
      <w:r w:rsidRPr="001347BD">
        <w:rPr>
          <w:rStyle w:val="Strong"/>
          <w:b w:val="0"/>
          <w:bCs w:val="0"/>
        </w:rPr>
        <w:t>500,000 (pesëqind mijë) lekë deri në 1,000,000 (një milion) lekë</w:t>
      </w:r>
      <w:r w:rsidRPr="000307AC">
        <w:t>.</w:t>
      </w:r>
    </w:p>
    <w:p w14:paraId="4B8BC7A4" w14:textId="77777777" w:rsidR="00F504F2" w:rsidRDefault="00F504F2" w:rsidP="0015507C">
      <w:pPr>
        <w:pStyle w:val="ListParagraph"/>
        <w:numPr>
          <w:ilvl w:val="0"/>
          <w:numId w:val="22"/>
        </w:numPr>
        <w:tabs>
          <w:tab w:val="clear" w:pos="720"/>
          <w:tab w:val="left" w:pos="90"/>
        </w:tabs>
        <w:spacing w:before="120" w:line="276" w:lineRule="auto"/>
        <w:ind w:left="0"/>
        <w:contextualSpacing/>
        <w:jc w:val="both"/>
        <w:rPr>
          <w:color w:val="000000" w:themeColor="text1"/>
          <w:lang w:val="sq-AL"/>
        </w:rPr>
      </w:pPr>
      <w:r w:rsidRPr="000307AC">
        <w:rPr>
          <w:color w:val="000000" w:themeColor="text1"/>
          <w:lang w:val="sq-AL"/>
        </w:rPr>
        <w:t>Gjoba vendoset nga titullari i Drejtorisë së Përgjithshme të Tatimeve sipas legjislacionit në fuqi për kundërvajtjet administrative dhe duhet të jetë efektive, proporcionale dhe dekurajuese.</w:t>
      </w:r>
    </w:p>
    <w:p w14:paraId="0D1E67F6" w14:textId="77777777" w:rsidR="0015507C" w:rsidRDefault="0015507C" w:rsidP="001347BD">
      <w:pPr>
        <w:pStyle w:val="ListParagraph"/>
        <w:tabs>
          <w:tab w:val="left" w:pos="90"/>
        </w:tabs>
        <w:spacing w:before="120" w:line="276" w:lineRule="auto"/>
        <w:contextualSpacing/>
        <w:jc w:val="both"/>
        <w:rPr>
          <w:color w:val="000000" w:themeColor="text1"/>
          <w:lang w:val="sq-AL"/>
        </w:rPr>
      </w:pPr>
    </w:p>
    <w:p w14:paraId="6B52A543" w14:textId="3369FC16" w:rsidR="0015507C" w:rsidRPr="0015507C" w:rsidRDefault="0015507C" w:rsidP="001347BD">
      <w:pPr>
        <w:pStyle w:val="ListParagraph"/>
        <w:numPr>
          <w:ilvl w:val="0"/>
          <w:numId w:val="22"/>
        </w:numPr>
        <w:tabs>
          <w:tab w:val="clear" w:pos="720"/>
          <w:tab w:val="left" w:pos="90"/>
        </w:tabs>
        <w:spacing w:before="120" w:line="276" w:lineRule="auto"/>
        <w:ind w:left="0"/>
        <w:contextualSpacing/>
        <w:jc w:val="both"/>
        <w:rPr>
          <w:color w:val="000000" w:themeColor="text1"/>
          <w:lang w:val="sq-AL"/>
        </w:rPr>
      </w:pPr>
      <w:r w:rsidRPr="0015507C">
        <w:rPr>
          <w:color w:val="000000" w:themeColor="text1"/>
          <w:lang w:val="sq-AL"/>
        </w:rPr>
        <w:t>Kundër vendimit për vendosjen e gjobës mund të bëhet ankim pranë gjykatës administrative kompetente, në përputhje me legjislacionin në fuqi për gjykatat administrative dhe gjykimin e mosmarrëveshjeve administrative.</w:t>
      </w:r>
    </w:p>
    <w:p w14:paraId="01022836" w14:textId="389CF63F" w:rsidR="00CC7FE6" w:rsidRPr="001347BD" w:rsidRDefault="00CC7FE6" w:rsidP="001347BD">
      <w:pPr>
        <w:spacing w:line="276" w:lineRule="auto"/>
        <w:jc w:val="both"/>
        <w:rPr>
          <w:lang w:val="sq-AL"/>
        </w:rPr>
      </w:pPr>
    </w:p>
    <w:p w14:paraId="1FFA9D77" w14:textId="77777777" w:rsidR="00BD57C6" w:rsidRPr="000307AC" w:rsidRDefault="00BD57C6" w:rsidP="000307AC">
      <w:pPr>
        <w:spacing w:before="280" w:after="160" w:line="276" w:lineRule="auto"/>
        <w:jc w:val="center"/>
        <w:rPr>
          <w:b/>
          <w:bCs/>
          <w:lang w:val="sq-AL"/>
        </w:rPr>
      </w:pPr>
      <w:r w:rsidRPr="000307AC">
        <w:rPr>
          <w:b/>
          <w:lang w:val="sq-AL"/>
        </w:rPr>
        <w:t>Neni 19</w:t>
      </w:r>
    </w:p>
    <w:p w14:paraId="6C77A423" w14:textId="77777777" w:rsidR="00BD57C6" w:rsidRPr="000307AC" w:rsidRDefault="00BD57C6" w:rsidP="000307AC">
      <w:pPr>
        <w:spacing w:before="280" w:after="160" w:line="276" w:lineRule="auto"/>
        <w:jc w:val="center"/>
        <w:rPr>
          <w:b/>
          <w:bCs/>
          <w:lang w:val="sq-AL"/>
        </w:rPr>
      </w:pPr>
      <w:r w:rsidRPr="000307AC">
        <w:rPr>
          <w:b/>
          <w:lang w:val="sq-AL"/>
        </w:rPr>
        <w:t>Dispozitat kalimtare</w:t>
      </w:r>
    </w:p>
    <w:p w14:paraId="44E0BE9D" w14:textId="77777777" w:rsidR="00BD57C6" w:rsidRPr="000307AC" w:rsidRDefault="00BD57C6" w:rsidP="000307AC">
      <w:pPr>
        <w:numPr>
          <w:ilvl w:val="0"/>
          <w:numId w:val="11"/>
        </w:numPr>
        <w:tabs>
          <w:tab w:val="clear" w:pos="720"/>
          <w:tab w:val="num" w:pos="360"/>
        </w:tabs>
        <w:spacing w:before="280" w:after="160" w:line="276" w:lineRule="auto"/>
        <w:ind w:left="360"/>
        <w:jc w:val="both"/>
        <w:rPr>
          <w:lang w:val="sq-AL"/>
        </w:rPr>
      </w:pPr>
      <w:r w:rsidRPr="000307AC">
        <w:rPr>
          <w:lang w:val="sq-AL"/>
        </w:rPr>
        <w:t>Detyrimet e raportimit sipas këtij ligji zbatohen për mekanizmat ndërkufitare të raportueshme të vëna në dispozicion për zbatim, të gatshme për zbatim ose për të cilat hapi i parë i zbatimit është ndërmarrë pas hyrjes në fuqi të këtij ligji.</w:t>
      </w:r>
    </w:p>
    <w:p w14:paraId="7CFD5616" w14:textId="77777777" w:rsidR="00BD57C6" w:rsidRPr="000307AC" w:rsidRDefault="00BD57C6" w:rsidP="000307AC">
      <w:pPr>
        <w:numPr>
          <w:ilvl w:val="0"/>
          <w:numId w:val="11"/>
        </w:numPr>
        <w:tabs>
          <w:tab w:val="clear" w:pos="720"/>
          <w:tab w:val="num" w:pos="360"/>
        </w:tabs>
        <w:spacing w:before="280" w:after="160" w:line="276" w:lineRule="auto"/>
        <w:ind w:left="360"/>
        <w:jc w:val="both"/>
        <w:rPr>
          <w:lang w:val="sq-AL"/>
        </w:rPr>
      </w:pPr>
      <w:r w:rsidRPr="000307AC">
        <w:rPr>
          <w:lang w:val="sq-AL"/>
        </w:rPr>
        <w:t>Lidhur me rregullimet ekzistuese në datën e hyrjes në fuqi të këtij ligji, të cilat mbeten të raportueshme sipas dispozitave të tij, raportimi do të kryhet brenda 1 viti nga data e hyrjes në fuqi.</w:t>
      </w:r>
    </w:p>
    <w:p w14:paraId="38549591" w14:textId="77777777" w:rsidR="00BD57C6" w:rsidRPr="000307AC" w:rsidRDefault="00BD57C6" w:rsidP="000307AC">
      <w:pPr>
        <w:spacing w:line="276" w:lineRule="auto"/>
        <w:rPr>
          <w:b/>
          <w:bCs/>
          <w:lang w:val="sq-AL"/>
        </w:rPr>
      </w:pPr>
    </w:p>
    <w:p w14:paraId="56C80A7D" w14:textId="3AA188A4" w:rsidR="00CC7FE6" w:rsidRPr="000307AC" w:rsidRDefault="00CC7FE6" w:rsidP="000307AC">
      <w:pPr>
        <w:spacing w:line="276" w:lineRule="auto"/>
        <w:jc w:val="center"/>
        <w:rPr>
          <w:b/>
          <w:bCs/>
          <w:lang w:val="sq-AL"/>
        </w:rPr>
      </w:pPr>
      <w:r w:rsidRPr="000307AC">
        <w:rPr>
          <w:b/>
          <w:lang w:val="sq-AL"/>
        </w:rPr>
        <w:t xml:space="preserve">Neni </w:t>
      </w:r>
      <w:r w:rsidR="00BD57C6" w:rsidRPr="000307AC">
        <w:rPr>
          <w:b/>
          <w:lang w:val="sq-AL"/>
        </w:rPr>
        <w:t>20</w:t>
      </w:r>
    </w:p>
    <w:p w14:paraId="14483A43" w14:textId="77777777" w:rsidR="00BD57C6" w:rsidRDefault="00BD57C6" w:rsidP="000307AC">
      <w:pPr>
        <w:spacing w:line="276" w:lineRule="auto"/>
        <w:jc w:val="center"/>
        <w:rPr>
          <w:b/>
          <w:bCs/>
          <w:lang w:val="sq-AL"/>
        </w:rPr>
      </w:pPr>
      <w:r w:rsidRPr="000307AC">
        <w:rPr>
          <w:b/>
          <w:bCs/>
          <w:lang w:val="sq-AL"/>
        </w:rPr>
        <w:t>Aktet nënligjore dhe rregullat e zbatimit</w:t>
      </w:r>
    </w:p>
    <w:p w14:paraId="1A08756F" w14:textId="77777777" w:rsidR="003F3065" w:rsidRPr="000307AC" w:rsidRDefault="003F3065" w:rsidP="000307AC">
      <w:pPr>
        <w:spacing w:line="276" w:lineRule="auto"/>
        <w:jc w:val="center"/>
        <w:rPr>
          <w:b/>
          <w:bCs/>
          <w:lang w:val="sq-AL"/>
        </w:rPr>
      </w:pPr>
    </w:p>
    <w:p w14:paraId="36C0B960" w14:textId="3A24BB57" w:rsidR="00364244" w:rsidRPr="000307AC" w:rsidRDefault="00BD57C6" w:rsidP="000307AC">
      <w:pPr>
        <w:spacing w:line="276" w:lineRule="auto"/>
        <w:contextualSpacing/>
        <w:jc w:val="both"/>
        <w:rPr>
          <w:lang w:val="sq-AL"/>
        </w:rPr>
      </w:pPr>
      <w:r w:rsidRPr="000307AC">
        <w:rPr>
          <w:lang w:val="sq-AL"/>
        </w:rPr>
        <w:t xml:space="preserve">Ngarkohet </w:t>
      </w:r>
      <w:r w:rsidR="003F3065">
        <w:rPr>
          <w:lang w:val="sq-AL"/>
        </w:rPr>
        <w:t>K</w:t>
      </w:r>
      <w:r w:rsidRPr="000307AC">
        <w:rPr>
          <w:lang w:val="sq-AL"/>
        </w:rPr>
        <w:t xml:space="preserve">ëshilli i </w:t>
      </w:r>
      <w:r w:rsidR="003F3065">
        <w:rPr>
          <w:lang w:val="sq-AL"/>
        </w:rPr>
        <w:t>M</w:t>
      </w:r>
      <w:r w:rsidRPr="000307AC">
        <w:rPr>
          <w:lang w:val="sq-AL"/>
        </w:rPr>
        <w:t xml:space="preserve">inistrave të nxjerrë </w:t>
      </w:r>
      <w:r w:rsidR="003F3065">
        <w:rPr>
          <w:lang w:val="sq-AL"/>
        </w:rPr>
        <w:t>v</w:t>
      </w:r>
      <w:r w:rsidR="006C3002" w:rsidRPr="000307AC">
        <w:rPr>
          <w:lang w:val="sq-AL"/>
        </w:rPr>
        <w:t>endim</w:t>
      </w:r>
      <w:r w:rsidRPr="000307AC">
        <w:rPr>
          <w:lang w:val="sq-AL"/>
        </w:rPr>
        <w:t xml:space="preserve"> në zbatim të këtij ligji</w:t>
      </w:r>
      <w:r w:rsidR="003F3065">
        <w:rPr>
          <w:lang w:val="sq-AL"/>
        </w:rPr>
        <w:t>,</w:t>
      </w:r>
      <w:r w:rsidRPr="000307AC">
        <w:rPr>
          <w:lang w:val="sq-AL"/>
        </w:rPr>
        <w:t xml:space="preserve"> brenda 6 muajve nga hyrja e tij në fuqi.</w:t>
      </w:r>
    </w:p>
    <w:p w14:paraId="476F1257" w14:textId="39F78C3B" w:rsidR="00E857D4" w:rsidRPr="000307AC" w:rsidRDefault="00E857D4" w:rsidP="000307AC">
      <w:pPr>
        <w:spacing w:after="120" w:line="276" w:lineRule="auto"/>
        <w:ind w:left="720" w:hanging="360"/>
        <w:jc w:val="both"/>
        <w:rPr>
          <w:lang w:val="sq-AL"/>
        </w:rPr>
      </w:pPr>
    </w:p>
    <w:p w14:paraId="6ED96719" w14:textId="6737C69A" w:rsidR="00153200" w:rsidRPr="000307AC" w:rsidRDefault="00153200" w:rsidP="000307AC">
      <w:pPr>
        <w:spacing w:line="276" w:lineRule="auto"/>
        <w:jc w:val="center"/>
        <w:rPr>
          <w:b/>
          <w:bCs/>
          <w:lang w:val="sq-AL"/>
        </w:rPr>
      </w:pPr>
      <w:r w:rsidRPr="000307AC">
        <w:rPr>
          <w:b/>
          <w:lang w:val="sq-AL"/>
        </w:rPr>
        <w:t>Neni 2</w:t>
      </w:r>
      <w:r w:rsidR="00AD0327" w:rsidRPr="000307AC">
        <w:rPr>
          <w:b/>
          <w:lang w:val="sq-AL"/>
        </w:rPr>
        <w:t>1</w:t>
      </w:r>
    </w:p>
    <w:p w14:paraId="25552497" w14:textId="77777777" w:rsidR="00153200" w:rsidRPr="000307AC" w:rsidRDefault="00153200" w:rsidP="000307AC">
      <w:pPr>
        <w:spacing w:line="276" w:lineRule="auto"/>
        <w:jc w:val="center"/>
        <w:rPr>
          <w:lang w:val="sq-AL"/>
        </w:rPr>
      </w:pPr>
      <w:r w:rsidRPr="000307AC">
        <w:rPr>
          <w:b/>
          <w:lang w:val="sq-AL"/>
        </w:rPr>
        <w:t>Hyrja në fuqi</w:t>
      </w:r>
    </w:p>
    <w:p w14:paraId="4E698E18" w14:textId="77777777" w:rsidR="00153200" w:rsidRPr="000307AC" w:rsidRDefault="00153200" w:rsidP="000307AC">
      <w:pPr>
        <w:spacing w:line="276" w:lineRule="auto"/>
        <w:jc w:val="both"/>
        <w:rPr>
          <w:lang w:val="sq-AL"/>
        </w:rPr>
      </w:pPr>
    </w:p>
    <w:p w14:paraId="427D155F" w14:textId="77777777" w:rsidR="00153200" w:rsidRPr="000307AC" w:rsidRDefault="00153200" w:rsidP="000307AC">
      <w:pPr>
        <w:pStyle w:val="ListParagraph"/>
        <w:numPr>
          <w:ilvl w:val="0"/>
          <w:numId w:val="23"/>
        </w:numPr>
        <w:spacing w:line="276" w:lineRule="auto"/>
        <w:contextualSpacing/>
        <w:jc w:val="both"/>
        <w:rPr>
          <w:lang w:val="sq-AL"/>
        </w:rPr>
      </w:pPr>
      <w:r w:rsidRPr="000307AC">
        <w:rPr>
          <w:lang w:val="sq-AL"/>
        </w:rPr>
        <w:t>Ky ligj hyn në fuqi 15 ditë pas botimit në Fletoren Zyrtare.</w:t>
      </w:r>
    </w:p>
    <w:p w14:paraId="53A9B181" w14:textId="2E33BDEA" w:rsidR="00153200" w:rsidRPr="000307AC" w:rsidRDefault="00153200" w:rsidP="000307AC">
      <w:pPr>
        <w:pStyle w:val="ListParagraph"/>
        <w:numPr>
          <w:ilvl w:val="0"/>
          <w:numId w:val="23"/>
        </w:numPr>
        <w:spacing w:line="276" w:lineRule="auto"/>
        <w:contextualSpacing/>
        <w:jc w:val="both"/>
        <w:rPr>
          <w:lang w:val="sq-AL"/>
        </w:rPr>
      </w:pPr>
      <w:r w:rsidRPr="000307AC">
        <w:rPr>
          <w:lang w:val="sq-AL"/>
        </w:rPr>
        <w:t xml:space="preserve">Efektet e këtij </w:t>
      </w:r>
      <w:r w:rsidR="003F3065">
        <w:rPr>
          <w:lang w:val="sq-AL"/>
        </w:rPr>
        <w:t>l</w:t>
      </w:r>
      <w:r w:rsidRPr="000307AC">
        <w:rPr>
          <w:lang w:val="sq-AL"/>
        </w:rPr>
        <w:t>igji do të zbatohen në datën e anëtarësimit të Shqipërisë në Bashkimin Evropian, në përputhje me Traktatin e Anëtarësimit.</w:t>
      </w:r>
    </w:p>
    <w:p w14:paraId="78FCB55E" w14:textId="32B70590" w:rsidR="001B65BA" w:rsidRPr="000307AC" w:rsidRDefault="001B65BA" w:rsidP="000307AC">
      <w:pPr>
        <w:spacing w:line="276" w:lineRule="auto"/>
        <w:jc w:val="both"/>
        <w:rPr>
          <w:lang w:val="sq-AL"/>
        </w:rPr>
      </w:pPr>
    </w:p>
    <w:p w14:paraId="3FEF2256" w14:textId="77777777" w:rsidR="00FB4D8D" w:rsidRPr="000307AC" w:rsidRDefault="00FB4D8D" w:rsidP="000307AC">
      <w:pPr>
        <w:spacing w:line="276" w:lineRule="auto"/>
        <w:rPr>
          <w:lang w:val="sq-AL"/>
        </w:rPr>
      </w:pPr>
    </w:p>
    <w:p w14:paraId="60F781F3" w14:textId="77777777" w:rsidR="00FB4D8D" w:rsidRPr="000307AC" w:rsidRDefault="00FB4D8D" w:rsidP="000307AC">
      <w:pPr>
        <w:spacing w:line="276" w:lineRule="auto"/>
        <w:rPr>
          <w:lang w:val="sq-AL"/>
        </w:rPr>
      </w:pPr>
    </w:p>
    <w:p w14:paraId="678C2E79" w14:textId="1DDC8E05" w:rsidR="00FB4D8D" w:rsidRPr="000307AC" w:rsidRDefault="00FB4D8D" w:rsidP="000307AC">
      <w:pPr>
        <w:spacing w:line="276" w:lineRule="auto"/>
        <w:rPr>
          <w:lang w:val="sq-AL"/>
        </w:rPr>
      </w:pPr>
    </w:p>
    <w:p w14:paraId="31410B64" w14:textId="275ED04C" w:rsidR="00BD57C6" w:rsidRPr="000307AC" w:rsidRDefault="00BD57C6" w:rsidP="000307AC">
      <w:pPr>
        <w:spacing w:line="276" w:lineRule="auto"/>
        <w:rPr>
          <w:lang w:val="sq-AL"/>
        </w:rPr>
      </w:pPr>
    </w:p>
    <w:p w14:paraId="63CFC59F" w14:textId="77777777" w:rsidR="007779FF" w:rsidRPr="000307AC" w:rsidRDefault="007779FF" w:rsidP="000307AC">
      <w:pPr>
        <w:spacing w:line="276" w:lineRule="auto"/>
        <w:rPr>
          <w:b/>
          <w:lang w:val="sq-AL"/>
        </w:rPr>
      </w:pPr>
    </w:p>
    <w:p w14:paraId="10E7A13C" w14:textId="77777777" w:rsidR="004D0CF1" w:rsidRPr="000307AC" w:rsidRDefault="004D0CF1" w:rsidP="001347BD">
      <w:pPr>
        <w:spacing w:line="276" w:lineRule="auto"/>
        <w:rPr>
          <w:b/>
          <w:lang w:val="sq-AL"/>
        </w:rPr>
      </w:pPr>
      <w:r w:rsidRPr="000307AC">
        <w:rPr>
          <w:b/>
          <w:lang w:val="sq-AL"/>
        </w:rPr>
        <w:br w:type="page"/>
      </w:r>
    </w:p>
    <w:p w14:paraId="49009695" w14:textId="2BDBC6E4" w:rsidR="00FB4D8D" w:rsidRPr="000307AC" w:rsidRDefault="00FB4D8D" w:rsidP="000307AC">
      <w:pPr>
        <w:spacing w:line="276" w:lineRule="auto"/>
        <w:rPr>
          <w:lang w:val="sq-AL"/>
        </w:rPr>
      </w:pPr>
      <w:r w:rsidRPr="000307AC">
        <w:rPr>
          <w:b/>
          <w:lang w:val="sq-AL"/>
        </w:rPr>
        <w:lastRenderedPageBreak/>
        <w:t xml:space="preserve">SHTOJCA </w:t>
      </w:r>
      <w:r w:rsidR="007779FF" w:rsidRPr="000307AC">
        <w:rPr>
          <w:b/>
          <w:lang w:val="sq-AL"/>
        </w:rPr>
        <w:t>I</w:t>
      </w:r>
      <w:r w:rsidR="004D0CF1" w:rsidRPr="000307AC">
        <w:rPr>
          <w:b/>
          <w:lang w:val="sq-AL"/>
        </w:rPr>
        <w:t xml:space="preserve">: </w:t>
      </w:r>
      <w:r w:rsidRPr="000307AC">
        <w:rPr>
          <w:b/>
          <w:lang w:val="sq-AL"/>
        </w:rPr>
        <w:t xml:space="preserve">SHENJAT </w:t>
      </w:r>
      <w:r w:rsidR="00BB510A" w:rsidRPr="000307AC">
        <w:rPr>
          <w:b/>
          <w:lang w:val="sq-AL"/>
        </w:rPr>
        <w:t>E</w:t>
      </w:r>
      <w:r w:rsidR="007779FF" w:rsidRPr="000307AC">
        <w:rPr>
          <w:lang w:val="sq-AL"/>
        </w:rPr>
        <w:t xml:space="preserve"> </w:t>
      </w:r>
      <w:r w:rsidRPr="000307AC">
        <w:rPr>
          <w:b/>
          <w:lang w:val="sq-AL"/>
        </w:rPr>
        <w:t xml:space="preserve">VEÇANTA TË </w:t>
      </w:r>
      <w:r w:rsidR="00E60515" w:rsidRPr="000307AC">
        <w:rPr>
          <w:b/>
          <w:lang w:val="sq-AL"/>
        </w:rPr>
        <w:t>MEKANIZMAVE</w:t>
      </w:r>
      <w:r w:rsidRPr="000307AC">
        <w:rPr>
          <w:b/>
          <w:lang w:val="sq-AL"/>
        </w:rPr>
        <w:t xml:space="preserve"> NDËRKUFITARE TË RAPORTUARA</w:t>
      </w:r>
    </w:p>
    <w:p w14:paraId="58542C5A" w14:textId="77777777" w:rsidR="00FB4D8D" w:rsidRPr="000307AC" w:rsidRDefault="00000000" w:rsidP="000307AC">
      <w:pPr>
        <w:spacing w:line="276" w:lineRule="auto"/>
        <w:jc w:val="both"/>
        <w:rPr>
          <w:lang w:val="sq-AL"/>
        </w:rPr>
      </w:pPr>
      <w:r>
        <w:rPr>
          <w:lang w:val="sq-AL"/>
        </w:rPr>
        <w:pict w14:anchorId="5860926F">
          <v:rect id="_x0000_i1025" style="width:0;height:1.5pt" o:hralign="center" o:hrstd="t" o:hr="t" fillcolor="#a0a0a0" stroked="f"/>
        </w:pict>
      </w:r>
    </w:p>
    <w:p w14:paraId="6D330D2C" w14:textId="77777777" w:rsidR="004D0CF1" w:rsidRPr="000307AC" w:rsidRDefault="004D0CF1" w:rsidP="000307AC">
      <w:pPr>
        <w:spacing w:line="276" w:lineRule="auto"/>
        <w:jc w:val="center"/>
        <w:rPr>
          <w:b/>
          <w:lang w:val="sq-AL"/>
        </w:rPr>
      </w:pPr>
    </w:p>
    <w:p w14:paraId="30366977" w14:textId="57A84384" w:rsidR="00FB4D8D" w:rsidRPr="000307AC" w:rsidRDefault="00FB4D8D" w:rsidP="000307AC">
      <w:pPr>
        <w:spacing w:line="276" w:lineRule="auto"/>
        <w:jc w:val="center"/>
        <w:rPr>
          <w:b/>
          <w:bCs/>
          <w:lang w:val="sq-AL"/>
        </w:rPr>
      </w:pPr>
      <w:r w:rsidRPr="000307AC">
        <w:rPr>
          <w:b/>
          <w:lang w:val="sq-AL"/>
        </w:rPr>
        <w:t>Pjesa I</w:t>
      </w:r>
    </w:p>
    <w:p w14:paraId="3278BBDE" w14:textId="0E1945B9" w:rsidR="00FB4D8D" w:rsidRPr="000307AC" w:rsidRDefault="00FB4D8D" w:rsidP="000307AC">
      <w:pPr>
        <w:spacing w:line="276" w:lineRule="auto"/>
        <w:jc w:val="center"/>
        <w:rPr>
          <w:lang w:val="sq-AL"/>
        </w:rPr>
      </w:pPr>
      <w:r w:rsidRPr="000307AC">
        <w:rPr>
          <w:b/>
          <w:lang w:val="sq-AL"/>
        </w:rPr>
        <w:t>Testi i përfitimit kryesor</w:t>
      </w:r>
    </w:p>
    <w:p w14:paraId="00EA75F9" w14:textId="77777777" w:rsidR="004D0CF1" w:rsidRPr="000307AC" w:rsidRDefault="004D0CF1" w:rsidP="000307AC">
      <w:pPr>
        <w:spacing w:line="276" w:lineRule="auto"/>
        <w:jc w:val="both"/>
        <w:rPr>
          <w:lang w:val="sq-AL"/>
        </w:rPr>
      </w:pPr>
    </w:p>
    <w:p w14:paraId="5CCC11FB" w14:textId="1414E6E4" w:rsidR="00FB4D8D" w:rsidRPr="000307AC" w:rsidRDefault="00FB4D8D" w:rsidP="000307AC">
      <w:pPr>
        <w:spacing w:line="276" w:lineRule="auto"/>
        <w:jc w:val="both"/>
        <w:rPr>
          <w:lang w:val="sq-AL"/>
        </w:rPr>
      </w:pPr>
      <w:r w:rsidRPr="000307AC">
        <w:rPr>
          <w:lang w:val="sq-AL"/>
        </w:rPr>
        <w:t>Shenjat dalluese të përgjithshme sipas kategorisë A dhe shenjat dalluese specifike sipas kategorisë B dhe sipas pikave (b)( i ), (c) dhe (ç) të paragrafit 1 të kategorisë C mund të merren parasysh vetëm kur ato plotësojnë 'testin e përfitimit kryesor'.</w:t>
      </w:r>
    </w:p>
    <w:p w14:paraId="01D07B76" w14:textId="77777777" w:rsidR="004D0CF1" w:rsidRPr="000307AC" w:rsidRDefault="004D0CF1" w:rsidP="000307AC">
      <w:pPr>
        <w:spacing w:line="276" w:lineRule="auto"/>
        <w:jc w:val="both"/>
        <w:rPr>
          <w:lang w:val="sq-AL"/>
        </w:rPr>
      </w:pPr>
    </w:p>
    <w:p w14:paraId="1BDABE53" w14:textId="6AEC2EE8" w:rsidR="00FB4D8D" w:rsidRPr="000307AC" w:rsidRDefault="00FB4D8D" w:rsidP="000307AC">
      <w:pPr>
        <w:spacing w:line="276" w:lineRule="auto"/>
        <w:jc w:val="both"/>
        <w:rPr>
          <w:lang w:val="sq-AL"/>
        </w:rPr>
      </w:pPr>
      <w:r w:rsidRPr="000307AC">
        <w:rPr>
          <w:lang w:val="sq-AL"/>
        </w:rPr>
        <w:t xml:space="preserve">Ky test do të konsiderohet i përmbushur nëse mund të përcaktohet se përfitimi kryesor ose një nga përfitimet kryesore që, duke pasur parasysh të gjitha faktet dhe rrethanat përkatëse, një person mund të presë në mënyrë të arsyeshme të nxjerrë nga një </w:t>
      </w:r>
      <w:r w:rsidR="00594665" w:rsidRPr="000307AC">
        <w:rPr>
          <w:lang w:val="sq-AL"/>
        </w:rPr>
        <w:t xml:space="preserve">mekanizëm tatimor </w:t>
      </w:r>
      <w:r w:rsidRPr="000307AC">
        <w:rPr>
          <w:lang w:val="sq-AL"/>
        </w:rPr>
        <w:t>është marrja e një avantazhi tatimor.</w:t>
      </w:r>
    </w:p>
    <w:p w14:paraId="28AC43F1" w14:textId="77777777" w:rsidR="004D0CF1" w:rsidRPr="000307AC" w:rsidRDefault="004D0CF1" w:rsidP="000307AC">
      <w:pPr>
        <w:spacing w:line="276" w:lineRule="auto"/>
        <w:jc w:val="both"/>
        <w:rPr>
          <w:lang w:val="sq-AL"/>
        </w:rPr>
      </w:pPr>
    </w:p>
    <w:p w14:paraId="31C43E76" w14:textId="7B87ED6C" w:rsidR="00FB4D8D" w:rsidRPr="000307AC" w:rsidRDefault="00FB4D8D" w:rsidP="000307AC">
      <w:pPr>
        <w:spacing w:line="276" w:lineRule="auto"/>
        <w:jc w:val="both"/>
        <w:rPr>
          <w:lang w:val="sq-AL"/>
        </w:rPr>
      </w:pPr>
      <w:r w:rsidRPr="000307AC">
        <w:rPr>
          <w:lang w:val="sq-AL"/>
        </w:rPr>
        <w:t>Në kontekstin e markës tregtare sipas paragrafit 1 të kategorisë C, prania e kushteve të përcaktuara në pikat (b)</w:t>
      </w:r>
      <w:r w:rsidR="00CB3A58" w:rsidRPr="000307AC">
        <w:rPr>
          <w:lang w:val="sq-AL"/>
        </w:rPr>
        <w:t xml:space="preserve"> </w:t>
      </w:r>
      <w:r w:rsidRPr="000307AC">
        <w:rPr>
          <w:lang w:val="sq-AL"/>
        </w:rPr>
        <w:t xml:space="preserve">( i ), (c) ose (ç) të saj nuk mund të jetë vetëm një arsye e mjaftueshme për të arritur në përfundimin se një </w:t>
      </w:r>
      <w:r w:rsidR="00594665" w:rsidRPr="000307AC">
        <w:rPr>
          <w:lang w:val="sq-AL"/>
        </w:rPr>
        <w:t xml:space="preserve">mekanizëm </w:t>
      </w:r>
      <w:r w:rsidRPr="000307AC">
        <w:rPr>
          <w:lang w:val="sq-AL"/>
        </w:rPr>
        <w:t>plotëson testin e përfitimit kryesor.</w:t>
      </w:r>
    </w:p>
    <w:p w14:paraId="509CF335" w14:textId="062116AB" w:rsidR="00FB4D8D" w:rsidRPr="000307AC" w:rsidRDefault="00FB4D8D" w:rsidP="000307AC">
      <w:pPr>
        <w:spacing w:line="276" w:lineRule="auto"/>
        <w:rPr>
          <w:lang w:val="sq-AL"/>
        </w:rPr>
      </w:pPr>
    </w:p>
    <w:p w14:paraId="302B16E4" w14:textId="77777777" w:rsidR="00FB4D8D" w:rsidRPr="000307AC" w:rsidRDefault="00FB4D8D" w:rsidP="000307AC">
      <w:pPr>
        <w:spacing w:line="276" w:lineRule="auto"/>
        <w:jc w:val="center"/>
        <w:rPr>
          <w:b/>
          <w:bCs/>
          <w:lang w:val="sq-AL"/>
        </w:rPr>
      </w:pPr>
      <w:r w:rsidRPr="000307AC">
        <w:rPr>
          <w:b/>
          <w:lang w:val="sq-AL"/>
        </w:rPr>
        <w:t>Pjesa II</w:t>
      </w:r>
    </w:p>
    <w:p w14:paraId="0019EC1E" w14:textId="77777777" w:rsidR="00FB4D8D" w:rsidRPr="000307AC" w:rsidRDefault="00FB4D8D" w:rsidP="000307AC">
      <w:pPr>
        <w:spacing w:line="276" w:lineRule="auto"/>
        <w:jc w:val="center"/>
        <w:rPr>
          <w:lang w:val="sq-AL"/>
        </w:rPr>
      </w:pPr>
      <w:r w:rsidRPr="000307AC">
        <w:rPr>
          <w:b/>
          <w:lang w:val="sq-AL"/>
        </w:rPr>
        <w:t>Kategoritë e markave dalluese</w:t>
      </w:r>
    </w:p>
    <w:p w14:paraId="7D83F2B7" w14:textId="77777777" w:rsidR="00FB4D8D" w:rsidRPr="000307AC" w:rsidRDefault="00FB4D8D" w:rsidP="000307AC">
      <w:pPr>
        <w:spacing w:line="276" w:lineRule="auto"/>
        <w:jc w:val="center"/>
        <w:rPr>
          <w:b/>
          <w:bCs/>
          <w:lang w:val="sq-AL"/>
        </w:rPr>
      </w:pPr>
      <w:r w:rsidRPr="000307AC">
        <w:rPr>
          <w:b/>
          <w:lang w:val="sq-AL"/>
        </w:rPr>
        <w:t>Kategoria A</w:t>
      </w:r>
    </w:p>
    <w:p w14:paraId="4A03630C" w14:textId="77777777" w:rsidR="00FB4D8D" w:rsidRPr="000307AC" w:rsidRDefault="00FB4D8D" w:rsidP="000307AC">
      <w:pPr>
        <w:spacing w:line="276" w:lineRule="auto"/>
        <w:jc w:val="center"/>
        <w:rPr>
          <w:b/>
          <w:lang w:val="sq-AL"/>
        </w:rPr>
      </w:pPr>
      <w:r w:rsidRPr="000307AC">
        <w:rPr>
          <w:b/>
          <w:lang w:val="sq-AL"/>
        </w:rPr>
        <w:t>Shenjat dalluese të përgjithshme të lidhura me testin e përfitimit kryesor</w:t>
      </w:r>
    </w:p>
    <w:p w14:paraId="23460BC7" w14:textId="77777777" w:rsidR="004D0CF1" w:rsidRPr="000307AC" w:rsidRDefault="004D0CF1" w:rsidP="000307AC">
      <w:pPr>
        <w:spacing w:line="276" w:lineRule="auto"/>
        <w:jc w:val="center"/>
        <w:rPr>
          <w:lang w:val="sq-AL"/>
        </w:rPr>
      </w:pPr>
    </w:p>
    <w:p w14:paraId="7EFBA1B1" w14:textId="2DDF7137" w:rsidR="00FB4D8D" w:rsidRPr="000307AC" w:rsidRDefault="00FB4D8D" w:rsidP="000307AC">
      <w:pPr>
        <w:numPr>
          <w:ilvl w:val="0"/>
          <w:numId w:val="13"/>
        </w:numPr>
        <w:spacing w:line="276" w:lineRule="auto"/>
        <w:jc w:val="both"/>
        <w:rPr>
          <w:lang w:val="sq-AL"/>
        </w:rPr>
      </w:pPr>
      <w:r w:rsidRPr="000307AC">
        <w:rPr>
          <w:lang w:val="sq-AL"/>
        </w:rPr>
        <w:t>Një</w:t>
      </w:r>
      <w:r w:rsidR="003C489E" w:rsidRPr="000307AC">
        <w:rPr>
          <w:lang w:val="sq-AL"/>
        </w:rPr>
        <w:t xml:space="preserve"> mekanizëm </w:t>
      </w:r>
      <w:r w:rsidRPr="000307AC">
        <w:rPr>
          <w:lang w:val="sq-AL"/>
        </w:rPr>
        <w:t xml:space="preserve"> ku tatimpaguesi përkatës ose një pjesëmarrës në </w:t>
      </w:r>
      <w:r w:rsidR="003C489E" w:rsidRPr="000307AC">
        <w:rPr>
          <w:lang w:val="sq-AL"/>
        </w:rPr>
        <w:t xml:space="preserve">mekanizëm </w:t>
      </w:r>
      <w:r w:rsidRPr="000307AC">
        <w:rPr>
          <w:lang w:val="sq-AL"/>
        </w:rPr>
        <w:t xml:space="preserve">merr përsipër të përmbushë një kusht konfidencialiteti që mund t'i kërkojë atyre të mos zbulojnë se si </w:t>
      </w:r>
      <w:r w:rsidR="0048459B" w:rsidRPr="000307AC">
        <w:rPr>
          <w:lang w:val="sq-AL"/>
        </w:rPr>
        <w:t xml:space="preserve">mekanizmi </w:t>
      </w:r>
      <w:r w:rsidRPr="000307AC">
        <w:rPr>
          <w:lang w:val="sq-AL"/>
        </w:rPr>
        <w:t>mund të sigurojë një avantazh tatimor kundrejt ndërmjetësve të tjerë ose autoriteteve tatimore.</w:t>
      </w:r>
    </w:p>
    <w:p w14:paraId="1676F771" w14:textId="1A78B178" w:rsidR="00FB4D8D" w:rsidRPr="000307AC" w:rsidRDefault="00FB4D8D" w:rsidP="000307AC">
      <w:pPr>
        <w:numPr>
          <w:ilvl w:val="0"/>
          <w:numId w:val="13"/>
        </w:numPr>
        <w:spacing w:line="276" w:lineRule="auto"/>
        <w:jc w:val="both"/>
        <w:rPr>
          <w:lang w:val="sq-AL"/>
        </w:rPr>
      </w:pPr>
      <w:r w:rsidRPr="000307AC">
        <w:rPr>
          <w:lang w:val="sq-AL"/>
        </w:rPr>
        <w:t xml:space="preserve">Një </w:t>
      </w:r>
      <w:r w:rsidR="0048459B" w:rsidRPr="000307AC">
        <w:rPr>
          <w:lang w:val="sq-AL"/>
        </w:rPr>
        <w:t xml:space="preserve">mekanizëm </w:t>
      </w:r>
      <w:r w:rsidRPr="000307AC">
        <w:rPr>
          <w:lang w:val="sq-AL"/>
        </w:rPr>
        <w:t>ku ndërmjetësi ka të drejtë të marrë një tarifë, interes ose shpërblim për kostot financiare dhe tarifat e tjera, dhe kjo tarifë përcaktohet duke iu referuar:</w:t>
      </w:r>
    </w:p>
    <w:p w14:paraId="6CFF7281" w14:textId="77777777" w:rsidR="00FB4D8D" w:rsidRPr="000307AC" w:rsidRDefault="00FB4D8D" w:rsidP="000307AC">
      <w:pPr>
        <w:spacing w:line="276" w:lineRule="auto"/>
        <w:ind w:left="720"/>
        <w:jc w:val="both"/>
        <w:rPr>
          <w:lang w:val="sq-AL"/>
        </w:rPr>
      </w:pPr>
      <w:r w:rsidRPr="000307AC">
        <w:rPr>
          <w:lang w:val="sq-AL"/>
        </w:rPr>
        <w:t>a) shumën e avantazhit tatimor të nxjerrë nga marrëveshja; ose</w:t>
      </w:r>
    </w:p>
    <w:p w14:paraId="1ED8B182" w14:textId="77777777" w:rsidR="00FB4D8D" w:rsidRPr="000307AC" w:rsidRDefault="00FB4D8D" w:rsidP="000307AC">
      <w:pPr>
        <w:spacing w:line="276" w:lineRule="auto"/>
        <w:ind w:left="720"/>
        <w:jc w:val="both"/>
        <w:rPr>
          <w:lang w:val="sq-AL"/>
        </w:rPr>
      </w:pPr>
      <w:r w:rsidRPr="000307AC">
        <w:rPr>
          <w:lang w:val="sq-AL"/>
        </w:rPr>
        <w:t>b) nëse një avantazh tatimor rrjedh apo jo nga marrëveshja. Kjo do të përfshinte një detyrim për ndërmjetësin për të rimbursuar pjesërisht ose plotësisht tarifat nëse avantazhi tatimor i synuar nuk arrihet.</w:t>
      </w:r>
    </w:p>
    <w:p w14:paraId="7A1E7867" w14:textId="09461E1A" w:rsidR="00FB4D8D" w:rsidRPr="000307AC" w:rsidRDefault="00FB4D8D" w:rsidP="000307AC">
      <w:pPr>
        <w:numPr>
          <w:ilvl w:val="0"/>
          <w:numId w:val="14"/>
        </w:numPr>
        <w:spacing w:line="276" w:lineRule="auto"/>
        <w:jc w:val="both"/>
        <w:rPr>
          <w:lang w:val="sq-AL"/>
        </w:rPr>
      </w:pPr>
      <w:r w:rsidRPr="000307AC">
        <w:rPr>
          <w:lang w:val="sq-AL"/>
        </w:rPr>
        <w:t xml:space="preserve">Një </w:t>
      </w:r>
      <w:r w:rsidR="00E9697B" w:rsidRPr="000307AC">
        <w:rPr>
          <w:lang w:val="sq-AL"/>
        </w:rPr>
        <w:t xml:space="preserve">mekanizëm </w:t>
      </w:r>
      <w:r w:rsidRPr="000307AC">
        <w:rPr>
          <w:lang w:val="sq-AL"/>
        </w:rPr>
        <w:t>që ka dokumentacion ose strukturë në thelb të standardizuar dhe u vihet në dispozicion më shumë se një tatimpaguesi përkatës pa pasur nevojë të personalizohet në mënyrë të konsiderueshme</w:t>
      </w:r>
      <w:r w:rsidR="002416E2" w:rsidRPr="000307AC">
        <w:rPr>
          <w:lang w:val="sq-AL"/>
        </w:rPr>
        <w:t xml:space="preserve"> për zbatimin.</w:t>
      </w:r>
      <w:r w:rsidR="00DC45F7" w:rsidRPr="000307AC">
        <w:rPr>
          <w:lang w:val="sq-AL"/>
        </w:rPr>
        <w:t xml:space="preserve"> </w:t>
      </w:r>
      <w:r w:rsidRPr="000307AC">
        <w:rPr>
          <w:lang w:val="sq-AL"/>
        </w:rPr>
        <w:t xml:space="preserve"> </w:t>
      </w:r>
      <w:r w:rsidR="00BF7633" w:rsidRPr="000307AC">
        <w:rPr>
          <w:lang w:val="sq-AL"/>
        </w:rPr>
        <w:t xml:space="preserve"> </w:t>
      </w:r>
    </w:p>
    <w:p w14:paraId="7DFDFFC0" w14:textId="3E6F52F2" w:rsidR="00FB4D8D" w:rsidRPr="000307AC" w:rsidRDefault="00FB4D8D" w:rsidP="000307AC">
      <w:pPr>
        <w:spacing w:line="276" w:lineRule="auto"/>
        <w:jc w:val="both"/>
        <w:rPr>
          <w:lang w:val="sq-AL"/>
        </w:rPr>
      </w:pPr>
    </w:p>
    <w:p w14:paraId="14495E2A" w14:textId="77777777" w:rsidR="00FB4D8D" w:rsidRPr="000307AC" w:rsidRDefault="00FB4D8D" w:rsidP="000307AC">
      <w:pPr>
        <w:spacing w:line="276" w:lineRule="auto"/>
        <w:jc w:val="center"/>
        <w:rPr>
          <w:b/>
          <w:bCs/>
          <w:lang w:val="sq-AL"/>
        </w:rPr>
      </w:pPr>
      <w:r w:rsidRPr="000307AC">
        <w:rPr>
          <w:b/>
          <w:lang w:val="sq-AL"/>
        </w:rPr>
        <w:t>Kategoria B</w:t>
      </w:r>
    </w:p>
    <w:p w14:paraId="5DAE3D02" w14:textId="77777777" w:rsidR="00FB4D8D" w:rsidRPr="000307AC" w:rsidRDefault="00FB4D8D" w:rsidP="000307AC">
      <w:pPr>
        <w:spacing w:line="276" w:lineRule="auto"/>
        <w:jc w:val="center"/>
        <w:rPr>
          <w:b/>
          <w:lang w:val="sq-AL"/>
        </w:rPr>
      </w:pPr>
      <w:r w:rsidRPr="000307AC">
        <w:rPr>
          <w:b/>
          <w:lang w:val="sq-AL"/>
        </w:rPr>
        <w:t>Karakteristikat dalluese specifike të lidhura me testin e përfitimit kryesor</w:t>
      </w:r>
    </w:p>
    <w:p w14:paraId="44DCD93D" w14:textId="77777777" w:rsidR="004D0CF1" w:rsidRPr="000307AC" w:rsidRDefault="004D0CF1" w:rsidP="000307AC">
      <w:pPr>
        <w:spacing w:line="276" w:lineRule="auto"/>
        <w:jc w:val="center"/>
        <w:rPr>
          <w:lang w:val="sq-AL"/>
        </w:rPr>
      </w:pPr>
    </w:p>
    <w:p w14:paraId="00676812" w14:textId="42834764" w:rsidR="00FB4D8D" w:rsidRPr="000307AC" w:rsidRDefault="00FB4D8D" w:rsidP="000307AC">
      <w:pPr>
        <w:numPr>
          <w:ilvl w:val="0"/>
          <w:numId w:val="15"/>
        </w:numPr>
        <w:spacing w:line="276" w:lineRule="auto"/>
        <w:jc w:val="both"/>
        <w:rPr>
          <w:lang w:val="sq-AL"/>
        </w:rPr>
      </w:pPr>
      <w:r w:rsidRPr="000307AC">
        <w:rPr>
          <w:lang w:val="sq-AL"/>
        </w:rPr>
        <w:t xml:space="preserve">Një marrëveshje me anë të së cilës një pjesëmarrës </w:t>
      </w:r>
      <w:r w:rsidR="002416E2" w:rsidRPr="000307AC">
        <w:rPr>
          <w:lang w:val="sq-AL"/>
        </w:rPr>
        <w:t>në marrëveshje</w:t>
      </w:r>
      <w:r w:rsidR="00BF7633" w:rsidRPr="000307AC">
        <w:rPr>
          <w:lang w:val="sq-AL"/>
        </w:rPr>
        <w:t xml:space="preserve"> </w:t>
      </w:r>
      <w:r w:rsidRPr="000307AC">
        <w:rPr>
          <w:lang w:val="sq-AL"/>
        </w:rPr>
        <w:t xml:space="preserve">ndërmerr hapa të sajuar që konsistojnë në blerjen e një kompanie me humbje, ndërprerjen e aktivitetit kryesor të </w:t>
      </w:r>
      <w:r w:rsidRPr="000307AC">
        <w:rPr>
          <w:lang w:val="sq-AL"/>
        </w:rPr>
        <w:lastRenderedPageBreak/>
        <w:t>një kompanie të tillë dhe përdorimin e humbjeve të saj me qëllim uljen e detyrimit tatimor, duke përfshirë edhe transferimin e këtyre humbjeve në një juridiksion tjetër ose përshpejtimin e përdorimit të këtyre humbjeve.</w:t>
      </w:r>
    </w:p>
    <w:p w14:paraId="1A103510" w14:textId="77777777" w:rsidR="00FB4D8D" w:rsidRPr="000307AC" w:rsidRDefault="00FB4D8D" w:rsidP="000307AC">
      <w:pPr>
        <w:numPr>
          <w:ilvl w:val="0"/>
          <w:numId w:val="15"/>
        </w:numPr>
        <w:spacing w:line="276" w:lineRule="auto"/>
        <w:jc w:val="both"/>
        <w:rPr>
          <w:lang w:val="sq-AL"/>
        </w:rPr>
      </w:pPr>
      <w:r w:rsidRPr="000307AC">
        <w:rPr>
          <w:lang w:val="sq-AL"/>
        </w:rPr>
        <w:t>Një marrëveshje që ka efektin e konvertimit të të ardhurave në kapital, dhurata ose kategori të tjera të të ardhurave të cilat tatohen në një nivel më të ulët ose përjashtohen nga taksat.</w:t>
      </w:r>
    </w:p>
    <w:p w14:paraId="2558921B" w14:textId="04C5B47B" w:rsidR="00FB4D8D" w:rsidRPr="000307AC" w:rsidRDefault="00FB4D8D" w:rsidP="000307AC">
      <w:pPr>
        <w:numPr>
          <w:ilvl w:val="0"/>
          <w:numId w:val="15"/>
        </w:numPr>
        <w:spacing w:line="276" w:lineRule="auto"/>
        <w:rPr>
          <w:lang w:val="sq-AL"/>
        </w:rPr>
      </w:pPr>
      <w:r w:rsidRPr="000307AC">
        <w:rPr>
          <w:lang w:val="sq-AL"/>
        </w:rPr>
        <w:t>Një marrëveshje që përfshin transaksione rrethore që rezultojnë në qarkullimin vajtje-ardhje të fondeve, duke përfshirë edhe përmes subjekteve të ndërmjetme pa funksion tjetër parësor tregtar ose transaksioneve që kompensojnë ose anulojnë njëra-tjetrën</w:t>
      </w:r>
      <w:r w:rsidR="002416E2" w:rsidRPr="000307AC">
        <w:rPr>
          <w:lang w:val="sq-AL"/>
        </w:rPr>
        <w:t xml:space="preserve"> ose që kanë karakteristika të tjera të ngjashme.</w:t>
      </w:r>
      <w:r w:rsidRPr="000307AC">
        <w:rPr>
          <w:lang w:val="sq-AL"/>
        </w:rPr>
        <w:t xml:space="preserve"> </w:t>
      </w:r>
      <w:r w:rsidR="00BF7633" w:rsidRPr="000307AC">
        <w:rPr>
          <w:lang w:val="sq-AL"/>
        </w:rPr>
        <w:t xml:space="preserve"> </w:t>
      </w:r>
    </w:p>
    <w:p w14:paraId="59A687E8" w14:textId="77777777" w:rsidR="004D0CF1" w:rsidRPr="000307AC" w:rsidRDefault="004D0CF1" w:rsidP="000307AC">
      <w:pPr>
        <w:spacing w:line="276" w:lineRule="auto"/>
        <w:rPr>
          <w:b/>
          <w:lang w:val="sq-AL"/>
        </w:rPr>
      </w:pPr>
    </w:p>
    <w:p w14:paraId="51E9E3F5" w14:textId="6C823134" w:rsidR="00FB4D8D" w:rsidRPr="000307AC" w:rsidRDefault="00FB4D8D" w:rsidP="000307AC">
      <w:pPr>
        <w:spacing w:line="276" w:lineRule="auto"/>
        <w:jc w:val="center"/>
        <w:rPr>
          <w:b/>
          <w:bCs/>
          <w:lang w:val="sq-AL"/>
        </w:rPr>
      </w:pPr>
      <w:r w:rsidRPr="000307AC">
        <w:rPr>
          <w:b/>
          <w:lang w:val="sq-AL"/>
        </w:rPr>
        <w:t>Kategoria C</w:t>
      </w:r>
    </w:p>
    <w:p w14:paraId="14DB1928" w14:textId="77777777" w:rsidR="00FB4D8D" w:rsidRPr="000307AC" w:rsidRDefault="00FB4D8D" w:rsidP="000307AC">
      <w:pPr>
        <w:spacing w:line="276" w:lineRule="auto"/>
        <w:jc w:val="center"/>
        <w:rPr>
          <w:b/>
          <w:lang w:val="sq-AL"/>
        </w:rPr>
      </w:pPr>
      <w:r w:rsidRPr="000307AC">
        <w:rPr>
          <w:b/>
          <w:lang w:val="sq-AL"/>
        </w:rPr>
        <w:t>Shenjat dalluese specifike që lidhen me transaksionet ndërkufitare</w:t>
      </w:r>
    </w:p>
    <w:p w14:paraId="23E51C06" w14:textId="77777777" w:rsidR="004D0CF1" w:rsidRPr="000307AC" w:rsidRDefault="004D0CF1" w:rsidP="000307AC">
      <w:pPr>
        <w:spacing w:line="276" w:lineRule="auto"/>
        <w:jc w:val="center"/>
        <w:rPr>
          <w:lang w:val="sq-AL"/>
        </w:rPr>
      </w:pPr>
    </w:p>
    <w:p w14:paraId="3460BD44" w14:textId="77777777" w:rsidR="00FB4D8D" w:rsidRPr="000307AC" w:rsidRDefault="00FB4D8D" w:rsidP="000307AC">
      <w:pPr>
        <w:numPr>
          <w:ilvl w:val="0"/>
          <w:numId w:val="16"/>
        </w:numPr>
        <w:spacing w:line="276" w:lineRule="auto"/>
        <w:jc w:val="both"/>
        <w:rPr>
          <w:lang w:val="sq-AL"/>
        </w:rPr>
      </w:pPr>
      <w:r w:rsidRPr="000307AC">
        <w:rPr>
          <w:lang w:val="sq-AL"/>
        </w:rPr>
        <w:t>Një marrëveshje që përfshin pagesa ndërkufitare të zbritshme të bëra midis dy ose më shumë ndërmarrjeve të lidhura, kur plotësohet të paktën një nga kushtet e mëposhtme:</w:t>
      </w:r>
    </w:p>
    <w:p w14:paraId="7E49BA35" w14:textId="77777777" w:rsidR="00FB4D8D" w:rsidRPr="000307AC" w:rsidRDefault="00FB4D8D" w:rsidP="000307AC">
      <w:pPr>
        <w:spacing w:line="276" w:lineRule="auto"/>
        <w:ind w:left="360"/>
        <w:jc w:val="both"/>
        <w:rPr>
          <w:lang w:val="sq-AL"/>
        </w:rPr>
      </w:pPr>
      <w:r w:rsidRPr="000307AC">
        <w:rPr>
          <w:lang w:val="sq-AL"/>
        </w:rPr>
        <w:t>a) marrësi nuk është rezident për qëllime tatimore në asnjë juridiksion;</w:t>
      </w:r>
    </w:p>
    <w:p w14:paraId="6D7981A8" w14:textId="77777777" w:rsidR="00FB4D8D" w:rsidRPr="000307AC" w:rsidRDefault="00FB4D8D" w:rsidP="000307AC">
      <w:pPr>
        <w:spacing w:line="276" w:lineRule="auto"/>
        <w:ind w:left="360"/>
        <w:jc w:val="both"/>
        <w:rPr>
          <w:lang w:val="sq-AL"/>
        </w:rPr>
      </w:pPr>
      <w:r w:rsidRPr="000307AC">
        <w:rPr>
          <w:lang w:val="sq-AL"/>
        </w:rPr>
        <w:t>b) megjithëse përfituesi është rezident për qëllime tatimore në një juridiksion, ky juridiksion ose:</w:t>
      </w:r>
    </w:p>
    <w:p w14:paraId="696FF45A" w14:textId="77777777" w:rsidR="00FB4D8D" w:rsidRPr="000307AC" w:rsidRDefault="00FB4D8D" w:rsidP="000307AC">
      <w:pPr>
        <w:spacing w:line="276" w:lineRule="auto"/>
        <w:ind w:left="720"/>
        <w:jc w:val="both"/>
        <w:rPr>
          <w:lang w:val="sq-AL"/>
        </w:rPr>
      </w:pPr>
      <w:r w:rsidRPr="000307AC">
        <w:rPr>
          <w:lang w:val="sq-AL"/>
        </w:rPr>
        <w:t>( i ) nuk vendos asnjë taksë mbi korporatat ose vendos taksë mbi korporatat me shkallë zero ose pothuajse zero; ose</w:t>
      </w:r>
    </w:p>
    <w:p w14:paraId="5CD0F9C7" w14:textId="375EDD10" w:rsidR="00FB4D8D" w:rsidRPr="000307AC" w:rsidRDefault="00EC526F" w:rsidP="000307AC">
      <w:pPr>
        <w:spacing w:line="276" w:lineRule="auto"/>
        <w:ind w:left="720"/>
        <w:jc w:val="both"/>
        <w:rPr>
          <w:lang w:val="sq-AL"/>
        </w:rPr>
      </w:pPr>
      <w:r w:rsidRPr="000307AC">
        <w:rPr>
          <w:lang w:val="sq-AL"/>
        </w:rPr>
        <w:t xml:space="preserve"> </w:t>
      </w:r>
      <w:r w:rsidRPr="000307AC">
        <w:rPr>
          <w:rStyle w:val="Strong"/>
          <w:b w:val="0"/>
          <w:lang w:val="sq-AL"/>
        </w:rPr>
        <w:t>(ii)</w:t>
      </w:r>
      <w:r w:rsidRPr="000307AC">
        <w:rPr>
          <w:lang w:val="sq-AL"/>
        </w:rPr>
        <w:t xml:space="preserve"> është përfshirë në listën e juridiksioneve jo-bashkëpunuese për qëllime tatimore, të miratuar nga Këshilli i Bashkimit Evropian.</w:t>
      </w:r>
      <w:r w:rsidR="00FB4D8D" w:rsidRPr="000307AC">
        <w:rPr>
          <w:lang w:val="sq-AL"/>
        </w:rPr>
        <w:t>c) pagesa përfiton nga një përjashtim i plotë nga taksat në juridiksionin ku përfituesi është rezident për qëllime tatimore;</w:t>
      </w:r>
    </w:p>
    <w:p w14:paraId="580B3D74" w14:textId="77777777" w:rsidR="00FB4D8D" w:rsidRPr="000307AC" w:rsidRDefault="00FB4D8D" w:rsidP="000307AC">
      <w:pPr>
        <w:spacing w:line="276" w:lineRule="auto"/>
        <w:ind w:left="360"/>
        <w:jc w:val="both"/>
        <w:rPr>
          <w:lang w:val="sq-AL"/>
        </w:rPr>
      </w:pPr>
      <w:r w:rsidRPr="000307AC">
        <w:rPr>
          <w:lang w:val="sq-AL"/>
        </w:rPr>
        <w:t>ç) pagesa përfiton nga një regjim tatimor preferencial në juridiksionin ku përfituesi është rezident për qëllime tatimore.</w:t>
      </w:r>
    </w:p>
    <w:p w14:paraId="42417623" w14:textId="77777777" w:rsidR="00FB4D8D" w:rsidRPr="000307AC" w:rsidRDefault="00FB4D8D" w:rsidP="000307AC">
      <w:pPr>
        <w:numPr>
          <w:ilvl w:val="0"/>
          <w:numId w:val="17"/>
        </w:numPr>
        <w:spacing w:line="276" w:lineRule="auto"/>
        <w:jc w:val="both"/>
        <w:rPr>
          <w:lang w:val="sq-AL"/>
        </w:rPr>
      </w:pPr>
      <w:r w:rsidRPr="000307AC">
        <w:rPr>
          <w:lang w:val="sq-AL"/>
        </w:rPr>
        <w:t>Zbritjet për të njëjtin amortizim të asetit kërkohen në më shumë se një juridiksion.</w:t>
      </w:r>
    </w:p>
    <w:p w14:paraId="645E053D" w14:textId="77777777" w:rsidR="00FB4D8D" w:rsidRPr="000307AC" w:rsidRDefault="00FB4D8D" w:rsidP="000307AC">
      <w:pPr>
        <w:numPr>
          <w:ilvl w:val="0"/>
          <w:numId w:val="17"/>
        </w:numPr>
        <w:spacing w:line="276" w:lineRule="auto"/>
        <w:jc w:val="both"/>
        <w:rPr>
          <w:lang w:val="sq-AL"/>
        </w:rPr>
      </w:pPr>
      <w:r w:rsidRPr="000307AC">
        <w:rPr>
          <w:lang w:val="sq-AL"/>
        </w:rPr>
        <w:t>Lehtësimi nga taksimi i dyfishtë në lidhje me të njëjtin zë të të ardhurave ose kapitalit kërkohet në më shumë se një juridiksion.</w:t>
      </w:r>
    </w:p>
    <w:p w14:paraId="05FBDDEA" w14:textId="77777777" w:rsidR="00FB4D8D" w:rsidRPr="000307AC" w:rsidRDefault="00FB4D8D" w:rsidP="000307AC">
      <w:pPr>
        <w:numPr>
          <w:ilvl w:val="0"/>
          <w:numId w:val="17"/>
        </w:numPr>
        <w:spacing w:line="276" w:lineRule="auto"/>
        <w:jc w:val="both"/>
        <w:rPr>
          <w:lang w:val="sq-AL"/>
        </w:rPr>
      </w:pPr>
      <w:r w:rsidRPr="000307AC">
        <w:rPr>
          <w:lang w:val="sq-AL"/>
        </w:rPr>
        <w:t>Ekziston një marrëveshje që përfshin transferimet e aseteve dhe ku ka një ndryshim material në shumën që trajtohet si e pagueshme në konsideratë për asetet në ato juridiksione të përfshira.</w:t>
      </w:r>
    </w:p>
    <w:p w14:paraId="2A7D0AF0" w14:textId="29940509" w:rsidR="00FB4D8D" w:rsidRPr="000307AC" w:rsidRDefault="00FB4D8D" w:rsidP="000307AC">
      <w:pPr>
        <w:spacing w:line="276" w:lineRule="auto"/>
        <w:rPr>
          <w:lang w:val="sq-AL"/>
        </w:rPr>
      </w:pPr>
    </w:p>
    <w:p w14:paraId="1A19641E" w14:textId="77777777" w:rsidR="00FB4D8D" w:rsidRPr="000307AC" w:rsidRDefault="00FB4D8D" w:rsidP="000307AC">
      <w:pPr>
        <w:spacing w:line="276" w:lineRule="auto"/>
        <w:jc w:val="center"/>
        <w:rPr>
          <w:b/>
          <w:bCs/>
          <w:lang w:val="sq-AL"/>
        </w:rPr>
      </w:pPr>
      <w:r w:rsidRPr="000307AC">
        <w:rPr>
          <w:b/>
          <w:lang w:val="sq-AL"/>
        </w:rPr>
        <w:t>Kategoria D</w:t>
      </w:r>
    </w:p>
    <w:p w14:paraId="1B1D4AE2" w14:textId="7F89E1EA" w:rsidR="00DE461C" w:rsidRPr="000307AC" w:rsidRDefault="00FB4D8D" w:rsidP="000307AC">
      <w:pPr>
        <w:spacing w:line="276" w:lineRule="auto"/>
        <w:jc w:val="center"/>
        <w:rPr>
          <w:lang w:val="sq-AL"/>
        </w:rPr>
      </w:pPr>
      <w:r w:rsidRPr="000307AC">
        <w:rPr>
          <w:b/>
          <w:lang w:val="sq-AL"/>
        </w:rPr>
        <w:t>Shenjat dalluese specifike në lidhje me shkëmbimin automatik të informacionit dhe pronësinë përfituese</w:t>
      </w:r>
    </w:p>
    <w:p w14:paraId="4DCE7094" w14:textId="77777777" w:rsidR="00DE461C" w:rsidRPr="000307AC" w:rsidRDefault="00DE461C" w:rsidP="000307AC">
      <w:pPr>
        <w:spacing w:line="276" w:lineRule="auto"/>
        <w:rPr>
          <w:lang w:val="sq-AL"/>
        </w:rPr>
      </w:pPr>
    </w:p>
    <w:p w14:paraId="5A38B820" w14:textId="7221D416" w:rsidR="00FB4D8D" w:rsidRPr="000307AC" w:rsidRDefault="00DE461C" w:rsidP="000307AC">
      <w:pPr>
        <w:spacing w:line="276" w:lineRule="auto"/>
        <w:jc w:val="both"/>
        <w:rPr>
          <w:lang w:val="sq-AL"/>
        </w:rPr>
      </w:pPr>
      <w:r w:rsidRPr="000307AC">
        <w:rPr>
          <w:lang w:val="sq-AL"/>
        </w:rPr>
        <w:t>1.</w:t>
      </w:r>
      <w:r w:rsidR="00FF1469" w:rsidRPr="000307AC">
        <w:rPr>
          <w:lang w:val="sq-AL"/>
        </w:rPr>
        <w:t xml:space="preserve"> </w:t>
      </w:r>
      <w:r w:rsidR="00FB4D8D" w:rsidRPr="000307AC">
        <w:rPr>
          <w:lang w:val="sq-AL"/>
        </w:rPr>
        <w:t xml:space="preserve">Një </w:t>
      </w:r>
      <w:r w:rsidR="00FF1469" w:rsidRPr="000307AC">
        <w:rPr>
          <w:lang w:val="sq-AL"/>
        </w:rPr>
        <w:t xml:space="preserve">mekanizëm </w:t>
      </w:r>
      <w:r w:rsidR="00FB4D8D" w:rsidRPr="000307AC">
        <w:rPr>
          <w:lang w:val="sq-AL"/>
        </w:rPr>
        <w:t>që mund të ketë efektin e min</w:t>
      </w:r>
      <w:r w:rsidR="00FF1469" w:rsidRPr="000307AC">
        <w:rPr>
          <w:lang w:val="sq-AL"/>
        </w:rPr>
        <w:t>imizimit</w:t>
      </w:r>
      <w:r w:rsidR="00FB4D8D" w:rsidRPr="000307AC">
        <w:rPr>
          <w:lang w:val="sq-AL"/>
        </w:rPr>
        <w:t xml:space="preserve"> të detyrimit të raportimit sipas legjislacionit që zbaton shkëmbimin automatik të informacionit të Llogari</w:t>
      </w:r>
      <w:r w:rsidR="00CB1511" w:rsidRPr="000307AC">
        <w:rPr>
          <w:lang w:val="sq-AL"/>
        </w:rPr>
        <w:t>ve</w:t>
      </w:r>
      <w:r w:rsidR="00FB4D8D" w:rsidRPr="000307AC">
        <w:rPr>
          <w:lang w:val="sq-AL"/>
        </w:rPr>
        <w:t xml:space="preserve"> Financiare, ose që shfrytëzon mungesën e një legjislacioni ose marrëveshjesh të tilla.</w:t>
      </w:r>
    </w:p>
    <w:p w14:paraId="1D4740BE" w14:textId="77777777" w:rsidR="00CB1511" w:rsidRPr="000307AC" w:rsidRDefault="00CB1511" w:rsidP="000307AC">
      <w:pPr>
        <w:spacing w:line="276" w:lineRule="auto"/>
        <w:jc w:val="both"/>
        <w:rPr>
          <w:lang w:val="sq-AL"/>
        </w:rPr>
      </w:pPr>
    </w:p>
    <w:p w14:paraId="4CFC9A63" w14:textId="16D24FAC" w:rsidR="00FB4D8D" w:rsidRPr="000307AC" w:rsidRDefault="00FB4D8D" w:rsidP="000307AC">
      <w:pPr>
        <w:spacing w:line="276" w:lineRule="auto"/>
        <w:jc w:val="both"/>
        <w:rPr>
          <w:lang w:val="sq-AL"/>
        </w:rPr>
      </w:pPr>
      <w:r w:rsidRPr="000307AC">
        <w:rPr>
          <w:lang w:val="sq-AL"/>
        </w:rPr>
        <w:t>Marrëveshje të tilla përfshijnë të paktën sa vijon:</w:t>
      </w:r>
    </w:p>
    <w:p w14:paraId="69E6B51C" w14:textId="77777777" w:rsidR="00DE461C" w:rsidRPr="000307AC" w:rsidRDefault="00DE461C" w:rsidP="000307AC">
      <w:pPr>
        <w:spacing w:line="276" w:lineRule="auto"/>
        <w:rPr>
          <w:lang w:val="sq-AL"/>
        </w:rPr>
      </w:pPr>
    </w:p>
    <w:p w14:paraId="11BB9DFC" w14:textId="77777777" w:rsidR="00FB4D8D" w:rsidRPr="000307AC" w:rsidRDefault="00FB4D8D" w:rsidP="000307AC">
      <w:pPr>
        <w:spacing w:line="276" w:lineRule="auto"/>
        <w:ind w:left="720"/>
        <w:rPr>
          <w:lang w:val="sq-AL"/>
        </w:rPr>
      </w:pPr>
      <w:r w:rsidRPr="000307AC">
        <w:rPr>
          <w:lang w:val="sq-AL"/>
        </w:rPr>
        <w:lastRenderedPageBreak/>
        <w:t>a) përdorimi i një llogarie, produkti ose investimi që nuk është, ose pretendon të mos jetë, një Llogari Financiare, por ka karakteristika që janë në thelb të ngjashme me ato të një Llogarie Financiare;</w:t>
      </w:r>
    </w:p>
    <w:p w14:paraId="01B0778B" w14:textId="77777777" w:rsidR="00DE461C" w:rsidRPr="000307AC" w:rsidRDefault="00DE461C" w:rsidP="000307AC">
      <w:pPr>
        <w:spacing w:line="276" w:lineRule="auto"/>
        <w:ind w:left="720"/>
        <w:rPr>
          <w:lang w:val="sq-AL"/>
        </w:rPr>
      </w:pPr>
    </w:p>
    <w:p w14:paraId="65A8941A" w14:textId="77777777" w:rsidR="00FB4D8D" w:rsidRPr="000307AC" w:rsidRDefault="00FB4D8D" w:rsidP="000307AC">
      <w:pPr>
        <w:spacing w:line="276" w:lineRule="auto"/>
        <w:ind w:left="720"/>
        <w:rPr>
          <w:lang w:val="sq-AL"/>
        </w:rPr>
      </w:pPr>
      <w:r w:rsidRPr="000307AC">
        <w:rPr>
          <w:lang w:val="sq-AL"/>
        </w:rPr>
        <w:t>b) transferimi i Llogarive Financiare ose aseteve në juridiksione që nuk zbatojnë shkëmbimin automatik të informacionit;</w:t>
      </w:r>
    </w:p>
    <w:p w14:paraId="2C98EC5D" w14:textId="77777777" w:rsidR="00DE461C" w:rsidRPr="000307AC" w:rsidRDefault="00DE461C" w:rsidP="000307AC">
      <w:pPr>
        <w:spacing w:line="276" w:lineRule="auto"/>
        <w:ind w:left="720"/>
        <w:rPr>
          <w:lang w:val="sq-AL"/>
        </w:rPr>
      </w:pPr>
    </w:p>
    <w:p w14:paraId="0F469532" w14:textId="77777777" w:rsidR="00FB4D8D" w:rsidRPr="000307AC" w:rsidRDefault="00FB4D8D" w:rsidP="000307AC">
      <w:pPr>
        <w:spacing w:line="276" w:lineRule="auto"/>
        <w:ind w:left="720"/>
        <w:rPr>
          <w:lang w:val="sq-AL"/>
        </w:rPr>
      </w:pPr>
      <w:r w:rsidRPr="000307AC">
        <w:rPr>
          <w:lang w:val="sq-AL"/>
        </w:rPr>
        <w:t>c) riklasifikimi i të ardhurave dhe kapitalit në produkte ose pagesa që nuk i nënshtrohen raportimit;</w:t>
      </w:r>
    </w:p>
    <w:p w14:paraId="16E00E7F" w14:textId="77777777" w:rsidR="00DE461C" w:rsidRPr="000307AC" w:rsidRDefault="00DE461C" w:rsidP="000307AC">
      <w:pPr>
        <w:spacing w:line="276" w:lineRule="auto"/>
        <w:ind w:left="720"/>
        <w:rPr>
          <w:lang w:val="sq-AL"/>
        </w:rPr>
      </w:pPr>
    </w:p>
    <w:p w14:paraId="21D65A49" w14:textId="3351211F" w:rsidR="00FB4D8D" w:rsidRPr="000307AC" w:rsidRDefault="00FB4D8D" w:rsidP="000307AC">
      <w:pPr>
        <w:spacing w:line="276" w:lineRule="auto"/>
        <w:ind w:left="720"/>
        <w:rPr>
          <w:lang w:val="sq-AL"/>
        </w:rPr>
      </w:pPr>
      <w:r w:rsidRPr="000307AC">
        <w:rPr>
          <w:lang w:val="sq-AL"/>
        </w:rPr>
        <w:t>ç) transferimi ose konvertimi i një institucioni financiar ose i një llogarie financiare</w:t>
      </w:r>
      <w:r w:rsidR="002416E2" w:rsidRPr="000307AC">
        <w:rPr>
          <w:lang w:val="sq-AL"/>
        </w:rPr>
        <w:t xml:space="preserve"> ose asetet </w:t>
      </w:r>
      <w:r w:rsidRPr="000307AC">
        <w:rPr>
          <w:lang w:val="sq-AL"/>
        </w:rPr>
        <w:t xml:space="preserve">në një institucion ose llogari </w:t>
      </w:r>
      <w:r w:rsidR="002416E2" w:rsidRPr="000307AC">
        <w:rPr>
          <w:lang w:val="sq-AL"/>
        </w:rPr>
        <w:t xml:space="preserve">ose asetet </w:t>
      </w:r>
      <w:r w:rsidRPr="000307AC">
        <w:rPr>
          <w:lang w:val="sq-AL"/>
        </w:rPr>
        <w:t>që nuk i nënshtrohet raportimit;</w:t>
      </w:r>
    </w:p>
    <w:p w14:paraId="43B521D7" w14:textId="77777777" w:rsidR="00DE461C" w:rsidRPr="000307AC" w:rsidRDefault="00DE461C" w:rsidP="000307AC">
      <w:pPr>
        <w:spacing w:line="276" w:lineRule="auto"/>
        <w:ind w:left="720"/>
        <w:jc w:val="both"/>
        <w:rPr>
          <w:rStyle w:val="Strong"/>
          <w:b w:val="0"/>
          <w:lang w:val="sq-AL"/>
        </w:rPr>
      </w:pPr>
    </w:p>
    <w:p w14:paraId="3752620F" w14:textId="36A26416" w:rsidR="00FB4D8D" w:rsidRPr="000307AC" w:rsidRDefault="001E3DC5" w:rsidP="000307AC">
      <w:pPr>
        <w:spacing w:line="276" w:lineRule="auto"/>
        <w:ind w:left="720"/>
        <w:jc w:val="both"/>
        <w:rPr>
          <w:lang w:val="sq-AL"/>
        </w:rPr>
      </w:pPr>
      <w:r w:rsidRPr="000307AC">
        <w:rPr>
          <w:rStyle w:val="Strong"/>
          <w:b w:val="0"/>
          <w:lang w:val="sq-AL"/>
        </w:rPr>
        <w:t>d)</w:t>
      </w:r>
      <w:r w:rsidRPr="000307AC">
        <w:rPr>
          <w:lang w:val="sq-AL"/>
        </w:rPr>
        <w:t xml:space="preserve"> </w:t>
      </w:r>
      <w:r w:rsidR="00DE461C" w:rsidRPr="000307AC">
        <w:rPr>
          <w:lang w:val="sq-AL"/>
        </w:rPr>
        <w:t>përdorimi i subjekteve juridike, marrëveshjeve ose strukturave që eliminojnë ose synojnë të eliminojnë raportimin e një ose më shumë Mbajtësve të Llogarive ose Personave Kontrollues në kuadër të shkëmbimit automatik të informacionit për llogaritë financiare;</w:t>
      </w:r>
    </w:p>
    <w:p w14:paraId="6E80508C" w14:textId="1A57E199" w:rsidR="001F6903" w:rsidRPr="000307AC" w:rsidRDefault="001F6903" w:rsidP="001347BD">
      <w:pPr>
        <w:pStyle w:val="Heading3"/>
        <w:spacing w:line="276" w:lineRule="auto"/>
        <w:ind w:left="720"/>
        <w:jc w:val="both"/>
        <w:rPr>
          <w:b w:val="0"/>
          <w:lang w:val="sq-AL"/>
        </w:rPr>
      </w:pPr>
      <w:r w:rsidRPr="000307AC">
        <w:rPr>
          <w:b w:val="0"/>
          <w:lang w:val="sq-AL"/>
        </w:rPr>
        <w:t>dh) marrëveshje që shfrytëzojnë dobësitë në procedurat e kujdesit të duhur, përfshirë ato të përdorura nga institucionet financiare për përmbushjen e detyrimeve të tyre për raportimin e informacionit mbi llogaritë financiare, duke përfshirë përdorimin e juridiksioneve me regjime të pamjaftueshme ose të dobëta të zbatimit të legjislacionit kundër pastrimit të parave ose me kërkesa të dobëta për transparencën e personave juridikë ose të marrëveshjeve ligjore.</w:t>
      </w:r>
    </w:p>
    <w:p w14:paraId="2E90C231" w14:textId="4DA9D4F8" w:rsidR="001F6903" w:rsidRPr="000307AC" w:rsidRDefault="001F6903" w:rsidP="000307AC">
      <w:pPr>
        <w:spacing w:line="276" w:lineRule="auto"/>
        <w:rPr>
          <w:lang w:val="sq-AL"/>
        </w:rPr>
      </w:pPr>
    </w:p>
    <w:p w14:paraId="0D80ED7D" w14:textId="21589967" w:rsidR="00FB4D8D" w:rsidRPr="000307AC" w:rsidRDefault="00FB4D8D" w:rsidP="000307AC">
      <w:pPr>
        <w:numPr>
          <w:ilvl w:val="0"/>
          <w:numId w:val="18"/>
        </w:numPr>
        <w:spacing w:line="276" w:lineRule="auto"/>
        <w:jc w:val="both"/>
        <w:rPr>
          <w:lang w:val="sq-AL"/>
        </w:rPr>
      </w:pPr>
      <w:r w:rsidRPr="000307AC">
        <w:rPr>
          <w:lang w:val="sq-AL"/>
        </w:rPr>
        <w:t xml:space="preserve">Një </w:t>
      </w:r>
      <w:r w:rsidR="00CB1511" w:rsidRPr="000307AC">
        <w:rPr>
          <w:lang w:val="sq-AL"/>
        </w:rPr>
        <w:t>mekanizëm</w:t>
      </w:r>
      <w:r w:rsidRPr="000307AC">
        <w:rPr>
          <w:lang w:val="sq-AL"/>
        </w:rPr>
        <w:t xml:space="preserve"> që përfshin një zinxhir jotransparent të pronësisë ligjore ose përfituese me përdorimin e personave, marrëveshjeve ligjore ose strukturave:</w:t>
      </w:r>
    </w:p>
    <w:p w14:paraId="26239261" w14:textId="77777777" w:rsidR="00FB4D8D" w:rsidRPr="000307AC" w:rsidRDefault="00FB4D8D" w:rsidP="000307AC">
      <w:pPr>
        <w:spacing w:line="276" w:lineRule="auto"/>
        <w:ind w:left="720"/>
        <w:rPr>
          <w:lang w:val="sq-AL"/>
        </w:rPr>
      </w:pPr>
      <w:r w:rsidRPr="000307AC">
        <w:rPr>
          <w:lang w:val="sq-AL"/>
        </w:rPr>
        <w:t>a) që nuk ushtrojnë një aktivitet ekonomik substancial të mbështetur nga personel, pajisje, asete dhe ambiente të mjaftueshme;</w:t>
      </w:r>
    </w:p>
    <w:p w14:paraId="67F6B6B2" w14:textId="78A44253" w:rsidR="00331BED" w:rsidRPr="000307AC" w:rsidRDefault="00331BED" w:rsidP="001347BD">
      <w:pPr>
        <w:pStyle w:val="NormalWeb"/>
        <w:spacing w:line="276" w:lineRule="auto"/>
        <w:ind w:left="720"/>
        <w:jc w:val="both"/>
        <w:rPr>
          <w:lang w:val="sq-AL"/>
        </w:rPr>
      </w:pPr>
      <w:r w:rsidRPr="000307AC">
        <w:rPr>
          <w:lang w:val="sq-AL"/>
        </w:rPr>
        <w:t>b) që janë të inkorporuara, të menaxhuara, të vendosura ose të kontrolluara në çdo juridiksion tjetër nga ai i rezidencës së një ose më shumë pronarëve përfitues të aseteve të mbajtura nga persona, marrëveshje ose struktura të tilla;</w:t>
      </w:r>
    </w:p>
    <w:p w14:paraId="22EBBDCD" w14:textId="1499B934" w:rsidR="00FB4D8D" w:rsidRPr="000307AC" w:rsidRDefault="00FB4D8D" w:rsidP="001347BD">
      <w:pPr>
        <w:pStyle w:val="Heading3"/>
        <w:spacing w:line="276" w:lineRule="auto"/>
        <w:ind w:left="720"/>
        <w:jc w:val="both"/>
        <w:rPr>
          <w:lang w:val="sq-AL"/>
        </w:rPr>
      </w:pPr>
      <w:r w:rsidRPr="000307AC">
        <w:rPr>
          <w:lang w:val="sq-AL"/>
        </w:rPr>
        <w:t xml:space="preserve">c) </w:t>
      </w:r>
      <w:r w:rsidRPr="000307AC">
        <w:rPr>
          <w:b w:val="0"/>
          <w:lang w:val="sq-AL"/>
        </w:rPr>
        <w:t>kur pronarët përfitues</w:t>
      </w:r>
      <w:r w:rsidR="00331BED" w:rsidRPr="000307AC">
        <w:rPr>
          <w:b w:val="0"/>
          <w:lang w:val="sq-AL"/>
        </w:rPr>
        <w:t xml:space="preserve"> </w:t>
      </w:r>
      <w:r w:rsidRPr="000307AC">
        <w:rPr>
          <w:b w:val="0"/>
          <w:lang w:val="sq-AL"/>
        </w:rPr>
        <w:t xml:space="preserve"> </w:t>
      </w:r>
      <w:r w:rsidR="00331BED" w:rsidRPr="000307AC">
        <w:rPr>
          <w:b w:val="0"/>
          <w:lang w:val="sq-AL"/>
        </w:rPr>
        <w:t xml:space="preserve">sipas kuptimit të përcaktuar në legjislacionin në fuqi për parandalimin e pastrimit të parave dhe financimit të terrorizmit, </w:t>
      </w:r>
      <w:r w:rsidRPr="000307AC">
        <w:rPr>
          <w:b w:val="0"/>
          <w:lang w:val="sq-AL"/>
        </w:rPr>
        <w:t>bëhen të paidentifikueshëm.</w:t>
      </w:r>
    </w:p>
    <w:p w14:paraId="48DD176C" w14:textId="2E91FF3D" w:rsidR="00FB4D8D" w:rsidRPr="000307AC" w:rsidRDefault="00FB4D8D" w:rsidP="000307AC">
      <w:pPr>
        <w:spacing w:line="276" w:lineRule="auto"/>
        <w:rPr>
          <w:lang w:val="sq-AL"/>
        </w:rPr>
      </w:pPr>
    </w:p>
    <w:p w14:paraId="64D85BAE" w14:textId="77777777" w:rsidR="00FB4D8D" w:rsidRPr="000307AC" w:rsidRDefault="00FB4D8D" w:rsidP="000307AC">
      <w:pPr>
        <w:spacing w:line="276" w:lineRule="auto"/>
        <w:jc w:val="center"/>
        <w:rPr>
          <w:b/>
          <w:bCs/>
          <w:lang w:val="sq-AL"/>
        </w:rPr>
      </w:pPr>
      <w:r w:rsidRPr="000307AC">
        <w:rPr>
          <w:b/>
          <w:lang w:val="sq-AL"/>
        </w:rPr>
        <w:t>Kategoria E</w:t>
      </w:r>
    </w:p>
    <w:p w14:paraId="5B420D0F" w14:textId="77777777" w:rsidR="00FB4D8D" w:rsidRPr="000307AC" w:rsidRDefault="00FB4D8D" w:rsidP="000307AC">
      <w:pPr>
        <w:spacing w:line="276" w:lineRule="auto"/>
        <w:jc w:val="center"/>
        <w:rPr>
          <w:b/>
          <w:lang w:val="sq-AL"/>
        </w:rPr>
      </w:pPr>
      <w:r w:rsidRPr="000307AC">
        <w:rPr>
          <w:b/>
          <w:lang w:val="sq-AL"/>
        </w:rPr>
        <w:t>Karakteristikat dalluese specifike në lidhje me transferimin e çmimeve</w:t>
      </w:r>
    </w:p>
    <w:p w14:paraId="437E9B02" w14:textId="77777777" w:rsidR="004D0CF1" w:rsidRPr="000307AC" w:rsidRDefault="004D0CF1" w:rsidP="000307AC">
      <w:pPr>
        <w:spacing w:line="276" w:lineRule="auto"/>
        <w:jc w:val="center"/>
        <w:rPr>
          <w:lang w:val="sq-AL"/>
        </w:rPr>
      </w:pPr>
    </w:p>
    <w:p w14:paraId="0FFBD30A" w14:textId="24D3049B" w:rsidR="00FB4D8D" w:rsidRPr="000307AC" w:rsidRDefault="00FB4D8D" w:rsidP="000307AC">
      <w:pPr>
        <w:numPr>
          <w:ilvl w:val="0"/>
          <w:numId w:val="19"/>
        </w:numPr>
        <w:spacing w:line="276" w:lineRule="auto"/>
        <w:jc w:val="both"/>
        <w:rPr>
          <w:lang w:val="sq-AL"/>
        </w:rPr>
      </w:pPr>
      <w:r w:rsidRPr="000307AC">
        <w:rPr>
          <w:lang w:val="sq-AL"/>
        </w:rPr>
        <w:t>Një</w:t>
      </w:r>
      <w:r w:rsidR="00CB1511" w:rsidRPr="000307AC">
        <w:rPr>
          <w:lang w:val="sq-AL"/>
        </w:rPr>
        <w:t xml:space="preserve"> mekanizëm </w:t>
      </w:r>
      <w:r w:rsidRPr="000307AC">
        <w:rPr>
          <w:lang w:val="sq-AL"/>
        </w:rPr>
        <w:t>që përfshin përdorimin e rregullave</w:t>
      </w:r>
      <w:r w:rsidR="00CB1511" w:rsidRPr="000307AC">
        <w:rPr>
          <w:lang w:val="sq-AL"/>
        </w:rPr>
        <w:t xml:space="preserve"> të njëanshme lehtësuese tatimore (safe harbour rule)</w:t>
      </w:r>
      <w:r w:rsidRPr="000307AC">
        <w:rPr>
          <w:lang w:val="sq-AL"/>
        </w:rPr>
        <w:t>.</w:t>
      </w:r>
    </w:p>
    <w:p w14:paraId="4ADBF143" w14:textId="5074C9E4" w:rsidR="00FB4D8D" w:rsidRDefault="00FB4D8D" w:rsidP="000307AC">
      <w:pPr>
        <w:numPr>
          <w:ilvl w:val="0"/>
          <w:numId w:val="19"/>
        </w:numPr>
        <w:spacing w:line="276" w:lineRule="auto"/>
        <w:jc w:val="both"/>
        <w:rPr>
          <w:lang w:val="sq-AL"/>
        </w:rPr>
      </w:pPr>
      <w:r w:rsidRPr="000307AC">
        <w:rPr>
          <w:lang w:val="sq-AL"/>
        </w:rPr>
        <w:lastRenderedPageBreak/>
        <w:t>Një</w:t>
      </w:r>
      <w:r w:rsidR="00CB1511" w:rsidRPr="000307AC">
        <w:rPr>
          <w:lang w:val="sq-AL"/>
        </w:rPr>
        <w:t xml:space="preserve"> mekanizëm </w:t>
      </w:r>
      <w:r w:rsidRPr="000307AC">
        <w:rPr>
          <w:lang w:val="sq-AL"/>
        </w:rPr>
        <w:t>që përfshin transferimin e pasurive të paprekshme që vështirë se mund të vlerësohen.</w:t>
      </w:r>
    </w:p>
    <w:p w14:paraId="08192FEB" w14:textId="77777777" w:rsidR="00293FCF" w:rsidRPr="000307AC" w:rsidRDefault="00293FCF" w:rsidP="001347BD">
      <w:pPr>
        <w:spacing w:line="276" w:lineRule="auto"/>
        <w:ind w:left="360"/>
        <w:jc w:val="both"/>
        <w:rPr>
          <w:lang w:val="sq-AL"/>
        </w:rPr>
      </w:pPr>
    </w:p>
    <w:p w14:paraId="72C36DE1" w14:textId="77777777" w:rsidR="00FB4D8D" w:rsidRDefault="00FB4D8D" w:rsidP="000307AC">
      <w:pPr>
        <w:spacing w:line="276" w:lineRule="auto"/>
        <w:jc w:val="both"/>
        <w:rPr>
          <w:lang w:val="sq-AL"/>
        </w:rPr>
      </w:pPr>
      <w:r w:rsidRPr="000307AC">
        <w:rPr>
          <w:lang w:val="sq-AL"/>
        </w:rPr>
        <w:t>Termi "pasuri të paprekshme të vështira për t'u vlerësuar" mbulon pasuritë e paprekshme ose të drejtat në pasuri të paprekshme për të cilat, në kohën e transferimit të tyre midis ndërmarrjeve të lidhura:</w:t>
      </w:r>
    </w:p>
    <w:p w14:paraId="672643DF" w14:textId="77777777" w:rsidR="00293FCF" w:rsidRPr="000307AC" w:rsidRDefault="00293FCF" w:rsidP="000307AC">
      <w:pPr>
        <w:spacing w:line="276" w:lineRule="auto"/>
        <w:jc w:val="both"/>
        <w:rPr>
          <w:lang w:val="sq-AL"/>
        </w:rPr>
      </w:pPr>
    </w:p>
    <w:p w14:paraId="4E5B4913" w14:textId="12099486" w:rsidR="00FB4D8D" w:rsidRPr="000307AC" w:rsidRDefault="00FB4D8D" w:rsidP="000307AC">
      <w:pPr>
        <w:spacing w:line="276" w:lineRule="auto"/>
        <w:ind w:left="720"/>
        <w:jc w:val="both"/>
        <w:rPr>
          <w:lang w:val="sq-AL"/>
        </w:rPr>
      </w:pPr>
      <w:r w:rsidRPr="000307AC">
        <w:rPr>
          <w:lang w:val="sq-AL"/>
        </w:rPr>
        <w:t>a) nuk ekzistojnë krahasime të besueshme; dhe</w:t>
      </w:r>
    </w:p>
    <w:p w14:paraId="1F0F2CF4" w14:textId="14939C58" w:rsidR="00FB4D8D" w:rsidRDefault="00484217" w:rsidP="000307AC">
      <w:pPr>
        <w:spacing w:line="276" w:lineRule="auto"/>
        <w:ind w:left="720"/>
        <w:jc w:val="both"/>
        <w:rPr>
          <w:lang w:val="sq-AL"/>
        </w:rPr>
      </w:pPr>
      <w:r w:rsidRPr="000307AC">
        <w:rPr>
          <w:rStyle w:val="Strong"/>
          <w:b w:val="0"/>
          <w:lang w:val="sq-AL"/>
        </w:rPr>
        <w:t>b)</w:t>
      </w:r>
      <w:r w:rsidRPr="000307AC">
        <w:rPr>
          <w:lang w:val="sq-AL"/>
        </w:rPr>
        <w:t xml:space="preserve"> në momentin e transferimit, parashikimet e flukseve të ardhshme të parasë ose të të ardhurave të pritshme që rrjedhin nga aktivi i transferuar, ose supozimet e përdorura në vlerësimin e tij, janë shumë të pasigurta, duke e bërë të vështirë parashikimin e suksesit të tij në atë kohë.</w:t>
      </w:r>
    </w:p>
    <w:p w14:paraId="3B81DDAC" w14:textId="77777777" w:rsidR="00293FCF" w:rsidRPr="000307AC" w:rsidRDefault="00293FCF" w:rsidP="000307AC">
      <w:pPr>
        <w:spacing w:line="276" w:lineRule="auto"/>
        <w:ind w:left="720"/>
        <w:jc w:val="both"/>
        <w:rPr>
          <w:lang w:val="sq-AL"/>
        </w:rPr>
      </w:pPr>
    </w:p>
    <w:p w14:paraId="243C5852" w14:textId="41AB7A64" w:rsidR="00FB4D8D" w:rsidRPr="000307AC" w:rsidRDefault="00CB1511" w:rsidP="000307AC">
      <w:pPr>
        <w:numPr>
          <w:ilvl w:val="0"/>
          <w:numId w:val="20"/>
        </w:numPr>
        <w:spacing w:line="276" w:lineRule="auto"/>
        <w:jc w:val="both"/>
        <w:rPr>
          <w:lang w:val="sq-AL"/>
        </w:rPr>
      </w:pPr>
      <w:r w:rsidRPr="000307AC">
        <w:rPr>
          <w:lang w:val="sq-AL"/>
        </w:rPr>
        <w:t xml:space="preserve">Një mekanizëm </w:t>
      </w:r>
      <w:r w:rsidR="00FB4D8D" w:rsidRPr="000307AC">
        <w:rPr>
          <w:lang w:val="sq-AL"/>
        </w:rPr>
        <w:t>që përfshin një transferim ndërkufitar brenda grupit të funksioneve, rreziqeve ose aseteve, ku fitimet vjetore të parashikuara të transferuesit, gjatë periudhës tre-vjeçare pas transferimit, janë më pak se 50% e EBIT-it vjetor të parashikuar nëse transferimi nuk do të ishte bërë.</w:t>
      </w:r>
    </w:p>
    <w:p w14:paraId="3A1506CC" w14:textId="31F9A040" w:rsidR="00FB4D8D" w:rsidRPr="000307AC" w:rsidRDefault="00FB4D8D" w:rsidP="000307AC">
      <w:pPr>
        <w:spacing w:line="276" w:lineRule="auto"/>
        <w:rPr>
          <w:lang w:val="sq-AL"/>
        </w:rPr>
      </w:pPr>
    </w:p>
    <w:p w14:paraId="53B2A51D" w14:textId="77777777" w:rsidR="00FB4D8D" w:rsidRPr="000307AC" w:rsidRDefault="00FB4D8D" w:rsidP="000307AC">
      <w:pPr>
        <w:spacing w:line="276" w:lineRule="auto"/>
        <w:jc w:val="center"/>
        <w:rPr>
          <w:b/>
          <w:bCs/>
          <w:lang w:val="sq-AL"/>
        </w:rPr>
      </w:pPr>
      <w:r w:rsidRPr="000307AC">
        <w:rPr>
          <w:b/>
          <w:lang w:val="sq-AL"/>
        </w:rPr>
        <w:t>Dispozitë interpretuese</w:t>
      </w:r>
    </w:p>
    <w:p w14:paraId="7583B2C1" w14:textId="77777777" w:rsidR="00A2464A" w:rsidRPr="000307AC" w:rsidRDefault="00A2464A" w:rsidP="000307AC">
      <w:pPr>
        <w:spacing w:line="276" w:lineRule="auto"/>
        <w:rPr>
          <w:b/>
          <w:bCs/>
          <w:lang w:val="sq-AL"/>
        </w:rPr>
      </w:pPr>
    </w:p>
    <w:p w14:paraId="63C509D3" w14:textId="7DE19044" w:rsidR="00FB4D8D" w:rsidRPr="000307AC" w:rsidRDefault="00FB4D8D" w:rsidP="000307AC">
      <w:pPr>
        <w:spacing w:line="276" w:lineRule="auto"/>
        <w:jc w:val="both"/>
        <w:rPr>
          <w:lang w:val="sq-AL"/>
        </w:rPr>
      </w:pPr>
      <w:r w:rsidRPr="000307AC">
        <w:rPr>
          <w:lang w:val="sq-AL"/>
        </w:rPr>
        <w:t xml:space="preserve">Shenjat dalluese të këtij Aneksi interpretohen në përputhje me qëllimin e këtij </w:t>
      </w:r>
      <w:r w:rsidR="00293FCF">
        <w:rPr>
          <w:lang w:val="sq-AL"/>
        </w:rPr>
        <w:t>l</w:t>
      </w:r>
      <w:r w:rsidRPr="000307AC">
        <w:rPr>
          <w:lang w:val="sq-AL"/>
        </w:rPr>
        <w:t>igji dhe me praktikën interpretuese të Bashkimit Evropian në fushën e bashkëpunimit administrativ tatimor.</w:t>
      </w:r>
    </w:p>
    <w:p w14:paraId="4E396D3B" w14:textId="339E9F9E" w:rsidR="00D74F4A" w:rsidRPr="000307AC" w:rsidRDefault="00D74F4A" w:rsidP="000307AC">
      <w:pPr>
        <w:spacing w:line="276" w:lineRule="auto"/>
        <w:jc w:val="both"/>
        <w:rPr>
          <w:lang w:val="sq-AL"/>
        </w:rPr>
      </w:pPr>
    </w:p>
    <w:p w14:paraId="675E3D59" w14:textId="628CE8A2" w:rsidR="00D74F4A" w:rsidRPr="000307AC" w:rsidRDefault="00D74F4A" w:rsidP="000307AC">
      <w:pPr>
        <w:spacing w:line="276" w:lineRule="auto"/>
        <w:jc w:val="both"/>
        <w:rPr>
          <w:lang w:val="sq-AL"/>
        </w:rPr>
      </w:pPr>
    </w:p>
    <w:p w14:paraId="52C5878F" w14:textId="14CB869E" w:rsidR="00D74F4A" w:rsidRPr="000307AC" w:rsidRDefault="00D74F4A" w:rsidP="000307AC">
      <w:pPr>
        <w:spacing w:line="276" w:lineRule="auto"/>
        <w:jc w:val="both"/>
        <w:rPr>
          <w:lang w:val="sq-AL"/>
        </w:rPr>
      </w:pPr>
    </w:p>
    <w:p w14:paraId="323F2462" w14:textId="0157443F" w:rsidR="00D74F4A" w:rsidRPr="000307AC" w:rsidRDefault="00D74F4A" w:rsidP="000307AC">
      <w:pPr>
        <w:spacing w:line="276" w:lineRule="auto"/>
        <w:jc w:val="both"/>
        <w:rPr>
          <w:lang w:val="sq-AL"/>
        </w:rPr>
      </w:pPr>
    </w:p>
    <w:sectPr w:rsidR="00D74F4A" w:rsidRPr="000307AC">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74B6" w14:textId="77777777" w:rsidR="00586DFC" w:rsidRDefault="00586DFC">
      <w:r>
        <w:separator/>
      </w:r>
    </w:p>
  </w:endnote>
  <w:endnote w:type="continuationSeparator" w:id="0">
    <w:p w14:paraId="3577AC05" w14:textId="77777777" w:rsidR="00586DFC" w:rsidRDefault="0058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259678"/>
      <w:docPartObj>
        <w:docPartGallery w:val="Page Numbers (Bottom of Page)"/>
        <w:docPartUnique/>
      </w:docPartObj>
    </w:sdtPr>
    <w:sdtEndPr>
      <w:rPr>
        <w:noProof/>
      </w:rPr>
    </w:sdtEndPr>
    <w:sdtContent>
      <w:p w14:paraId="566E47CC" w14:textId="3A25E7B5" w:rsidR="00E16633" w:rsidRDefault="00E166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7827DE" w14:textId="08EBBAEA" w:rsidR="00E857D4" w:rsidRPr="00097F02" w:rsidRDefault="00E857D4">
    <w:pPr>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83D8" w14:textId="77777777" w:rsidR="00586DFC" w:rsidRDefault="00586DFC">
      <w:r>
        <w:separator/>
      </w:r>
    </w:p>
  </w:footnote>
  <w:footnote w:type="continuationSeparator" w:id="0">
    <w:p w14:paraId="38E58B7B" w14:textId="77777777" w:rsidR="00586DFC" w:rsidRDefault="00586DFC">
      <w:r>
        <w:continuationSeparator/>
      </w:r>
    </w:p>
  </w:footnote>
  <w:footnote w:id="1">
    <w:p w14:paraId="186570B6" w14:textId="16B8DCCD" w:rsidR="00A76300" w:rsidRPr="001347BD" w:rsidRDefault="00A76300" w:rsidP="00A76300">
      <w:pPr>
        <w:spacing w:after="160" w:line="276" w:lineRule="auto"/>
        <w:jc w:val="both"/>
        <w:rPr>
          <w:sz w:val="20"/>
          <w:szCs w:val="20"/>
        </w:rPr>
      </w:pPr>
      <w:r w:rsidRPr="001347BD">
        <w:rPr>
          <w:rStyle w:val="FootnoteReference"/>
          <w:sz w:val="20"/>
          <w:szCs w:val="20"/>
        </w:rPr>
        <w:footnoteRef/>
      </w:r>
      <w:r w:rsidRPr="001347BD">
        <w:rPr>
          <w:sz w:val="20"/>
          <w:szCs w:val="20"/>
        </w:rPr>
        <w:t xml:space="preserve"> </w:t>
      </w:r>
      <w:r w:rsidR="00082960" w:rsidRPr="001347BD">
        <w:rPr>
          <w:sz w:val="20"/>
          <w:szCs w:val="20"/>
        </w:rPr>
        <w:t>Ky ligj është përafruar plotësisht me Direktivën e Këshillit (BE) 2018/822, të datës 25 maj 2018, që ndryshon Direktivën 2011/16/BE për sa i përket shkëmbimit automatik të detyrueshëm të informacionit në fushën e tatimeve në lidhje me mekanizmat ndërkufitare të raportueshme. Numri CELEX 32018L0822, Fletorja Zyrtare e Bashkimit Evropian, seria L, nr. 139, datë 05.06.2018, f. 1-13.</w:t>
      </w:r>
      <w:r w:rsidR="00082960" w:rsidRPr="001347BD" w:rsidDel="00082960">
        <w:rPr>
          <w:sz w:val="20"/>
          <w:szCs w:val="20"/>
        </w:rPr>
        <w:t xml:space="preserve"> </w:t>
      </w:r>
    </w:p>
    <w:p w14:paraId="7D132A3A" w14:textId="584FDB61" w:rsidR="00A76300" w:rsidRPr="00A76300" w:rsidRDefault="00A76300" w:rsidP="00A76300">
      <w:pPr>
        <w:pStyle w:val="FootnoteText"/>
        <w:jc w:val="both"/>
        <w:rPr>
          <w:sz w:val="22"/>
          <w:szCs w:val="22"/>
        </w:rPr>
      </w:pPr>
    </w:p>
  </w:footnote>
  <w:footnote w:id="2">
    <w:p w14:paraId="7644C072" w14:textId="36588BDC" w:rsidR="002C1F11" w:rsidRPr="001347BD" w:rsidRDefault="00554F69" w:rsidP="002C1F11">
      <w:pPr>
        <w:spacing w:line="276" w:lineRule="auto"/>
        <w:rPr>
          <w:sz w:val="20"/>
          <w:szCs w:val="20"/>
        </w:rPr>
      </w:pPr>
      <w:r w:rsidRPr="001347BD">
        <w:rPr>
          <w:rStyle w:val="FootnoteReference"/>
          <w:sz w:val="20"/>
          <w:szCs w:val="20"/>
        </w:rPr>
        <w:footnoteRef/>
      </w:r>
      <w:r w:rsidR="000307AC">
        <w:rPr>
          <w:sz w:val="20"/>
          <w:szCs w:val="20"/>
        </w:rPr>
        <w:t xml:space="preserve"> </w:t>
      </w:r>
      <w:r w:rsidRPr="001347BD">
        <w:rPr>
          <w:sz w:val="20"/>
          <w:szCs w:val="20"/>
        </w:rPr>
        <w:t>K</w:t>
      </w:r>
      <w:r w:rsidR="00B001B4" w:rsidRPr="001347BD">
        <w:rPr>
          <w:sz w:val="20"/>
          <w:szCs w:val="20"/>
        </w:rPr>
        <w:t>jo</w:t>
      </w:r>
      <w:r w:rsidRPr="001347BD">
        <w:rPr>
          <w:sz w:val="20"/>
          <w:szCs w:val="20"/>
        </w:rPr>
        <w:t xml:space="preserve"> Shtojcë transpozon Shtojcën IV të Direktivës 2011/16/BE</w:t>
      </w:r>
      <w:r w:rsidR="00E16633" w:rsidRPr="001347BD">
        <w:rPr>
          <w:sz w:val="20"/>
          <w:szCs w:val="20"/>
        </w:rPr>
        <w:t>,</w:t>
      </w:r>
      <w:r w:rsidR="00FD743F" w:rsidRPr="001347BD">
        <w:rPr>
          <w:sz w:val="20"/>
          <w:szCs w:val="20"/>
        </w:rPr>
        <w:t xml:space="preserve"> të</w:t>
      </w:r>
      <w:r w:rsidRPr="001347BD">
        <w:rPr>
          <w:sz w:val="20"/>
          <w:szCs w:val="20"/>
        </w:rPr>
        <w:t xml:space="preserve"> ndryshuar.</w:t>
      </w:r>
    </w:p>
    <w:p w14:paraId="702CB275" w14:textId="4697CC40" w:rsidR="00554F69" w:rsidRDefault="00554F69">
      <w:pPr>
        <w:pStyle w:val="FootnoteText"/>
      </w:pPr>
    </w:p>
  </w:footnote>
  <w:footnote w:id="3">
    <w:p w14:paraId="54187A74" w14:textId="2BBDE61D" w:rsidR="00A84FF0" w:rsidRPr="009F16F3" w:rsidRDefault="00A84FF0" w:rsidP="00A84FF0">
      <w:pPr>
        <w:pStyle w:val="FootnoteText"/>
        <w:rPr>
          <w:lang w:val="sq-AL"/>
        </w:rPr>
      </w:pPr>
      <w:r w:rsidRPr="009F16F3">
        <w:rPr>
          <w:rStyle w:val="FootnoteReference"/>
        </w:rPr>
        <w:footnoteRef/>
      </w:r>
      <w:r w:rsidRPr="009F16F3">
        <w:t xml:space="preserve"> </w:t>
      </w:r>
      <w:r w:rsidRPr="001347BD">
        <w:rPr>
          <w:bCs/>
        </w:rPr>
        <w:t>Ky ligj transpozon Direktivën 2011/16/BE</w:t>
      </w:r>
      <w:r w:rsidR="009F16F3" w:rsidRPr="001347BD">
        <w:rPr>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945"/>
    <w:multiLevelType w:val="multilevel"/>
    <w:tmpl w:val="CA8AA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23AC3"/>
    <w:multiLevelType w:val="multilevel"/>
    <w:tmpl w:val="F86E37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95E09FB"/>
    <w:multiLevelType w:val="multilevel"/>
    <w:tmpl w:val="1E8A0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76B5F"/>
    <w:multiLevelType w:val="multilevel"/>
    <w:tmpl w:val="D89C79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B283837"/>
    <w:multiLevelType w:val="hybridMultilevel"/>
    <w:tmpl w:val="DED630E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17361"/>
    <w:multiLevelType w:val="hybridMultilevel"/>
    <w:tmpl w:val="F3106DD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4251504"/>
    <w:multiLevelType w:val="multilevel"/>
    <w:tmpl w:val="CDA257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5EE6E6B"/>
    <w:multiLevelType w:val="multilevel"/>
    <w:tmpl w:val="D0DE822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9B41B2"/>
    <w:multiLevelType w:val="multilevel"/>
    <w:tmpl w:val="63D42492"/>
    <w:lvl w:ilvl="0">
      <w:start w:val="2"/>
      <w:numFmt w:val="decimal"/>
      <w:lvlText w:val="%1."/>
      <w:lvlJc w:val="left"/>
      <w:pPr>
        <w:tabs>
          <w:tab w:val="num" w:pos="360"/>
        </w:tabs>
        <w:ind w:left="360" w:hanging="360"/>
      </w:pPr>
      <w:rPr>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FC052AA"/>
    <w:multiLevelType w:val="hybridMultilevel"/>
    <w:tmpl w:val="8A94E28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20D11E65"/>
    <w:multiLevelType w:val="multilevel"/>
    <w:tmpl w:val="62FCB2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50201A7"/>
    <w:multiLevelType w:val="multilevel"/>
    <w:tmpl w:val="36A0E2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9D21D5F"/>
    <w:multiLevelType w:val="hybridMultilevel"/>
    <w:tmpl w:val="DD54826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2EC750C8"/>
    <w:multiLevelType w:val="multilevel"/>
    <w:tmpl w:val="4372CB4E"/>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3AC31215"/>
    <w:multiLevelType w:val="multilevel"/>
    <w:tmpl w:val="CE309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6739E6"/>
    <w:multiLevelType w:val="multilevel"/>
    <w:tmpl w:val="B74C65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DA0F4A"/>
    <w:multiLevelType w:val="multilevel"/>
    <w:tmpl w:val="6DFCF8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A0F6FB4"/>
    <w:multiLevelType w:val="multilevel"/>
    <w:tmpl w:val="5D4E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7F1133"/>
    <w:multiLevelType w:val="multilevel"/>
    <w:tmpl w:val="FD60F37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03A0C3C"/>
    <w:multiLevelType w:val="hybridMultilevel"/>
    <w:tmpl w:val="BDA02102"/>
    <w:lvl w:ilvl="0" w:tplc="7986A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00FD8"/>
    <w:multiLevelType w:val="hybridMultilevel"/>
    <w:tmpl w:val="F86A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E29D5"/>
    <w:multiLevelType w:val="multilevel"/>
    <w:tmpl w:val="CF12997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213997"/>
    <w:multiLevelType w:val="multilevel"/>
    <w:tmpl w:val="0DC6E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A940E1"/>
    <w:multiLevelType w:val="hybridMultilevel"/>
    <w:tmpl w:val="CD061C0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5FB15EC8"/>
    <w:multiLevelType w:val="multilevel"/>
    <w:tmpl w:val="B63A7BD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6C8611C"/>
    <w:multiLevelType w:val="hybridMultilevel"/>
    <w:tmpl w:val="F9D6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CA23EC"/>
    <w:multiLevelType w:val="multilevel"/>
    <w:tmpl w:val="BA668F0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DEE0F57"/>
    <w:multiLevelType w:val="hybridMultilevel"/>
    <w:tmpl w:val="BF047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F28D1"/>
    <w:multiLevelType w:val="multilevel"/>
    <w:tmpl w:val="3BDE24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760275BE"/>
    <w:multiLevelType w:val="multilevel"/>
    <w:tmpl w:val="85D6C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244AC4"/>
    <w:multiLevelType w:val="multilevel"/>
    <w:tmpl w:val="1542F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344B79"/>
    <w:multiLevelType w:val="multilevel"/>
    <w:tmpl w:val="2C6C8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A001C6"/>
    <w:multiLevelType w:val="multilevel"/>
    <w:tmpl w:val="72080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DA2953"/>
    <w:multiLevelType w:val="multilevel"/>
    <w:tmpl w:val="44E21E9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63556896">
    <w:abstractNumId w:val="4"/>
  </w:num>
  <w:num w:numId="2" w16cid:durableId="1137651190">
    <w:abstractNumId w:val="15"/>
  </w:num>
  <w:num w:numId="3" w16cid:durableId="1298681869">
    <w:abstractNumId w:val="21"/>
  </w:num>
  <w:num w:numId="4" w16cid:durableId="1242830888">
    <w:abstractNumId w:val="25"/>
  </w:num>
  <w:num w:numId="5" w16cid:durableId="1441143993">
    <w:abstractNumId w:val="1"/>
  </w:num>
  <w:num w:numId="6" w16cid:durableId="477499049">
    <w:abstractNumId w:val="8"/>
  </w:num>
  <w:num w:numId="7" w16cid:durableId="1792632697">
    <w:abstractNumId w:val="16"/>
  </w:num>
  <w:num w:numId="8" w16cid:durableId="1727024070">
    <w:abstractNumId w:val="30"/>
  </w:num>
  <w:num w:numId="9" w16cid:durableId="1299266157">
    <w:abstractNumId w:val="7"/>
  </w:num>
  <w:num w:numId="10" w16cid:durableId="1762795310">
    <w:abstractNumId w:val="11"/>
  </w:num>
  <w:num w:numId="11" w16cid:durableId="754286316">
    <w:abstractNumId w:val="22"/>
  </w:num>
  <w:num w:numId="12" w16cid:durableId="721248394">
    <w:abstractNumId w:val="20"/>
  </w:num>
  <w:num w:numId="13" w16cid:durableId="1796410891">
    <w:abstractNumId w:val="3"/>
  </w:num>
  <w:num w:numId="14" w16cid:durableId="1053968034">
    <w:abstractNumId w:val="18"/>
  </w:num>
  <w:num w:numId="15" w16cid:durableId="631638930">
    <w:abstractNumId w:val="10"/>
  </w:num>
  <w:num w:numId="16" w16cid:durableId="1859806359">
    <w:abstractNumId w:val="28"/>
  </w:num>
  <w:num w:numId="17" w16cid:durableId="105975614">
    <w:abstractNumId w:val="26"/>
  </w:num>
  <w:num w:numId="18" w16cid:durableId="989947364">
    <w:abstractNumId w:val="33"/>
  </w:num>
  <w:num w:numId="19" w16cid:durableId="1958633124">
    <w:abstractNumId w:val="6"/>
  </w:num>
  <w:num w:numId="20" w16cid:durableId="1088575779">
    <w:abstractNumId w:val="24"/>
  </w:num>
  <w:num w:numId="21" w16cid:durableId="180167573">
    <w:abstractNumId w:val="2"/>
  </w:num>
  <w:num w:numId="22" w16cid:durableId="2130008265">
    <w:abstractNumId w:val="29"/>
  </w:num>
  <w:num w:numId="23" w16cid:durableId="1310550049">
    <w:abstractNumId w:val="19"/>
  </w:num>
  <w:num w:numId="24" w16cid:durableId="2103447308">
    <w:abstractNumId w:val="12"/>
  </w:num>
  <w:num w:numId="25" w16cid:durableId="2053996037">
    <w:abstractNumId w:val="9"/>
  </w:num>
  <w:num w:numId="26" w16cid:durableId="774903093">
    <w:abstractNumId w:val="5"/>
  </w:num>
  <w:num w:numId="27" w16cid:durableId="1640528185">
    <w:abstractNumId w:val="23"/>
  </w:num>
  <w:num w:numId="28" w16cid:durableId="1152140067">
    <w:abstractNumId w:val="31"/>
  </w:num>
  <w:num w:numId="29" w16cid:durableId="59864623">
    <w:abstractNumId w:val="17"/>
  </w:num>
  <w:num w:numId="30" w16cid:durableId="467170841">
    <w:abstractNumId w:val="14"/>
  </w:num>
  <w:num w:numId="31" w16cid:durableId="1103574419">
    <w:abstractNumId w:val="0"/>
  </w:num>
  <w:num w:numId="32" w16cid:durableId="1359771157">
    <w:abstractNumId w:val="32"/>
  </w:num>
  <w:num w:numId="33" w16cid:durableId="1076244385">
    <w:abstractNumId w:val="27"/>
  </w:num>
  <w:num w:numId="34" w16cid:durableId="252513861">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D4"/>
    <w:rsid w:val="00011084"/>
    <w:rsid w:val="00011106"/>
    <w:rsid w:val="00015BCF"/>
    <w:rsid w:val="00020F7E"/>
    <w:rsid w:val="00024179"/>
    <w:rsid w:val="000307AC"/>
    <w:rsid w:val="00034DDD"/>
    <w:rsid w:val="00045AE7"/>
    <w:rsid w:val="00053260"/>
    <w:rsid w:val="00053A58"/>
    <w:rsid w:val="000563CC"/>
    <w:rsid w:val="0006032E"/>
    <w:rsid w:val="00060B02"/>
    <w:rsid w:val="0006482F"/>
    <w:rsid w:val="00082960"/>
    <w:rsid w:val="000845F6"/>
    <w:rsid w:val="00097F02"/>
    <w:rsid w:val="000B29B9"/>
    <w:rsid w:val="000C5EF0"/>
    <w:rsid w:val="000E62F8"/>
    <w:rsid w:val="001103CD"/>
    <w:rsid w:val="00112864"/>
    <w:rsid w:val="00113D86"/>
    <w:rsid w:val="001148E0"/>
    <w:rsid w:val="00115710"/>
    <w:rsid w:val="00116600"/>
    <w:rsid w:val="00120ECC"/>
    <w:rsid w:val="0012386E"/>
    <w:rsid w:val="001259F0"/>
    <w:rsid w:val="001261D0"/>
    <w:rsid w:val="001347BD"/>
    <w:rsid w:val="00146E3D"/>
    <w:rsid w:val="00153200"/>
    <w:rsid w:val="001538C1"/>
    <w:rsid w:val="0015507C"/>
    <w:rsid w:val="00161685"/>
    <w:rsid w:val="00165773"/>
    <w:rsid w:val="001662A3"/>
    <w:rsid w:val="0016633E"/>
    <w:rsid w:val="00167665"/>
    <w:rsid w:val="00176A91"/>
    <w:rsid w:val="00187BCF"/>
    <w:rsid w:val="0019043F"/>
    <w:rsid w:val="00195D49"/>
    <w:rsid w:val="001A46AB"/>
    <w:rsid w:val="001B1027"/>
    <w:rsid w:val="001B65BA"/>
    <w:rsid w:val="001C3C9B"/>
    <w:rsid w:val="001C7BBC"/>
    <w:rsid w:val="001D2689"/>
    <w:rsid w:val="001D357C"/>
    <w:rsid w:val="001D6386"/>
    <w:rsid w:val="001D64E8"/>
    <w:rsid w:val="001E3DC5"/>
    <w:rsid w:val="001F009B"/>
    <w:rsid w:val="001F6903"/>
    <w:rsid w:val="001F7290"/>
    <w:rsid w:val="00200CB3"/>
    <w:rsid w:val="0020354C"/>
    <w:rsid w:val="002039D7"/>
    <w:rsid w:val="00204C96"/>
    <w:rsid w:val="002258D8"/>
    <w:rsid w:val="00230E42"/>
    <w:rsid w:val="002332A3"/>
    <w:rsid w:val="002416E2"/>
    <w:rsid w:val="00246C37"/>
    <w:rsid w:val="00250838"/>
    <w:rsid w:val="00252C28"/>
    <w:rsid w:val="002536C8"/>
    <w:rsid w:val="00262A55"/>
    <w:rsid w:val="00281836"/>
    <w:rsid w:val="00293FCF"/>
    <w:rsid w:val="002A6354"/>
    <w:rsid w:val="002A7B68"/>
    <w:rsid w:val="002B76C2"/>
    <w:rsid w:val="002C1F11"/>
    <w:rsid w:val="002C3CA3"/>
    <w:rsid w:val="002C6574"/>
    <w:rsid w:val="002D1881"/>
    <w:rsid w:val="002D4401"/>
    <w:rsid w:val="002D5A6A"/>
    <w:rsid w:val="002D6948"/>
    <w:rsid w:val="002E1858"/>
    <w:rsid w:val="002E3518"/>
    <w:rsid w:val="00300577"/>
    <w:rsid w:val="003064C9"/>
    <w:rsid w:val="00311A5F"/>
    <w:rsid w:val="00312921"/>
    <w:rsid w:val="0031498B"/>
    <w:rsid w:val="00314B4A"/>
    <w:rsid w:val="00315940"/>
    <w:rsid w:val="0031665C"/>
    <w:rsid w:val="0032246D"/>
    <w:rsid w:val="00331BED"/>
    <w:rsid w:val="003376F9"/>
    <w:rsid w:val="003531C6"/>
    <w:rsid w:val="00357353"/>
    <w:rsid w:val="003609F7"/>
    <w:rsid w:val="00364244"/>
    <w:rsid w:val="003713FC"/>
    <w:rsid w:val="003716B8"/>
    <w:rsid w:val="00380642"/>
    <w:rsid w:val="00385189"/>
    <w:rsid w:val="003854D3"/>
    <w:rsid w:val="003903D2"/>
    <w:rsid w:val="003A15E0"/>
    <w:rsid w:val="003A5664"/>
    <w:rsid w:val="003A652E"/>
    <w:rsid w:val="003B2AE8"/>
    <w:rsid w:val="003B4C25"/>
    <w:rsid w:val="003C489E"/>
    <w:rsid w:val="003D1ED8"/>
    <w:rsid w:val="003F3065"/>
    <w:rsid w:val="00403901"/>
    <w:rsid w:val="00407B11"/>
    <w:rsid w:val="00416098"/>
    <w:rsid w:val="00416E27"/>
    <w:rsid w:val="00417A51"/>
    <w:rsid w:val="004241AF"/>
    <w:rsid w:val="004279A4"/>
    <w:rsid w:val="004338C3"/>
    <w:rsid w:val="00440F53"/>
    <w:rsid w:val="00444C59"/>
    <w:rsid w:val="004457EE"/>
    <w:rsid w:val="00463386"/>
    <w:rsid w:val="00464470"/>
    <w:rsid w:val="00467607"/>
    <w:rsid w:val="00484217"/>
    <w:rsid w:val="0048459B"/>
    <w:rsid w:val="004A1671"/>
    <w:rsid w:val="004A4AB2"/>
    <w:rsid w:val="004A55C0"/>
    <w:rsid w:val="004C79A2"/>
    <w:rsid w:val="004D0CF1"/>
    <w:rsid w:val="004D1487"/>
    <w:rsid w:val="004E30A9"/>
    <w:rsid w:val="004E5935"/>
    <w:rsid w:val="004F2417"/>
    <w:rsid w:val="004F3045"/>
    <w:rsid w:val="0050153F"/>
    <w:rsid w:val="00504747"/>
    <w:rsid w:val="005074FB"/>
    <w:rsid w:val="00523B88"/>
    <w:rsid w:val="00531F51"/>
    <w:rsid w:val="00554DCE"/>
    <w:rsid w:val="00554F69"/>
    <w:rsid w:val="00567C92"/>
    <w:rsid w:val="00572B04"/>
    <w:rsid w:val="005741EE"/>
    <w:rsid w:val="00576773"/>
    <w:rsid w:val="00586DFC"/>
    <w:rsid w:val="00594665"/>
    <w:rsid w:val="005A0557"/>
    <w:rsid w:val="005C59C6"/>
    <w:rsid w:val="005D141E"/>
    <w:rsid w:val="005D1B29"/>
    <w:rsid w:val="005E70C5"/>
    <w:rsid w:val="005F1805"/>
    <w:rsid w:val="005F6BBA"/>
    <w:rsid w:val="006058D4"/>
    <w:rsid w:val="00606834"/>
    <w:rsid w:val="00617E6E"/>
    <w:rsid w:val="00620DE6"/>
    <w:rsid w:val="00622DAD"/>
    <w:rsid w:val="00624F01"/>
    <w:rsid w:val="00630F3D"/>
    <w:rsid w:val="00636087"/>
    <w:rsid w:val="00646E9B"/>
    <w:rsid w:val="006472D5"/>
    <w:rsid w:val="0064740E"/>
    <w:rsid w:val="00647502"/>
    <w:rsid w:val="0064752C"/>
    <w:rsid w:val="0065238C"/>
    <w:rsid w:val="00653F52"/>
    <w:rsid w:val="00654608"/>
    <w:rsid w:val="006618A8"/>
    <w:rsid w:val="0066634D"/>
    <w:rsid w:val="00683A42"/>
    <w:rsid w:val="00693EEE"/>
    <w:rsid w:val="00694CCC"/>
    <w:rsid w:val="006A2E1E"/>
    <w:rsid w:val="006B0D5F"/>
    <w:rsid w:val="006B6A5A"/>
    <w:rsid w:val="006B7360"/>
    <w:rsid w:val="006C3002"/>
    <w:rsid w:val="006D0599"/>
    <w:rsid w:val="006D0F68"/>
    <w:rsid w:val="006D79A6"/>
    <w:rsid w:val="006E09A7"/>
    <w:rsid w:val="006E2804"/>
    <w:rsid w:val="006E2877"/>
    <w:rsid w:val="006E35CF"/>
    <w:rsid w:val="006E36E9"/>
    <w:rsid w:val="006F4E00"/>
    <w:rsid w:val="00707B89"/>
    <w:rsid w:val="00722252"/>
    <w:rsid w:val="00734B21"/>
    <w:rsid w:val="00753615"/>
    <w:rsid w:val="00754C10"/>
    <w:rsid w:val="00756EC7"/>
    <w:rsid w:val="00760151"/>
    <w:rsid w:val="007619BB"/>
    <w:rsid w:val="00763DD1"/>
    <w:rsid w:val="0076471E"/>
    <w:rsid w:val="00764EA4"/>
    <w:rsid w:val="007779FF"/>
    <w:rsid w:val="00780F76"/>
    <w:rsid w:val="00795D6D"/>
    <w:rsid w:val="00796A94"/>
    <w:rsid w:val="0079780C"/>
    <w:rsid w:val="007A53D8"/>
    <w:rsid w:val="007A7CE7"/>
    <w:rsid w:val="007C08A7"/>
    <w:rsid w:val="007C3774"/>
    <w:rsid w:val="007C75EC"/>
    <w:rsid w:val="007D4DAB"/>
    <w:rsid w:val="008000F1"/>
    <w:rsid w:val="00805D54"/>
    <w:rsid w:val="00815682"/>
    <w:rsid w:val="00817B77"/>
    <w:rsid w:val="00823AA0"/>
    <w:rsid w:val="0082658B"/>
    <w:rsid w:val="008266EF"/>
    <w:rsid w:val="008342B5"/>
    <w:rsid w:val="00836F43"/>
    <w:rsid w:val="00837AC5"/>
    <w:rsid w:val="00843BBD"/>
    <w:rsid w:val="00847B16"/>
    <w:rsid w:val="008522F5"/>
    <w:rsid w:val="008667F7"/>
    <w:rsid w:val="00871B2D"/>
    <w:rsid w:val="00883381"/>
    <w:rsid w:val="008871BF"/>
    <w:rsid w:val="00887ACD"/>
    <w:rsid w:val="008A166E"/>
    <w:rsid w:val="008C0613"/>
    <w:rsid w:val="008D64F3"/>
    <w:rsid w:val="008E781E"/>
    <w:rsid w:val="008E78D8"/>
    <w:rsid w:val="008F4705"/>
    <w:rsid w:val="009008EC"/>
    <w:rsid w:val="0090495F"/>
    <w:rsid w:val="00904E6C"/>
    <w:rsid w:val="00921FE1"/>
    <w:rsid w:val="00932DD8"/>
    <w:rsid w:val="009344FC"/>
    <w:rsid w:val="0093633E"/>
    <w:rsid w:val="00941CA9"/>
    <w:rsid w:val="00942570"/>
    <w:rsid w:val="00950F7D"/>
    <w:rsid w:val="009616C8"/>
    <w:rsid w:val="00963638"/>
    <w:rsid w:val="009638F8"/>
    <w:rsid w:val="00967AFA"/>
    <w:rsid w:val="0097509F"/>
    <w:rsid w:val="009776F2"/>
    <w:rsid w:val="009826A7"/>
    <w:rsid w:val="00992664"/>
    <w:rsid w:val="009926FA"/>
    <w:rsid w:val="009A117E"/>
    <w:rsid w:val="009A67F7"/>
    <w:rsid w:val="009B197A"/>
    <w:rsid w:val="009B3A49"/>
    <w:rsid w:val="009C0CA5"/>
    <w:rsid w:val="009C2BF0"/>
    <w:rsid w:val="009C7900"/>
    <w:rsid w:val="009D0556"/>
    <w:rsid w:val="009D29F9"/>
    <w:rsid w:val="009F16F3"/>
    <w:rsid w:val="00A00070"/>
    <w:rsid w:val="00A03B54"/>
    <w:rsid w:val="00A12024"/>
    <w:rsid w:val="00A13E70"/>
    <w:rsid w:val="00A2464A"/>
    <w:rsid w:val="00A3012C"/>
    <w:rsid w:val="00A34D40"/>
    <w:rsid w:val="00A41DFC"/>
    <w:rsid w:val="00A42D3F"/>
    <w:rsid w:val="00A44C99"/>
    <w:rsid w:val="00A470EA"/>
    <w:rsid w:val="00A553DB"/>
    <w:rsid w:val="00A63CFF"/>
    <w:rsid w:val="00A75542"/>
    <w:rsid w:val="00A76300"/>
    <w:rsid w:val="00A84FF0"/>
    <w:rsid w:val="00A958A5"/>
    <w:rsid w:val="00AA099A"/>
    <w:rsid w:val="00AB2EA4"/>
    <w:rsid w:val="00AC156A"/>
    <w:rsid w:val="00AC6C89"/>
    <w:rsid w:val="00AC7B03"/>
    <w:rsid w:val="00AD0327"/>
    <w:rsid w:val="00AD1651"/>
    <w:rsid w:val="00AD198E"/>
    <w:rsid w:val="00AD2D82"/>
    <w:rsid w:val="00AD30A4"/>
    <w:rsid w:val="00AE0E84"/>
    <w:rsid w:val="00AE2C17"/>
    <w:rsid w:val="00AE3D1F"/>
    <w:rsid w:val="00AE5764"/>
    <w:rsid w:val="00AF4EA9"/>
    <w:rsid w:val="00AF51AC"/>
    <w:rsid w:val="00B001B4"/>
    <w:rsid w:val="00B06126"/>
    <w:rsid w:val="00B10584"/>
    <w:rsid w:val="00B10B4C"/>
    <w:rsid w:val="00B14B47"/>
    <w:rsid w:val="00B305EA"/>
    <w:rsid w:val="00B31B34"/>
    <w:rsid w:val="00B324CF"/>
    <w:rsid w:val="00B41007"/>
    <w:rsid w:val="00B46000"/>
    <w:rsid w:val="00B46EB8"/>
    <w:rsid w:val="00B54399"/>
    <w:rsid w:val="00B57835"/>
    <w:rsid w:val="00B72601"/>
    <w:rsid w:val="00B92216"/>
    <w:rsid w:val="00B9511C"/>
    <w:rsid w:val="00BA107D"/>
    <w:rsid w:val="00BA1337"/>
    <w:rsid w:val="00BA578B"/>
    <w:rsid w:val="00BB295F"/>
    <w:rsid w:val="00BB510A"/>
    <w:rsid w:val="00BB523B"/>
    <w:rsid w:val="00BC4709"/>
    <w:rsid w:val="00BC5A7D"/>
    <w:rsid w:val="00BC6A97"/>
    <w:rsid w:val="00BD44B9"/>
    <w:rsid w:val="00BD4D32"/>
    <w:rsid w:val="00BD57C6"/>
    <w:rsid w:val="00BD69C0"/>
    <w:rsid w:val="00BF6F07"/>
    <w:rsid w:val="00BF7633"/>
    <w:rsid w:val="00C01847"/>
    <w:rsid w:val="00C12226"/>
    <w:rsid w:val="00C145D6"/>
    <w:rsid w:val="00C16EBE"/>
    <w:rsid w:val="00C201ED"/>
    <w:rsid w:val="00C227AD"/>
    <w:rsid w:val="00C36B8E"/>
    <w:rsid w:val="00C438D1"/>
    <w:rsid w:val="00C52000"/>
    <w:rsid w:val="00C56938"/>
    <w:rsid w:val="00C91933"/>
    <w:rsid w:val="00CB143B"/>
    <w:rsid w:val="00CB1511"/>
    <w:rsid w:val="00CB2EBF"/>
    <w:rsid w:val="00CB3A58"/>
    <w:rsid w:val="00CC7FE6"/>
    <w:rsid w:val="00CD12BD"/>
    <w:rsid w:val="00CE0F40"/>
    <w:rsid w:val="00CE2E5C"/>
    <w:rsid w:val="00D067F0"/>
    <w:rsid w:val="00D10B4D"/>
    <w:rsid w:val="00D11DF8"/>
    <w:rsid w:val="00D13508"/>
    <w:rsid w:val="00D2251A"/>
    <w:rsid w:val="00D33C3A"/>
    <w:rsid w:val="00D673C9"/>
    <w:rsid w:val="00D747BF"/>
    <w:rsid w:val="00D74F4A"/>
    <w:rsid w:val="00D762C6"/>
    <w:rsid w:val="00D76A19"/>
    <w:rsid w:val="00D836AE"/>
    <w:rsid w:val="00D85BA9"/>
    <w:rsid w:val="00DA0EF6"/>
    <w:rsid w:val="00DA7A7A"/>
    <w:rsid w:val="00DB010E"/>
    <w:rsid w:val="00DC410C"/>
    <w:rsid w:val="00DC45F7"/>
    <w:rsid w:val="00DC53FF"/>
    <w:rsid w:val="00DD77FF"/>
    <w:rsid w:val="00DE461C"/>
    <w:rsid w:val="00E04C10"/>
    <w:rsid w:val="00E05241"/>
    <w:rsid w:val="00E05A08"/>
    <w:rsid w:val="00E06BB0"/>
    <w:rsid w:val="00E14467"/>
    <w:rsid w:val="00E15C0E"/>
    <w:rsid w:val="00E16633"/>
    <w:rsid w:val="00E17D55"/>
    <w:rsid w:val="00E324DD"/>
    <w:rsid w:val="00E36B7B"/>
    <w:rsid w:val="00E40AF5"/>
    <w:rsid w:val="00E47E5B"/>
    <w:rsid w:val="00E507FE"/>
    <w:rsid w:val="00E51389"/>
    <w:rsid w:val="00E60515"/>
    <w:rsid w:val="00E666DD"/>
    <w:rsid w:val="00E67422"/>
    <w:rsid w:val="00E67B07"/>
    <w:rsid w:val="00E7137F"/>
    <w:rsid w:val="00E80F2C"/>
    <w:rsid w:val="00E857D4"/>
    <w:rsid w:val="00E86714"/>
    <w:rsid w:val="00E91324"/>
    <w:rsid w:val="00E91791"/>
    <w:rsid w:val="00E944F5"/>
    <w:rsid w:val="00E96596"/>
    <w:rsid w:val="00E9697B"/>
    <w:rsid w:val="00EA36B0"/>
    <w:rsid w:val="00EA77FC"/>
    <w:rsid w:val="00EB0791"/>
    <w:rsid w:val="00EB26D0"/>
    <w:rsid w:val="00EC526F"/>
    <w:rsid w:val="00EC6BC5"/>
    <w:rsid w:val="00ED492F"/>
    <w:rsid w:val="00ED7E41"/>
    <w:rsid w:val="00EE30FD"/>
    <w:rsid w:val="00EE41E6"/>
    <w:rsid w:val="00EF04DF"/>
    <w:rsid w:val="00EF1978"/>
    <w:rsid w:val="00F1256E"/>
    <w:rsid w:val="00F31207"/>
    <w:rsid w:val="00F47D9B"/>
    <w:rsid w:val="00F504F2"/>
    <w:rsid w:val="00F53831"/>
    <w:rsid w:val="00F54253"/>
    <w:rsid w:val="00F54804"/>
    <w:rsid w:val="00F60332"/>
    <w:rsid w:val="00F738FD"/>
    <w:rsid w:val="00F833D4"/>
    <w:rsid w:val="00F94460"/>
    <w:rsid w:val="00FB4D8D"/>
    <w:rsid w:val="00FB5D9E"/>
    <w:rsid w:val="00FC0C1A"/>
    <w:rsid w:val="00FD212E"/>
    <w:rsid w:val="00FD2857"/>
    <w:rsid w:val="00FD4321"/>
    <w:rsid w:val="00FD5AC2"/>
    <w:rsid w:val="00FD743F"/>
    <w:rsid w:val="00FE0018"/>
    <w:rsid w:val="00FF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3B5A"/>
  <w15:docId w15:val="{79F20675-9203-496D-924F-D609E7F0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q"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pPr>
      <w:spacing w:before="360" w:after="240"/>
      <w:jc w:val="center"/>
      <w:outlineLvl w:val="0"/>
    </w:pPr>
    <w:rPr>
      <w:b/>
      <w:bCs/>
      <w:sz w:val="28"/>
      <w:szCs w:val="28"/>
    </w:rPr>
  </w:style>
  <w:style w:type="paragraph" w:styleId="Heading2">
    <w:name w:val="heading 2"/>
    <w:link w:val="Heading2Char"/>
    <w:qFormat/>
    <w:pPr>
      <w:spacing w:before="280" w:after="200"/>
      <w:jc w:val="center"/>
      <w:outlineLvl w:val="1"/>
    </w:pPr>
    <w:rPr>
      <w:b/>
      <w:bCs/>
      <w:sz w:val="26"/>
      <w:szCs w:val="26"/>
    </w:rPr>
  </w:style>
  <w:style w:type="paragraph" w:styleId="Heading3">
    <w:name w:val="heading 3"/>
    <w:qFormat/>
    <w:pPr>
      <w:spacing w:before="200" w:after="160"/>
      <w:outlineLvl w:val="2"/>
    </w:pPr>
    <w:rPr>
      <w:b/>
      <w:bCs/>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97F02"/>
    <w:pPr>
      <w:tabs>
        <w:tab w:val="center" w:pos="4680"/>
        <w:tab w:val="right" w:pos="9360"/>
      </w:tabs>
    </w:pPr>
  </w:style>
  <w:style w:type="character" w:customStyle="1" w:styleId="HeaderChar">
    <w:name w:val="Header Char"/>
    <w:basedOn w:val="DefaultParagraphFont"/>
    <w:link w:val="Header"/>
    <w:uiPriority w:val="99"/>
    <w:rsid w:val="00097F02"/>
  </w:style>
  <w:style w:type="paragraph" w:styleId="Footer">
    <w:name w:val="footer"/>
    <w:basedOn w:val="Normal"/>
    <w:link w:val="FooterChar"/>
    <w:uiPriority w:val="99"/>
    <w:unhideWhenUsed/>
    <w:rsid w:val="00097F02"/>
    <w:pPr>
      <w:tabs>
        <w:tab w:val="center" w:pos="4680"/>
        <w:tab w:val="right" w:pos="9360"/>
      </w:tabs>
    </w:pPr>
  </w:style>
  <w:style w:type="character" w:customStyle="1" w:styleId="FooterChar">
    <w:name w:val="Footer Char"/>
    <w:basedOn w:val="DefaultParagraphFont"/>
    <w:link w:val="Footer"/>
    <w:uiPriority w:val="99"/>
    <w:rsid w:val="00097F02"/>
  </w:style>
  <w:style w:type="paragraph" w:styleId="NormalWeb">
    <w:name w:val="Normal (Web)"/>
    <w:basedOn w:val="Normal"/>
    <w:uiPriority w:val="99"/>
    <w:unhideWhenUsed/>
    <w:rsid w:val="001662A3"/>
    <w:pPr>
      <w:spacing w:before="100" w:beforeAutospacing="1" w:after="100" w:afterAutospacing="1"/>
    </w:pPr>
  </w:style>
  <w:style w:type="character" w:styleId="Strong">
    <w:name w:val="Strong"/>
    <w:basedOn w:val="DefaultParagraphFont"/>
    <w:uiPriority w:val="22"/>
    <w:qFormat/>
    <w:rsid w:val="001662A3"/>
    <w:rPr>
      <w:b/>
      <w:bCs/>
    </w:rPr>
  </w:style>
  <w:style w:type="character" w:customStyle="1" w:styleId="Heading2Char">
    <w:name w:val="Heading 2 Char"/>
    <w:basedOn w:val="DefaultParagraphFont"/>
    <w:link w:val="Heading2"/>
    <w:rsid w:val="00AE2C17"/>
    <w:rPr>
      <w:b/>
      <w:bCs/>
      <w:sz w:val="26"/>
      <w:szCs w:val="26"/>
    </w:rPr>
  </w:style>
  <w:style w:type="character" w:styleId="CommentReference">
    <w:name w:val="annotation reference"/>
    <w:basedOn w:val="DefaultParagraphFont"/>
    <w:uiPriority w:val="99"/>
    <w:semiHidden/>
    <w:unhideWhenUsed/>
    <w:rsid w:val="00AC156A"/>
    <w:rPr>
      <w:sz w:val="16"/>
      <w:szCs w:val="16"/>
    </w:rPr>
  </w:style>
  <w:style w:type="paragraph" w:styleId="CommentText">
    <w:name w:val="annotation text"/>
    <w:basedOn w:val="Normal"/>
    <w:link w:val="CommentTextChar"/>
    <w:uiPriority w:val="99"/>
    <w:unhideWhenUsed/>
    <w:rsid w:val="00AC156A"/>
    <w:rPr>
      <w:sz w:val="20"/>
      <w:szCs w:val="20"/>
    </w:rPr>
  </w:style>
  <w:style w:type="character" w:customStyle="1" w:styleId="CommentTextChar">
    <w:name w:val="Comment Text Char"/>
    <w:basedOn w:val="DefaultParagraphFont"/>
    <w:link w:val="CommentText"/>
    <w:uiPriority w:val="99"/>
    <w:rsid w:val="00AC156A"/>
    <w:rPr>
      <w:sz w:val="20"/>
      <w:szCs w:val="20"/>
    </w:rPr>
  </w:style>
  <w:style w:type="paragraph" w:styleId="CommentSubject">
    <w:name w:val="annotation subject"/>
    <w:basedOn w:val="CommentText"/>
    <w:next w:val="CommentText"/>
    <w:link w:val="CommentSubjectChar"/>
    <w:uiPriority w:val="99"/>
    <w:semiHidden/>
    <w:unhideWhenUsed/>
    <w:rsid w:val="00AC156A"/>
    <w:rPr>
      <w:b/>
      <w:bCs/>
    </w:rPr>
  </w:style>
  <w:style w:type="character" w:customStyle="1" w:styleId="CommentSubjectChar">
    <w:name w:val="Comment Subject Char"/>
    <w:basedOn w:val="CommentTextChar"/>
    <w:link w:val="CommentSubject"/>
    <w:uiPriority w:val="99"/>
    <w:semiHidden/>
    <w:rsid w:val="00AC156A"/>
    <w:rPr>
      <w:b/>
      <w:bCs/>
      <w:sz w:val="20"/>
      <w:szCs w:val="20"/>
    </w:rPr>
  </w:style>
  <w:style w:type="paragraph" w:styleId="Revision">
    <w:name w:val="Revision"/>
    <w:hidden/>
    <w:uiPriority w:val="99"/>
    <w:semiHidden/>
    <w:rsid w:val="00AC156A"/>
  </w:style>
  <w:style w:type="paragraph" w:styleId="BalloonText">
    <w:name w:val="Balloon Text"/>
    <w:basedOn w:val="Normal"/>
    <w:link w:val="BalloonTextChar"/>
    <w:uiPriority w:val="99"/>
    <w:semiHidden/>
    <w:unhideWhenUsed/>
    <w:rsid w:val="009344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FC"/>
    <w:rPr>
      <w:rFonts w:ascii="Segoe UI" w:hAnsi="Segoe UI" w:cs="Segoe UI"/>
      <w:sz w:val="18"/>
      <w:szCs w:val="18"/>
    </w:rPr>
  </w:style>
  <w:style w:type="character" w:styleId="Emphasis">
    <w:name w:val="Emphasis"/>
    <w:basedOn w:val="DefaultParagraphFont"/>
    <w:uiPriority w:val="20"/>
    <w:qFormat/>
    <w:rsid w:val="00D74F4A"/>
    <w:rPr>
      <w:i/>
      <w:iCs/>
    </w:rPr>
  </w:style>
  <w:style w:type="character" w:customStyle="1" w:styleId="Heading1Char">
    <w:name w:val="Heading 1 Char"/>
    <w:basedOn w:val="DefaultParagraphFont"/>
    <w:link w:val="Heading1"/>
    <w:rsid w:val="00F504F2"/>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0848">
      <w:bodyDiv w:val="1"/>
      <w:marLeft w:val="0"/>
      <w:marRight w:val="0"/>
      <w:marTop w:val="0"/>
      <w:marBottom w:val="0"/>
      <w:divBdr>
        <w:top w:val="none" w:sz="0" w:space="0" w:color="auto"/>
        <w:left w:val="none" w:sz="0" w:space="0" w:color="auto"/>
        <w:bottom w:val="none" w:sz="0" w:space="0" w:color="auto"/>
        <w:right w:val="none" w:sz="0" w:space="0" w:color="auto"/>
      </w:divBdr>
      <w:divsChild>
        <w:div w:id="479617852">
          <w:marLeft w:val="0"/>
          <w:marRight w:val="0"/>
          <w:marTop w:val="0"/>
          <w:marBottom w:val="0"/>
          <w:divBdr>
            <w:top w:val="none" w:sz="0" w:space="0" w:color="auto"/>
            <w:left w:val="none" w:sz="0" w:space="0" w:color="auto"/>
            <w:bottom w:val="none" w:sz="0" w:space="0" w:color="auto"/>
            <w:right w:val="none" w:sz="0" w:space="0" w:color="auto"/>
          </w:divBdr>
        </w:div>
      </w:divsChild>
    </w:div>
    <w:div w:id="194927034">
      <w:bodyDiv w:val="1"/>
      <w:marLeft w:val="0"/>
      <w:marRight w:val="0"/>
      <w:marTop w:val="0"/>
      <w:marBottom w:val="0"/>
      <w:divBdr>
        <w:top w:val="none" w:sz="0" w:space="0" w:color="auto"/>
        <w:left w:val="none" w:sz="0" w:space="0" w:color="auto"/>
        <w:bottom w:val="none" w:sz="0" w:space="0" w:color="auto"/>
        <w:right w:val="none" w:sz="0" w:space="0" w:color="auto"/>
      </w:divBdr>
      <w:divsChild>
        <w:div w:id="1836068581">
          <w:marLeft w:val="0"/>
          <w:marRight w:val="0"/>
          <w:marTop w:val="0"/>
          <w:marBottom w:val="0"/>
          <w:divBdr>
            <w:top w:val="none" w:sz="0" w:space="0" w:color="auto"/>
            <w:left w:val="none" w:sz="0" w:space="0" w:color="auto"/>
            <w:bottom w:val="none" w:sz="0" w:space="0" w:color="auto"/>
            <w:right w:val="none" w:sz="0" w:space="0" w:color="auto"/>
          </w:divBdr>
        </w:div>
      </w:divsChild>
    </w:div>
    <w:div w:id="202906478">
      <w:bodyDiv w:val="1"/>
      <w:marLeft w:val="0"/>
      <w:marRight w:val="0"/>
      <w:marTop w:val="0"/>
      <w:marBottom w:val="0"/>
      <w:divBdr>
        <w:top w:val="none" w:sz="0" w:space="0" w:color="auto"/>
        <w:left w:val="none" w:sz="0" w:space="0" w:color="auto"/>
        <w:bottom w:val="none" w:sz="0" w:space="0" w:color="auto"/>
        <w:right w:val="none" w:sz="0" w:space="0" w:color="auto"/>
      </w:divBdr>
      <w:divsChild>
        <w:div w:id="1526478118">
          <w:marLeft w:val="0"/>
          <w:marRight w:val="0"/>
          <w:marTop w:val="0"/>
          <w:marBottom w:val="0"/>
          <w:divBdr>
            <w:top w:val="none" w:sz="0" w:space="0" w:color="auto"/>
            <w:left w:val="none" w:sz="0" w:space="0" w:color="auto"/>
            <w:bottom w:val="none" w:sz="0" w:space="0" w:color="auto"/>
            <w:right w:val="none" w:sz="0" w:space="0" w:color="auto"/>
          </w:divBdr>
        </w:div>
      </w:divsChild>
    </w:div>
    <w:div w:id="297300734">
      <w:bodyDiv w:val="1"/>
      <w:marLeft w:val="0"/>
      <w:marRight w:val="0"/>
      <w:marTop w:val="0"/>
      <w:marBottom w:val="0"/>
      <w:divBdr>
        <w:top w:val="none" w:sz="0" w:space="0" w:color="auto"/>
        <w:left w:val="none" w:sz="0" w:space="0" w:color="auto"/>
        <w:bottom w:val="none" w:sz="0" w:space="0" w:color="auto"/>
        <w:right w:val="none" w:sz="0" w:space="0" w:color="auto"/>
      </w:divBdr>
    </w:div>
    <w:div w:id="330983435">
      <w:bodyDiv w:val="1"/>
      <w:marLeft w:val="0"/>
      <w:marRight w:val="0"/>
      <w:marTop w:val="0"/>
      <w:marBottom w:val="0"/>
      <w:divBdr>
        <w:top w:val="none" w:sz="0" w:space="0" w:color="auto"/>
        <w:left w:val="none" w:sz="0" w:space="0" w:color="auto"/>
        <w:bottom w:val="none" w:sz="0" w:space="0" w:color="auto"/>
        <w:right w:val="none" w:sz="0" w:space="0" w:color="auto"/>
      </w:divBdr>
      <w:divsChild>
        <w:div w:id="542719101">
          <w:marLeft w:val="0"/>
          <w:marRight w:val="0"/>
          <w:marTop w:val="0"/>
          <w:marBottom w:val="0"/>
          <w:divBdr>
            <w:top w:val="none" w:sz="0" w:space="0" w:color="auto"/>
            <w:left w:val="none" w:sz="0" w:space="0" w:color="auto"/>
            <w:bottom w:val="none" w:sz="0" w:space="0" w:color="auto"/>
            <w:right w:val="none" w:sz="0" w:space="0" w:color="auto"/>
          </w:divBdr>
        </w:div>
      </w:divsChild>
    </w:div>
    <w:div w:id="368260952">
      <w:bodyDiv w:val="1"/>
      <w:marLeft w:val="0"/>
      <w:marRight w:val="0"/>
      <w:marTop w:val="0"/>
      <w:marBottom w:val="0"/>
      <w:divBdr>
        <w:top w:val="none" w:sz="0" w:space="0" w:color="auto"/>
        <w:left w:val="none" w:sz="0" w:space="0" w:color="auto"/>
        <w:bottom w:val="none" w:sz="0" w:space="0" w:color="auto"/>
        <w:right w:val="none" w:sz="0" w:space="0" w:color="auto"/>
      </w:divBdr>
    </w:div>
    <w:div w:id="397434199">
      <w:bodyDiv w:val="1"/>
      <w:marLeft w:val="0"/>
      <w:marRight w:val="0"/>
      <w:marTop w:val="0"/>
      <w:marBottom w:val="0"/>
      <w:divBdr>
        <w:top w:val="none" w:sz="0" w:space="0" w:color="auto"/>
        <w:left w:val="none" w:sz="0" w:space="0" w:color="auto"/>
        <w:bottom w:val="none" w:sz="0" w:space="0" w:color="auto"/>
        <w:right w:val="none" w:sz="0" w:space="0" w:color="auto"/>
      </w:divBdr>
    </w:div>
    <w:div w:id="435487500">
      <w:bodyDiv w:val="1"/>
      <w:marLeft w:val="0"/>
      <w:marRight w:val="0"/>
      <w:marTop w:val="0"/>
      <w:marBottom w:val="0"/>
      <w:divBdr>
        <w:top w:val="none" w:sz="0" w:space="0" w:color="auto"/>
        <w:left w:val="none" w:sz="0" w:space="0" w:color="auto"/>
        <w:bottom w:val="none" w:sz="0" w:space="0" w:color="auto"/>
        <w:right w:val="none" w:sz="0" w:space="0" w:color="auto"/>
      </w:divBdr>
    </w:div>
    <w:div w:id="440338155">
      <w:bodyDiv w:val="1"/>
      <w:marLeft w:val="0"/>
      <w:marRight w:val="0"/>
      <w:marTop w:val="0"/>
      <w:marBottom w:val="0"/>
      <w:divBdr>
        <w:top w:val="none" w:sz="0" w:space="0" w:color="auto"/>
        <w:left w:val="none" w:sz="0" w:space="0" w:color="auto"/>
        <w:bottom w:val="none" w:sz="0" w:space="0" w:color="auto"/>
        <w:right w:val="none" w:sz="0" w:space="0" w:color="auto"/>
      </w:divBdr>
      <w:divsChild>
        <w:div w:id="1669363991">
          <w:marLeft w:val="0"/>
          <w:marRight w:val="0"/>
          <w:marTop w:val="0"/>
          <w:marBottom w:val="0"/>
          <w:divBdr>
            <w:top w:val="none" w:sz="0" w:space="0" w:color="auto"/>
            <w:left w:val="none" w:sz="0" w:space="0" w:color="auto"/>
            <w:bottom w:val="none" w:sz="0" w:space="0" w:color="auto"/>
            <w:right w:val="none" w:sz="0" w:space="0" w:color="auto"/>
          </w:divBdr>
        </w:div>
      </w:divsChild>
    </w:div>
    <w:div w:id="559101644">
      <w:bodyDiv w:val="1"/>
      <w:marLeft w:val="0"/>
      <w:marRight w:val="0"/>
      <w:marTop w:val="0"/>
      <w:marBottom w:val="0"/>
      <w:divBdr>
        <w:top w:val="none" w:sz="0" w:space="0" w:color="auto"/>
        <w:left w:val="none" w:sz="0" w:space="0" w:color="auto"/>
        <w:bottom w:val="none" w:sz="0" w:space="0" w:color="auto"/>
        <w:right w:val="none" w:sz="0" w:space="0" w:color="auto"/>
      </w:divBdr>
    </w:div>
    <w:div w:id="561596805">
      <w:bodyDiv w:val="1"/>
      <w:marLeft w:val="0"/>
      <w:marRight w:val="0"/>
      <w:marTop w:val="0"/>
      <w:marBottom w:val="0"/>
      <w:divBdr>
        <w:top w:val="none" w:sz="0" w:space="0" w:color="auto"/>
        <w:left w:val="none" w:sz="0" w:space="0" w:color="auto"/>
        <w:bottom w:val="none" w:sz="0" w:space="0" w:color="auto"/>
        <w:right w:val="none" w:sz="0" w:space="0" w:color="auto"/>
      </w:divBdr>
    </w:div>
    <w:div w:id="586962946">
      <w:bodyDiv w:val="1"/>
      <w:marLeft w:val="0"/>
      <w:marRight w:val="0"/>
      <w:marTop w:val="0"/>
      <w:marBottom w:val="0"/>
      <w:divBdr>
        <w:top w:val="none" w:sz="0" w:space="0" w:color="auto"/>
        <w:left w:val="none" w:sz="0" w:space="0" w:color="auto"/>
        <w:bottom w:val="none" w:sz="0" w:space="0" w:color="auto"/>
        <w:right w:val="none" w:sz="0" w:space="0" w:color="auto"/>
      </w:divBdr>
      <w:divsChild>
        <w:div w:id="1035929144">
          <w:marLeft w:val="0"/>
          <w:marRight w:val="0"/>
          <w:marTop w:val="0"/>
          <w:marBottom w:val="0"/>
          <w:divBdr>
            <w:top w:val="none" w:sz="0" w:space="0" w:color="auto"/>
            <w:left w:val="none" w:sz="0" w:space="0" w:color="auto"/>
            <w:bottom w:val="none" w:sz="0" w:space="0" w:color="auto"/>
            <w:right w:val="none" w:sz="0" w:space="0" w:color="auto"/>
          </w:divBdr>
        </w:div>
      </w:divsChild>
    </w:div>
    <w:div w:id="600533823">
      <w:bodyDiv w:val="1"/>
      <w:marLeft w:val="0"/>
      <w:marRight w:val="0"/>
      <w:marTop w:val="0"/>
      <w:marBottom w:val="0"/>
      <w:divBdr>
        <w:top w:val="none" w:sz="0" w:space="0" w:color="auto"/>
        <w:left w:val="none" w:sz="0" w:space="0" w:color="auto"/>
        <w:bottom w:val="none" w:sz="0" w:space="0" w:color="auto"/>
        <w:right w:val="none" w:sz="0" w:space="0" w:color="auto"/>
      </w:divBdr>
    </w:div>
    <w:div w:id="609051398">
      <w:bodyDiv w:val="1"/>
      <w:marLeft w:val="0"/>
      <w:marRight w:val="0"/>
      <w:marTop w:val="0"/>
      <w:marBottom w:val="0"/>
      <w:divBdr>
        <w:top w:val="none" w:sz="0" w:space="0" w:color="auto"/>
        <w:left w:val="none" w:sz="0" w:space="0" w:color="auto"/>
        <w:bottom w:val="none" w:sz="0" w:space="0" w:color="auto"/>
        <w:right w:val="none" w:sz="0" w:space="0" w:color="auto"/>
      </w:divBdr>
      <w:divsChild>
        <w:div w:id="1629780801">
          <w:marLeft w:val="0"/>
          <w:marRight w:val="0"/>
          <w:marTop w:val="0"/>
          <w:marBottom w:val="0"/>
          <w:divBdr>
            <w:top w:val="none" w:sz="0" w:space="0" w:color="auto"/>
            <w:left w:val="none" w:sz="0" w:space="0" w:color="auto"/>
            <w:bottom w:val="none" w:sz="0" w:space="0" w:color="auto"/>
            <w:right w:val="none" w:sz="0" w:space="0" w:color="auto"/>
          </w:divBdr>
        </w:div>
      </w:divsChild>
    </w:div>
    <w:div w:id="611015282">
      <w:bodyDiv w:val="1"/>
      <w:marLeft w:val="0"/>
      <w:marRight w:val="0"/>
      <w:marTop w:val="0"/>
      <w:marBottom w:val="0"/>
      <w:divBdr>
        <w:top w:val="none" w:sz="0" w:space="0" w:color="auto"/>
        <w:left w:val="none" w:sz="0" w:space="0" w:color="auto"/>
        <w:bottom w:val="none" w:sz="0" w:space="0" w:color="auto"/>
        <w:right w:val="none" w:sz="0" w:space="0" w:color="auto"/>
      </w:divBdr>
    </w:div>
    <w:div w:id="612058821">
      <w:bodyDiv w:val="1"/>
      <w:marLeft w:val="0"/>
      <w:marRight w:val="0"/>
      <w:marTop w:val="0"/>
      <w:marBottom w:val="0"/>
      <w:divBdr>
        <w:top w:val="none" w:sz="0" w:space="0" w:color="auto"/>
        <w:left w:val="none" w:sz="0" w:space="0" w:color="auto"/>
        <w:bottom w:val="none" w:sz="0" w:space="0" w:color="auto"/>
        <w:right w:val="none" w:sz="0" w:space="0" w:color="auto"/>
      </w:divBdr>
    </w:div>
    <w:div w:id="620308490">
      <w:bodyDiv w:val="1"/>
      <w:marLeft w:val="0"/>
      <w:marRight w:val="0"/>
      <w:marTop w:val="0"/>
      <w:marBottom w:val="0"/>
      <w:divBdr>
        <w:top w:val="none" w:sz="0" w:space="0" w:color="auto"/>
        <w:left w:val="none" w:sz="0" w:space="0" w:color="auto"/>
        <w:bottom w:val="none" w:sz="0" w:space="0" w:color="auto"/>
        <w:right w:val="none" w:sz="0" w:space="0" w:color="auto"/>
      </w:divBdr>
    </w:div>
    <w:div w:id="643851672">
      <w:bodyDiv w:val="1"/>
      <w:marLeft w:val="0"/>
      <w:marRight w:val="0"/>
      <w:marTop w:val="0"/>
      <w:marBottom w:val="0"/>
      <w:divBdr>
        <w:top w:val="none" w:sz="0" w:space="0" w:color="auto"/>
        <w:left w:val="none" w:sz="0" w:space="0" w:color="auto"/>
        <w:bottom w:val="none" w:sz="0" w:space="0" w:color="auto"/>
        <w:right w:val="none" w:sz="0" w:space="0" w:color="auto"/>
      </w:divBdr>
      <w:divsChild>
        <w:div w:id="2106412978">
          <w:marLeft w:val="0"/>
          <w:marRight w:val="0"/>
          <w:marTop w:val="0"/>
          <w:marBottom w:val="160"/>
          <w:divBdr>
            <w:top w:val="none" w:sz="0" w:space="0" w:color="auto"/>
            <w:left w:val="none" w:sz="0" w:space="0" w:color="auto"/>
            <w:bottom w:val="none" w:sz="0" w:space="0" w:color="auto"/>
            <w:right w:val="none" w:sz="0" w:space="0" w:color="auto"/>
          </w:divBdr>
        </w:div>
        <w:div w:id="1907643556">
          <w:marLeft w:val="0"/>
          <w:marRight w:val="0"/>
          <w:marTop w:val="0"/>
          <w:marBottom w:val="160"/>
          <w:divBdr>
            <w:top w:val="none" w:sz="0" w:space="0" w:color="auto"/>
            <w:left w:val="none" w:sz="0" w:space="0" w:color="auto"/>
            <w:bottom w:val="none" w:sz="0" w:space="0" w:color="auto"/>
            <w:right w:val="none" w:sz="0" w:space="0" w:color="auto"/>
          </w:divBdr>
        </w:div>
      </w:divsChild>
    </w:div>
    <w:div w:id="692925905">
      <w:bodyDiv w:val="1"/>
      <w:marLeft w:val="0"/>
      <w:marRight w:val="0"/>
      <w:marTop w:val="0"/>
      <w:marBottom w:val="0"/>
      <w:divBdr>
        <w:top w:val="none" w:sz="0" w:space="0" w:color="auto"/>
        <w:left w:val="none" w:sz="0" w:space="0" w:color="auto"/>
        <w:bottom w:val="none" w:sz="0" w:space="0" w:color="auto"/>
        <w:right w:val="none" w:sz="0" w:space="0" w:color="auto"/>
      </w:divBdr>
      <w:divsChild>
        <w:div w:id="316806401">
          <w:marLeft w:val="0"/>
          <w:marRight w:val="0"/>
          <w:marTop w:val="0"/>
          <w:marBottom w:val="160"/>
          <w:divBdr>
            <w:top w:val="none" w:sz="0" w:space="0" w:color="auto"/>
            <w:left w:val="none" w:sz="0" w:space="0" w:color="auto"/>
            <w:bottom w:val="none" w:sz="0" w:space="0" w:color="auto"/>
            <w:right w:val="none" w:sz="0" w:space="0" w:color="auto"/>
          </w:divBdr>
        </w:div>
        <w:div w:id="1347243304">
          <w:marLeft w:val="0"/>
          <w:marRight w:val="0"/>
          <w:marTop w:val="0"/>
          <w:marBottom w:val="160"/>
          <w:divBdr>
            <w:top w:val="none" w:sz="0" w:space="0" w:color="auto"/>
            <w:left w:val="none" w:sz="0" w:space="0" w:color="auto"/>
            <w:bottom w:val="none" w:sz="0" w:space="0" w:color="auto"/>
            <w:right w:val="none" w:sz="0" w:space="0" w:color="auto"/>
          </w:divBdr>
        </w:div>
      </w:divsChild>
    </w:div>
    <w:div w:id="750735478">
      <w:bodyDiv w:val="1"/>
      <w:marLeft w:val="0"/>
      <w:marRight w:val="0"/>
      <w:marTop w:val="0"/>
      <w:marBottom w:val="0"/>
      <w:divBdr>
        <w:top w:val="none" w:sz="0" w:space="0" w:color="auto"/>
        <w:left w:val="none" w:sz="0" w:space="0" w:color="auto"/>
        <w:bottom w:val="none" w:sz="0" w:space="0" w:color="auto"/>
        <w:right w:val="none" w:sz="0" w:space="0" w:color="auto"/>
      </w:divBdr>
    </w:div>
    <w:div w:id="935333831">
      <w:bodyDiv w:val="1"/>
      <w:marLeft w:val="0"/>
      <w:marRight w:val="0"/>
      <w:marTop w:val="0"/>
      <w:marBottom w:val="0"/>
      <w:divBdr>
        <w:top w:val="none" w:sz="0" w:space="0" w:color="auto"/>
        <w:left w:val="none" w:sz="0" w:space="0" w:color="auto"/>
        <w:bottom w:val="none" w:sz="0" w:space="0" w:color="auto"/>
        <w:right w:val="none" w:sz="0" w:space="0" w:color="auto"/>
      </w:divBdr>
      <w:divsChild>
        <w:div w:id="140972708">
          <w:marLeft w:val="0"/>
          <w:marRight w:val="0"/>
          <w:marTop w:val="0"/>
          <w:marBottom w:val="0"/>
          <w:divBdr>
            <w:top w:val="none" w:sz="0" w:space="0" w:color="auto"/>
            <w:left w:val="none" w:sz="0" w:space="0" w:color="auto"/>
            <w:bottom w:val="none" w:sz="0" w:space="0" w:color="auto"/>
            <w:right w:val="none" w:sz="0" w:space="0" w:color="auto"/>
          </w:divBdr>
        </w:div>
      </w:divsChild>
    </w:div>
    <w:div w:id="974288421">
      <w:bodyDiv w:val="1"/>
      <w:marLeft w:val="0"/>
      <w:marRight w:val="0"/>
      <w:marTop w:val="0"/>
      <w:marBottom w:val="0"/>
      <w:divBdr>
        <w:top w:val="none" w:sz="0" w:space="0" w:color="auto"/>
        <w:left w:val="none" w:sz="0" w:space="0" w:color="auto"/>
        <w:bottom w:val="none" w:sz="0" w:space="0" w:color="auto"/>
        <w:right w:val="none" w:sz="0" w:space="0" w:color="auto"/>
      </w:divBdr>
      <w:divsChild>
        <w:div w:id="674041658">
          <w:marLeft w:val="0"/>
          <w:marRight w:val="0"/>
          <w:marTop w:val="0"/>
          <w:marBottom w:val="0"/>
          <w:divBdr>
            <w:top w:val="none" w:sz="0" w:space="0" w:color="auto"/>
            <w:left w:val="none" w:sz="0" w:space="0" w:color="auto"/>
            <w:bottom w:val="none" w:sz="0" w:space="0" w:color="auto"/>
            <w:right w:val="none" w:sz="0" w:space="0" w:color="auto"/>
          </w:divBdr>
        </w:div>
      </w:divsChild>
    </w:div>
    <w:div w:id="1025712319">
      <w:bodyDiv w:val="1"/>
      <w:marLeft w:val="0"/>
      <w:marRight w:val="0"/>
      <w:marTop w:val="0"/>
      <w:marBottom w:val="0"/>
      <w:divBdr>
        <w:top w:val="none" w:sz="0" w:space="0" w:color="auto"/>
        <w:left w:val="none" w:sz="0" w:space="0" w:color="auto"/>
        <w:bottom w:val="none" w:sz="0" w:space="0" w:color="auto"/>
        <w:right w:val="none" w:sz="0" w:space="0" w:color="auto"/>
      </w:divBdr>
      <w:divsChild>
        <w:div w:id="1134442164">
          <w:marLeft w:val="0"/>
          <w:marRight w:val="0"/>
          <w:marTop w:val="0"/>
          <w:marBottom w:val="0"/>
          <w:divBdr>
            <w:top w:val="none" w:sz="0" w:space="0" w:color="auto"/>
            <w:left w:val="none" w:sz="0" w:space="0" w:color="auto"/>
            <w:bottom w:val="none" w:sz="0" w:space="0" w:color="auto"/>
            <w:right w:val="none" w:sz="0" w:space="0" w:color="auto"/>
          </w:divBdr>
        </w:div>
      </w:divsChild>
    </w:div>
    <w:div w:id="1046756463">
      <w:bodyDiv w:val="1"/>
      <w:marLeft w:val="0"/>
      <w:marRight w:val="0"/>
      <w:marTop w:val="0"/>
      <w:marBottom w:val="0"/>
      <w:divBdr>
        <w:top w:val="none" w:sz="0" w:space="0" w:color="auto"/>
        <w:left w:val="none" w:sz="0" w:space="0" w:color="auto"/>
        <w:bottom w:val="none" w:sz="0" w:space="0" w:color="auto"/>
        <w:right w:val="none" w:sz="0" w:space="0" w:color="auto"/>
      </w:divBdr>
    </w:div>
    <w:div w:id="1062823970">
      <w:bodyDiv w:val="1"/>
      <w:marLeft w:val="0"/>
      <w:marRight w:val="0"/>
      <w:marTop w:val="0"/>
      <w:marBottom w:val="0"/>
      <w:divBdr>
        <w:top w:val="none" w:sz="0" w:space="0" w:color="auto"/>
        <w:left w:val="none" w:sz="0" w:space="0" w:color="auto"/>
        <w:bottom w:val="none" w:sz="0" w:space="0" w:color="auto"/>
        <w:right w:val="none" w:sz="0" w:space="0" w:color="auto"/>
      </w:divBdr>
    </w:div>
    <w:div w:id="1094588497">
      <w:bodyDiv w:val="1"/>
      <w:marLeft w:val="0"/>
      <w:marRight w:val="0"/>
      <w:marTop w:val="0"/>
      <w:marBottom w:val="0"/>
      <w:divBdr>
        <w:top w:val="none" w:sz="0" w:space="0" w:color="auto"/>
        <w:left w:val="none" w:sz="0" w:space="0" w:color="auto"/>
        <w:bottom w:val="none" w:sz="0" w:space="0" w:color="auto"/>
        <w:right w:val="none" w:sz="0" w:space="0" w:color="auto"/>
      </w:divBdr>
    </w:div>
    <w:div w:id="1439180842">
      <w:bodyDiv w:val="1"/>
      <w:marLeft w:val="0"/>
      <w:marRight w:val="0"/>
      <w:marTop w:val="0"/>
      <w:marBottom w:val="0"/>
      <w:divBdr>
        <w:top w:val="none" w:sz="0" w:space="0" w:color="auto"/>
        <w:left w:val="none" w:sz="0" w:space="0" w:color="auto"/>
        <w:bottom w:val="none" w:sz="0" w:space="0" w:color="auto"/>
        <w:right w:val="none" w:sz="0" w:space="0" w:color="auto"/>
      </w:divBdr>
    </w:div>
    <w:div w:id="1635715885">
      <w:bodyDiv w:val="1"/>
      <w:marLeft w:val="0"/>
      <w:marRight w:val="0"/>
      <w:marTop w:val="0"/>
      <w:marBottom w:val="0"/>
      <w:divBdr>
        <w:top w:val="none" w:sz="0" w:space="0" w:color="auto"/>
        <w:left w:val="none" w:sz="0" w:space="0" w:color="auto"/>
        <w:bottom w:val="none" w:sz="0" w:space="0" w:color="auto"/>
        <w:right w:val="none" w:sz="0" w:space="0" w:color="auto"/>
      </w:divBdr>
      <w:divsChild>
        <w:div w:id="1880968263">
          <w:marLeft w:val="0"/>
          <w:marRight w:val="0"/>
          <w:marTop w:val="0"/>
          <w:marBottom w:val="0"/>
          <w:divBdr>
            <w:top w:val="none" w:sz="0" w:space="0" w:color="auto"/>
            <w:left w:val="none" w:sz="0" w:space="0" w:color="auto"/>
            <w:bottom w:val="none" w:sz="0" w:space="0" w:color="auto"/>
            <w:right w:val="none" w:sz="0" w:space="0" w:color="auto"/>
          </w:divBdr>
        </w:div>
      </w:divsChild>
    </w:div>
    <w:div w:id="1688170515">
      <w:bodyDiv w:val="1"/>
      <w:marLeft w:val="0"/>
      <w:marRight w:val="0"/>
      <w:marTop w:val="0"/>
      <w:marBottom w:val="0"/>
      <w:divBdr>
        <w:top w:val="none" w:sz="0" w:space="0" w:color="auto"/>
        <w:left w:val="none" w:sz="0" w:space="0" w:color="auto"/>
        <w:bottom w:val="none" w:sz="0" w:space="0" w:color="auto"/>
        <w:right w:val="none" w:sz="0" w:space="0" w:color="auto"/>
      </w:divBdr>
      <w:divsChild>
        <w:div w:id="936641729">
          <w:marLeft w:val="0"/>
          <w:marRight w:val="0"/>
          <w:marTop w:val="0"/>
          <w:marBottom w:val="0"/>
          <w:divBdr>
            <w:top w:val="none" w:sz="0" w:space="0" w:color="auto"/>
            <w:left w:val="none" w:sz="0" w:space="0" w:color="auto"/>
            <w:bottom w:val="none" w:sz="0" w:space="0" w:color="auto"/>
            <w:right w:val="none" w:sz="0" w:space="0" w:color="auto"/>
          </w:divBdr>
        </w:div>
      </w:divsChild>
    </w:div>
    <w:div w:id="1788814669">
      <w:bodyDiv w:val="1"/>
      <w:marLeft w:val="0"/>
      <w:marRight w:val="0"/>
      <w:marTop w:val="0"/>
      <w:marBottom w:val="0"/>
      <w:divBdr>
        <w:top w:val="none" w:sz="0" w:space="0" w:color="auto"/>
        <w:left w:val="none" w:sz="0" w:space="0" w:color="auto"/>
        <w:bottom w:val="none" w:sz="0" w:space="0" w:color="auto"/>
        <w:right w:val="none" w:sz="0" w:space="0" w:color="auto"/>
      </w:divBdr>
      <w:divsChild>
        <w:div w:id="1806191397">
          <w:marLeft w:val="0"/>
          <w:marRight w:val="0"/>
          <w:marTop w:val="0"/>
          <w:marBottom w:val="0"/>
          <w:divBdr>
            <w:top w:val="none" w:sz="0" w:space="0" w:color="auto"/>
            <w:left w:val="none" w:sz="0" w:space="0" w:color="auto"/>
            <w:bottom w:val="none" w:sz="0" w:space="0" w:color="auto"/>
            <w:right w:val="none" w:sz="0" w:space="0" w:color="auto"/>
          </w:divBdr>
        </w:div>
      </w:divsChild>
    </w:div>
    <w:div w:id="1836844234">
      <w:bodyDiv w:val="1"/>
      <w:marLeft w:val="0"/>
      <w:marRight w:val="0"/>
      <w:marTop w:val="0"/>
      <w:marBottom w:val="0"/>
      <w:divBdr>
        <w:top w:val="none" w:sz="0" w:space="0" w:color="auto"/>
        <w:left w:val="none" w:sz="0" w:space="0" w:color="auto"/>
        <w:bottom w:val="none" w:sz="0" w:space="0" w:color="auto"/>
        <w:right w:val="none" w:sz="0" w:space="0" w:color="auto"/>
      </w:divBdr>
    </w:div>
    <w:div w:id="1859929616">
      <w:bodyDiv w:val="1"/>
      <w:marLeft w:val="0"/>
      <w:marRight w:val="0"/>
      <w:marTop w:val="0"/>
      <w:marBottom w:val="0"/>
      <w:divBdr>
        <w:top w:val="none" w:sz="0" w:space="0" w:color="auto"/>
        <w:left w:val="none" w:sz="0" w:space="0" w:color="auto"/>
        <w:bottom w:val="none" w:sz="0" w:space="0" w:color="auto"/>
        <w:right w:val="none" w:sz="0" w:space="0" w:color="auto"/>
      </w:divBdr>
    </w:div>
    <w:div w:id="2071078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3" ma:contentTypeDescription="Create a new document." ma:contentTypeScope="" ma:versionID="c3d19ebebc2992bab255171358259a31">
  <xsd:schema xmlns:xsd="http://www.w3.org/2001/XMLSchema" xmlns:xs="http://www.w3.org/2001/XMLSchema" xmlns:p="http://schemas.microsoft.com/office/2006/metadata/properties" xmlns:ns3="240d9007-a1fb-482a-96da-a02b62c04690" targetNamespace="http://schemas.microsoft.com/office/2006/metadata/properties" ma:root="true" ma:fieldsID="f539a5008bc6e821f4d34d4f9d77e990" ns3:_="">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_activity"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8ECF1-ADC2-438E-9A48-013B8ABA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F6402-677A-42B9-87A2-3428A22933F1}">
  <ds:schemaRefs>
    <ds:schemaRef ds:uri="http://schemas.microsoft.com/sharepoint/v3/contenttype/forms"/>
  </ds:schemaRefs>
</ds:datastoreItem>
</file>

<file path=customXml/itemProps3.xml><?xml version="1.0" encoding="utf-8"?>
<ds:datastoreItem xmlns:ds="http://schemas.openxmlformats.org/officeDocument/2006/customXml" ds:itemID="{92E8B6B7-7302-40F0-B072-17FAA3EEA0DB}">
  <ds:schemaRefs>
    <ds:schemaRef ds:uri="http://schemas.microsoft.com/office/2006/metadata/properties"/>
    <ds:schemaRef ds:uri="http://schemas.microsoft.com/office/infopath/2007/PartnerControls"/>
    <ds:schemaRef ds:uri="240d9007-a1fb-482a-96da-a02b62c04690"/>
  </ds:schemaRefs>
</ds:datastoreItem>
</file>

<file path=customXml/itemProps4.xml><?xml version="1.0" encoding="utf-8"?>
<ds:datastoreItem xmlns:ds="http://schemas.openxmlformats.org/officeDocument/2006/customXml" ds:itemID="{7C8D634F-6A05-4A72-92A9-C1BCECE55486}">
  <ds:schemaRefs>
    <ds:schemaRef ds:uri="http://schemas.openxmlformats.org/officeDocument/2006/bibliography"/>
  </ds:schemaRefs>
</ds:datastoreItem>
</file>

<file path=docMetadata/LabelInfo.xml><?xml version="1.0" encoding="utf-8"?>
<clbl:labelList xmlns:clbl="http://schemas.microsoft.com/office/2020/mipLabelMetadata">
  <clbl:label id="{084c6442-ec61-438b-a3a7-7cc4421cbf0f}" enabled="1" method="Standard" siteId="{4cfa3947-0301-459b-ac3c-e75051e34764}" contentBits="0" removed="0"/>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15</Pages>
  <Words>4363</Words>
  <Characters>24871</Characters>
  <Application>Microsoft Office Word</Application>
  <DocSecurity>0</DocSecurity>
  <Lines>207</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Author</cp:lastModifiedBy>
  <cp:revision>31</cp:revision>
  <cp:lastPrinted>2026-06-12T14:51:00Z</cp:lastPrinted>
  <dcterms:created xsi:type="dcterms:W3CDTF">2026-06-23T07:47:00Z</dcterms:created>
  <dcterms:modified xsi:type="dcterms:W3CDTF">2026-06-23T12:46:00Z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