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4D02BC31" w:rsidR="00922FEB" w:rsidRPr="00036F88" w:rsidRDefault="004933C1" w:rsidP="002C4E0D">
      <w:pPr>
        <w:pStyle w:val="BodyText"/>
        <w:jc w:val="center"/>
        <w:rPr>
          <w:rFonts w:ascii="Times New Roman" w:hAnsi="Times New Roman" w:cs="Times New Roman"/>
          <w:sz w:val="18"/>
          <w:szCs w:val="18"/>
          <w:lang w:val="en-US"/>
        </w:rPr>
      </w:pPr>
      <w:r>
        <w:rPr>
          <w:rFonts w:ascii="Times New Roman" w:hAnsi="Times New Roman" w:cs="Times New Roman"/>
          <w:sz w:val="18"/>
          <w:szCs w:val="18"/>
          <w:lang w:val="en-US"/>
        </w:rPr>
        <w:t>TABELA E TRANSPONZIMIT</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5310"/>
        <w:gridCol w:w="540"/>
        <w:gridCol w:w="630"/>
        <w:gridCol w:w="4950"/>
        <w:gridCol w:w="720"/>
        <w:gridCol w:w="3420"/>
      </w:tblGrid>
      <w:tr w:rsidR="00260632" w:rsidRPr="00036F88" w14:paraId="61092F5B" w14:textId="77777777" w:rsidTr="002C4E0D">
        <w:trPr>
          <w:tblHeader/>
        </w:trPr>
        <w:tc>
          <w:tcPr>
            <w:tcW w:w="5940" w:type="dxa"/>
            <w:gridSpan w:val="2"/>
          </w:tcPr>
          <w:p w14:paraId="2D7B522E" w14:textId="77777777" w:rsidR="008A066A" w:rsidRDefault="008A066A" w:rsidP="002C4E0D">
            <w:pPr>
              <w:pStyle w:val="ListParagraph"/>
              <w:pBdr>
                <w:top w:val="nil"/>
                <w:left w:val="nil"/>
                <w:bottom w:val="nil"/>
                <w:right w:val="nil"/>
                <w:between w:val="nil"/>
              </w:pBdr>
              <w:spacing w:before="120" w:after="0" w:line="240" w:lineRule="auto"/>
              <w:jc w:val="both"/>
              <w:rPr>
                <w:rFonts w:ascii="Times New Roman" w:hAnsi="Times New Roman" w:cs="Times New Roman"/>
                <w:color w:val="333333"/>
                <w:sz w:val="18"/>
                <w:szCs w:val="18"/>
                <w:shd w:val="clear" w:color="auto" w:fill="FFFFFF"/>
              </w:rPr>
            </w:pPr>
          </w:p>
          <w:p w14:paraId="79E91B5F" w14:textId="5294B1F1" w:rsidR="00E01344" w:rsidRPr="002C4E0D" w:rsidRDefault="00E01344" w:rsidP="002C4E0D">
            <w:pPr>
              <w:pStyle w:val="ListParagraph"/>
              <w:pBdr>
                <w:top w:val="nil"/>
                <w:left w:val="nil"/>
                <w:bottom w:val="nil"/>
                <w:right w:val="nil"/>
                <w:between w:val="nil"/>
              </w:pBdr>
              <w:spacing w:before="120" w:after="0" w:line="240" w:lineRule="auto"/>
              <w:jc w:val="both"/>
              <w:rPr>
                <w:rFonts w:ascii="Times New Roman" w:eastAsia="Calibri" w:hAnsi="Times New Roman" w:cs="Times New Roman"/>
                <w:sz w:val="18"/>
                <w:szCs w:val="18"/>
              </w:rPr>
            </w:pPr>
            <w:r w:rsidRPr="00196F64">
              <w:rPr>
                <w:rFonts w:ascii="Times New Roman" w:hAnsi="Times New Roman" w:cs="Times New Roman"/>
                <w:color w:val="333333"/>
                <w:sz w:val="18"/>
                <w:szCs w:val="18"/>
                <w:shd w:val="clear" w:color="auto" w:fill="FFFFFF"/>
              </w:rPr>
              <w:t>Legjislacioni i Bashkimit Evropian:</w:t>
            </w:r>
          </w:p>
          <w:p w14:paraId="77B49BA0" w14:textId="77777777" w:rsidR="00E01344" w:rsidRDefault="00E01344" w:rsidP="00E01344">
            <w:pPr>
              <w:pStyle w:val="ListParagraph"/>
              <w:pBdr>
                <w:top w:val="nil"/>
                <w:left w:val="nil"/>
                <w:bottom w:val="nil"/>
                <w:right w:val="nil"/>
                <w:between w:val="nil"/>
              </w:pBdr>
              <w:spacing w:before="120" w:after="0" w:line="240" w:lineRule="auto"/>
              <w:jc w:val="both"/>
              <w:rPr>
                <w:rFonts w:ascii="Times New Roman" w:hAnsi="Times New Roman" w:cs="Times New Roman"/>
                <w:color w:val="333333"/>
                <w:sz w:val="18"/>
                <w:szCs w:val="18"/>
                <w:shd w:val="clear" w:color="auto" w:fill="FFFFFF"/>
              </w:rPr>
            </w:pPr>
          </w:p>
          <w:p w14:paraId="7595DA82" w14:textId="11396B87" w:rsidR="009D0B38" w:rsidRPr="002C4E0D" w:rsidRDefault="00EF0022" w:rsidP="002C4E0D">
            <w:pPr>
              <w:pStyle w:val="ListParagraph"/>
              <w:pBdr>
                <w:top w:val="nil"/>
                <w:left w:val="nil"/>
                <w:bottom w:val="nil"/>
                <w:right w:val="nil"/>
                <w:between w:val="nil"/>
              </w:pBdr>
              <w:spacing w:before="120"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D</w:t>
            </w:r>
            <w:r w:rsidRPr="00EF0022">
              <w:rPr>
                <w:rFonts w:ascii="Times New Roman" w:eastAsia="Calibri" w:hAnsi="Times New Roman" w:cs="Times New Roman"/>
                <w:sz w:val="18"/>
                <w:szCs w:val="18"/>
              </w:rPr>
              <w:t xml:space="preserve">irektiva e </w:t>
            </w:r>
            <w:r>
              <w:rPr>
                <w:rFonts w:ascii="Times New Roman" w:eastAsia="Calibri" w:hAnsi="Times New Roman" w:cs="Times New Roman"/>
                <w:sz w:val="18"/>
                <w:szCs w:val="18"/>
              </w:rPr>
              <w:t>K</w:t>
            </w:r>
            <w:r w:rsidRPr="00EF0022">
              <w:rPr>
                <w:rFonts w:ascii="Times New Roman" w:eastAsia="Calibri" w:hAnsi="Times New Roman" w:cs="Times New Roman"/>
                <w:sz w:val="18"/>
                <w:szCs w:val="18"/>
              </w:rPr>
              <w:t>ëshillit</w:t>
            </w:r>
            <w:r w:rsidR="00D84EF8" w:rsidRPr="002C4E0D">
              <w:rPr>
                <w:rFonts w:ascii="Times New Roman" w:eastAsia="Calibri" w:hAnsi="Times New Roman" w:cs="Times New Roman"/>
                <w:sz w:val="18"/>
                <w:szCs w:val="18"/>
              </w:rPr>
              <w:t xml:space="preserve"> (BE) 2018/822 e 25 majit 2018 që ndryshon Direktivën 2011/16/BE në lidhje me shkëmbimin automatik të detyrueshëm të informacionit në fushën e taksimit në lidhje me marrëveshjet ndërkufitare të raportueshme</w:t>
            </w:r>
          </w:p>
        </w:tc>
        <w:tc>
          <w:tcPr>
            <w:tcW w:w="10260" w:type="dxa"/>
            <w:gridSpan w:val="5"/>
            <w:vAlign w:val="center"/>
          </w:tcPr>
          <w:p w14:paraId="6A4E9CCA" w14:textId="77777777" w:rsidR="00EF0022" w:rsidRPr="004F0CC3" w:rsidRDefault="00EF0022" w:rsidP="00036F88">
            <w:pPr>
              <w:jc w:val="both"/>
              <w:rPr>
                <w:rFonts w:ascii="Times New Roman" w:eastAsia="Calibri" w:hAnsi="Times New Roman" w:cs="Times New Roman"/>
                <w:sz w:val="24"/>
                <w:szCs w:val="24"/>
                <w:lang w:val="en-US"/>
              </w:rPr>
            </w:pPr>
          </w:p>
          <w:p w14:paraId="10ECADF5" w14:textId="7C30AA55" w:rsidR="00922FEB" w:rsidRDefault="00922FEB" w:rsidP="00036F88">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Legjislacioni shqiptar</w:t>
            </w:r>
            <w:r w:rsidR="00F55A38">
              <w:rPr>
                <w:rFonts w:ascii="Times New Roman" w:eastAsia="Calibri" w:hAnsi="Times New Roman" w:cs="Times New Roman"/>
                <w:sz w:val="18"/>
                <w:szCs w:val="18"/>
                <w:lang w:val="en-US"/>
              </w:rPr>
              <w:t xml:space="preserve"> i propozuar</w:t>
            </w:r>
            <w:r w:rsidRPr="00036F88">
              <w:rPr>
                <w:rFonts w:ascii="Times New Roman" w:eastAsia="Calibri" w:hAnsi="Times New Roman" w:cs="Times New Roman"/>
                <w:sz w:val="18"/>
                <w:szCs w:val="18"/>
                <w:lang w:val="en-US"/>
              </w:rPr>
              <w:t>:</w:t>
            </w:r>
          </w:p>
          <w:p w14:paraId="7ACAF46C" w14:textId="77777777" w:rsidR="00462F38" w:rsidRPr="00036F88" w:rsidRDefault="00462F38" w:rsidP="00036F88">
            <w:pPr>
              <w:jc w:val="both"/>
              <w:rPr>
                <w:rFonts w:ascii="Times New Roman" w:eastAsia="Calibri" w:hAnsi="Times New Roman" w:cs="Times New Roman"/>
                <w:sz w:val="18"/>
                <w:szCs w:val="18"/>
                <w:lang w:val="en-US"/>
              </w:rPr>
            </w:pPr>
          </w:p>
          <w:p w14:paraId="0899A6A6" w14:textId="17994356" w:rsidR="00D84EF8" w:rsidRPr="002C4E0D" w:rsidRDefault="00E01344" w:rsidP="002C4E0D">
            <w:pPr>
              <w:jc w:val="both"/>
              <w:rPr>
                <w:rFonts w:ascii="Times New Roman" w:hAnsi="Times New Roman" w:cs="Times New Roman"/>
                <w:sz w:val="20"/>
                <w:szCs w:val="24"/>
              </w:rPr>
            </w:pPr>
            <w:r>
              <w:rPr>
                <w:rFonts w:ascii="Times New Roman" w:eastAsia="Calibri" w:hAnsi="Times New Roman" w:cs="Times New Roman"/>
                <w:sz w:val="18"/>
                <w:szCs w:val="18"/>
              </w:rPr>
              <w:t xml:space="preserve">1. </w:t>
            </w:r>
            <w:r w:rsidR="00D84EF8" w:rsidRPr="002C4E0D">
              <w:rPr>
                <w:rFonts w:ascii="Times New Roman" w:eastAsia="Calibri" w:hAnsi="Times New Roman" w:cs="Times New Roman"/>
                <w:kern w:val="2"/>
                <w:sz w:val="18"/>
                <w:szCs w:val="18"/>
                <w14:ligatures w14:val="standardContextual"/>
              </w:rPr>
              <w:t xml:space="preserve">Ligji </w:t>
            </w:r>
            <w:r w:rsidR="0042075D">
              <w:rPr>
                <w:rFonts w:ascii="Times New Roman" w:hAnsi="Times New Roman" w:cs="Times New Roman"/>
                <w:kern w:val="2"/>
                <w:sz w:val="20"/>
                <w:szCs w:val="24"/>
                <w14:ligatures w14:val="standardContextual"/>
              </w:rPr>
              <w:t>“</w:t>
            </w:r>
            <w:r w:rsidR="0013523E" w:rsidRPr="002C4E0D">
              <w:rPr>
                <w:rFonts w:ascii="Times New Roman" w:hAnsi="Times New Roman" w:cs="Times New Roman"/>
                <w:kern w:val="2"/>
                <w:sz w:val="20"/>
                <w:szCs w:val="24"/>
                <w14:ligatures w14:val="standardContextual"/>
              </w:rPr>
              <w:t>Për  raportimin dhe shkëmbimin automatik të informacionit mbi mekanizmat ndërkufitare në fushën e tatimeve</w:t>
            </w:r>
            <w:r w:rsidR="0042075D">
              <w:rPr>
                <w:rFonts w:ascii="Times New Roman" w:hAnsi="Times New Roman" w:cs="Times New Roman"/>
                <w:kern w:val="2"/>
                <w:sz w:val="20"/>
                <w:szCs w:val="24"/>
                <w14:ligatures w14:val="standardContextual"/>
              </w:rPr>
              <w:t>”</w:t>
            </w:r>
          </w:p>
          <w:p w14:paraId="4146FDBC" w14:textId="77777777" w:rsidR="00053BD3" w:rsidRDefault="00053BD3" w:rsidP="00D84EF8">
            <w:pPr>
              <w:jc w:val="both"/>
              <w:rPr>
                <w:rFonts w:ascii="Times New Roman" w:hAnsi="Times New Roman" w:cs="Times New Roman"/>
                <w:sz w:val="18"/>
                <w:szCs w:val="18"/>
              </w:rPr>
            </w:pPr>
          </w:p>
          <w:p w14:paraId="7F2EE8CB" w14:textId="77777777" w:rsidR="00EF0022" w:rsidRPr="002C4E0D" w:rsidRDefault="00EF0022" w:rsidP="002C4E0D">
            <w:pPr>
              <w:jc w:val="both"/>
              <w:rPr>
                <w:rFonts w:ascii="Times New Roman" w:hAnsi="Times New Roman" w:cs="Times New Roman"/>
                <w:sz w:val="18"/>
                <w:szCs w:val="18"/>
              </w:rPr>
            </w:pPr>
            <w:r w:rsidRPr="002C4E0D">
              <w:rPr>
                <w:rFonts w:ascii="Times New Roman" w:hAnsi="Times New Roman" w:cs="Times New Roman"/>
                <w:kern w:val="2"/>
                <w:sz w:val="18"/>
                <w:szCs w:val="18"/>
                <w14:ligatures w14:val="standardContextual"/>
              </w:rPr>
              <w:t>F - Përputhshmëri e plotë</w:t>
            </w:r>
          </w:p>
          <w:p w14:paraId="45A5BBBE" w14:textId="17D4B368" w:rsidR="00EF0022" w:rsidRPr="00036F88" w:rsidRDefault="00EF0022" w:rsidP="00EF0022">
            <w:pPr>
              <w:jc w:val="both"/>
              <w:rPr>
                <w:rFonts w:ascii="Times New Roman" w:hAnsi="Times New Roman" w:cs="Times New Roman"/>
                <w:sz w:val="18"/>
                <w:szCs w:val="18"/>
              </w:rPr>
            </w:pPr>
            <w:r w:rsidRPr="00036F88">
              <w:rPr>
                <w:rFonts w:ascii="Times New Roman" w:hAnsi="Times New Roman" w:cs="Times New Roman"/>
                <w:sz w:val="18"/>
                <w:szCs w:val="18"/>
              </w:rPr>
              <w:t xml:space="preserve">P - </w:t>
            </w:r>
            <w:r w:rsidRPr="000B5939">
              <w:rPr>
                <w:rFonts w:ascii="Times New Roman" w:hAnsi="Times New Roman" w:cs="Times New Roman"/>
                <w:sz w:val="18"/>
                <w:szCs w:val="18"/>
              </w:rPr>
              <w:t xml:space="preserve">Përputhshmëri </w:t>
            </w:r>
            <w:r w:rsidRPr="00036F88">
              <w:rPr>
                <w:rFonts w:ascii="Times New Roman" w:hAnsi="Times New Roman" w:cs="Times New Roman"/>
                <w:sz w:val="18"/>
                <w:szCs w:val="18"/>
              </w:rPr>
              <w:t>e pjesshme</w:t>
            </w:r>
          </w:p>
          <w:p w14:paraId="02203594" w14:textId="38CA4268" w:rsidR="00EF0022" w:rsidRPr="00036F88" w:rsidRDefault="00EF0022" w:rsidP="00EF0022">
            <w:pPr>
              <w:jc w:val="both"/>
              <w:rPr>
                <w:rFonts w:ascii="Times New Roman" w:eastAsia="Calibri" w:hAnsi="Times New Roman" w:cs="Times New Roman"/>
                <w:sz w:val="18"/>
                <w:szCs w:val="18"/>
              </w:rPr>
            </w:pPr>
            <w:r w:rsidRPr="00036F88">
              <w:rPr>
                <w:rFonts w:ascii="Times New Roman" w:hAnsi="Times New Roman" w:cs="Times New Roman"/>
                <w:sz w:val="18"/>
                <w:szCs w:val="18"/>
              </w:rPr>
              <w:t xml:space="preserve">N - </w:t>
            </w:r>
            <w:r w:rsidRPr="000B5939">
              <w:rPr>
                <w:rFonts w:ascii="Times New Roman" w:hAnsi="Times New Roman" w:cs="Times New Roman"/>
                <w:sz w:val="18"/>
                <w:szCs w:val="18"/>
              </w:rPr>
              <w:t>I papërputhur</w:t>
            </w:r>
          </w:p>
          <w:p w14:paraId="289EB650" w14:textId="55C74DC2" w:rsidR="00922FEB" w:rsidRPr="00036F88" w:rsidRDefault="00922FEB" w:rsidP="00036F88">
            <w:pPr>
              <w:jc w:val="both"/>
              <w:rPr>
                <w:rFonts w:ascii="Times New Roman" w:eastAsia="Calibri" w:hAnsi="Times New Roman" w:cs="Times New Roman"/>
                <w:sz w:val="18"/>
                <w:szCs w:val="18"/>
              </w:rPr>
            </w:pPr>
          </w:p>
          <w:p w14:paraId="6BC4DEF2" w14:textId="77777777" w:rsidR="00922FEB" w:rsidRPr="00036F88" w:rsidRDefault="00922FEB" w:rsidP="00036F88">
            <w:pPr>
              <w:rPr>
                <w:rFonts w:ascii="Times New Roman" w:eastAsia="Calibri" w:hAnsi="Times New Roman" w:cs="Times New Roman"/>
                <w:sz w:val="18"/>
                <w:szCs w:val="18"/>
              </w:rPr>
            </w:pPr>
          </w:p>
          <w:p w14:paraId="7AA9D97B" w14:textId="77777777" w:rsidR="00922FEB" w:rsidRPr="00036F88" w:rsidRDefault="00922FEB" w:rsidP="00036F88">
            <w:pPr>
              <w:rPr>
                <w:rFonts w:ascii="Times New Roman" w:eastAsia="Calibri" w:hAnsi="Times New Roman" w:cs="Times New Roman"/>
                <w:sz w:val="18"/>
                <w:szCs w:val="18"/>
              </w:rPr>
            </w:pPr>
            <w:r w:rsidRPr="00036F88">
              <w:rPr>
                <w:rFonts w:ascii="Times New Roman" w:eastAsia="Calibri" w:hAnsi="Times New Roman" w:cs="Times New Roman"/>
                <w:sz w:val="18"/>
                <w:szCs w:val="18"/>
              </w:rPr>
              <w:t xml:space="preserve"> </w:t>
            </w:r>
          </w:p>
        </w:tc>
      </w:tr>
      <w:tr w:rsidR="00260632" w:rsidRPr="00036F88" w14:paraId="01827783" w14:textId="77777777" w:rsidTr="002C4E0D">
        <w:trPr>
          <w:tblHeader/>
        </w:trPr>
        <w:tc>
          <w:tcPr>
            <w:tcW w:w="630"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5310"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3</w:t>
            </w:r>
          </w:p>
        </w:tc>
        <w:tc>
          <w:tcPr>
            <w:tcW w:w="63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495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72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42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E01344" w:rsidRPr="00CB373B" w14:paraId="405531F1" w14:textId="77777777" w:rsidTr="002C4E0D">
        <w:trPr>
          <w:tblHeader/>
        </w:trPr>
        <w:tc>
          <w:tcPr>
            <w:tcW w:w="630" w:type="dxa"/>
            <w:shd w:val="clear" w:color="auto" w:fill="BFBFBF"/>
            <w:vAlign w:val="center"/>
          </w:tcPr>
          <w:p w14:paraId="1E9FDE14" w14:textId="59FEFCB1" w:rsidR="00E01344" w:rsidRPr="00CB373B" w:rsidRDefault="00E01344" w:rsidP="00E01344">
            <w:pPr>
              <w:jc w:val="center"/>
              <w:rPr>
                <w:rFonts w:ascii="Times New Roman" w:eastAsia="Times New Roman" w:hAnsi="Times New Roman" w:cs="Times New Roman"/>
                <w:sz w:val="18"/>
                <w:szCs w:val="18"/>
                <w:lang w:val="en-US"/>
              </w:rPr>
            </w:pPr>
            <w:r w:rsidRPr="00CB373B">
              <w:rPr>
                <w:rFonts w:ascii="Times New Roman" w:eastAsia="Times New Roman" w:hAnsi="Times New Roman" w:cs="Times New Roman"/>
                <w:sz w:val="18"/>
                <w:szCs w:val="18"/>
              </w:rPr>
              <w:t>Neni</w:t>
            </w:r>
          </w:p>
        </w:tc>
        <w:tc>
          <w:tcPr>
            <w:tcW w:w="5310" w:type="dxa"/>
            <w:shd w:val="clear" w:color="auto" w:fill="BFBFBF"/>
            <w:vAlign w:val="center"/>
          </w:tcPr>
          <w:p w14:paraId="76176853" w14:textId="2630FDC0"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Teksti</w:t>
            </w:r>
          </w:p>
        </w:tc>
        <w:tc>
          <w:tcPr>
            <w:tcW w:w="540" w:type="dxa"/>
            <w:shd w:val="clear" w:color="auto" w:fill="BFBFBF"/>
            <w:vAlign w:val="center"/>
          </w:tcPr>
          <w:p w14:paraId="7B0A27CB" w14:textId="4083745C"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Referenca</w:t>
            </w:r>
          </w:p>
        </w:tc>
        <w:tc>
          <w:tcPr>
            <w:tcW w:w="630" w:type="dxa"/>
            <w:shd w:val="clear" w:color="auto" w:fill="BFBFBF"/>
            <w:vAlign w:val="center"/>
          </w:tcPr>
          <w:p w14:paraId="4FA58976" w14:textId="0E13BD73"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Neni</w:t>
            </w:r>
          </w:p>
        </w:tc>
        <w:tc>
          <w:tcPr>
            <w:tcW w:w="4950" w:type="dxa"/>
            <w:shd w:val="clear" w:color="auto" w:fill="BFBFBF"/>
            <w:vAlign w:val="center"/>
          </w:tcPr>
          <w:p w14:paraId="1C97514E" w14:textId="265797F5"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Teksti</w:t>
            </w:r>
          </w:p>
        </w:tc>
        <w:tc>
          <w:tcPr>
            <w:tcW w:w="720" w:type="dxa"/>
            <w:shd w:val="clear" w:color="auto" w:fill="BFBFBF"/>
            <w:vAlign w:val="center"/>
          </w:tcPr>
          <w:p w14:paraId="7416E437" w14:textId="096D47CE"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Përputhshmëria</w:t>
            </w:r>
          </w:p>
        </w:tc>
        <w:tc>
          <w:tcPr>
            <w:tcW w:w="3420" w:type="dxa"/>
            <w:shd w:val="clear" w:color="auto" w:fill="BFBFBF"/>
            <w:vAlign w:val="center"/>
          </w:tcPr>
          <w:p w14:paraId="2D3E0BBE" w14:textId="40686D59"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Shënime</w:t>
            </w:r>
          </w:p>
        </w:tc>
      </w:tr>
    </w:tbl>
    <w:p w14:paraId="1F69D40D" w14:textId="3855042B" w:rsidR="00922FEB" w:rsidRPr="00CB373B"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5310"/>
        <w:gridCol w:w="540"/>
        <w:gridCol w:w="630"/>
        <w:gridCol w:w="4964"/>
        <w:gridCol w:w="720"/>
        <w:gridCol w:w="3406"/>
      </w:tblGrid>
      <w:tr w:rsidR="00260632" w:rsidRPr="00CB373B" w14:paraId="32F4D837" w14:textId="77777777" w:rsidTr="002C4E0D">
        <w:trPr>
          <w:tblHeader/>
        </w:trPr>
        <w:tc>
          <w:tcPr>
            <w:tcW w:w="630" w:type="dxa"/>
            <w:shd w:val="clear" w:color="auto" w:fill="BFBFBF"/>
          </w:tcPr>
          <w:p w14:paraId="623B109C" w14:textId="4AA779B1" w:rsidR="000A7EA3" w:rsidRPr="00CB373B" w:rsidRDefault="000A7EA3" w:rsidP="00036F88">
            <w:pPr>
              <w:jc w:val="center"/>
              <w:rPr>
                <w:rFonts w:ascii="Times New Roman" w:eastAsia="Times New Roman" w:hAnsi="Times New Roman" w:cs="Times New Roman"/>
                <w:sz w:val="18"/>
                <w:szCs w:val="18"/>
              </w:rPr>
            </w:pPr>
            <w:r w:rsidRPr="00CB373B">
              <w:rPr>
                <w:rFonts w:ascii="Times New Roman" w:hAnsi="Times New Roman" w:cs="Times New Roman"/>
                <w:sz w:val="18"/>
                <w:szCs w:val="18"/>
              </w:rPr>
              <w:t>1</w:t>
            </w:r>
          </w:p>
        </w:tc>
        <w:tc>
          <w:tcPr>
            <w:tcW w:w="5310" w:type="dxa"/>
            <w:shd w:val="clear" w:color="auto" w:fill="BFBFBF"/>
          </w:tcPr>
          <w:p w14:paraId="0EF916BA" w14:textId="15F44D6D" w:rsidR="000A7EA3" w:rsidRPr="00CB373B" w:rsidRDefault="000A7EA3" w:rsidP="00036F88">
            <w:pPr>
              <w:jc w:val="center"/>
              <w:rPr>
                <w:rFonts w:ascii="Times New Roman" w:eastAsia="Times New Roman" w:hAnsi="Times New Roman" w:cs="Times New Roman"/>
                <w:iCs/>
                <w:sz w:val="18"/>
                <w:szCs w:val="18"/>
              </w:rPr>
            </w:pPr>
            <w:r w:rsidRPr="00CB373B">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CB373B" w:rsidRDefault="000A7EA3" w:rsidP="00036F88">
            <w:pPr>
              <w:jc w:val="center"/>
              <w:rPr>
                <w:rFonts w:ascii="Times New Roman" w:hAnsi="Times New Roman" w:cs="Times New Roman"/>
                <w:sz w:val="18"/>
                <w:szCs w:val="18"/>
              </w:rPr>
            </w:pPr>
            <w:r w:rsidRPr="00CB373B">
              <w:rPr>
                <w:rFonts w:ascii="Times New Roman" w:hAnsi="Times New Roman" w:cs="Times New Roman"/>
                <w:sz w:val="18"/>
                <w:szCs w:val="18"/>
              </w:rPr>
              <w:t>3</w:t>
            </w:r>
          </w:p>
        </w:tc>
        <w:tc>
          <w:tcPr>
            <w:tcW w:w="630" w:type="dxa"/>
            <w:shd w:val="clear" w:color="auto" w:fill="BFBFBF"/>
          </w:tcPr>
          <w:p w14:paraId="11B2F0E9" w14:textId="510E5F67" w:rsidR="000A7EA3" w:rsidRPr="00CB373B" w:rsidRDefault="000A7EA3" w:rsidP="00036F88">
            <w:pPr>
              <w:jc w:val="center"/>
              <w:rPr>
                <w:rFonts w:ascii="Times New Roman" w:eastAsia="Times New Roman" w:hAnsi="Times New Roman" w:cs="Times New Roman"/>
                <w:i/>
                <w:sz w:val="18"/>
                <w:szCs w:val="18"/>
              </w:rPr>
            </w:pPr>
            <w:r w:rsidRPr="00CB373B">
              <w:rPr>
                <w:rFonts w:ascii="Times New Roman" w:hAnsi="Times New Roman" w:cs="Times New Roman"/>
                <w:sz w:val="18"/>
                <w:szCs w:val="18"/>
              </w:rPr>
              <w:t>4</w:t>
            </w:r>
          </w:p>
        </w:tc>
        <w:tc>
          <w:tcPr>
            <w:tcW w:w="4964" w:type="dxa"/>
            <w:shd w:val="clear" w:color="auto" w:fill="BFBFBF"/>
          </w:tcPr>
          <w:p w14:paraId="18D0D936" w14:textId="2F6EC06B" w:rsidR="000A7EA3" w:rsidRPr="00CB373B" w:rsidRDefault="000A7EA3" w:rsidP="00036F88">
            <w:pPr>
              <w:jc w:val="center"/>
              <w:rPr>
                <w:rFonts w:ascii="Times New Roman" w:eastAsia="Times New Roman" w:hAnsi="Times New Roman" w:cs="Times New Roman"/>
                <w:i/>
                <w:sz w:val="18"/>
                <w:szCs w:val="18"/>
              </w:rPr>
            </w:pPr>
            <w:r w:rsidRPr="00CB373B">
              <w:rPr>
                <w:rFonts w:ascii="Times New Roman" w:hAnsi="Times New Roman" w:cs="Times New Roman"/>
                <w:sz w:val="18"/>
                <w:szCs w:val="18"/>
              </w:rPr>
              <w:t>5</w:t>
            </w:r>
          </w:p>
        </w:tc>
        <w:tc>
          <w:tcPr>
            <w:tcW w:w="720" w:type="dxa"/>
            <w:shd w:val="clear" w:color="auto" w:fill="BFBFBF"/>
          </w:tcPr>
          <w:p w14:paraId="1F29B9CC" w14:textId="46D8A615" w:rsidR="000A7EA3" w:rsidRPr="00CB373B" w:rsidRDefault="000A7EA3" w:rsidP="00036F88">
            <w:pPr>
              <w:jc w:val="center"/>
              <w:rPr>
                <w:rFonts w:ascii="Times New Roman" w:eastAsia="Times New Roman" w:hAnsi="Times New Roman" w:cs="Times New Roman"/>
                <w:i/>
                <w:sz w:val="18"/>
                <w:szCs w:val="18"/>
              </w:rPr>
            </w:pPr>
            <w:r w:rsidRPr="00CB373B">
              <w:rPr>
                <w:rFonts w:ascii="Times New Roman" w:hAnsi="Times New Roman" w:cs="Times New Roman"/>
                <w:sz w:val="18"/>
                <w:szCs w:val="18"/>
              </w:rPr>
              <w:t>6</w:t>
            </w:r>
          </w:p>
        </w:tc>
        <w:tc>
          <w:tcPr>
            <w:tcW w:w="3406" w:type="dxa"/>
            <w:shd w:val="clear" w:color="auto" w:fill="BFBFBF"/>
          </w:tcPr>
          <w:p w14:paraId="1EC97E09" w14:textId="00684BF9" w:rsidR="000A7EA3" w:rsidRPr="00CB373B" w:rsidRDefault="000A7EA3" w:rsidP="00036F88">
            <w:pPr>
              <w:jc w:val="center"/>
              <w:rPr>
                <w:rFonts w:ascii="Times New Roman" w:eastAsia="Times New Roman" w:hAnsi="Times New Roman" w:cs="Times New Roman"/>
                <w:i/>
                <w:sz w:val="18"/>
                <w:szCs w:val="18"/>
              </w:rPr>
            </w:pPr>
            <w:r w:rsidRPr="00CB373B">
              <w:rPr>
                <w:rFonts w:ascii="Times New Roman" w:hAnsi="Times New Roman" w:cs="Times New Roman"/>
                <w:sz w:val="18"/>
                <w:szCs w:val="18"/>
              </w:rPr>
              <w:t>7</w:t>
            </w:r>
          </w:p>
        </w:tc>
      </w:tr>
      <w:tr w:rsidR="00E01344" w:rsidRPr="00CB373B" w14:paraId="33DF4310" w14:textId="77777777" w:rsidTr="002C4E0D">
        <w:trPr>
          <w:tblHeader/>
        </w:trPr>
        <w:tc>
          <w:tcPr>
            <w:tcW w:w="630" w:type="dxa"/>
            <w:shd w:val="clear" w:color="auto" w:fill="BFBFBF"/>
            <w:vAlign w:val="center"/>
          </w:tcPr>
          <w:p w14:paraId="39F8C6F9" w14:textId="0137BC10" w:rsidR="00E01344" w:rsidRPr="00CB373B" w:rsidRDefault="00E01344" w:rsidP="00E01344">
            <w:pPr>
              <w:jc w:val="center"/>
              <w:rPr>
                <w:rFonts w:ascii="Times New Roman" w:eastAsia="Times New Roman" w:hAnsi="Times New Roman" w:cs="Times New Roman"/>
                <w:sz w:val="18"/>
                <w:szCs w:val="18"/>
                <w:lang w:val="en-US"/>
              </w:rPr>
            </w:pPr>
            <w:r w:rsidRPr="00CB373B">
              <w:rPr>
                <w:rFonts w:ascii="Times New Roman" w:eastAsia="Times New Roman" w:hAnsi="Times New Roman" w:cs="Times New Roman"/>
                <w:sz w:val="18"/>
                <w:szCs w:val="18"/>
              </w:rPr>
              <w:t>Neni</w:t>
            </w:r>
          </w:p>
        </w:tc>
        <w:tc>
          <w:tcPr>
            <w:tcW w:w="5310" w:type="dxa"/>
            <w:shd w:val="clear" w:color="auto" w:fill="BFBFBF"/>
            <w:vAlign w:val="center"/>
          </w:tcPr>
          <w:p w14:paraId="17F6068A" w14:textId="5236654A" w:rsidR="00E01344" w:rsidRPr="00CB373B" w:rsidRDefault="00E01344" w:rsidP="00E01344">
            <w:pPr>
              <w:jc w:val="center"/>
              <w:rPr>
                <w:rFonts w:ascii="Times New Roman" w:eastAsia="Times New Roman" w:hAnsi="Times New Roman" w:cs="Times New Roman"/>
                <w:iCs/>
                <w:sz w:val="18"/>
                <w:szCs w:val="18"/>
                <w:lang w:val="en-US"/>
              </w:rPr>
            </w:pPr>
            <w:r w:rsidRPr="00CB373B">
              <w:rPr>
                <w:rFonts w:ascii="Times New Roman" w:eastAsia="Times New Roman" w:hAnsi="Times New Roman" w:cs="Times New Roman"/>
                <w:sz w:val="18"/>
                <w:szCs w:val="18"/>
              </w:rPr>
              <w:t>Teksti</w:t>
            </w:r>
          </w:p>
        </w:tc>
        <w:tc>
          <w:tcPr>
            <w:tcW w:w="540" w:type="dxa"/>
            <w:shd w:val="clear" w:color="auto" w:fill="D0CECE" w:themeFill="background2" w:themeFillShade="E6"/>
            <w:vAlign w:val="center"/>
          </w:tcPr>
          <w:p w14:paraId="476E07DB" w14:textId="0BD8998F" w:rsidR="00E01344" w:rsidRPr="00CB373B" w:rsidRDefault="00E01344" w:rsidP="00E01344">
            <w:pPr>
              <w:jc w:val="center"/>
              <w:rPr>
                <w:rFonts w:ascii="Times New Roman" w:hAnsi="Times New Roman" w:cs="Times New Roman"/>
                <w:sz w:val="18"/>
                <w:szCs w:val="18"/>
              </w:rPr>
            </w:pPr>
            <w:r w:rsidRPr="00CB373B">
              <w:rPr>
                <w:rFonts w:ascii="Times New Roman" w:eastAsia="Times New Roman" w:hAnsi="Times New Roman" w:cs="Times New Roman"/>
                <w:sz w:val="18"/>
                <w:szCs w:val="18"/>
              </w:rPr>
              <w:t>Referenca</w:t>
            </w:r>
          </w:p>
        </w:tc>
        <w:tc>
          <w:tcPr>
            <w:tcW w:w="630" w:type="dxa"/>
            <w:shd w:val="clear" w:color="auto" w:fill="BFBFBF"/>
            <w:vAlign w:val="center"/>
          </w:tcPr>
          <w:p w14:paraId="5B81B475" w14:textId="0F87C171"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Neni</w:t>
            </w:r>
          </w:p>
        </w:tc>
        <w:tc>
          <w:tcPr>
            <w:tcW w:w="4964" w:type="dxa"/>
            <w:shd w:val="clear" w:color="auto" w:fill="BFBFBF"/>
            <w:vAlign w:val="center"/>
          </w:tcPr>
          <w:p w14:paraId="19F4D508" w14:textId="6614D242"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Teksti</w:t>
            </w:r>
          </w:p>
        </w:tc>
        <w:tc>
          <w:tcPr>
            <w:tcW w:w="720" w:type="dxa"/>
            <w:shd w:val="clear" w:color="auto" w:fill="BFBFBF"/>
            <w:vAlign w:val="center"/>
          </w:tcPr>
          <w:p w14:paraId="609D564B" w14:textId="47D30F62"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Përputhshmëria</w:t>
            </w:r>
          </w:p>
        </w:tc>
        <w:tc>
          <w:tcPr>
            <w:tcW w:w="3406" w:type="dxa"/>
            <w:shd w:val="clear" w:color="auto" w:fill="BFBFBF"/>
            <w:vAlign w:val="center"/>
          </w:tcPr>
          <w:p w14:paraId="0F04528A" w14:textId="0702018A" w:rsidR="00E01344" w:rsidRPr="00CB373B" w:rsidRDefault="00E01344" w:rsidP="00E01344">
            <w:pPr>
              <w:jc w:val="center"/>
              <w:rPr>
                <w:rFonts w:ascii="Times New Roman" w:eastAsia="Times New Roman" w:hAnsi="Times New Roman" w:cs="Times New Roman"/>
                <w:i/>
                <w:sz w:val="18"/>
                <w:szCs w:val="18"/>
                <w:lang w:val="en-US"/>
              </w:rPr>
            </w:pPr>
            <w:r w:rsidRPr="00CB373B">
              <w:rPr>
                <w:rFonts w:ascii="Times New Roman" w:eastAsia="Times New Roman" w:hAnsi="Times New Roman" w:cs="Times New Roman"/>
                <w:sz w:val="18"/>
                <w:szCs w:val="18"/>
              </w:rPr>
              <w:t>Shënime</w:t>
            </w:r>
          </w:p>
        </w:tc>
      </w:tr>
      <w:tr w:rsidR="00260632" w:rsidRPr="0042075D" w14:paraId="3101C841" w14:textId="77777777" w:rsidTr="002C4E0D">
        <w:tc>
          <w:tcPr>
            <w:tcW w:w="630" w:type="dxa"/>
            <w:shd w:val="clear" w:color="auto" w:fill="92D050"/>
          </w:tcPr>
          <w:p w14:paraId="171C88DE" w14:textId="77777777" w:rsidR="000A7EA3" w:rsidRPr="002C4E0D" w:rsidRDefault="000A7EA3" w:rsidP="00036F88">
            <w:pPr>
              <w:rPr>
                <w:rFonts w:ascii="Times New Roman" w:eastAsia="Calibri" w:hAnsi="Times New Roman" w:cs="Times New Roman"/>
                <w:sz w:val="20"/>
                <w:szCs w:val="20"/>
                <w:lang w:val="en-US"/>
              </w:rPr>
            </w:pPr>
          </w:p>
        </w:tc>
        <w:tc>
          <w:tcPr>
            <w:tcW w:w="5310" w:type="dxa"/>
            <w:shd w:val="clear" w:color="auto" w:fill="92D050"/>
          </w:tcPr>
          <w:p w14:paraId="3CBB6E23" w14:textId="71A0F858" w:rsidR="000A7EA3" w:rsidRPr="002C4E0D" w:rsidRDefault="000A7EA3" w:rsidP="00036F88">
            <w:pPr>
              <w:pStyle w:val="Heading1"/>
              <w:rPr>
                <w:rFonts w:ascii="Times New Roman" w:eastAsia="Calibri" w:hAnsi="Times New Roman" w:cs="Times New Roman"/>
                <w:color w:val="auto"/>
                <w:sz w:val="20"/>
                <w:szCs w:val="20"/>
                <w:lang w:val="en-US"/>
              </w:rPr>
            </w:pPr>
          </w:p>
        </w:tc>
        <w:tc>
          <w:tcPr>
            <w:tcW w:w="540" w:type="dxa"/>
          </w:tcPr>
          <w:p w14:paraId="4950B37F" w14:textId="77777777" w:rsidR="000A7EA3" w:rsidRPr="002C4E0D" w:rsidRDefault="000A7EA3" w:rsidP="00036F88">
            <w:pPr>
              <w:rPr>
                <w:rFonts w:ascii="Times New Roman" w:eastAsia="Calibri" w:hAnsi="Times New Roman" w:cs="Times New Roman"/>
                <w:sz w:val="20"/>
                <w:szCs w:val="20"/>
              </w:rPr>
            </w:pPr>
          </w:p>
        </w:tc>
        <w:tc>
          <w:tcPr>
            <w:tcW w:w="630" w:type="dxa"/>
            <w:shd w:val="clear" w:color="auto" w:fill="92D050"/>
          </w:tcPr>
          <w:p w14:paraId="4039FF8E" w14:textId="633026E3" w:rsidR="000A7EA3" w:rsidRPr="002C4E0D" w:rsidRDefault="000A7EA3" w:rsidP="00036F88">
            <w:pPr>
              <w:rPr>
                <w:rFonts w:ascii="Times New Roman" w:eastAsia="Calibri" w:hAnsi="Times New Roman" w:cs="Times New Roman"/>
                <w:sz w:val="20"/>
                <w:szCs w:val="20"/>
                <w:lang w:val="en-US"/>
              </w:rPr>
            </w:pPr>
          </w:p>
        </w:tc>
        <w:tc>
          <w:tcPr>
            <w:tcW w:w="4964" w:type="dxa"/>
            <w:shd w:val="clear" w:color="auto" w:fill="92D050"/>
          </w:tcPr>
          <w:p w14:paraId="0C0DB225" w14:textId="77777777" w:rsidR="000A7EA3" w:rsidRPr="002C4E0D" w:rsidRDefault="000A7EA3" w:rsidP="00D84EF8">
            <w:pPr>
              <w:jc w:val="center"/>
              <w:rPr>
                <w:rFonts w:ascii="Times New Roman" w:eastAsia="Calibri" w:hAnsi="Times New Roman" w:cs="Times New Roman"/>
                <w:sz w:val="20"/>
                <w:szCs w:val="20"/>
                <w:lang w:val="en-US"/>
              </w:rPr>
            </w:pPr>
          </w:p>
        </w:tc>
        <w:tc>
          <w:tcPr>
            <w:tcW w:w="720" w:type="dxa"/>
            <w:shd w:val="clear" w:color="auto" w:fill="92D050"/>
          </w:tcPr>
          <w:p w14:paraId="0477FAD4" w14:textId="77777777" w:rsidR="000A7EA3" w:rsidRPr="002C4E0D" w:rsidRDefault="000A7EA3" w:rsidP="00036F88">
            <w:pPr>
              <w:rPr>
                <w:rFonts w:ascii="Times New Roman" w:eastAsia="Calibri" w:hAnsi="Times New Roman" w:cs="Times New Roman"/>
                <w:sz w:val="20"/>
                <w:szCs w:val="20"/>
                <w:lang w:val="en-US"/>
              </w:rPr>
            </w:pPr>
          </w:p>
        </w:tc>
        <w:tc>
          <w:tcPr>
            <w:tcW w:w="3406" w:type="dxa"/>
            <w:shd w:val="clear" w:color="auto" w:fill="92D050"/>
          </w:tcPr>
          <w:p w14:paraId="09DE5223" w14:textId="77777777" w:rsidR="000A7EA3" w:rsidRPr="002C4E0D" w:rsidRDefault="000A7EA3" w:rsidP="00036F88">
            <w:pPr>
              <w:rPr>
                <w:rFonts w:ascii="Times New Roman" w:eastAsia="Calibri" w:hAnsi="Times New Roman" w:cs="Times New Roman"/>
                <w:sz w:val="20"/>
                <w:szCs w:val="20"/>
                <w:lang w:val="en-US"/>
              </w:rPr>
            </w:pPr>
          </w:p>
        </w:tc>
      </w:tr>
      <w:tr w:rsidR="00260632" w:rsidRPr="0042075D" w14:paraId="6560FCB0" w14:textId="77777777" w:rsidTr="002C4E0D">
        <w:tc>
          <w:tcPr>
            <w:tcW w:w="630" w:type="dxa"/>
            <w:shd w:val="clear" w:color="auto" w:fill="F2F2F2"/>
          </w:tcPr>
          <w:p w14:paraId="2C6C40A7" w14:textId="77777777" w:rsidR="000A7EA3" w:rsidRPr="002C4E0D" w:rsidRDefault="000A7EA3" w:rsidP="00036F88">
            <w:pPr>
              <w:jc w:val="center"/>
              <w:rPr>
                <w:rFonts w:ascii="Times New Roman" w:eastAsia="Calibri" w:hAnsi="Times New Roman" w:cs="Times New Roman"/>
                <w:i/>
                <w:iCs/>
                <w:sz w:val="20"/>
                <w:szCs w:val="20"/>
                <w:lang w:val="en-US"/>
              </w:rPr>
            </w:pPr>
          </w:p>
        </w:tc>
        <w:tc>
          <w:tcPr>
            <w:tcW w:w="5310" w:type="dxa"/>
            <w:shd w:val="clear" w:color="auto" w:fill="F2F2F2"/>
          </w:tcPr>
          <w:p w14:paraId="4FF914BE" w14:textId="7A1302B7" w:rsidR="00990A3C" w:rsidRPr="002C4E0D" w:rsidRDefault="00990A3C" w:rsidP="007C78D2">
            <w:pPr>
              <w:rPr>
                <w:sz w:val="20"/>
                <w:szCs w:val="20"/>
              </w:rPr>
            </w:pPr>
            <w:bookmarkStart w:id="0" w:name="articolul1"/>
            <w:bookmarkEnd w:id="0"/>
          </w:p>
        </w:tc>
        <w:tc>
          <w:tcPr>
            <w:tcW w:w="540" w:type="dxa"/>
          </w:tcPr>
          <w:p w14:paraId="63FB219E" w14:textId="77777777" w:rsidR="000A7EA3" w:rsidRPr="002C4E0D" w:rsidRDefault="000A7EA3" w:rsidP="00036F88">
            <w:pPr>
              <w:rPr>
                <w:rFonts w:ascii="Times New Roman" w:eastAsia="Calibri" w:hAnsi="Times New Roman" w:cs="Times New Roman"/>
                <w:sz w:val="20"/>
                <w:szCs w:val="20"/>
              </w:rPr>
            </w:pPr>
          </w:p>
        </w:tc>
        <w:tc>
          <w:tcPr>
            <w:tcW w:w="630" w:type="dxa"/>
            <w:shd w:val="clear" w:color="auto" w:fill="F2F2F2"/>
          </w:tcPr>
          <w:p w14:paraId="373E1C1C" w14:textId="3802F198" w:rsidR="000A7EA3" w:rsidRPr="002C4E0D" w:rsidRDefault="000A7EA3" w:rsidP="00036F88">
            <w:pPr>
              <w:rPr>
                <w:rFonts w:ascii="Times New Roman" w:eastAsia="Calibri" w:hAnsi="Times New Roman" w:cs="Times New Roman"/>
                <w:sz w:val="20"/>
                <w:szCs w:val="20"/>
                <w:lang w:val="en-US"/>
              </w:rPr>
            </w:pPr>
          </w:p>
        </w:tc>
        <w:tc>
          <w:tcPr>
            <w:tcW w:w="4964" w:type="dxa"/>
            <w:shd w:val="clear" w:color="auto" w:fill="F2F2F2"/>
          </w:tcPr>
          <w:p w14:paraId="64C93E4E" w14:textId="449C89EF" w:rsidR="000A7EA3" w:rsidRPr="002C4E0D" w:rsidRDefault="000A7EA3" w:rsidP="00036F88">
            <w:pPr>
              <w:rPr>
                <w:rFonts w:ascii="Times New Roman" w:hAnsi="Times New Roman" w:cs="Times New Roman"/>
                <w:sz w:val="20"/>
                <w:szCs w:val="20"/>
              </w:rPr>
            </w:pPr>
          </w:p>
        </w:tc>
        <w:tc>
          <w:tcPr>
            <w:tcW w:w="720" w:type="dxa"/>
            <w:shd w:val="clear" w:color="auto" w:fill="F2F2F2"/>
          </w:tcPr>
          <w:p w14:paraId="176811E7" w14:textId="77777777" w:rsidR="000A7EA3" w:rsidRPr="002C4E0D" w:rsidRDefault="000A7EA3" w:rsidP="00036F88">
            <w:pPr>
              <w:jc w:val="center"/>
              <w:rPr>
                <w:rFonts w:ascii="Times New Roman" w:eastAsia="Calibri" w:hAnsi="Times New Roman" w:cs="Times New Roman"/>
                <w:sz w:val="20"/>
                <w:szCs w:val="20"/>
                <w:lang w:val="en-US"/>
              </w:rPr>
            </w:pPr>
          </w:p>
        </w:tc>
        <w:tc>
          <w:tcPr>
            <w:tcW w:w="3406" w:type="dxa"/>
            <w:shd w:val="clear" w:color="auto" w:fill="F2F2F2"/>
          </w:tcPr>
          <w:p w14:paraId="0E837D0C" w14:textId="77777777" w:rsidR="000A7EA3" w:rsidRPr="002C4E0D" w:rsidRDefault="000A7EA3" w:rsidP="00036F88">
            <w:pPr>
              <w:rPr>
                <w:rFonts w:ascii="Times New Roman" w:eastAsia="Calibri" w:hAnsi="Times New Roman" w:cs="Times New Roman"/>
                <w:sz w:val="20"/>
                <w:szCs w:val="20"/>
                <w:lang w:val="en-US"/>
              </w:rPr>
            </w:pPr>
          </w:p>
        </w:tc>
      </w:tr>
      <w:tr w:rsidR="00E01344" w:rsidRPr="0042075D" w14:paraId="54545BFE" w14:textId="77777777" w:rsidTr="002C4E0D">
        <w:trPr>
          <w:trHeight w:val="764"/>
        </w:trPr>
        <w:tc>
          <w:tcPr>
            <w:tcW w:w="630" w:type="dxa"/>
            <w:shd w:val="clear" w:color="auto" w:fill="F2F2F2"/>
          </w:tcPr>
          <w:p w14:paraId="2072CEFD"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3D59849C" w14:textId="5ABA6DA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Direktiva 2011/16/BE ndryshohet si më poshtë:</w:t>
            </w:r>
          </w:p>
          <w:p w14:paraId="124C6FAD" w14:textId="74FAF5F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w:t>
            </w:r>
          </w:p>
          <w:p w14:paraId="50396FF0" w14:textId="3D0D7B9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Neni 3 ndryshohet si më poshtë:</w:t>
            </w:r>
          </w:p>
          <w:p w14:paraId="6F429911" w14:textId="494BBE4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69F3CCFD" w14:textId="79CF82E1"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pika 9 ndryshohet si më poshtë:</w:t>
            </w:r>
          </w:p>
          <w:p w14:paraId="6A709971" w14:textId="28DCF0D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w:t>
            </w:r>
          </w:p>
          <w:p w14:paraId="3E7A7E0E" w14:textId="4B9C3BB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në nënparagrafin e parë, pika (a) zëvendësohet me sa vijon:</w:t>
            </w:r>
          </w:p>
          <w:p w14:paraId="280A9EC5" w14:textId="3F0F5E2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3A79B36C"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qëllimet e Nenit 8(1) dhe Neneve 8a, 8aa dhe 8ab, komunikimi sistematik i informacionit të paracaktuar në një Shtet tjetër Anëtar, pa kërkesë paraprake, në intervale të rregullta të paracaktuara. Për qëllimet e Nenit 8(1), referenca ndaj informacionit të disponueshëm lidhet me informacionin në dosjet tatimore të Shtetit Anëtar që komunikon informacionin, i cili është i rikuperueshëm në përputhje me procedurat për mbledhjen dhe përpunimin e informacionit në atë Shtet Anëtar;';</w:t>
            </w:r>
          </w:p>
          <w:p w14:paraId="14C30DC6" w14:textId="43AC8A4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(ii)</w:t>
            </w:r>
          </w:p>
          <w:p w14:paraId="4661680C" w14:textId="4D412CE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nënparagrafin e parë, pika (c) zëvendësohet me sa vijon:</w:t>
            </w:r>
          </w:p>
          <w:p w14:paraId="5DAFAA55" w14:textId="5865018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37265965"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qëllimet e dispozitave të kësaj Direktive përveç Nenit 8(1) dhe (3a) dhe Neneve 8a, 8aa dhe 8ab, komunikimi sistematik i informacionit të paracaktuar të dhënë në pikat (a) dhe (b) të kësaj pike.';</w:t>
            </w:r>
          </w:p>
          <w:p w14:paraId="1C31C65C" w14:textId="35F836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(iii)</w:t>
            </w:r>
          </w:p>
          <w:p w14:paraId="02FC573E" w14:textId="0E4E435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nënparagrafin e dytë, fjalia e parë zëvendësohet me sa vijon:</w:t>
            </w:r>
          </w:p>
          <w:p w14:paraId="41F9F39B" w14:textId="6B79CE0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kontekstin e neneve 8(3a), 8(7a) dhe 21(2), nenit 25(2) dhe (3) dhe Shtojcës IV, çdo term me shkronjë të madhe do të ketë kuptimin që ka sipas përkufizimeve përkatëse të përcaktuara në Shtojcën I.';</w:t>
            </w:r>
          </w:p>
          <w:p w14:paraId="76B25C9E" w14:textId="3AE1943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(b)</w:t>
            </w:r>
          </w:p>
          <w:p w14:paraId="6C26A5C2" w14:textId="7B0012A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shtohen pikat e mëposhtme:</w:t>
            </w:r>
          </w:p>
          <w:p w14:paraId="21B1EFD3"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'18.</w:t>
            </w:r>
          </w:p>
          <w:p w14:paraId="424A3E4E"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347F0C0C" w14:textId="5BC1BBC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“marrëveshje ndërkufitare” do të thotë një marrëveshje që ka të bëjë me më shumë se një shtet anëtar ose një shtet anëtar dhe një vend të tretë, ku plotësohet të paktën një nga kushtet e mëposhtme:</w:t>
            </w:r>
          </w:p>
          <w:p w14:paraId="138791A0" w14:textId="324DD8F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049CAC5F" w14:textId="6F88AE5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jo të gjithë pjesëmarrësit në marrëveshje janë rezidentë për qëllime tatimore në të njëjtin juridiksion;</w:t>
            </w:r>
          </w:p>
          <w:p w14:paraId="0F669240" w14:textId="6994B45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0447AA70" w14:textId="08D84AB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ose më shumë pjesëmarrës në marrëveshje janë njëkohësisht rezidentë për qëllime tatimore në më shumë se një juridiksion;</w:t>
            </w:r>
          </w:p>
          <w:p w14:paraId="7275C637" w14:textId="6CB6729E"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2574CF83" w14:textId="24AE7AD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ose më shumë pjesëmarrës në marrëveshje ushtrojnë një biznes në një juridiksion tjetër nëpërmjet një selie të përhershme të vendosur në atë juridiksion dhe marrëveshja përbën një pjesë ose të gjithë biznesin e asaj selie të përhershme;</w:t>
            </w:r>
          </w:p>
          <w:p w14:paraId="5B76C902" w14:textId="4C34E7D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w:t>
            </w:r>
          </w:p>
          <w:p w14:paraId="5C670926" w14:textId="71DD272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një ose më shumë pjesëmarrës në marrëveshje ushtrojnë një aktivitet në një juridiksion tjetër pa qenë rezidentë për qëllime tatimore ose pa krijuar një seli të përhershme të vendosur në atë juridiksion;</w:t>
            </w:r>
          </w:p>
          <w:p w14:paraId="080090C1" w14:textId="66AC0F8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(e)</w:t>
            </w:r>
          </w:p>
          <w:p w14:paraId="496F4799" w14:textId="0F91C7D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marrëveshje e tillë ka një ndikim të mundshëm në shkëmbimin automatik të informacionit ose identifikimin e pronarit përfitues.</w:t>
            </w:r>
          </w:p>
          <w:p w14:paraId="0DC0DE4F" w14:textId="074C2771"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qëllimet e pikave 18 deri në 25 të këtij neni, nenit 8ab dhe Shtojcës IV, një marrëveshje përfshin gjithashtu një seri marrëveshjesh. Një marrëveshje mund të përfshijë më shumë se një hap ose pjesë.</w:t>
            </w:r>
          </w:p>
          <w:p w14:paraId="6A63794B" w14:textId="7249764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19.</w:t>
            </w:r>
          </w:p>
          <w:p w14:paraId="47F99F06" w14:textId="6EA6063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“marrëveshje ndërkufitare e raportueshme” do të thotë çdo marrëveshje ndërkufitare që përmban të paktën një nga shenjat dalluese të përcaktuara në Shtojcën IV.</w:t>
            </w:r>
          </w:p>
          <w:p w14:paraId="671E31CC" w14:textId="3521D99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20.</w:t>
            </w:r>
          </w:p>
          <w:p w14:paraId="3FE22419" w14:textId="3295BA8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“Shenjë dalluese” do të thotë një karakteristikë ose tipar i një marrëveshjeje ndërkufitare që paraqet një tregues të një rreziku potencial të shmangies së taksave, siç është listuar në Shtojcën IV.</w:t>
            </w:r>
          </w:p>
          <w:p w14:paraId="614E1B5E" w14:textId="316CB62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21.</w:t>
            </w:r>
          </w:p>
          <w:p w14:paraId="2C8ED55B" w14:textId="24E6483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“Ndërmjetës” do të thotë çdo person që harton, tregton, organizon ose vë në dispozicion për zbatim ose menaxhon zbatimin e një marrëveshjeje ndërkufitare të raportueshme.</w:t>
            </w:r>
          </w:p>
          <w:p w14:paraId="384CC3E3" w14:textId="68A534C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Gjithashtu do të thotë çdo person që, duke pasur parasysh faktet dhe rrethanat përkatëse dhe bazuar në informacionin e disponueshëm dhe ekspertizën dhe kuptimin përkatës të kërkuar për të ofruar shërbime të tilla, e di ose mund të pritet në mënyrë të arsyeshme të dijë se është zotuar të ofrojë, drejtpërdrejt ose me anë të personave të tjerë, ndihmë, asistencë ose këshilla në lidhje me hartimin, marketingun, organizimin, vënien në dispozicion për zbatim ose menaxhimin e zbatimit të një marrëveshjeje ndërkufitare të raportueshme. Çdo person ka të drejtë të ofrojë prova se një person i tillë nuk e dinte dhe nuk mund të pritej në mënyrë të arsyeshme të dinte se ai person ishte i përfshirë në një marrëveshje ndërkufitare të raportueshme. Për këtë qëllim, ai person mund t'i referohet të gjitha fakteve dhe rrethanave përkatëse, si dhe informacionit të disponueshëm dhe ekspertizës dhe kuptimit të tij përkatës.</w:t>
            </w:r>
          </w:p>
          <w:p w14:paraId="4EB3B2F9" w14:textId="21D44D4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të qenë ndërmjetës, një person duhet të përmbushë të paktën një nga kushtet shtesë të mëposhtme:</w:t>
            </w:r>
          </w:p>
          <w:p w14:paraId="302B4F02" w14:textId="3D7BD86E"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1F151F06" w14:textId="2CD27B6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të jetë rezident për qëllime tatimore në një Shtet Anëtar;</w:t>
            </w:r>
          </w:p>
          <w:p w14:paraId="14956716" w14:textId="7B09E99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1F049090" w14:textId="66202A7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të ketë një seli të përhershme në një Shtet Anëtar nëpërmjet së cilës ofrohen shërbimet në lidhje me marrëveshjen;</w:t>
            </w:r>
          </w:p>
          <w:p w14:paraId="3669EDEB" w14:textId="7F2FC18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(c)</w:t>
            </w:r>
          </w:p>
          <w:p w14:paraId="5BA00908" w14:textId="532AD24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të jetë i inkorporuar në ose i rregulluar nga ligjet e një Shteti Anëtar;</w:t>
            </w:r>
          </w:p>
          <w:p w14:paraId="57573004" w14:textId="08BE14C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w:t>
            </w:r>
          </w:p>
          <w:p w14:paraId="343B9484" w14:textId="2E57FD1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të jetë i regjistruar në një shoqatë profesionale që lidhet me shërbimet ligjore, tatimore ose konsulente në një Shtet Anëtar.</w:t>
            </w:r>
          </w:p>
          <w:p w14:paraId="38B1F186" w14:textId="7EF7A31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22.</w:t>
            </w:r>
          </w:p>
          <w:p w14:paraId="08960B72" w14:textId="20ABEED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"Tatimpagues përkatës" do të thotë çdo person të cilit i është vënë në dispozicion për zbatim një marrëveshje ndërkufitare e raportueshme, ose i cili është gati të zbatojë një marrëveshje ndërkufitare të raportueshme ose ka zbatuar hapin e parë të një marrëveshjeje të tillë.</w:t>
            </w:r>
          </w:p>
          <w:p w14:paraId="1770A098" w14:textId="385B467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23.</w:t>
            </w:r>
          </w:p>
          <w:p w14:paraId="27B77BB8" w14:textId="2C0AE0B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qëllimet e Nenit 8ab, "ndërmarrje e lidhur" do të thotë një person që është i lidhur me një person tjetër në të paktën njërën nga mënyrat e mëposhtme:</w:t>
            </w:r>
          </w:p>
          <w:p w14:paraId="45120641"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5F86BF3B"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F632F8C"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person merr pjesë në menaxhimin e një personi tjetër duke qenë në një pozicion për të ushtruar një ndikim të rëndësishëm mbi personin tjetër;</w:t>
            </w:r>
          </w:p>
          <w:p w14:paraId="79275AC5" w14:textId="043CD02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(b)</w:t>
            </w:r>
          </w:p>
          <w:p w14:paraId="1DF443D5" w14:textId="1F6E475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person merr pjesë në kontrollin e një personi tjetër nëpërmjet një zotërimi që tejkalon 25% të të drejtave të votës;</w:t>
            </w:r>
          </w:p>
          <w:p w14:paraId="71E59AEB" w14:textId="6BDD2F5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757EAF8C" w14:textId="287D597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person merr pjesë në kapitalin e një personi tjetër nëpërmjet një të drejte pronësie që, drejtpërdrejt ose tërthorazi, tejkalon 25% të kapitalit;</w:t>
            </w:r>
          </w:p>
          <w:p w14:paraId="5B819FE7" w14:textId="0933EFA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w:t>
            </w:r>
          </w:p>
          <w:p w14:paraId="374E6734" w14:textId="43A760F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person ka të drejtë për 25% ose më shumë të fitimeve të një personi tjetër.</w:t>
            </w:r>
          </w:p>
          <w:p w14:paraId="2991AAFF" w14:textId="7FD0D2C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Nëse më shumë se një person merr pjesë, siç përmendet në pikat (a) deri në (d), në menaxhimin, kontrollin, kapitalin ose fitimet e të njëjtit person, të gjithë personat e përfshirë do të konsiderohen si ndërmarrje të lidhura.</w:t>
            </w:r>
          </w:p>
          <w:p w14:paraId="10F5B1A6" w14:textId="18D0080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Nëse të njëjtët persona marrin pjesë, siç përmendet në pikat (a) deri në (d), në menaxhimin, kontrollin, kapitalin ose fitimet e më shumë se një personi, të gjithë personat e përfshirë do të konsiderohen si ndërmarrje të lidhura.</w:t>
            </w:r>
          </w:p>
          <w:p w14:paraId="4EB11068" w14:textId="1660C0C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qëllimet e kësaj pike, një person që vepron së bashku me një person tjetër në lidhje me të drejtat e votës ose pronësinë e kapitalit të një subjekti trajtohet si mbajtës i një pjesëmarrjeje në të gjitha të drejtat e votës ose pronësinë e kapitalit të atij subjekti që mbahen nga personi tjetër.</w:t>
            </w:r>
          </w:p>
          <w:p w14:paraId="1EFF25FB" w14:textId="34936A4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Në pjesëmarrjet indirekte, përmbushja e kërkesave sipas pikës (c) përcaktohet duke shumëzuar normat e zotërimit përmes niveleve të njëpasnjëshme. Një person që zotëron më shumë se 50% të të drejtave të votës konsiderohet se zotëron 100%.</w:t>
            </w:r>
          </w:p>
          <w:p w14:paraId="43A7856E" w14:textId="154FE1B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individ, bashkëshorti/ja i/e tij/saj dhe paraardhësit ose pasardhësit e tij/saj të linjës trajtohen si një person i vetëm.</w:t>
            </w:r>
          </w:p>
          <w:p w14:paraId="54E7E6A1" w14:textId="62F6395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24.</w:t>
            </w:r>
          </w:p>
          <w:p w14:paraId="6DA28EE4" w14:textId="0094AE7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"marrëveshje e tregtueshme" do të thotë një marrëveshje ndërkufitare që është projektuar, tregtuar, gati për zbatim ose është vënë në dispozicion për zbatim pa pasur nevojë të përshtatet në mënyrë të konsiderueshme.</w:t>
            </w:r>
          </w:p>
          <w:p w14:paraId="048BA759" w14:textId="1B0383B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25.</w:t>
            </w:r>
          </w:p>
          <w:p w14:paraId="358A1DE2" w14:textId="7C9FB0D5" w:rsidR="00E01344" w:rsidRPr="0042075D" w:rsidRDefault="00E01344" w:rsidP="00E01344">
            <w:pPr>
              <w:pStyle w:val="oj-ti-grseq-1"/>
              <w:shd w:val="clear" w:color="auto" w:fill="FFFFFF"/>
              <w:spacing w:before="240" w:beforeAutospacing="0" w:after="120" w:afterAutospacing="0"/>
              <w:jc w:val="both"/>
              <w:rPr>
                <w:rFonts w:eastAsia="Calibri"/>
                <w:iCs/>
                <w:sz w:val="20"/>
                <w:szCs w:val="20"/>
              </w:rPr>
            </w:pPr>
            <w:r w:rsidRPr="0042075D">
              <w:rPr>
                <w:rFonts w:eastAsia="Calibri"/>
                <w:iCs/>
                <w:sz w:val="20"/>
                <w:szCs w:val="20"/>
              </w:rPr>
              <w:t>“marrëveshje e porositur” do të thotë çdo marrëveshje ndërkufitare që nuk është një marrëveshje e tregtueshme.';</w:t>
            </w:r>
          </w:p>
          <w:p w14:paraId="24A609A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6F7B7ABA" w14:textId="397F0F09" w:rsidR="00E01344" w:rsidRPr="0042075D" w:rsidRDefault="00E01344" w:rsidP="00E01344">
            <w:pPr>
              <w:pStyle w:val="oj-ti-grseq-1"/>
              <w:shd w:val="clear" w:color="auto" w:fill="FFFFFF"/>
              <w:spacing w:before="240" w:beforeAutospacing="0" w:after="120" w:afterAutospacing="0"/>
              <w:jc w:val="both"/>
              <w:rPr>
                <w:rFonts w:eastAsia="Calibri"/>
                <w:iCs/>
                <w:sz w:val="20"/>
                <w:szCs w:val="20"/>
              </w:rPr>
            </w:pPr>
          </w:p>
        </w:tc>
        <w:tc>
          <w:tcPr>
            <w:tcW w:w="540" w:type="dxa"/>
            <w:shd w:val="clear" w:color="auto" w:fill="FFFFFF" w:themeFill="background1"/>
          </w:tcPr>
          <w:p w14:paraId="6F2021F6" w14:textId="1B806489"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5C288474" w14:textId="77777777" w:rsidR="00E01344" w:rsidRPr="002C4E0D" w:rsidRDefault="00E01344" w:rsidP="00E01344">
            <w:pPr>
              <w:jc w:val="center"/>
              <w:rPr>
                <w:rFonts w:ascii="Segoe UI" w:eastAsia="Times New Roman" w:hAnsi="Segoe UI" w:cs="Segoe UI"/>
                <w:sz w:val="20"/>
                <w:szCs w:val="20"/>
                <w:lang w:eastAsia="sq-AL"/>
              </w:rPr>
            </w:pPr>
          </w:p>
          <w:p w14:paraId="196E43A7" w14:textId="77777777" w:rsidR="00E01344" w:rsidRPr="002C4E0D" w:rsidRDefault="00E01344" w:rsidP="00E01344">
            <w:pPr>
              <w:jc w:val="center"/>
              <w:rPr>
                <w:rFonts w:ascii="Segoe UI" w:eastAsia="Times New Roman" w:hAnsi="Segoe UI" w:cs="Segoe UI"/>
                <w:sz w:val="20"/>
                <w:szCs w:val="20"/>
                <w:lang w:eastAsia="sq-AL"/>
              </w:rPr>
            </w:pPr>
          </w:p>
          <w:p w14:paraId="6D3BAC4F" w14:textId="77777777" w:rsidR="00E01344" w:rsidRPr="002C4E0D" w:rsidRDefault="00E01344" w:rsidP="00E01344">
            <w:pPr>
              <w:jc w:val="center"/>
              <w:rPr>
                <w:rFonts w:ascii="Segoe UI" w:eastAsia="Times New Roman" w:hAnsi="Segoe UI" w:cs="Segoe UI"/>
                <w:sz w:val="20"/>
                <w:szCs w:val="20"/>
                <w:lang w:eastAsia="sq-AL"/>
              </w:rPr>
            </w:pPr>
          </w:p>
          <w:p w14:paraId="254E4BC9" w14:textId="77777777" w:rsidR="00E01344" w:rsidRPr="002C4E0D" w:rsidRDefault="00E01344" w:rsidP="00E01344">
            <w:pPr>
              <w:jc w:val="center"/>
              <w:rPr>
                <w:rFonts w:ascii="Segoe UI" w:eastAsia="Times New Roman" w:hAnsi="Segoe UI" w:cs="Segoe UI"/>
                <w:sz w:val="20"/>
                <w:szCs w:val="20"/>
                <w:lang w:eastAsia="sq-AL"/>
              </w:rPr>
            </w:pPr>
          </w:p>
          <w:p w14:paraId="47BE25E0" w14:textId="77777777" w:rsidR="00E01344" w:rsidRPr="002C4E0D" w:rsidRDefault="00E01344" w:rsidP="00E01344">
            <w:pPr>
              <w:jc w:val="center"/>
              <w:rPr>
                <w:rFonts w:ascii="Segoe UI" w:eastAsia="Times New Roman" w:hAnsi="Segoe UI" w:cs="Segoe UI"/>
                <w:sz w:val="20"/>
                <w:szCs w:val="20"/>
                <w:lang w:eastAsia="sq-AL"/>
              </w:rPr>
            </w:pPr>
          </w:p>
          <w:p w14:paraId="64BFE3A1" w14:textId="77777777" w:rsidR="00E01344" w:rsidRPr="002C4E0D" w:rsidRDefault="00E01344" w:rsidP="00E01344">
            <w:pPr>
              <w:jc w:val="center"/>
              <w:rPr>
                <w:rFonts w:ascii="Segoe UI" w:eastAsia="Times New Roman" w:hAnsi="Segoe UI" w:cs="Segoe UI"/>
                <w:sz w:val="20"/>
                <w:szCs w:val="20"/>
                <w:lang w:eastAsia="sq-AL"/>
              </w:rPr>
            </w:pPr>
          </w:p>
          <w:p w14:paraId="308C8EDA" w14:textId="77777777" w:rsidR="00E01344" w:rsidRPr="002C4E0D" w:rsidRDefault="00E01344" w:rsidP="00E01344">
            <w:pPr>
              <w:jc w:val="center"/>
              <w:rPr>
                <w:rFonts w:ascii="Segoe UI" w:eastAsia="Times New Roman" w:hAnsi="Segoe UI" w:cs="Segoe UI"/>
                <w:sz w:val="20"/>
                <w:szCs w:val="20"/>
                <w:lang w:eastAsia="sq-AL"/>
              </w:rPr>
            </w:pPr>
          </w:p>
          <w:p w14:paraId="1B51023C" w14:textId="77777777" w:rsidR="00E01344" w:rsidRPr="002C4E0D" w:rsidRDefault="00E01344" w:rsidP="00E01344">
            <w:pPr>
              <w:jc w:val="center"/>
              <w:rPr>
                <w:rFonts w:ascii="Segoe UI" w:eastAsia="Times New Roman" w:hAnsi="Segoe UI" w:cs="Segoe UI"/>
                <w:sz w:val="20"/>
                <w:szCs w:val="20"/>
                <w:lang w:eastAsia="sq-AL"/>
              </w:rPr>
            </w:pPr>
          </w:p>
          <w:p w14:paraId="0DCF84C0" w14:textId="77777777" w:rsidR="00E01344" w:rsidRPr="002C4E0D" w:rsidRDefault="00E01344" w:rsidP="00E01344">
            <w:pPr>
              <w:jc w:val="center"/>
              <w:rPr>
                <w:rFonts w:ascii="Segoe UI" w:eastAsia="Times New Roman" w:hAnsi="Segoe UI" w:cs="Segoe UI"/>
                <w:sz w:val="20"/>
                <w:szCs w:val="20"/>
                <w:lang w:eastAsia="sq-AL"/>
              </w:rPr>
            </w:pPr>
          </w:p>
          <w:p w14:paraId="6D248221" w14:textId="77777777" w:rsidR="00E01344" w:rsidRPr="002C4E0D" w:rsidRDefault="00E01344" w:rsidP="00E01344">
            <w:pPr>
              <w:jc w:val="center"/>
              <w:rPr>
                <w:rFonts w:ascii="Segoe UI" w:eastAsia="Times New Roman" w:hAnsi="Segoe UI" w:cs="Segoe UI"/>
                <w:sz w:val="20"/>
                <w:szCs w:val="20"/>
                <w:lang w:eastAsia="sq-AL"/>
              </w:rPr>
            </w:pPr>
          </w:p>
          <w:p w14:paraId="2CA117A9" w14:textId="77777777" w:rsidR="00E01344" w:rsidRPr="002C4E0D" w:rsidRDefault="00E01344" w:rsidP="00E01344">
            <w:pPr>
              <w:jc w:val="center"/>
              <w:rPr>
                <w:rFonts w:ascii="Segoe UI" w:eastAsia="Times New Roman" w:hAnsi="Segoe UI" w:cs="Segoe UI"/>
                <w:sz w:val="20"/>
                <w:szCs w:val="20"/>
                <w:lang w:eastAsia="sq-AL"/>
              </w:rPr>
            </w:pPr>
          </w:p>
          <w:p w14:paraId="3B1588FC" w14:textId="77777777" w:rsidR="00E01344" w:rsidRPr="002C4E0D" w:rsidRDefault="00E01344" w:rsidP="00E01344">
            <w:pPr>
              <w:jc w:val="center"/>
              <w:rPr>
                <w:rFonts w:ascii="Segoe UI" w:eastAsia="Times New Roman" w:hAnsi="Segoe UI" w:cs="Segoe UI"/>
                <w:sz w:val="20"/>
                <w:szCs w:val="20"/>
                <w:lang w:eastAsia="sq-AL"/>
              </w:rPr>
            </w:pPr>
          </w:p>
          <w:p w14:paraId="4434F62D" w14:textId="77777777" w:rsidR="00E01344" w:rsidRPr="002C4E0D" w:rsidRDefault="00E01344" w:rsidP="00E01344">
            <w:pPr>
              <w:jc w:val="center"/>
              <w:rPr>
                <w:rFonts w:ascii="Segoe UI" w:eastAsia="Times New Roman" w:hAnsi="Segoe UI" w:cs="Segoe UI"/>
                <w:sz w:val="20"/>
                <w:szCs w:val="20"/>
                <w:lang w:eastAsia="sq-AL"/>
              </w:rPr>
            </w:pPr>
          </w:p>
          <w:p w14:paraId="3ED4F2E4" w14:textId="77777777" w:rsidR="00E01344" w:rsidRPr="002C4E0D" w:rsidRDefault="00E01344" w:rsidP="00E01344">
            <w:pPr>
              <w:jc w:val="center"/>
              <w:rPr>
                <w:rFonts w:ascii="Segoe UI" w:eastAsia="Times New Roman" w:hAnsi="Segoe UI" w:cs="Segoe UI"/>
                <w:sz w:val="20"/>
                <w:szCs w:val="20"/>
                <w:lang w:eastAsia="sq-AL"/>
              </w:rPr>
            </w:pPr>
          </w:p>
          <w:p w14:paraId="0A76E6CE" w14:textId="77777777" w:rsidR="00E01344" w:rsidRPr="002C4E0D" w:rsidRDefault="00E01344" w:rsidP="00E01344">
            <w:pPr>
              <w:jc w:val="center"/>
              <w:rPr>
                <w:rFonts w:ascii="Segoe UI" w:eastAsia="Times New Roman" w:hAnsi="Segoe UI" w:cs="Segoe UI"/>
                <w:sz w:val="20"/>
                <w:szCs w:val="20"/>
                <w:lang w:eastAsia="sq-AL"/>
              </w:rPr>
            </w:pPr>
          </w:p>
          <w:p w14:paraId="74FFE9A5" w14:textId="77777777" w:rsidR="00E01344" w:rsidRPr="002C4E0D" w:rsidRDefault="00E01344" w:rsidP="00E01344">
            <w:pPr>
              <w:rPr>
                <w:rFonts w:ascii="Segoe UI" w:eastAsia="Times New Roman" w:hAnsi="Segoe UI" w:cs="Segoe UI"/>
                <w:sz w:val="20"/>
                <w:szCs w:val="20"/>
                <w:lang w:eastAsia="sq-AL"/>
              </w:rPr>
            </w:pPr>
          </w:p>
          <w:p w14:paraId="18B35B40" w14:textId="77777777" w:rsidR="00E01344" w:rsidRPr="002C4E0D" w:rsidRDefault="00E01344" w:rsidP="00E01344">
            <w:pPr>
              <w:jc w:val="center"/>
              <w:rPr>
                <w:rFonts w:ascii="Segoe UI" w:eastAsia="Times New Roman" w:hAnsi="Segoe UI" w:cs="Segoe UI"/>
                <w:sz w:val="20"/>
                <w:szCs w:val="20"/>
                <w:lang w:eastAsia="sq-AL"/>
              </w:rPr>
            </w:pPr>
          </w:p>
          <w:p w14:paraId="33C066EA" w14:textId="77777777" w:rsidR="00E01344" w:rsidRPr="002C4E0D" w:rsidRDefault="00E01344" w:rsidP="00E01344">
            <w:pPr>
              <w:jc w:val="center"/>
              <w:rPr>
                <w:rFonts w:ascii="Segoe UI" w:eastAsia="Times New Roman" w:hAnsi="Segoe UI" w:cs="Segoe UI"/>
                <w:sz w:val="20"/>
                <w:szCs w:val="20"/>
                <w:lang w:eastAsia="sq-AL"/>
              </w:rPr>
            </w:pPr>
          </w:p>
          <w:p w14:paraId="7738EF7A" w14:textId="77777777" w:rsidR="00E01344" w:rsidRPr="002C4E0D" w:rsidRDefault="00E01344" w:rsidP="00E01344">
            <w:pPr>
              <w:jc w:val="center"/>
              <w:rPr>
                <w:rFonts w:ascii="Segoe UI" w:eastAsia="Times New Roman" w:hAnsi="Segoe UI" w:cs="Segoe UI"/>
                <w:sz w:val="20"/>
                <w:szCs w:val="20"/>
                <w:lang w:eastAsia="sq-AL"/>
              </w:rPr>
            </w:pPr>
          </w:p>
          <w:p w14:paraId="5E481EAB" w14:textId="77777777" w:rsidR="00E01344" w:rsidRPr="002C4E0D" w:rsidRDefault="00E01344" w:rsidP="00E01344">
            <w:pPr>
              <w:jc w:val="center"/>
              <w:rPr>
                <w:rFonts w:ascii="Segoe UI" w:eastAsia="Times New Roman" w:hAnsi="Segoe UI" w:cs="Segoe UI"/>
                <w:sz w:val="20"/>
                <w:szCs w:val="20"/>
                <w:lang w:eastAsia="sq-AL"/>
              </w:rPr>
            </w:pPr>
          </w:p>
          <w:p w14:paraId="0FCD6FFF" w14:textId="77777777" w:rsidR="00E01344" w:rsidRPr="002C4E0D" w:rsidRDefault="00E01344" w:rsidP="00E01344">
            <w:pPr>
              <w:jc w:val="center"/>
              <w:rPr>
                <w:rFonts w:ascii="Segoe UI" w:eastAsia="Times New Roman" w:hAnsi="Segoe UI" w:cs="Segoe UI"/>
                <w:sz w:val="20"/>
                <w:szCs w:val="20"/>
                <w:lang w:eastAsia="sq-AL"/>
              </w:rPr>
            </w:pPr>
          </w:p>
          <w:p w14:paraId="574E565D" w14:textId="77777777" w:rsidR="00E01344" w:rsidRPr="002C4E0D" w:rsidRDefault="00E01344" w:rsidP="00E01344">
            <w:pPr>
              <w:jc w:val="center"/>
              <w:rPr>
                <w:rFonts w:ascii="Segoe UI" w:eastAsia="Times New Roman" w:hAnsi="Segoe UI" w:cs="Segoe UI"/>
                <w:sz w:val="20"/>
                <w:szCs w:val="20"/>
                <w:lang w:eastAsia="sq-AL"/>
              </w:rPr>
            </w:pPr>
          </w:p>
          <w:p w14:paraId="7354079F" w14:textId="77777777" w:rsidR="00E01344" w:rsidRPr="002C4E0D" w:rsidRDefault="00E01344" w:rsidP="00E01344">
            <w:pPr>
              <w:jc w:val="center"/>
              <w:rPr>
                <w:rFonts w:ascii="Segoe UI" w:eastAsia="Times New Roman" w:hAnsi="Segoe UI" w:cs="Segoe UI"/>
                <w:sz w:val="20"/>
                <w:szCs w:val="20"/>
                <w:lang w:eastAsia="sq-AL"/>
              </w:rPr>
            </w:pPr>
          </w:p>
          <w:p w14:paraId="79B556CB" w14:textId="77777777" w:rsidR="00E01344" w:rsidRPr="002C4E0D" w:rsidRDefault="00E01344" w:rsidP="00E01344">
            <w:pPr>
              <w:jc w:val="center"/>
              <w:rPr>
                <w:rFonts w:ascii="Segoe UI" w:eastAsia="Times New Roman" w:hAnsi="Segoe UI" w:cs="Segoe UI"/>
                <w:sz w:val="20"/>
                <w:szCs w:val="20"/>
                <w:lang w:eastAsia="sq-AL"/>
              </w:rPr>
            </w:pPr>
          </w:p>
          <w:p w14:paraId="3CCFA9A6" w14:textId="77777777" w:rsidR="00E01344" w:rsidRPr="002C4E0D" w:rsidRDefault="00E01344" w:rsidP="00E01344">
            <w:pPr>
              <w:jc w:val="center"/>
              <w:rPr>
                <w:rFonts w:ascii="Segoe UI" w:eastAsia="Times New Roman" w:hAnsi="Segoe UI" w:cs="Segoe UI"/>
                <w:sz w:val="20"/>
                <w:szCs w:val="20"/>
                <w:lang w:eastAsia="sq-AL"/>
              </w:rPr>
            </w:pPr>
          </w:p>
          <w:p w14:paraId="05AC218C" w14:textId="77777777" w:rsidR="00E01344" w:rsidRPr="002C4E0D" w:rsidRDefault="00E01344" w:rsidP="00E01344">
            <w:pPr>
              <w:jc w:val="center"/>
              <w:rPr>
                <w:rFonts w:ascii="Segoe UI" w:eastAsia="Times New Roman" w:hAnsi="Segoe UI" w:cs="Segoe UI"/>
                <w:sz w:val="20"/>
                <w:szCs w:val="20"/>
                <w:lang w:eastAsia="sq-AL"/>
              </w:rPr>
            </w:pPr>
          </w:p>
          <w:p w14:paraId="378F9BFA" w14:textId="77777777" w:rsidR="00E01344" w:rsidRPr="002C4E0D" w:rsidRDefault="00E01344" w:rsidP="00E01344">
            <w:pPr>
              <w:jc w:val="center"/>
              <w:rPr>
                <w:rFonts w:ascii="Segoe UI" w:eastAsia="Times New Roman" w:hAnsi="Segoe UI" w:cs="Segoe UI"/>
                <w:sz w:val="20"/>
                <w:szCs w:val="20"/>
                <w:lang w:eastAsia="sq-AL"/>
              </w:rPr>
            </w:pPr>
          </w:p>
          <w:p w14:paraId="1B5F8E6E" w14:textId="77777777" w:rsidR="00E01344" w:rsidRPr="002C4E0D" w:rsidRDefault="00E01344" w:rsidP="00E01344">
            <w:pPr>
              <w:jc w:val="center"/>
              <w:rPr>
                <w:rFonts w:ascii="Segoe UI" w:eastAsia="Times New Roman" w:hAnsi="Segoe UI" w:cs="Segoe UI"/>
                <w:sz w:val="20"/>
                <w:szCs w:val="20"/>
                <w:lang w:eastAsia="sq-AL"/>
              </w:rPr>
            </w:pPr>
          </w:p>
          <w:p w14:paraId="3BE7C5D0" w14:textId="77777777" w:rsidR="00E01344" w:rsidRPr="002C4E0D" w:rsidRDefault="00E01344" w:rsidP="00E01344">
            <w:pPr>
              <w:jc w:val="center"/>
              <w:rPr>
                <w:rFonts w:ascii="Segoe UI" w:eastAsia="Times New Roman" w:hAnsi="Segoe UI" w:cs="Segoe UI"/>
                <w:sz w:val="20"/>
                <w:szCs w:val="20"/>
                <w:lang w:eastAsia="sq-AL"/>
              </w:rPr>
            </w:pPr>
          </w:p>
          <w:p w14:paraId="459C8AB6" w14:textId="7D4F5D46" w:rsidR="00E01344" w:rsidRPr="002C4E0D" w:rsidRDefault="00E01344" w:rsidP="00E01344">
            <w:pPr>
              <w:rPr>
                <w:rFonts w:ascii="Segoe UI" w:eastAsia="Times New Roman" w:hAnsi="Segoe UI" w:cs="Segoe UI"/>
                <w:sz w:val="20"/>
                <w:szCs w:val="20"/>
                <w:lang w:eastAsia="sq-AL"/>
              </w:rPr>
            </w:pPr>
          </w:p>
          <w:p w14:paraId="10A99AC1" w14:textId="77777777" w:rsidR="00E01344" w:rsidRPr="002C4E0D" w:rsidRDefault="00E01344" w:rsidP="00E01344">
            <w:pPr>
              <w:jc w:val="center"/>
              <w:rPr>
                <w:rFonts w:ascii="Segoe UI" w:eastAsia="Times New Roman" w:hAnsi="Segoe UI" w:cs="Segoe UI"/>
                <w:sz w:val="20"/>
                <w:szCs w:val="20"/>
                <w:lang w:eastAsia="sq-AL"/>
              </w:rPr>
            </w:pPr>
          </w:p>
          <w:p w14:paraId="55A28A2C" w14:textId="77777777" w:rsidR="00E01344" w:rsidRPr="002C4E0D" w:rsidRDefault="00E01344" w:rsidP="00E01344">
            <w:pPr>
              <w:jc w:val="center"/>
              <w:rPr>
                <w:rFonts w:ascii="Segoe UI" w:eastAsia="Times New Roman" w:hAnsi="Segoe UI" w:cs="Segoe UI"/>
                <w:sz w:val="20"/>
                <w:szCs w:val="20"/>
                <w:lang w:eastAsia="sq-AL"/>
              </w:rPr>
            </w:pPr>
          </w:p>
          <w:p w14:paraId="579B8C54" w14:textId="77777777" w:rsidR="00E01344" w:rsidRPr="002C4E0D" w:rsidRDefault="00E01344" w:rsidP="00E01344">
            <w:pPr>
              <w:jc w:val="center"/>
              <w:rPr>
                <w:rFonts w:ascii="Segoe UI" w:eastAsia="Times New Roman" w:hAnsi="Segoe UI" w:cs="Segoe UI"/>
                <w:sz w:val="20"/>
                <w:szCs w:val="20"/>
                <w:lang w:eastAsia="sq-AL"/>
              </w:rPr>
            </w:pPr>
          </w:p>
          <w:p w14:paraId="05636443" w14:textId="77777777" w:rsidR="00E01344" w:rsidRPr="002C4E0D" w:rsidRDefault="00E01344" w:rsidP="00E01344">
            <w:pPr>
              <w:jc w:val="center"/>
              <w:rPr>
                <w:rFonts w:ascii="Segoe UI" w:eastAsia="Times New Roman" w:hAnsi="Segoe UI" w:cs="Segoe UI"/>
                <w:sz w:val="20"/>
                <w:szCs w:val="20"/>
                <w:lang w:eastAsia="sq-AL"/>
              </w:rPr>
            </w:pPr>
          </w:p>
          <w:p w14:paraId="510A077A" w14:textId="77777777" w:rsidR="00E01344" w:rsidRPr="002C4E0D" w:rsidRDefault="00E01344" w:rsidP="00E01344">
            <w:pPr>
              <w:jc w:val="center"/>
              <w:rPr>
                <w:rFonts w:ascii="Segoe UI" w:eastAsia="Times New Roman" w:hAnsi="Segoe UI" w:cs="Segoe UI"/>
                <w:sz w:val="20"/>
                <w:szCs w:val="20"/>
                <w:lang w:eastAsia="sq-AL"/>
              </w:rPr>
            </w:pPr>
          </w:p>
          <w:p w14:paraId="08CDA273" w14:textId="77777777" w:rsidR="00E01344" w:rsidRPr="002C4E0D" w:rsidRDefault="00E01344" w:rsidP="00E01344">
            <w:pPr>
              <w:jc w:val="center"/>
              <w:rPr>
                <w:rFonts w:ascii="Segoe UI" w:eastAsia="Times New Roman" w:hAnsi="Segoe UI" w:cs="Segoe UI"/>
                <w:sz w:val="20"/>
                <w:szCs w:val="20"/>
                <w:lang w:eastAsia="sq-AL"/>
              </w:rPr>
            </w:pPr>
          </w:p>
          <w:p w14:paraId="53DDC20F" w14:textId="77777777" w:rsidR="00E01344" w:rsidRPr="002C4E0D" w:rsidRDefault="00E01344" w:rsidP="00E01344">
            <w:pPr>
              <w:jc w:val="center"/>
              <w:rPr>
                <w:rFonts w:ascii="Segoe UI" w:eastAsia="Times New Roman" w:hAnsi="Segoe UI" w:cs="Segoe UI"/>
                <w:sz w:val="20"/>
                <w:szCs w:val="20"/>
                <w:lang w:eastAsia="sq-AL"/>
              </w:rPr>
            </w:pPr>
          </w:p>
          <w:p w14:paraId="7D6AA0B2" w14:textId="77777777" w:rsidR="00E01344" w:rsidRPr="002C4E0D" w:rsidRDefault="00E01344" w:rsidP="00E01344">
            <w:pPr>
              <w:jc w:val="center"/>
              <w:rPr>
                <w:rFonts w:ascii="Segoe UI" w:eastAsia="Times New Roman" w:hAnsi="Segoe UI" w:cs="Segoe UI"/>
                <w:sz w:val="20"/>
                <w:szCs w:val="20"/>
                <w:lang w:eastAsia="sq-AL"/>
              </w:rPr>
            </w:pPr>
          </w:p>
          <w:p w14:paraId="535BE245" w14:textId="233E3F96" w:rsidR="00E01344" w:rsidRPr="002C4E0D" w:rsidRDefault="00E01344" w:rsidP="002C4E0D">
            <w:pPr>
              <w:pStyle w:val="Heading3"/>
              <w:spacing w:line="276" w:lineRule="auto"/>
              <w:rPr>
                <w:b w:val="0"/>
                <w:sz w:val="20"/>
                <w:szCs w:val="20"/>
                <w:lang w:val="sq-AL"/>
              </w:rPr>
            </w:pPr>
            <w:r w:rsidRPr="002C4E0D">
              <w:rPr>
                <w:b w:val="0"/>
                <w:sz w:val="20"/>
                <w:szCs w:val="20"/>
                <w:lang w:val="sq-AL"/>
              </w:rPr>
              <w:t>Neni 4</w:t>
            </w:r>
          </w:p>
          <w:p w14:paraId="07044F41" w14:textId="304A1DE5" w:rsidR="00E01344" w:rsidRPr="002C4E0D" w:rsidRDefault="00E01344" w:rsidP="00E01344">
            <w:pPr>
              <w:pStyle w:val="NormalWeb"/>
              <w:jc w:val="center"/>
              <w:rPr>
                <w:sz w:val="20"/>
                <w:szCs w:val="20"/>
                <w:lang w:val="sq-AL"/>
              </w:rPr>
            </w:pPr>
          </w:p>
          <w:p w14:paraId="3EC3C5E4" w14:textId="432B10FB"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281839A3"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34E8584"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C49EA51"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B380F56"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A8570D2"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23A3B46"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F244FD1"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23B32FDA"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1E22E9AB"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21CF13B"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23ABA46"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3FA9B72F"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361C0B80"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1B0DB1EB"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484260E"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1704DEB6"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37A475DF"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3B2B352F"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49442B37"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59DC445"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E8355A9"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5FF58FAB"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658D34E"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C7593CD"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2F15216D"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5362971"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DE5D9D7"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23FAF095"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3EBBF45C"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9C6905D"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71D1090"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p>
          <w:p w14:paraId="69FFEA0F"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EA9E427"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686A3068" w14:textId="4C71B20E"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Segoe UI" w:eastAsia="Times New Roman" w:hAnsi="Segoe UI" w:cs="Segoe UI"/>
                <w:sz w:val="20"/>
                <w:szCs w:val="20"/>
                <w:lang w:eastAsia="sq-AL"/>
              </w:rPr>
              <w:br/>
            </w:r>
          </w:p>
          <w:p w14:paraId="3FA4F350"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4</w:t>
            </w:r>
          </w:p>
          <w:p w14:paraId="36172013"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Përkufizime</w:t>
            </w:r>
          </w:p>
          <w:p w14:paraId="0FFA5193"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p>
          <w:p w14:paraId="640B2024"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lastRenderedPageBreak/>
              <w:t>1. “Mekanizëm ndërkufitar” është një marrëveshje që ka të bëjë me më shumë se një juridiksion, ku plotësohet të paktën një nga kushtet e mëposhtme:</w:t>
            </w:r>
          </w:p>
          <w:p w14:paraId="19DCFF5D"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 </w:t>
            </w:r>
          </w:p>
          <w:p w14:paraId="4E3D570B"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a) jo të gjithë pjesëmarrësit në marrëveshje janë rezidentë për qëllime tatimore në të njëjtin juridiksion; </w:t>
            </w:r>
          </w:p>
          <w:p w14:paraId="22412D0B"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b) një ose më shumë pjesëmarrës në marrëveshje janë njëkohësisht rezidentë për qëllime tatimore në më shumë se një juridiksion; </w:t>
            </w:r>
          </w:p>
          <w:p w14:paraId="3969D5FD"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c) një ose më shumë pjesëmarrës në marrëveshje ushtrojnë një veprimtari ekonomike në një juridiksion tjetër nëpërmjet një selie të përhershme të vendosur në atë juridiksion dhe marrëveshja përbën një pjesë ose të gjithë aktivitetin e asaj selie të përhershme;</w:t>
            </w:r>
          </w:p>
          <w:p w14:paraId="48DBE74E" w14:textId="2C432054" w:rsidR="00E01344" w:rsidRPr="002C4E0D" w:rsidRDefault="00E01344" w:rsidP="00E01344">
            <w:pPr>
              <w:spacing w:line="300" w:lineRule="atLeast"/>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ç) një ose më shumë pjesëmarrës në marrëveshje ushtrojnë një aktivitet në një juridiksion tjetër pa qenë rezidentë për qëllime tatimore ose pa krijuar një seli të përhershme në atë juridiksion; d) marrëveshja ka një efekt  të mundshëm në shkëmbimin automatik të informacionit ose identifikimin e pronarëve përfitues të personave të përfshirë në marrëveshje.</w:t>
            </w:r>
          </w:p>
          <w:p w14:paraId="0CB9D409" w14:textId="500804FB"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5EB3F55C" w14:textId="38D8C501"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6F0A977E"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105B9DF0" w14:textId="5059F4B6"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260DC049" w14:textId="78968602"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41A00498" w14:textId="32DD1D73"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67BFA3A2" w14:textId="3DF57C68"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0DB2739B" w14:textId="1209C246"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1B6EBD6A" w14:textId="02655804"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04EE3007" w14:textId="40B53438"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02A1113E" w14:textId="781F37F5"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60B2BA4D" w14:textId="43A1F5F6"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3765BDFA" w14:textId="5535F0F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5EFDCC61"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493A1A39"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6AC8B0EC"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7974D48E"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7E7E920F" w14:textId="24806A72" w:rsidR="00E01344" w:rsidRPr="002C4E0D" w:rsidRDefault="00E01344" w:rsidP="00E01344">
            <w:pPr>
              <w:spacing w:line="300" w:lineRule="atLeast"/>
              <w:rPr>
                <w:rFonts w:ascii="Segoe UI" w:eastAsia="Times New Roman" w:hAnsi="Segoe UI" w:cs="Segoe UI"/>
                <w:sz w:val="20"/>
                <w:szCs w:val="20"/>
                <w:lang w:eastAsia="sq-AL"/>
              </w:rPr>
            </w:pPr>
            <w:r w:rsidRPr="002C4E0D">
              <w:rPr>
                <w:rFonts w:ascii="Times New Roman" w:eastAsia="Times New Roman" w:hAnsi="Times New Roman" w:cs="Times New Roman"/>
                <w:sz w:val="20"/>
                <w:szCs w:val="20"/>
                <w:lang w:eastAsia="sq-AL"/>
              </w:rPr>
              <w:t>2. “Mekanizëm ndërkufitar i raportueshëm” është çdo marrëveshje ndërkufitare që përmban të paktën një nga shenjat dalluese të përcaktuara në Shtojcën  bashkëngjitur këtij ligji.</w:t>
            </w:r>
          </w:p>
          <w:p w14:paraId="58B63904" w14:textId="77777777" w:rsidR="00E01344" w:rsidRPr="002C4E0D" w:rsidRDefault="00E01344" w:rsidP="00E01344">
            <w:pPr>
              <w:spacing w:line="300" w:lineRule="atLeast"/>
              <w:rPr>
                <w:rFonts w:ascii="Segoe UI" w:eastAsia="Times New Roman" w:hAnsi="Segoe UI" w:cs="Segoe UI"/>
                <w:sz w:val="20"/>
                <w:szCs w:val="20"/>
                <w:lang w:eastAsia="sq-AL"/>
              </w:rPr>
            </w:pPr>
          </w:p>
          <w:p w14:paraId="700EE0DD" w14:textId="662316C5" w:rsidR="00E01344" w:rsidRPr="002C4E0D" w:rsidRDefault="00E01344" w:rsidP="00E01344">
            <w:pPr>
              <w:spacing w:line="300" w:lineRule="atLeast"/>
              <w:rPr>
                <w:rFonts w:ascii="Segoe UI" w:eastAsia="Times New Roman" w:hAnsi="Segoe UI" w:cs="Segoe UI"/>
                <w:sz w:val="20"/>
                <w:szCs w:val="20"/>
                <w:lang w:eastAsia="sq-AL"/>
              </w:rPr>
            </w:pPr>
            <w:r w:rsidRPr="002C4E0D">
              <w:rPr>
                <w:rFonts w:ascii="Times New Roman" w:eastAsia="Times New Roman" w:hAnsi="Times New Roman" w:cs="Times New Roman"/>
                <w:sz w:val="20"/>
                <w:szCs w:val="20"/>
                <w:lang w:eastAsia="sq-AL"/>
              </w:rPr>
              <w:t>3. “Shenjë dalluese” është një karakteristikë ose tipar i një marrëveshjeje ndërkufitare që paraqet një tregues të një rreziku të mundshëm të shmangies tatimore, siç përcaktohet në shtojcën e këtij ligji.</w:t>
            </w:r>
          </w:p>
          <w:p w14:paraId="472E6766" w14:textId="77777777" w:rsidR="00E01344" w:rsidRPr="002C4E0D" w:rsidRDefault="00E01344" w:rsidP="00E01344">
            <w:pPr>
              <w:spacing w:line="300" w:lineRule="atLeast"/>
              <w:rPr>
                <w:rFonts w:ascii="Times New Roman" w:eastAsia="Times New Roman" w:hAnsi="Times New Roman" w:cs="Times New Roman"/>
                <w:sz w:val="20"/>
                <w:szCs w:val="20"/>
                <w:lang w:eastAsia="sq-AL"/>
              </w:rPr>
            </w:pPr>
          </w:p>
          <w:p w14:paraId="58B902EF" w14:textId="77777777" w:rsidR="00EF0022" w:rsidRPr="002C4E0D" w:rsidRDefault="00EF0022" w:rsidP="00E01344">
            <w:pPr>
              <w:spacing w:line="300" w:lineRule="atLeast"/>
              <w:rPr>
                <w:rFonts w:ascii="Times New Roman" w:eastAsia="Times New Roman" w:hAnsi="Times New Roman" w:cs="Times New Roman"/>
                <w:sz w:val="20"/>
                <w:szCs w:val="20"/>
                <w:lang w:eastAsia="sq-AL"/>
              </w:rPr>
            </w:pPr>
          </w:p>
          <w:p w14:paraId="349DEF3F"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 xml:space="preserve">4. “Ndërmjetës” është çdo person që harton, tregton, organizon ose vë në dispozicion për zbatim, ose menaxhon zbatimin e një Mekanizëm ndërkufitar i raportueshëm. Ky term përfshin gjithashtu çdo person që, duke pasur parasysh faktet dhe rrethanat përkatëse, si dhe bazuar në informacionin e disponueshëm dhe ekspertizën përkatëse, e di ose mund të pritet në mënyrë të arsyeshme të dijë se ka </w:t>
            </w:r>
            <w:r w:rsidRPr="002C4E0D">
              <w:rPr>
                <w:rFonts w:eastAsia="Times New Roman"/>
                <w:sz w:val="20"/>
                <w:szCs w:val="20"/>
                <w:lang w:eastAsia="sq-AL"/>
              </w:rPr>
              <w:lastRenderedPageBreak/>
              <w:t xml:space="preserve">marrë përsipër  të ofrojë, drejtpërdrejt ose me anë të personave të tjerë, ndihmë, asistencë ose këshilla në lidhje me hartimin, tregtimin, organizimin, vënien në dispozicion për zbatim ose menaxhimin e zbatimit të një Mekanizëm ndërkufitar i raportueshëm. </w:t>
            </w:r>
          </w:p>
          <w:p w14:paraId="29F00D3F"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 xml:space="preserve">Çdo person ka të drejtë të paraqesë prova se nuk kishte dijeni dhe, bazuar në rrethanat konkrete, nuk mund të pritej në mënyrë të arsyeshme të kishte dijenise ishte i përfshirë në një mekanizëm ndërkufitar të raportueshme.  </w:t>
            </w:r>
          </w:p>
          <w:p w14:paraId="7938E231"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Për këtë qëllim, ai person mund t'i referohet të gjitha fakteve dhe rrethanave përkatëse, si dhe informacionit të disponueshëm dhe ekspertizës dhe kuptimit të tij përkatës.</w:t>
            </w:r>
          </w:p>
          <w:p w14:paraId="164A721E"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 xml:space="preserve">Për të qenë ndërmjetës, një person duhet të përmbushë të paktën një nga kushtet shtesë  të mëposhtme: </w:t>
            </w:r>
          </w:p>
          <w:p w14:paraId="4108B1F4"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a) të jetë rezident për qëllime tatimore në Shqipëri;</w:t>
            </w:r>
          </w:p>
          <w:p w14:paraId="059FBB4E"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 xml:space="preserve"> </w:t>
            </w:r>
          </w:p>
          <w:p w14:paraId="5BE154C2" w14:textId="77777777"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b) të ketë një seli të përhershme në Shqipëri, nëpërmjet së cilës ofrohen shërbimet në lidhje me marrëveshjen;</w:t>
            </w:r>
          </w:p>
          <w:p w14:paraId="6038E358" w14:textId="493A692A" w:rsidR="00EF0022" w:rsidRPr="002C4E0D" w:rsidRDefault="00EF0022" w:rsidP="00EF0022">
            <w:pPr>
              <w:pStyle w:val="NormalWeb"/>
              <w:jc w:val="both"/>
              <w:rPr>
                <w:rFonts w:eastAsia="Times New Roman"/>
                <w:sz w:val="20"/>
                <w:szCs w:val="20"/>
                <w:lang w:eastAsia="sq-AL"/>
              </w:rPr>
            </w:pPr>
            <w:r w:rsidRPr="002C4E0D">
              <w:rPr>
                <w:rFonts w:eastAsia="Times New Roman"/>
                <w:sz w:val="20"/>
                <w:szCs w:val="20"/>
                <w:lang w:eastAsia="sq-AL"/>
              </w:rPr>
              <w:t xml:space="preserve"> c) të jetë i themeluar në, ose i rregulluar nga ligjet e Republikës së Shqipërisë;</w:t>
            </w:r>
          </w:p>
          <w:p w14:paraId="333AC0BB" w14:textId="7301C3ED" w:rsidR="00E01344" w:rsidRPr="002C4E0D" w:rsidRDefault="00EF0022" w:rsidP="002C4E0D">
            <w:pPr>
              <w:pStyle w:val="NormalWeb"/>
              <w:jc w:val="both"/>
              <w:rPr>
                <w:sz w:val="20"/>
                <w:szCs w:val="20"/>
                <w:lang w:val="sq-AL"/>
              </w:rPr>
            </w:pPr>
            <w:r w:rsidRPr="002C4E0D">
              <w:rPr>
                <w:rFonts w:eastAsia="Times New Roman"/>
                <w:sz w:val="20"/>
                <w:szCs w:val="20"/>
                <w:lang w:eastAsia="sq-AL"/>
              </w:rPr>
              <w:t xml:space="preserve"> ç) të jetë i regjistruar në një shoqatë profesionale që lidhet me shërbimet ligjore, tatimore ose të këshillimit në Republiknë e Shqipërisë.</w:t>
            </w:r>
          </w:p>
          <w:p w14:paraId="7DDE19C5" w14:textId="77777777" w:rsidR="00E01344" w:rsidRPr="0042075D" w:rsidRDefault="00E01344" w:rsidP="00E01344">
            <w:pPr>
              <w:spacing w:line="276" w:lineRule="auto"/>
              <w:jc w:val="both"/>
              <w:rPr>
                <w:rFonts w:ascii="Times New Roman" w:hAnsi="Times New Roman" w:cs="Times New Roman"/>
                <w:sz w:val="20"/>
                <w:szCs w:val="20"/>
              </w:rPr>
            </w:pPr>
          </w:p>
          <w:p w14:paraId="3C6DA686" w14:textId="77777777" w:rsidR="00E01344" w:rsidRPr="0042075D" w:rsidRDefault="00E01344" w:rsidP="00E01344">
            <w:pPr>
              <w:spacing w:line="276" w:lineRule="auto"/>
              <w:jc w:val="both"/>
              <w:rPr>
                <w:rFonts w:ascii="Times New Roman" w:hAnsi="Times New Roman" w:cs="Times New Roman"/>
                <w:sz w:val="20"/>
                <w:szCs w:val="20"/>
              </w:rPr>
            </w:pPr>
          </w:p>
          <w:p w14:paraId="2EB5904D" w14:textId="4C8F9C5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5. “Tatimpagues përkatës” është çdo person të cilit i është vënë në dispozicion për zbatim një mekanizëm ndërkufitar i raportueshëm, ose i cili është gati të zbatojë një mekanizëm të tillë, ose ka zbatuar hapin e parë të tij.</w:t>
            </w:r>
          </w:p>
          <w:p w14:paraId="7DE3EAFE" w14:textId="77777777" w:rsidR="00E01344" w:rsidRPr="0042075D" w:rsidRDefault="00E01344" w:rsidP="00E01344">
            <w:pPr>
              <w:spacing w:line="276" w:lineRule="auto"/>
              <w:jc w:val="both"/>
              <w:rPr>
                <w:rFonts w:ascii="Times New Roman" w:hAnsi="Times New Roman" w:cs="Times New Roman"/>
                <w:sz w:val="20"/>
                <w:szCs w:val="20"/>
              </w:rPr>
            </w:pPr>
          </w:p>
          <w:p w14:paraId="28ABE3D5" w14:textId="77777777" w:rsidR="00426104" w:rsidRPr="0042075D" w:rsidRDefault="00426104" w:rsidP="00E01344">
            <w:pPr>
              <w:spacing w:line="276" w:lineRule="auto"/>
              <w:jc w:val="both"/>
              <w:rPr>
                <w:rFonts w:ascii="Times New Roman" w:hAnsi="Times New Roman" w:cs="Times New Roman"/>
                <w:sz w:val="20"/>
                <w:szCs w:val="20"/>
              </w:rPr>
            </w:pPr>
          </w:p>
          <w:p w14:paraId="55B3E6D8" w14:textId="77777777" w:rsidR="00426104" w:rsidRPr="0042075D" w:rsidRDefault="00426104" w:rsidP="00E01344">
            <w:pPr>
              <w:spacing w:line="276" w:lineRule="auto"/>
              <w:jc w:val="both"/>
              <w:rPr>
                <w:rFonts w:ascii="Times New Roman" w:hAnsi="Times New Roman" w:cs="Times New Roman"/>
                <w:sz w:val="20"/>
                <w:szCs w:val="20"/>
              </w:rPr>
            </w:pPr>
          </w:p>
          <w:p w14:paraId="1AB8FC22"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6. “Ndërmarrje e lidhur” është një person që është i lidhur me një person tjetër në të paktën njërën nga mënyrat e mëposhtme:</w:t>
            </w:r>
          </w:p>
          <w:p w14:paraId="38B713C2" w14:textId="77777777" w:rsidR="001A03B3" w:rsidRPr="0042075D" w:rsidRDefault="001A03B3" w:rsidP="00426104">
            <w:pPr>
              <w:spacing w:line="276" w:lineRule="auto"/>
              <w:jc w:val="both"/>
              <w:rPr>
                <w:rFonts w:ascii="Times New Roman" w:hAnsi="Times New Roman" w:cs="Times New Roman"/>
                <w:sz w:val="20"/>
                <w:szCs w:val="20"/>
              </w:rPr>
            </w:pPr>
          </w:p>
          <w:p w14:paraId="45AD5A14"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a) merr pjesë në menaxhimin e personit tjetër duke qenë në një pozicion për të ushtruar ndikim të rëndësishëmmbi personin tjetër; </w:t>
            </w:r>
          </w:p>
          <w:p w14:paraId="266584D0"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b) merr pjesë në kontrollin e personit tjetër nëpërmjet një zotërimi që tejkalon 25 përqind të të drejtave të votës; </w:t>
            </w:r>
          </w:p>
          <w:p w14:paraId="1FA4E759"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c) merr pjesë në kapitalin e personit tjetër nëpërmjet një të drejte pronësie që, drejtpërdrejt ose tërthorazi, tejkalon 25 përqind të kapitalit; </w:t>
            </w:r>
          </w:p>
          <w:p w14:paraId="144BF543"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ç) ka të drejtë për 25 përqind ose më shumë të fitimeve të personit tjetër.</w:t>
            </w:r>
          </w:p>
          <w:p w14:paraId="2AAE2A18" w14:textId="77777777" w:rsidR="001A03B3" w:rsidRPr="0042075D" w:rsidRDefault="001A03B3" w:rsidP="00426104">
            <w:pPr>
              <w:spacing w:line="276" w:lineRule="auto"/>
              <w:jc w:val="both"/>
              <w:rPr>
                <w:rFonts w:ascii="Times New Roman" w:hAnsi="Times New Roman" w:cs="Times New Roman"/>
                <w:sz w:val="20"/>
                <w:szCs w:val="20"/>
              </w:rPr>
            </w:pPr>
          </w:p>
          <w:p w14:paraId="410CBA18" w14:textId="2A632B83"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Kur më shumë se një person merr pjesë në menaxhimin, kontrollin, kapitalin ose fitimet e të njëjtit person siç përcaktohet në shkronjat a) deri në ç) të këtij </w:t>
            </w:r>
            <w:r w:rsidR="00F9205E" w:rsidRPr="0042075D">
              <w:rPr>
                <w:rFonts w:ascii="Times New Roman" w:hAnsi="Times New Roman" w:cs="Times New Roman"/>
                <w:sz w:val="20"/>
                <w:szCs w:val="20"/>
              </w:rPr>
              <w:t>paragrafi</w:t>
            </w:r>
            <w:r w:rsidRPr="0042075D">
              <w:rPr>
                <w:rFonts w:ascii="Times New Roman" w:hAnsi="Times New Roman" w:cs="Times New Roman"/>
                <w:sz w:val="20"/>
                <w:szCs w:val="20"/>
              </w:rPr>
              <w:t>, të gjithë personat e përfshirë  konsiderohen si ndërmarrje të lidhura.</w:t>
            </w:r>
          </w:p>
          <w:p w14:paraId="204C11BF" w14:textId="1CB7E093"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Kur të njëjtët persona marrin pjesë në menaxhimin, kontrollin, kapitalin ose fitimet e më shumë se një personi, siç përcaktohet në shkronjat a) deri në ç) të këtij </w:t>
            </w:r>
            <w:r w:rsidR="00F9205E" w:rsidRPr="0042075D">
              <w:rPr>
                <w:rFonts w:ascii="Times New Roman" w:hAnsi="Times New Roman" w:cs="Times New Roman"/>
                <w:sz w:val="20"/>
                <w:szCs w:val="20"/>
              </w:rPr>
              <w:t>paragrafi</w:t>
            </w:r>
            <w:r w:rsidRPr="0042075D">
              <w:rPr>
                <w:rFonts w:ascii="Times New Roman" w:hAnsi="Times New Roman" w:cs="Times New Roman"/>
                <w:sz w:val="20"/>
                <w:szCs w:val="20"/>
              </w:rPr>
              <w:t xml:space="preserve">, </w:t>
            </w:r>
            <w:r w:rsidRPr="0042075D">
              <w:rPr>
                <w:rFonts w:ascii="Times New Roman" w:hAnsi="Times New Roman" w:cs="Times New Roman"/>
                <w:sz w:val="20"/>
                <w:szCs w:val="20"/>
              </w:rPr>
              <w:lastRenderedPageBreak/>
              <w:t>të gjithë personat e përfshirë do të konsiderohen si ndërmarrje të lidhura.</w:t>
            </w:r>
          </w:p>
          <w:p w14:paraId="244E98E7" w14:textId="77777777" w:rsidR="001A03B3" w:rsidRPr="0042075D" w:rsidRDefault="001A03B3" w:rsidP="00426104">
            <w:pPr>
              <w:spacing w:line="276" w:lineRule="auto"/>
              <w:jc w:val="both"/>
              <w:rPr>
                <w:rFonts w:ascii="Times New Roman" w:hAnsi="Times New Roman" w:cs="Times New Roman"/>
                <w:sz w:val="20"/>
                <w:szCs w:val="20"/>
              </w:rPr>
            </w:pPr>
          </w:p>
          <w:p w14:paraId="21519CDD" w14:textId="77777777"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Një person që vepron së bashku me një person tjetër në lidhje me të drejtat e votës ose pronësinë e kapitalit të një subjekti trajtohet si mbajtës i të gjitha të drejtave të votës ose pronësisë së kapitalit të zotëruara nga personi tjetër. </w:t>
            </w:r>
          </w:p>
          <w:p w14:paraId="52FB80E8" w14:textId="59093CCA" w:rsidR="00426104" w:rsidRPr="0042075D" w:rsidRDefault="00426104" w:rsidP="0042610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Në pjesëmarrjet indirekte, përmbushja e pragut  në shkronjën c)</w:t>
            </w:r>
            <w:r w:rsidR="00F9205E" w:rsidRPr="0042075D">
              <w:rPr>
                <w:rFonts w:ascii="Times New Roman" w:hAnsi="Times New Roman" w:cs="Times New Roman"/>
                <w:sz w:val="20"/>
                <w:szCs w:val="20"/>
              </w:rPr>
              <w:t xml:space="preserve"> të këtij paragrafi,</w:t>
            </w:r>
            <w:r w:rsidRPr="0042075D">
              <w:rPr>
                <w:rFonts w:ascii="Times New Roman" w:hAnsi="Times New Roman" w:cs="Times New Roman"/>
                <w:sz w:val="20"/>
                <w:szCs w:val="20"/>
              </w:rPr>
              <w:t xml:space="preserve"> do të përcaktohet duke shumëzuar shkallët e zotërimit në të gjitha nivelet pasuese. Një person që zotëron më shumë se 50 përqind të të drejtave të votës konsiderohet se zotëron 100 përqind.</w:t>
            </w:r>
          </w:p>
          <w:p w14:paraId="3AF6B241" w14:textId="77777777" w:rsidR="001A03B3" w:rsidRPr="0042075D" w:rsidRDefault="001A03B3" w:rsidP="00426104">
            <w:pPr>
              <w:spacing w:line="276" w:lineRule="auto"/>
              <w:jc w:val="both"/>
              <w:rPr>
                <w:rFonts w:ascii="Times New Roman" w:hAnsi="Times New Roman" w:cs="Times New Roman"/>
                <w:sz w:val="20"/>
                <w:szCs w:val="20"/>
              </w:rPr>
            </w:pPr>
          </w:p>
          <w:p w14:paraId="1063C04F" w14:textId="4E7B0BD6" w:rsidR="00E01344" w:rsidRPr="002C4E0D" w:rsidRDefault="0042610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Një individ, bashkëshorti/ja i/e tij/saj dhe paraardhësit ose pasardhësit e tij/saj të linjës trajtohen si një person i vetëm.</w:t>
            </w:r>
          </w:p>
          <w:p w14:paraId="5D7C9022" w14:textId="77777777" w:rsidR="00E01344" w:rsidRPr="002C4E0D" w:rsidRDefault="00E01344" w:rsidP="00E01344">
            <w:pPr>
              <w:spacing w:line="276" w:lineRule="auto"/>
              <w:jc w:val="both"/>
              <w:rPr>
                <w:rFonts w:ascii="Times New Roman" w:hAnsi="Times New Roman" w:cs="Times New Roman"/>
                <w:sz w:val="20"/>
                <w:szCs w:val="20"/>
              </w:rPr>
            </w:pPr>
          </w:p>
          <w:p w14:paraId="6C7BEB9A" w14:textId="77777777" w:rsidR="00E01344" w:rsidRPr="002C4E0D" w:rsidRDefault="00E01344" w:rsidP="00E01344">
            <w:pPr>
              <w:spacing w:line="276" w:lineRule="auto"/>
              <w:jc w:val="both"/>
              <w:rPr>
                <w:rFonts w:ascii="Times New Roman" w:hAnsi="Times New Roman" w:cs="Times New Roman"/>
                <w:sz w:val="20"/>
                <w:szCs w:val="20"/>
              </w:rPr>
            </w:pPr>
          </w:p>
          <w:p w14:paraId="4E89263A" w14:textId="77777777" w:rsidR="00E01344" w:rsidRPr="002C4E0D" w:rsidRDefault="00E01344" w:rsidP="00E01344">
            <w:pPr>
              <w:spacing w:line="276" w:lineRule="auto"/>
              <w:jc w:val="both"/>
              <w:rPr>
                <w:rFonts w:ascii="Times New Roman" w:hAnsi="Times New Roman" w:cs="Times New Roman"/>
                <w:sz w:val="20"/>
                <w:szCs w:val="20"/>
              </w:rPr>
            </w:pPr>
          </w:p>
          <w:p w14:paraId="6A2489D7" w14:textId="77777777" w:rsidR="00E01344" w:rsidRPr="002C4E0D" w:rsidRDefault="00E01344" w:rsidP="00E01344">
            <w:pPr>
              <w:spacing w:line="276" w:lineRule="auto"/>
              <w:jc w:val="both"/>
              <w:rPr>
                <w:rFonts w:ascii="Times New Roman" w:hAnsi="Times New Roman" w:cs="Times New Roman"/>
                <w:sz w:val="20"/>
                <w:szCs w:val="20"/>
              </w:rPr>
            </w:pPr>
          </w:p>
          <w:p w14:paraId="33944072" w14:textId="77777777" w:rsidR="00E01344" w:rsidRPr="002C4E0D" w:rsidRDefault="00E01344" w:rsidP="00E01344">
            <w:pPr>
              <w:spacing w:line="276" w:lineRule="auto"/>
              <w:jc w:val="both"/>
              <w:rPr>
                <w:rFonts w:ascii="Times New Roman" w:hAnsi="Times New Roman" w:cs="Times New Roman"/>
                <w:sz w:val="20"/>
                <w:szCs w:val="20"/>
              </w:rPr>
            </w:pPr>
          </w:p>
          <w:p w14:paraId="199ADC57" w14:textId="77777777" w:rsidR="00E01344" w:rsidRPr="002C4E0D" w:rsidRDefault="00E01344" w:rsidP="00E01344">
            <w:pPr>
              <w:spacing w:line="276" w:lineRule="auto"/>
              <w:jc w:val="both"/>
              <w:rPr>
                <w:rFonts w:ascii="Times New Roman" w:hAnsi="Times New Roman" w:cs="Times New Roman"/>
                <w:sz w:val="20"/>
                <w:szCs w:val="20"/>
              </w:rPr>
            </w:pPr>
          </w:p>
          <w:p w14:paraId="58BF5932" w14:textId="77777777" w:rsidR="00E01344" w:rsidRPr="002C4E0D" w:rsidRDefault="00E01344" w:rsidP="00E01344">
            <w:pPr>
              <w:spacing w:line="276" w:lineRule="auto"/>
              <w:jc w:val="both"/>
              <w:rPr>
                <w:rFonts w:ascii="Times New Roman" w:hAnsi="Times New Roman" w:cs="Times New Roman"/>
                <w:sz w:val="20"/>
                <w:szCs w:val="20"/>
              </w:rPr>
            </w:pPr>
          </w:p>
          <w:p w14:paraId="52CE75E0" w14:textId="77777777" w:rsidR="00E01344" w:rsidRPr="002C4E0D" w:rsidRDefault="00E01344" w:rsidP="00E01344">
            <w:pPr>
              <w:spacing w:line="276" w:lineRule="auto"/>
              <w:jc w:val="both"/>
              <w:rPr>
                <w:rFonts w:ascii="Times New Roman" w:hAnsi="Times New Roman" w:cs="Times New Roman"/>
                <w:sz w:val="20"/>
                <w:szCs w:val="20"/>
              </w:rPr>
            </w:pPr>
          </w:p>
          <w:p w14:paraId="1CC72F34" w14:textId="77777777" w:rsidR="00E01344" w:rsidRPr="002C4E0D" w:rsidRDefault="00E01344" w:rsidP="00E01344">
            <w:pPr>
              <w:spacing w:line="276" w:lineRule="auto"/>
              <w:jc w:val="both"/>
              <w:rPr>
                <w:rFonts w:ascii="Times New Roman" w:hAnsi="Times New Roman" w:cs="Times New Roman"/>
                <w:sz w:val="20"/>
                <w:szCs w:val="20"/>
              </w:rPr>
            </w:pPr>
          </w:p>
          <w:p w14:paraId="3562BD49" w14:textId="77777777" w:rsidR="00E01344" w:rsidRPr="002C4E0D" w:rsidRDefault="00E01344" w:rsidP="00E01344">
            <w:pPr>
              <w:spacing w:line="276" w:lineRule="auto"/>
              <w:jc w:val="both"/>
              <w:rPr>
                <w:rFonts w:ascii="Times New Roman" w:hAnsi="Times New Roman" w:cs="Times New Roman"/>
                <w:sz w:val="20"/>
                <w:szCs w:val="20"/>
              </w:rPr>
            </w:pPr>
          </w:p>
          <w:p w14:paraId="4A8E8757" w14:textId="77777777" w:rsidR="00E01344" w:rsidRPr="002C4E0D" w:rsidRDefault="00E01344" w:rsidP="00E01344">
            <w:pPr>
              <w:spacing w:line="276" w:lineRule="auto"/>
              <w:jc w:val="both"/>
              <w:rPr>
                <w:rFonts w:ascii="Times New Roman" w:hAnsi="Times New Roman" w:cs="Times New Roman"/>
                <w:sz w:val="20"/>
                <w:szCs w:val="20"/>
              </w:rPr>
            </w:pPr>
          </w:p>
          <w:p w14:paraId="475D2200" w14:textId="77777777" w:rsidR="00E01344" w:rsidRPr="002C4E0D" w:rsidRDefault="00E01344" w:rsidP="00E01344">
            <w:pPr>
              <w:spacing w:line="276" w:lineRule="auto"/>
              <w:jc w:val="both"/>
              <w:rPr>
                <w:rFonts w:ascii="Times New Roman" w:hAnsi="Times New Roman" w:cs="Times New Roman"/>
                <w:sz w:val="20"/>
                <w:szCs w:val="20"/>
              </w:rPr>
            </w:pPr>
          </w:p>
          <w:p w14:paraId="7FAF0C1E" w14:textId="77777777" w:rsidR="00E01344" w:rsidRPr="002C4E0D" w:rsidRDefault="00E01344" w:rsidP="00E01344">
            <w:pPr>
              <w:spacing w:line="276" w:lineRule="auto"/>
              <w:jc w:val="both"/>
              <w:rPr>
                <w:rFonts w:ascii="Times New Roman" w:hAnsi="Times New Roman" w:cs="Times New Roman"/>
                <w:sz w:val="20"/>
                <w:szCs w:val="20"/>
              </w:rPr>
            </w:pPr>
          </w:p>
          <w:p w14:paraId="7A447E2C" w14:textId="77777777" w:rsidR="00E01344" w:rsidRPr="002C4E0D" w:rsidRDefault="00E01344" w:rsidP="00E01344">
            <w:pPr>
              <w:spacing w:line="276" w:lineRule="auto"/>
              <w:jc w:val="both"/>
              <w:rPr>
                <w:rFonts w:ascii="Times New Roman" w:hAnsi="Times New Roman" w:cs="Times New Roman"/>
                <w:sz w:val="20"/>
                <w:szCs w:val="20"/>
              </w:rPr>
            </w:pPr>
          </w:p>
          <w:p w14:paraId="69C08983" w14:textId="77777777" w:rsidR="00E01344" w:rsidRPr="002C4E0D" w:rsidRDefault="00E01344" w:rsidP="00E01344">
            <w:pPr>
              <w:spacing w:line="276" w:lineRule="auto"/>
              <w:jc w:val="both"/>
              <w:rPr>
                <w:rFonts w:ascii="Times New Roman" w:hAnsi="Times New Roman" w:cs="Times New Roman"/>
                <w:sz w:val="20"/>
                <w:szCs w:val="20"/>
              </w:rPr>
            </w:pPr>
          </w:p>
          <w:p w14:paraId="3261A9BD" w14:textId="77777777" w:rsidR="00E01344" w:rsidRPr="002C4E0D" w:rsidRDefault="00E01344" w:rsidP="00E01344">
            <w:pPr>
              <w:spacing w:line="276" w:lineRule="auto"/>
              <w:jc w:val="both"/>
              <w:rPr>
                <w:rFonts w:ascii="Times New Roman" w:hAnsi="Times New Roman" w:cs="Times New Roman"/>
                <w:sz w:val="20"/>
                <w:szCs w:val="20"/>
              </w:rPr>
            </w:pPr>
          </w:p>
          <w:p w14:paraId="7B628C68" w14:textId="1C2AC655" w:rsidR="00E01344" w:rsidRPr="002C4E0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lastRenderedPageBreak/>
              <w:t>7. “Mekanizëm i tregtueshëm” është një mekanizëm ndërkufitar që është i dizenjuar, tregtuar, gati për zbatim ose është vënë në dispozicion për zbatim pa pasur nevojë të përshtatet në  mënyrë thelbësore.</w:t>
            </w:r>
          </w:p>
          <w:p w14:paraId="2670C2A9" w14:textId="77777777" w:rsidR="00E01344" w:rsidRPr="0042075D" w:rsidRDefault="00E01344" w:rsidP="00E01344">
            <w:pPr>
              <w:spacing w:line="276" w:lineRule="auto"/>
              <w:jc w:val="both"/>
              <w:rPr>
                <w:rFonts w:ascii="Times New Roman" w:hAnsi="Times New Roman" w:cs="Times New Roman"/>
                <w:sz w:val="20"/>
                <w:szCs w:val="20"/>
              </w:rPr>
            </w:pPr>
          </w:p>
          <w:p w14:paraId="2531E3C1" w14:textId="77777777" w:rsidR="005C0732" w:rsidRPr="0042075D" w:rsidRDefault="005C0732" w:rsidP="00E01344">
            <w:pPr>
              <w:spacing w:line="276" w:lineRule="auto"/>
              <w:jc w:val="both"/>
              <w:rPr>
                <w:rFonts w:ascii="Times New Roman" w:hAnsi="Times New Roman" w:cs="Times New Roman"/>
                <w:sz w:val="20"/>
                <w:szCs w:val="20"/>
              </w:rPr>
            </w:pPr>
          </w:p>
          <w:p w14:paraId="778B887A" w14:textId="6181EA5B" w:rsidR="00E01344" w:rsidRPr="002C4E0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8. “Mekanizëm i personalizuar” është çdo marrëveshje ndërkufitare që nuk është një marrëveshje e tregtueshm</w:t>
            </w:r>
            <w:r w:rsidR="00EF6681" w:rsidRPr="0042075D">
              <w:rPr>
                <w:rFonts w:ascii="Times New Roman" w:hAnsi="Times New Roman" w:cs="Times New Roman"/>
                <w:sz w:val="20"/>
                <w:szCs w:val="20"/>
              </w:rPr>
              <w:t>e</w:t>
            </w:r>
            <w:r w:rsidRPr="0042075D">
              <w:rPr>
                <w:rFonts w:ascii="Times New Roman" w:hAnsi="Times New Roman" w:cs="Times New Roman"/>
                <w:sz w:val="20"/>
                <w:szCs w:val="20"/>
              </w:rPr>
              <w:t>.</w:t>
            </w:r>
          </w:p>
        </w:tc>
        <w:tc>
          <w:tcPr>
            <w:tcW w:w="720" w:type="dxa"/>
            <w:shd w:val="clear" w:color="auto" w:fill="FFFFFF" w:themeFill="background1"/>
          </w:tcPr>
          <w:p w14:paraId="3EFFA98E" w14:textId="3C85A045"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71188287" w14:textId="489CC9FB" w:rsidR="00E01344" w:rsidRPr="002C4E0D" w:rsidRDefault="00E01344" w:rsidP="00E01344">
            <w:pPr>
              <w:spacing w:line="300" w:lineRule="atLeast"/>
              <w:rPr>
                <w:rFonts w:ascii="Times New Roman" w:eastAsia="Calibri" w:hAnsi="Times New Roman" w:cs="Times New Roman"/>
                <w:sz w:val="20"/>
                <w:szCs w:val="20"/>
              </w:rPr>
            </w:pPr>
          </w:p>
        </w:tc>
      </w:tr>
      <w:tr w:rsidR="00E01344" w:rsidRPr="0042075D" w14:paraId="54D36EC8" w14:textId="77777777" w:rsidTr="002C4E0D">
        <w:trPr>
          <w:trHeight w:val="764"/>
        </w:trPr>
        <w:tc>
          <w:tcPr>
            <w:tcW w:w="630" w:type="dxa"/>
            <w:shd w:val="clear" w:color="auto" w:fill="F2F2F2"/>
          </w:tcPr>
          <w:p w14:paraId="4B0C778E"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419609C8"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51239F99"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38535C47" w14:textId="340223C9" w:rsidR="00E01344" w:rsidRPr="0042075D" w:rsidRDefault="00E01344" w:rsidP="00E01344">
            <w:pPr>
              <w:pStyle w:val="oj-ti-grseq-1"/>
              <w:shd w:val="clear" w:color="auto" w:fill="FFFFFF"/>
              <w:spacing w:before="240" w:after="120"/>
              <w:jc w:val="center"/>
              <w:rPr>
                <w:rFonts w:eastAsia="Calibri"/>
                <w:iCs/>
                <w:sz w:val="20"/>
                <w:szCs w:val="20"/>
              </w:rPr>
            </w:pPr>
            <w:r w:rsidRPr="0042075D">
              <w:rPr>
                <w:rFonts w:eastAsia="Calibri"/>
                <w:iCs/>
                <w:sz w:val="20"/>
                <w:szCs w:val="20"/>
              </w:rPr>
              <w:t>N/A</w:t>
            </w:r>
          </w:p>
        </w:tc>
        <w:tc>
          <w:tcPr>
            <w:tcW w:w="540" w:type="dxa"/>
            <w:shd w:val="clear" w:color="auto" w:fill="FFFFFF" w:themeFill="background1"/>
          </w:tcPr>
          <w:p w14:paraId="7107D387" w14:textId="279D8F66"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544AC3AC" w14:textId="52502171" w:rsidR="00E01344" w:rsidRPr="002C4E0D" w:rsidRDefault="00E01344" w:rsidP="00E01344">
            <w:pPr>
              <w:jc w:val="center"/>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4</w:t>
            </w:r>
          </w:p>
        </w:tc>
        <w:tc>
          <w:tcPr>
            <w:tcW w:w="4964" w:type="dxa"/>
            <w:shd w:val="clear" w:color="auto" w:fill="FFFFFF" w:themeFill="background1"/>
          </w:tcPr>
          <w:p w14:paraId="0ADD7618"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10. “Autoriteti kompetent”, është: </w:t>
            </w:r>
          </w:p>
          <w:p w14:paraId="6D081A62"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 (a) në Republikën e Shqipërisë, Drejtoria e Përgjithshme e Tatimeve; dhe</w:t>
            </w:r>
          </w:p>
          <w:p w14:paraId="53419166" w14:textId="6AE90D1F" w:rsidR="00E01344" w:rsidRPr="002C4E0D" w:rsidRDefault="00E01344" w:rsidP="00E01344">
            <w:pPr>
              <w:spacing w:line="276" w:lineRule="auto"/>
              <w:jc w:val="both"/>
              <w:rPr>
                <w:rFonts w:ascii="Segoe UI" w:eastAsia="Times New Roman" w:hAnsi="Segoe UI" w:cs="Segoe UI"/>
                <w:sz w:val="20"/>
                <w:szCs w:val="20"/>
                <w:lang w:eastAsia="sq-AL"/>
              </w:rPr>
            </w:pPr>
            <w:r w:rsidRPr="002C4E0D">
              <w:rPr>
                <w:rFonts w:ascii="Times New Roman" w:eastAsia="Times New Roman" w:hAnsi="Times New Roman" w:cs="Times New Roman"/>
                <w:sz w:val="20"/>
                <w:szCs w:val="20"/>
                <w:lang w:eastAsia="sq-AL"/>
              </w:rPr>
              <w:t>(b) në lidhje me juridiksionet e tjera, autoriteti i përcaktuar si kompetent në përputhje me legjislacionin në fuqi të atyre juridiksioneve</w:t>
            </w:r>
          </w:p>
        </w:tc>
        <w:tc>
          <w:tcPr>
            <w:tcW w:w="720" w:type="dxa"/>
            <w:shd w:val="clear" w:color="auto" w:fill="FFFFFF" w:themeFill="background1"/>
          </w:tcPr>
          <w:p w14:paraId="1573CFD2" w14:textId="1EE17455"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N/A</w:t>
            </w:r>
          </w:p>
        </w:tc>
        <w:tc>
          <w:tcPr>
            <w:tcW w:w="3406" w:type="dxa"/>
            <w:shd w:val="clear" w:color="auto" w:fill="FFFFFF" w:themeFill="background1"/>
          </w:tcPr>
          <w:p w14:paraId="16F875FF" w14:textId="50088830" w:rsidR="00E01344" w:rsidRPr="002C4E0D" w:rsidRDefault="00E01344" w:rsidP="00E01344">
            <w:pPr>
              <w:spacing w:line="300" w:lineRule="atLeast"/>
              <w:rPr>
                <w:rFonts w:ascii="Times New Roman" w:eastAsia="Calibri" w:hAnsi="Times New Roman" w:cs="Times New Roman"/>
                <w:sz w:val="20"/>
                <w:szCs w:val="20"/>
              </w:rPr>
            </w:pPr>
            <w:r w:rsidRPr="002C4E0D">
              <w:rPr>
                <w:rFonts w:ascii="Times New Roman" w:eastAsia="Calibri" w:hAnsi="Times New Roman" w:cs="Times New Roman"/>
                <w:sz w:val="20"/>
                <w:szCs w:val="20"/>
              </w:rPr>
              <w:t>Dispozit</w:t>
            </w:r>
            <w:r w:rsidR="00F55A38" w:rsidRPr="002C4E0D">
              <w:rPr>
                <w:rFonts w:ascii="Times New Roman" w:eastAsia="Calibri" w:hAnsi="Times New Roman" w:cs="Times New Roman"/>
                <w:sz w:val="20"/>
                <w:szCs w:val="20"/>
              </w:rPr>
              <w:t>ë</w:t>
            </w:r>
            <w:r w:rsidRPr="002C4E0D">
              <w:rPr>
                <w:rFonts w:ascii="Times New Roman" w:eastAsia="Calibri" w:hAnsi="Times New Roman" w:cs="Times New Roman"/>
                <w:sz w:val="20"/>
                <w:szCs w:val="20"/>
              </w:rPr>
              <w:t xml:space="preserve"> komb</w:t>
            </w:r>
            <w:r w:rsidR="00F55A38" w:rsidRPr="002C4E0D">
              <w:rPr>
                <w:rFonts w:ascii="Times New Roman" w:eastAsia="Calibri" w:hAnsi="Times New Roman" w:cs="Times New Roman"/>
                <w:sz w:val="20"/>
                <w:szCs w:val="20"/>
              </w:rPr>
              <w:t>ë</w:t>
            </w:r>
            <w:r w:rsidRPr="002C4E0D">
              <w:rPr>
                <w:rFonts w:ascii="Times New Roman" w:eastAsia="Calibri" w:hAnsi="Times New Roman" w:cs="Times New Roman"/>
                <w:sz w:val="20"/>
                <w:szCs w:val="20"/>
              </w:rPr>
              <w:t>tare duke përcaktuar autoritetin kompetent në Republikën e Shqipërisë për zbatimin e ligjit.</w:t>
            </w:r>
          </w:p>
        </w:tc>
      </w:tr>
      <w:tr w:rsidR="00E01344" w:rsidRPr="0042075D" w14:paraId="0F560B98" w14:textId="77777777" w:rsidTr="002C4E0D">
        <w:trPr>
          <w:trHeight w:val="764"/>
        </w:trPr>
        <w:tc>
          <w:tcPr>
            <w:tcW w:w="630" w:type="dxa"/>
            <w:shd w:val="clear" w:color="auto" w:fill="F2F2F2"/>
          </w:tcPr>
          <w:p w14:paraId="75FD02E9"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6E9BA2BD"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0665AD94" w14:textId="499EDD46" w:rsidR="00E01344" w:rsidRPr="0042075D" w:rsidRDefault="00E01344" w:rsidP="00E01344">
            <w:pPr>
              <w:pStyle w:val="oj-ti-grseq-1"/>
              <w:shd w:val="clear" w:color="auto" w:fill="FFFFFF"/>
              <w:spacing w:before="240" w:after="120"/>
              <w:jc w:val="center"/>
              <w:rPr>
                <w:rFonts w:eastAsia="Calibri"/>
                <w:iCs/>
                <w:sz w:val="20"/>
                <w:szCs w:val="20"/>
              </w:rPr>
            </w:pPr>
            <w:r w:rsidRPr="0042075D">
              <w:rPr>
                <w:rFonts w:eastAsia="Calibri"/>
                <w:iCs/>
                <w:sz w:val="20"/>
                <w:szCs w:val="20"/>
              </w:rPr>
              <w:t>N/A</w:t>
            </w:r>
          </w:p>
        </w:tc>
        <w:tc>
          <w:tcPr>
            <w:tcW w:w="540" w:type="dxa"/>
            <w:shd w:val="clear" w:color="auto" w:fill="FFFFFF" w:themeFill="background1"/>
          </w:tcPr>
          <w:p w14:paraId="05C0B48D" w14:textId="6292F54C"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4CDB3806" w14:textId="568BF68E" w:rsidR="00E01344" w:rsidRPr="002C4E0D" w:rsidRDefault="00E01344" w:rsidP="00E01344">
            <w:pPr>
              <w:jc w:val="center"/>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4</w:t>
            </w:r>
          </w:p>
        </w:tc>
        <w:tc>
          <w:tcPr>
            <w:tcW w:w="4964" w:type="dxa"/>
            <w:shd w:val="clear" w:color="auto" w:fill="FFFFFF" w:themeFill="background1"/>
          </w:tcPr>
          <w:p w14:paraId="11011DDE" w14:textId="5C4BA1E4"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11. “Shtet Anëtar” është çdo Shtet Anëtar i Bashkimit Evropian.</w:t>
            </w:r>
          </w:p>
        </w:tc>
        <w:tc>
          <w:tcPr>
            <w:tcW w:w="720" w:type="dxa"/>
            <w:shd w:val="clear" w:color="auto" w:fill="FFFFFF" w:themeFill="background1"/>
          </w:tcPr>
          <w:p w14:paraId="72E37F66" w14:textId="5BFE8B06"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N/A</w:t>
            </w:r>
          </w:p>
        </w:tc>
        <w:tc>
          <w:tcPr>
            <w:tcW w:w="3406" w:type="dxa"/>
            <w:shd w:val="clear" w:color="auto" w:fill="FFFFFF" w:themeFill="background1"/>
          </w:tcPr>
          <w:p w14:paraId="1C9B5D46" w14:textId="19769259" w:rsidR="00E01344" w:rsidRPr="002C4E0D" w:rsidRDefault="00E01344" w:rsidP="00E01344">
            <w:pPr>
              <w:spacing w:line="300" w:lineRule="atLeast"/>
              <w:rPr>
                <w:rFonts w:ascii="Times New Roman" w:eastAsia="Calibri" w:hAnsi="Times New Roman" w:cs="Times New Roman"/>
                <w:sz w:val="20"/>
                <w:szCs w:val="20"/>
              </w:rPr>
            </w:pPr>
            <w:r w:rsidRPr="002C4E0D">
              <w:rPr>
                <w:rFonts w:ascii="Times New Roman" w:eastAsia="Calibri" w:hAnsi="Times New Roman" w:cs="Times New Roman"/>
                <w:sz w:val="20"/>
                <w:szCs w:val="20"/>
              </w:rPr>
              <w:t>Dispozita kombetare per aqrtesi ligjore, pasqyron termin “Shtet Anëtar” në përputhje me Direktivën 2011/16/BE.</w:t>
            </w:r>
          </w:p>
        </w:tc>
      </w:tr>
      <w:tr w:rsidR="00E01344" w:rsidRPr="0042075D" w14:paraId="638407E2" w14:textId="77777777" w:rsidTr="002C4E0D">
        <w:trPr>
          <w:trHeight w:val="764"/>
        </w:trPr>
        <w:tc>
          <w:tcPr>
            <w:tcW w:w="630" w:type="dxa"/>
            <w:shd w:val="clear" w:color="auto" w:fill="F2F2F2"/>
          </w:tcPr>
          <w:p w14:paraId="43FBA1B3"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730DE087" w14:textId="014AC94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Neni 8ab</w:t>
            </w:r>
          </w:p>
          <w:p w14:paraId="177D8517" w14:textId="31A661F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Fusha e zbatimit dhe kushtet e shkëmbimit të detyrueshëm automatik të informacionit mbi marrëveshjet ndërkufitare të raportueshme</w:t>
            </w:r>
          </w:p>
          <w:p w14:paraId="2E7D0D16" w14:textId="5709F37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 Çdo Shtet Anëtar merr masat e nevojshme për t'u kërkuar ndërmjetësve të paraqesin informacion që është brenda njohurive, zotërimit ose kontrollit të tyre mbi marrëveshjet ndërkufitare të raportueshme pranë autoriteteve kompetente brenda 30 ditëve duke filluar nga:</w:t>
            </w:r>
          </w:p>
          <w:p w14:paraId="57C9CBA8" w14:textId="33CECE5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7E539E17" w14:textId="16D03FA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ditë pas vënies në dispozicion për zbatim të marrëveshjes ndërkufitare të raportueshme; ose</w:t>
            </w:r>
          </w:p>
          <w:p w14:paraId="2B3B5B64" w14:textId="4E26EDC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3DB22052" w14:textId="467C5AF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ditë pas gatishmërisë për zbatim të marrëveshjes ndërkufitare të raportueshme; ose</w:t>
            </w:r>
          </w:p>
          <w:p w14:paraId="00D42A96" w14:textId="2BBA524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4B3E8980" w14:textId="1479D39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kur është bërë hapi i parë në zbatimin e marrëveshjes ndërkufitare të raportueshme, cilado që të ndodhë e para.</w:t>
            </w:r>
          </w:p>
          <w:p w14:paraId="2DDAAC64" w14:textId="20B7170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 xml:space="preserve">Pavarësisht nënparagrafit të parë, ndërmjetësit e përmendur në paragrafin e dytë të pikës 21 të nenit 3 duhet gjithashtu të </w:t>
            </w:r>
            <w:r w:rsidRPr="0042075D">
              <w:rPr>
                <w:rFonts w:eastAsia="Calibri"/>
                <w:iCs/>
                <w:sz w:val="20"/>
                <w:szCs w:val="20"/>
              </w:rPr>
              <w:lastRenderedPageBreak/>
              <w:t>paraqesin informacion brenda 30 ditëve duke filluar nga dita pas ofrimit të ndihmës, asistencës ose këshillës nga ana e tyre, drejtpërdrejt ose me anë të personave të tjerë.</w:t>
            </w:r>
          </w:p>
          <w:p w14:paraId="55E59CFE"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65CAFC2D"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2BEAF506"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37748827"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098228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2361714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50B4E9F4"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18E41C14"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1FCF058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2C9C00A"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586252AB" w14:textId="6412DD8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2. Në rastin e marrëveshjeve të tregtueshme, Shtetet Anëtare marrin masat e nevojshme për të kërkuar që ndërmjetësi të hartojë një raport periodik çdo 3 muaj, duke ofruar një përditësim që përmban informacion të ri të raportueshëm, siç përmendet në pikat (a), (d), (g) dhe (h) të paragrafit 14, i cili është bërë i disponueshëm që nga paraqitja e raportit të fundit.</w:t>
            </w:r>
          </w:p>
          <w:p w14:paraId="7DAA70F9"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132B761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60DCDA9D"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204E9268"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580EE3D7" w14:textId="13BBA25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3. Kur ndërmjetësi është i detyruar të paraqesë informacion mbi marrëveshjet ndërkufitare të raportueshme pranë autoriteteve kompetente të më shumë se një Shteti Anëtar, ky informacion duhet të paraqitet vetëm në Shtetin Anëtar që renditet i pari në listën e mëposhtme:</w:t>
            </w:r>
          </w:p>
          <w:p w14:paraId="2A4C12DA" w14:textId="13E673B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09C3F929" w14:textId="0AF226E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ku ndërmjetësi është rezident për qëllime tatimore;</w:t>
            </w:r>
          </w:p>
          <w:p w14:paraId="5DCB2647" w14:textId="06CA085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6A2627DF" w14:textId="0FAF98F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ku ndërmjetësi ka një seli të përhershme nëpërmjet të cilës ofrohen shërbimet në lidhje me marrëveshjen;</w:t>
            </w:r>
          </w:p>
          <w:p w14:paraId="7A852E4C" w14:textId="5E8C635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668691A9" w14:textId="4ACC0D7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në të cilin ndërmjetësi është themeluar ose rregullohet nga ligjet e të cilit;</w:t>
            </w:r>
          </w:p>
          <w:p w14:paraId="2ADE1B64" w14:textId="112DA10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w:t>
            </w:r>
          </w:p>
          <w:p w14:paraId="5CED184D" w14:textId="1E86E9E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Shteti Anëtar ku ndërmjetësi është i regjistruar në një shoqatë profesionale që lidhet me shërbimet ligjore, tatimore ose konsulente.</w:t>
            </w:r>
          </w:p>
          <w:p w14:paraId="7C6E5727" w14:textId="38C8E9E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4. Kur, sipas paragrafit 3, ekziston një detyrim për raportim të shumëfishtë, ndërmjetësi përjashtohet nga paraqitja e informacionit nëse ka prova, në përputhje me ligjin kombëtar, se i njëjti informacion është paraqitur në një Shtet tjetër Anëtar.</w:t>
            </w:r>
          </w:p>
          <w:p w14:paraId="4BE157B7" w14:textId="0EC26E0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5. Çdo Shtet Anëtar mund të marrë masat e nevojshme për t'u dhënë ndërmjetësve të drejtën e heqjes dorë nga paraqitja e informacionit mbi një marrëveshje ndërkufitare të raportueshme, kur detyrimi i raportimit do të shkelte privilegjin profesional ligjor sipas ligjit kombëtar të atij Shteti Anëtar. Në rrethana të tilla, çdo Shtet Anëtar duhet të marrë masat e nevojshme për t'u kërkuar ndërmjetësve të njoftojnë, pa vonesë, çdo ndërmjetës tjetër ose, nëse nuk ka një ndërmjetës të tillë, tatimpaguesin përkatës për detyrimet e tyre të raportimit sipas paragrafit 6.</w:t>
            </w:r>
          </w:p>
          <w:p w14:paraId="4B610E51" w14:textId="5404E3D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Ndërmjetësit mund të kenë të drejtë për një heqje dorë sipas nënparagrafit të parë vetëm në masën që ata veprojnë brenda kufijve të ligjeve përkatëse kombëtare që përcaktojnë profesionet e tyre.</w:t>
            </w:r>
          </w:p>
          <w:p w14:paraId="37893F48"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6132D97C"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633FDF6D"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2F01C87"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1E55E48"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2CD0D248"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7B50DFF5"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4242D986" w14:textId="4627E7D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6. Çdo Shtet Anëtar duhet të marrë masat e nevojshme për të kërkuar që, kur nuk ka ndërmjetës ose ndërmjetësi njofton tatimpaguesin përkatës ose një ndërmjetës tjetër për zbatimin e një heqjeje dorë sipas paragrafit 5, detyrimi për të paraqitur informacion mbi një marrëveshje ndërkufitare të raportueshme i takon ndërmjetësit tjetër të njoftuar, ose, nëse nuk ka një ndërmjetës të tillë, tatimpaguesit përkatës.</w:t>
            </w:r>
          </w:p>
          <w:p w14:paraId="1A349AE2" w14:textId="68ACA50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7. Tatimpaguesi përkatës, i cili ka detyrimin për raportim, duhet të paraqesë informacionin brenda 30 ditëve, duke filluar nga dita pas ditës kur marrëveshja ndërkufitare e raportueshme i vihet në dispozicion për zbatim atij tatimpaguesi përkatës, ose është gati për zbatim nga tatimpaguesi përkatës, ose kur hapi i parë në zbatimin e saj është bërë në lidhje me tatimpaguesin përkatës, cilado që të ndodhë e para.</w:t>
            </w:r>
          </w:p>
          <w:p w14:paraId="3544A2E9" w14:textId="0750A27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Kur tatimpaguesi përkatës ka detyrimin të paraqesë informacion mbi marrëveshjen ndërkufitare të raportueshme pranë autoriteteve kompetente të më shumë se një Shteti Anëtar, ky informacion duhet të paraqitet vetëm pranë autoriteteve kompetente të Shtetit Anëtar që renditet i pari në listën më poshtë:</w:t>
            </w:r>
          </w:p>
          <w:p w14:paraId="6DBB9BFA" w14:textId="3B749E1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46DA3C2C" w14:textId="03E1DEC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Shteti Anëtar ku tatimpaguesi përkatës është rezident për qëllime tatimore;</w:t>
            </w:r>
          </w:p>
          <w:p w14:paraId="559F50BB" w14:textId="0B2C4CE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14BE9406" w14:textId="3D8E7D1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ku tatimpaguesi përkatës ka një seli të përhershme që përfiton nga marrëveshja;</w:t>
            </w:r>
          </w:p>
          <w:p w14:paraId="5E1FD747" w14:textId="1E612F3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42F5F981" w14:textId="1BABAFE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ku tatimpaguesi përkatës merr të ardhura ose gjeneron fitime, megjithëse tatimpaguesi përkatës nuk është rezident për qëllime tatimore dhe nuk ka seli të përhershme në asnjë Shtet Anëtar;</w:t>
            </w:r>
          </w:p>
          <w:p w14:paraId="2EDE8ADC" w14:textId="115D781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w:t>
            </w:r>
          </w:p>
          <w:p w14:paraId="52668011" w14:textId="49D426A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Shteti Anëtar ku tatimpaguesi përkatës ushtron një aktivitet, megjithëse tatimpaguesi përkatës nuk është rezident për qëllime tatimore dhe nuk ka seli të përhershme në asnjë Shtet Anëtar.</w:t>
            </w:r>
          </w:p>
          <w:p w14:paraId="1B8F8D6A" w14:textId="6ADAAB0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8. Kur, sipas paragrafit 7, ekziston një detyrim për raportim të shumëfishtë, tatimpaguesi përkatës përjashtohet nga paraqitja e informacionit nëse ka prova, në përputhje me ligjin kombëtar, se i njëjti informacion është paraqitur në një Shtet tjetër Anëtar.</w:t>
            </w:r>
          </w:p>
          <w:p w14:paraId="0869BE38" w14:textId="61E022C1"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9. Çdo Shtet Anëtar duhet të marrë masat e nevojshme për të kërkuar që, kur ka më shumë se një ndërmjetës, detyrimi për të paraqitur informacion mbi marrëveshjen ndërkufitare të raportueshme të bjerë mbi të gjithë ndërmjetësit e përfshirë në të njëjtën marrëveshje ndërkufitare të raportueshme.</w:t>
            </w:r>
          </w:p>
          <w:p w14:paraId="7F4CECD3" w14:textId="6EA21FA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Një ndërmjetës përjashtohet nga paraqitja e informacionit vetëm në masën që ka prova, në përputhje me ligjin kombëtar, se i njëjti informacion i përmendur në paragrafin 14 është paraqitur tashmë nga një ndërmjetës tjetër.</w:t>
            </w:r>
          </w:p>
          <w:p w14:paraId="68703839" w14:textId="5CA525D4"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10. Çdo Shtet Anëtar duhet të marrë masat e nevojshme për të kërkuar që, kur detyrimi për raportim i takon tatimpaguesit përkatës dhe kur ka më shumë se një tatimpagues përkatës, tatimpaguesi përkatës që duhet të paraqesë informacion në përputhje me paragrafin 6 të jetë ai që shfaqet i pari në listën më poshtë:</w:t>
            </w:r>
          </w:p>
          <w:p w14:paraId="4132ED05" w14:textId="46A9200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13372C62" w14:textId="613EFA4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tatimpaguesi përkatës që ka rënë dakord për marrëveshjen ndërkufitare të raportueshme me ndërmjetësin;</w:t>
            </w:r>
          </w:p>
          <w:p w14:paraId="2D2B954A" w14:textId="4815073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4CFEF70C" w14:textId="69C24EA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tatimpaguesi përkatës që menaxhon zbatimin e marrëveshjes.</w:t>
            </w:r>
          </w:p>
          <w:p w14:paraId="14E37B38" w14:textId="5E511531"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Çdo tatimpagues përkatës do të përjashtohet nga paraqitja e informacionit vetëm në masën që ka prova, në përputhje me ligjin kombëtar, se i njëjti informacion i përmendur në paragrafin 14 është paraqitur tashmë nga një tatimpagues tjetër përkatës.</w:t>
            </w:r>
          </w:p>
          <w:p w14:paraId="34648D07" w14:textId="67A6EA8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11. Çdo Shtet Anëtar mund të marrë masat e nevojshme për të kërkuar që çdo tatimpagues përkatës të paraqesë informacion në lidhje me përdorimin e marrëveshjes nga ana e tij në administratën tatimore në secilin vit për të cilin e përdor atë.</w:t>
            </w:r>
          </w:p>
          <w:p w14:paraId="758289D7"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07A4320A"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13025CF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0D7AF0C4" w14:textId="4120665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12. Çdo Shtet Anëtar duhet të marrë masat e nevojshme për t'u kërkuar ndërmjetësve dhe tatimpaguesve përkatës të paraqesin informacion mbi marrëveshjet ndërkufitare të raportueshme, hapi i parë i të cilave është zbatuar midis datës së hyrjes në fuqi dhe datës së zbatimit të kësaj Direktive. Ndërmjetësit dhe tatimpaguesit përkatës, sipas rastit, duhet të paraqesin informacion mbi këto marrëveshje ndërkufitare të raportueshme deri më 31 gusht 2020.</w:t>
            </w:r>
          </w:p>
          <w:p w14:paraId="61A03440" w14:textId="5A016220" w:rsidR="00E01344" w:rsidRPr="0042075D" w:rsidRDefault="00E01344" w:rsidP="00E01344">
            <w:pPr>
              <w:pStyle w:val="oj-ti-grseq-1"/>
              <w:shd w:val="clear" w:color="auto" w:fill="FFFFFF"/>
              <w:spacing w:before="240" w:after="120"/>
              <w:jc w:val="both"/>
              <w:rPr>
                <w:rFonts w:eastAsia="Calibri"/>
                <w:iCs/>
                <w:sz w:val="20"/>
                <w:szCs w:val="20"/>
              </w:rPr>
            </w:pPr>
          </w:p>
          <w:p w14:paraId="021E4E87"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207BA2C4" w14:textId="5FB74FE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13. Autoriteti kompetent i një Shteti Anëtar ku është paraqitur informacioni në përputhje me paragrafët 1 deri në 12 të këtij neni, me anë të një shkëmbimi automatik, ua komunikon informacionin e specifikuar në paragrafin 14 të këtij neni autoriteteve kompetente të të gjitha Shteteve të tjera Anëtare, në përputhje me rregullimet praktike të miratuara në përputhje me nenin 21.</w:t>
            </w:r>
          </w:p>
          <w:p w14:paraId="16816056" w14:textId="7C5980AE" w:rsidR="00E01344" w:rsidRPr="0042075D" w:rsidRDefault="00E01344" w:rsidP="00E01344">
            <w:pPr>
              <w:pStyle w:val="oj-ti-grseq-1"/>
              <w:shd w:val="clear" w:color="auto" w:fill="FFFFFF"/>
              <w:spacing w:before="240" w:after="120"/>
              <w:jc w:val="both"/>
              <w:rPr>
                <w:rFonts w:eastAsia="Calibri"/>
                <w:iCs/>
                <w:sz w:val="20"/>
                <w:szCs w:val="20"/>
              </w:rPr>
            </w:pPr>
          </w:p>
          <w:p w14:paraId="10AA9152" w14:textId="7A959EDF" w:rsidR="00E01344" w:rsidRPr="0042075D" w:rsidRDefault="00E01344" w:rsidP="00E01344">
            <w:pPr>
              <w:pStyle w:val="oj-ti-grseq-1"/>
              <w:shd w:val="clear" w:color="auto" w:fill="FFFFFF"/>
              <w:spacing w:before="240" w:after="120"/>
              <w:jc w:val="both"/>
              <w:rPr>
                <w:rFonts w:eastAsia="Calibri"/>
                <w:iCs/>
                <w:sz w:val="20"/>
                <w:szCs w:val="20"/>
              </w:rPr>
            </w:pPr>
          </w:p>
          <w:p w14:paraId="58FCD808" w14:textId="76F89108" w:rsidR="00E01344" w:rsidRPr="0042075D" w:rsidRDefault="00E01344" w:rsidP="00E01344">
            <w:pPr>
              <w:pStyle w:val="oj-ti-grseq-1"/>
              <w:shd w:val="clear" w:color="auto" w:fill="FFFFFF"/>
              <w:spacing w:before="240" w:after="120"/>
              <w:jc w:val="both"/>
              <w:rPr>
                <w:rFonts w:eastAsia="Calibri"/>
                <w:iCs/>
                <w:sz w:val="20"/>
                <w:szCs w:val="20"/>
              </w:rPr>
            </w:pPr>
          </w:p>
          <w:p w14:paraId="38E0CFDA" w14:textId="2392A00F" w:rsidR="00E01344" w:rsidRPr="0042075D" w:rsidRDefault="00E01344" w:rsidP="00E01344">
            <w:pPr>
              <w:pStyle w:val="oj-ti-grseq-1"/>
              <w:shd w:val="clear" w:color="auto" w:fill="FFFFFF"/>
              <w:spacing w:before="240" w:after="120"/>
              <w:jc w:val="both"/>
              <w:rPr>
                <w:rFonts w:eastAsia="Calibri"/>
                <w:iCs/>
                <w:sz w:val="20"/>
                <w:szCs w:val="20"/>
              </w:rPr>
            </w:pPr>
          </w:p>
          <w:p w14:paraId="4B132C53" w14:textId="2AB4EE76" w:rsidR="00E01344" w:rsidRPr="0042075D" w:rsidRDefault="00E01344" w:rsidP="00E01344">
            <w:pPr>
              <w:pStyle w:val="oj-ti-grseq-1"/>
              <w:shd w:val="clear" w:color="auto" w:fill="FFFFFF"/>
              <w:spacing w:before="240" w:after="120"/>
              <w:jc w:val="both"/>
              <w:rPr>
                <w:rFonts w:eastAsia="Calibri"/>
                <w:iCs/>
                <w:sz w:val="20"/>
                <w:szCs w:val="20"/>
              </w:rPr>
            </w:pPr>
          </w:p>
          <w:p w14:paraId="7A2CF6B0"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5EFE12EA" w14:textId="1A43697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14. Informacioni që duhet të komunikohet nga autoriteti kompetent i një Shteti Anëtar sipas paragrafit 13 duhet të përmbajë sa vijon, sipas rastit:</w:t>
            </w:r>
          </w:p>
          <w:p w14:paraId="3150A0E6" w14:textId="2732A14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1E2213FD" w14:textId="5C62C5F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identifikimin e ndërmjetësve dhe tatimpaguesve përkatës, duke përfshirë emrin e tyre, datën dhe vendin e lindjes (në rastin e një individi), vendbanimin për qëllime tatimore, NIPT-in dhe, kur është e përshtatshme, personat që janë ndërmarrje të lidhura me tatimpaguesin përkatës;</w:t>
            </w:r>
          </w:p>
          <w:p w14:paraId="003AFD1F" w14:textId="54524B8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7F891962" w14:textId="74288B5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detajet e shenjave dalluese të përcaktuara në Shtojcën IV që e bëjnë marrëveshjen ndërkufitare të raportueshme;</w:t>
            </w:r>
          </w:p>
          <w:p w14:paraId="1347CDD3" w14:textId="5275F71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(c)</w:t>
            </w:r>
          </w:p>
          <w:p w14:paraId="28949134" w14:textId="4991FA5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një përmbledhje të përmbajtjes së marrëveshjes ndërkufitare të raportueshme, duke përfshirë një referencë për emrin me të cilin njihet zakonisht, nëse ka, dhe një përshkrim në terma abstraktë të aktiviteteve ose marrëveshjeve përkatëse të biznesit, pa çuar në zbulimin e një sekreti tregtar, industrial ose profesional ose të një procesi tregtar, ose të informacionit zbulimi i të cilit do të ishte në kundërshtim me politikën publike;</w:t>
            </w:r>
          </w:p>
          <w:p w14:paraId="39BF469E" w14:textId="003E2DDC"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(d)</w:t>
            </w:r>
          </w:p>
          <w:p w14:paraId="2CA286ED" w14:textId="6C71F84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data në të cilën është bërë ose do të bëhet hapi i parë në zbatimin e marrëveshjes ndërkufitare të raportueshme;</w:t>
            </w:r>
          </w:p>
          <w:p w14:paraId="2AD2169B" w14:textId="6B4DE3A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(e)</w:t>
            </w:r>
          </w:p>
          <w:p w14:paraId="70F0402B" w14:textId="26245B0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detajet e dispozitave kombëtare që formojnë bazën e marrëveshjes ndërkufitare të raportueshme;</w:t>
            </w:r>
          </w:p>
          <w:p w14:paraId="207476EF" w14:textId="5BC627F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(f)</w:t>
            </w:r>
          </w:p>
          <w:p w14:paraId="3476A0C0" w14:textId="5BF8F112"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vlera e marrëveshjes ndërkufitare të raportueshme;</w:t>
            </w:r>
          </w:p>
          <w:p w14:paraId="4C6D7209" w14:textId="7845296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(g)</w:t>
            </w:r>
          </w:p>
          <w:p w14:paraId="68656706" w14:textId="1052943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identifikimin e Shtetit Anëtar të tatimpaguesit/ëve përkatës dhe çdo Shteti tjetër Anëtar që ka të ngjarë të jetë i përfshirë nga marrëveshja ndërkufitare e raportueshme;</w:t>
            </w:r>
          </w:p>
          <w:p w14:paraId="28184646" w14:textId="4B0D9BA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(h)</w:t>
            </w:r>
          </w:p>
          <w:p w14:paraId="075BBAB8" w14:textId="64188DE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identifikimin e çdo personi tjetër në një Shtet Anëtar që ka të ngjarë të preket nga marrëveshja ndërkufitare e raportueshme, duke treguar se me cilat Shtete Anëtare është i lidhur ky person.</w:t>
            </w:r>
          </w:p>
          <w:p w14:paraId="3AA61A3E" w14:textId="1D0816D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15. Fakti që një administratë tatimore nuk reagon ndaj një marrëveshjeje ndërkufitare të raportueshme nuk nënkupton asnjë pranim të vlefshmërisë ose trajtimit tatimor të asaj marrëveshjeje.</w:t>
            </w:r>
          </w:p>
          <w:p w14:paraId="4F569CBE" w14:textId="5A619DC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 xml:space="preserve">16. Për të lehtësuar shkëmbimin e informacionit të përmendur në paragrafin 13 të këtij neni, Komisioni miraton rregullimet </w:t>
            </w:r>
            <w:r w:rsidRPr="0042075D">
              <w:rPr>
                <w:rFonts w:eastAsia="Calibri"/>
                <w:iCs/>
                <w:sz w:val="20"/>
                <w:szCs w:val="20"/>
              </w:rPr>
              <w:lastRenderedPageBreak/>
              <w:t>praktike të nevojshme për zbatimin e këtij neni, duke përfshirë masat për standardizimin e komunikimit të informacionit të përcaktuar në paragrafin 14 të këtij neni, si pjesë e procedurës për përcaktimin e formularit standard të parashikuar në nenin 20(5).</w:t>
            </w:r>
          </w:p>
          <w:p w14:paraId="39FF67AD" w14:textId="6DEEF3C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17. Komisioni nuk do të ketë akses në informacionin e përmendur në pikat (a), (c) dhe (h) të paragrafit 14.</w:t>
            </w:r>
          </w:p>
          <w:p w14:paraId="2981F224" w14:textId="030ABEE9"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18. Shkëmbimi automatik i informacionit do të kryhet brenda një muaji nga fundi i tremujorit në të cilin është paraqitur informacioni. Informacioni i parë do të komunikohet deri më 31 tetor 2020.</w:t>
            </w:r>
          </w:p>
          <w:p w14:paraId="3629656C" w14:textId="4E4AAB50"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(3)</w:t>
            </w:r>
          </w:p>
          <w:p w14:paraId="6D24A6BD" w14:textId="7777777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nenin 20, paragrafi 5 zëvendësohet me tekstin e mëposhtëm:</w:t>
            </w:r>
          </w:p>
          <w:p w14:paraId="321D9DF1" w14:textId="77777777" w:rsidR="00E01344" w:rsidRPr="0042075D" w:rsidRDefault="00E01344" w:rsidP="00E01344">
            <w:pPr>
              <w:pStyle w:val="oj-ti-grseq-1"/>
              <w:shd w:val="clear" w:color="auto" w:fill="FFFFFF"/>
              <w:spacing w:before="240" w:after="120"/>
              <w:jc w:val="both"/>
              <w:rPr>
                <w:rFonts w:eastAsia="Calibri"/>
                <w:iCs/>
                <w:sz w:val="20"/>
                <w:szCs w:val="20"/>
              </w:rPr>
            </w:pPr>
          </w:p>
          <w:p w14:paraId="1803E1A9" w14:textId="219AFE86"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5. Komisioni miraton formularë standardë, duke përfshirë rregullimet gjuhësore, në përputhje me procedurën e përmendur në nenin 26(2), në rastet e mëposhtme:</w:t>
            </w:r>
          </w:p>
          <w:p w14:paraId="35DCBEBC" w14:textId="522318B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w:t>
            </w:r>
          </w:p>
          <w:p w14:paraId="121307CF" w14:textId="277833F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për shkëmbimin automatik të informacionit mbi vendimet paraprake ndërkufitare dhe marrëveshjet paraprake të çmimeve në përputhje me nenin 8a para 1 janarit 2017;</w:t>
            </w:r>
          </w:p>
          <w:p w14:paraId="6C1B2509" w14:textId="496E84D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(b)</w:t>
            </w:r>
          </w:p>
          <w:p w14:paraId="167FDD77" w14:textId="3BD0ECD8"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lastRenderedPageBreak/>
              <w:t>për shkëmbimin automatik të informacionit mbi marrëveshjet ndërkufitare të raportueshme sipas Nenit 8ab para 30 qershorit 2019.</w:t>
            </w:r>
          </w:p>
          <w:p w14:paraId="748655AF" w14:textId="591AFD13"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Këto formularë standardë nuk duhet të tejkalojnë komponentët për shkëmbimin e informacionit të listuar në nenet 8a(6) dhe 8ab(14), dhe fusha të tjera të lidhura që lidhen me këta komponentë, të cilët janë të nevojshëm për të arritur objektivat e neneve 8a dhe 8ab, përkatësisht.</w:t>
            </w:r>
          </w:p>
          <w:p w14:paraId="60F76C01" w14:textId="7B6B9D3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Marrëveshjet gjuhësore të përmendura në nënparagrafin e parë nuk i pengojnë Shtetet Anëtare të komunikojnë informacionin e përmendur në nenet 8a dhe 8ab në asnjë nga gjuhët zyrtare të Bashkimit. Megjithatë, këto marrëveshje gjuhësore mund të parashikojnë që elementët kryesorë të një informacioni të tillë të dërgohen edhe në një gjuhë tjetër zyrtare të Bashkimit.';</w:t>
            </w:r>
          </w:p>
          <w:p w14:paraId="41EC591A" w14:textId="6A7C171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(4)</w:t>
            </w:r>
          </w:p>
          <w:p w14:paraId="114D0309" w14:textId="358F6105"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nenin 21, paragrafi 5 zëvendësohet me tekstin e mëposhtëm:</w:t>
            </w:r>
          </w:p>
          <w:p w14:paraId="3266CBCF" w14:textId="5889BA1B"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'5. Komisioni, deri më 31 dhjetor 2017, do të zhvillojë dhe do të ofrojë mbështetje teknike dhe logjistike një drejtori qendrore të sigurt të Shteteve Anëtare mbi bashkëpunimin administrativ në fushën e taksimit, ku informacioni që do të komunikohet në kuadër të nenit 8a(1) dhe (2) do të regjistrohet me qëllim përmbushjen e shkëmbimit automatik të parashikuar në ato paragrafë.</w:t>
            </w:r>
          </w:p>
          <w:p w14:paraId="69451073" w14:textId="36B58DFA"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 xml:space="preserve">Komisioni, deri më 31 dhjetor 2019, do të zhvillojë dhe do të ofrojë mbështetje teknike dhe logjistike një drejtori qendrore të sigurt të Shteteve Anëtare mbi bashkëpunimin administrativ në fushën e taksimit, ku do të regjistrohet informacioni që do të komunikohet në kuadër të nenit 8ab(13), (14) dhe (16) me qëllim </w:t>
            </w:r>
            <w:r w:rsidRPr="0042075D">
              <w:rPr>
                <w:rFonts w:eastAsia="Calibri"/>
                <w:iCs/>
                <w:sz w:val="20"/>
                <w:szCs w:val="20"/>
              </w:rPr>
              <w:lastRenderedPageBreak/>
              <w:t>përmbushjen e shkëmbimit automatik të parashikuar në ato paragrafë.</w:t>
            </w:r>
          </w:p>
          <w:p w14:paraId="01EBBC8C" w14:textId="6E14866F"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Autoritetet kompetente të të gjitha Shteteve Anëtare do të kenë akses në informacionin e regjistruar në atë drejtori. Komisioni gjithashtu do të ketë akses në informacionin e regjistruar në atë drejtori, megjithatë brenda kufizimeve të përcaktuara në nenet 8a(8) dhe 8ab(17). Rregullimet e nevojshme praktike do të miratohen nga Komisioni në përputhje me procedurën e përmendur në nenin 26(2).</w:t>
            </w:r>
          </w:p>
          <w:p w14:paraId="44B6764E" w14:textId="24764FA1"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Derisa të jetë funksionale ajo drejtori qendrore e sigurt, shkëmbimi automatik i parashikuar në nenin 8a(1) dhe (2) dhe nenin 8ab(13), (14) dhe (16) kryhet në përputhje me paragrafin 1 të këtij neni dhe rregullimet praktike të zbatueshme.';</w:t>
            </w:r>
          </w:p>
          <w:p w14:paraId="4BFC7F72" w14:textId="69D99E57"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(5)</w:t>
            </w:r>
          </w:p>
          <w:p w14:paraId="3DC5F301" w14:textId="5C9C5B0D" w:rsidR="00E01344" w:rsidRPr="0042075D" w:rsidRDefault="00E01344" w:rsidP="00E01344">
            <w:pPr>
              <w:pStyle w:val="oj-ti-grseq-1"/>
              <w:shd w:val="clear" w:color="auto" w:fill="FFFFFF"/>
              <w:spacing w:before="240" w:after="120"/>
              <w:jc w:val="both"/>
              <w:rPr>
                <w:rFonts w:eastAsia="Calibri"/>
                <w:iCs/>
                <w:sz w:val="20"/>
                <w:szCs w:val="20"/>
              </w:rPr>
            </w:pPr>
            <w:r w:rsidRPr="0042075D">
              <w:rPr>
                <w:rFonts w:eastAsia="Calibri"/>
                <w:iCs/>
                <w:sz w:val="20"/>
                <w:szCs w:val="20"/>
              </w:rPr>
              <w:t>në nenin 23, paragrafi 3 zëvendësohet me tekstin e mëposhtëm:</w:t>
            </w:r>
          </w:p>
          <w:p w14:paraId="27772E37" w14:textId="6E084E8B" w:rsidR="00E01344" w:rsidRPr="0042075D" w:rsidRDefault="00E01344" w:rsidP="00E01344">
            <w:pPr>
              <w:pStyle w:val="oj-ti-grseq-1"/>
              <w:shd w:val="clear" w:color="auto" w:fill="FFFFFF"/>
              <w:spacing w:before="240" w:beforeAutospacing="0" w:after="120" w:afterAutospacing="0"/>
              <w:jc w:val="both"/>
              <w:rPr>
                <w:rFonts w:eastAsia="Calibri"/>
                <w:iCs/>
                <w:sz w:val="20"/>
                <w:szCs w:val="20"/>
              </w:rPr>
            </w:pPr>
            <w:r w:rsidRPr="0042075D">
              <w:rPr>
                <w:rFonts w:eastAsia="Calibri"/>
                <w:iCs/>
                <w:sz w:val="20"/>
                <w:szCs w:val="20"/>
              </w:rPr>
              <w:t>"3. Shtetet Anëtare i komunikojnë Komisionit një vlerësim vjetor të efektivitetit të shkëmbimit automatik të informacionit të përmendur në nenet 8, 8a, 8aa dhe 8ab, si dhe rezultatet praktike të arritura. Komisioni, me anë të akteve zbatuese, miraton formën dhe kushtet e komunikimit për atë vlerësim vjetor. Këto akte zbatuese miratohen në përputhje me procedurën e përmendur në nenin 26(2).";</w:t>
            </w:r>
          </w:p>
        </w:tc>
        <w:tc>
          <w:tcPr>
            <w:tcW w:w="540" w:type="dxa"/>
            <w:shd w:val="clear" w:color="auto" w:fill="FFFFFF" w:themeFill="background1"/>
          </w:tcPr>
          <w:p w14:paraId="2234B3D2" w14:textId="3AD95C1F"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5AE34FD6" w14:textId="77777777" w:rsidR="00E01344" w:rsidRPr="002C4E0D" w:rsidRDefault="00E01344" w:rsidP="00E01344">
            <w:pPr>
              <w:jc w:val="center"/>
              <w:rPr>
                <w:rFonts w:ascii="Segoe UI" w:eastAsia="Times New Roman" w:hAnsi="Segoe UI" w:cs="Segoe UI"/>
                <w:sz w:val="20"/>
                <w:szCs w:val="20"/>
                <w:lang w:eastAsia="sq-AL"/>
              </w:rPr>
            </w:pPr>
          </w:p>
        </w:tc>
        <w:tc>
          <w:tcPr>
            <w:tcW w:w="4964" w:type="dxa"/>
            <w:shd w:val="clear" w:color="auto" w:fill="FFFFFF" w:themeFill="background1"/>
          </w:tcPr>
          <w:p w14:paraId="50582B02"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p>
          <w:p w14:paraId="6A773EC6"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1</w:t>
            </w:r>
          </w:p>
          <w:p w14:paraId="7BB02BC3"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Objekti</w:t>
            </w:r>
          </w:p>
          <w:p w14:paraId="25F32CED" w14:textId="07E547E8" w:rsidR="00E01344" w:rsidRPr="002C4E0D" w:rsidRDefault="000417EA" w:rsidP="002C4E0D">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Ky ligj përcakton rregullat dhe procedurat për raportimin e mekanizmave ndërkufitar nga ndërmjetësit ose nga tatimpaguesit përkatës pranë Drejtorisë së Përgjithshme të Tatimeve dhe shkëmbimin automatik të informacionit mbi mekanizmat ndërkufitarë të raportueshëm, me autoritetet kompetente të shteteve të tjera anëtare të Bashkimit Evropian, në përputhje me nenin 8ab të Direktivës 2011/16/BE.</w:t>
            </w:r>
          </w:p>
          <w:p w14:paraId="4D37292F" w14:textId="0295725F"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p>
          <w:p w14:paraId="38FEA9B0"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2</w:t>
            </w:r>
          </w:p>
          <w:p w14:paraId="1CC0A0F4"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Qëllimi</w:t>
            </w:r>
          </w:p>
          <w:p w14:paraId="3A514B3A" w14:textId="77FDA418"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Qëllimi i këtij ligji është rritja e transparencës në fushën e tatimeve dhe forcimi i bashkëpunimit administrativ </w:t>
            </w:r>
            <w:r w:rsidR="000417EA" w:rsidRPr="002C4E0D">
              <w:rPr>
                <w:rFonts w:ascii="Times New Roman" w:eastAsia="Times New Roman" w:hAnsi="Times New Roman" w:cs="Times New Roman"/>
                <w:sz w:val="20"/>
                <w:szCs w:val="20"/>
                <w:lang w:eastAsia="sq-AL"/>
              </w:rPr>
              <w:t xml:space="preserve">ndërkufitar </w:t>
            </w:r>
            <w:r w:rsidRPr="002C4E0D">
              <w:rPr>
                <w:rFonts w:ascii="Times New Roman" w:eastAsia="Times New Roman" w:hAnsi="Times New Roman" w:cs="Times New Roman"/>
                <w:sz w:val="20"/>
                <w:szCs w:val="20"/>
                <w:lang w:eastAsia="sq-AL"/>
              </w:rPr>
              <w:t>nëpërmjet raportimit dhe shkëmbimit automatik të informacionit mbi mekanizmat ndërkufitarë të raportueshëm, me synim identifikimin në kohë të rreziqeve që lidhen me evazionin, shmangien dhe planifikimin agresiv tatimor.</w:t>
            </w:r>
          </w:p>
          <w:p w14:paraId="1BBFC4C8" w14:textId="77777777" w:rsidR="00902500" w:rsidRPr="002C4E0D" w:rsidRDefault="00902500" w:rsidP="00E01344">
            <w:pPr>
              <w:spacing w:line="276" w:lineRule="auto"/>
              <w:jc w:val="both"/>
              <w:rPr>
                <w:rFonts w:ascii="Times New Roman" w:eastAsia="Times New Roman" w:hAnsi="Times New Roman" w:cs="Times New Roman"/>
                <w:sz w:val="20"/>
                <w:szCs w:val="20"/>
                <w:lang w:eastAsia="sq-AL"/>
              </w:rPr>
            </w:pPr>
          </w:p>
          <w:p w14:paraId="47B5F40C"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3</w:t>
            </w:r>
          </w:p>
          <w:p w14:paraId="2A60519F"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Fusha e zbatimit</w:t>
            </w:r>
          </w:p>
          <w:p w14:paraId="5037AA84" w14:textId="588D2A3A"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Ky ligj zbatohet për ndërmjetësit dhe tatimpaguesit përkatës që kanë detyrimin e raportimit të mekanizmave ndërkufitare të raportueshëm sipas përcaktimeve të këtij ligji.</w:t>
            </w:r>
          </w:p>
          <w:p w14:paraId="1B294B80" w14:textId="7D0F40D5"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lastRenderedPageBreak/>
              <w:t>Neni 5</w:t>
            </w:r>
          </w:p>
          <w:p w14:paraId="1A421EBB"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Detyrimi i raportimit për ndërmjetësin</w:t>
            </w:r>
          </w:p>
          <w:p w14:paraId="78C8434A" w14:textId="34418072"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1. Çdo ndërmjetës ka detyrimin t’i raportojë autoritetit kompetent informacionin mbi mekanizmat ndërkufitare të raportueshme që janë brenda njohurive, zotërimit ose kontrollit të tij, brenda 30 ditëve duke filluar nga:</w:t>
            </w:r>
          </w:p>
          <w:p w14:paraId="35CA76B4" w14:textId="77777777"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a) nga e nesërmja e ditës kur mekanizmi ndërkufitar i raportueshëm vihet në dispozicion për zbatim; ose</w:t>
            </w:r>
          </w:p>
          <w:p w14:paraId="3338A4F1" w14:textId="77777777"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b) ditën pas datës në të cilën mekanizmi ndërkufitar i raportueshm është gati për zbatim; ose</w:t>
            </w:r>
          </w:p>
          <w:p w14:paraId="1F1C8B51" w14:textId="77777777"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c) dita në të cilën është bërë hapi i parë në zbatimin e mekanizmit ndërkufitare të raportueshëm, cilado nga këto data që ndodh e para.</w:t>
            </w:r>
          </w:p>
          <w:p w14:paraId="25196D22" w14:textId="4CD25069"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2. Një ndërmjetës që ofron, drejtpërdrejt ose nëpërmjet personave të tjerë, ndihmë, asistencë ose këshilla në lidhje me një mekanizëm ndërkufitar të raportueshëm ka detyrimin të raportojë informacionin brenda 30 ditëve duke filluar nga e nesërmja e datës në të cilën është ofruar ndihma, asistenca ose këshilla.</w:t>
            </w:r>
          </w:p>
          <w:p w14:paraId="2B45EDF1" w14:textId="3876A268"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3. Një ndërmjetës përjashtohet nga detyrimi për raportim nëse vërteton se i njëjti informacion është raportuar tashmë nga një ndërmjetës tjetër. Verifikimi bëhet nëpërmjet numrit unik të referencës së raportimit ose dokumentacionit tjetër të lëshuar nga autoriteti kompetent.</w:t>
            </w:r>
          </w:p>
          <w:p w14:paraId="36CD4C82" w14:textId="77777777" w:rsidR="00902500" w:rsidRPr="002C4E0D" w:rsidRDefault="00902500" w:rsidP="00902500">
            <w:pPr>
              <w:spacing w:line="276" w:lineRule="auto"/>
              <w:jc w:val="both"/>
              <w:rPr>
                <w:rFonts w:ascii="Times New Roman" w:eastAsia="Times New Roman" w:hAnsi="Times New Roman" w:cs="Times New Roman"/>
                <w:bCs/>
                <w:sz w:val="20"/>
                <w:szCs w:val="20"/>
                <w:lang w:eastAsia="sq-AL"/>
              </w:rPr>
            </w:pPr>
          </w:p>
          <w:p w14:paraId="79C24F74" w14:textId="77777777" w:rsidR="00902500" w:rsidRPr="002C4E0D" w:rsidRDefault="00902500" w:rsidP="002C4E0D">
            <w:pPr>
              <w:spacing w:line="300" w:lineRule="atLeast"/>
              <w:jc w:val="both"/>
              <w:rPr>
                <w:rFonts w:ascii="Times New Roman" w:eastAsia="Times New Roman" w:hAnsi="Times New Roman" w:cs="Times New Roman"/>
                <w:b/>
                <w:sz w:val="20"/>
                <w:szCs w:val="20"/>
                <w:lang w:eastAsia="sq-AL"/>
              </w:rPr>
            </w:pPr>
          </w:p>
          <w:p w14:paraId="3B6F739E" w14:textId="28F27D6C" w:rsidR="00E01344" w:rsidRPr="002C4E0D" w:rsidRDefault="00E01344" w:rsidP="00E01344">
            <w:pPr>
              <w:spacing w:line="300" w:lineRule="atLeast"/>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6</w:t>
            </w:r>
          </w:p>
          <w:p w14:paraId="3DB34C97" w14:textId="77777777" w:rsidR="00E01344" w:rsidRPr="002C4E0D" w:rsidRDefault="00E01344" w:rsidP="00E01344">
            <w:pPr>
              <w:spacing w:line="300" w:lineRule="atLeast"/>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Raportimi periodik për mekanizmat e tregtueshëm</w:t>
            </w:r>
          </w:p>
          <w:p w14:paraId="228E0EAE" w14:textId="73C99D68" w:rsidR="00E01344" w:rsidRPr="002C4E0D" w:rsidRDefault="00E01344" w:rsidP="00902500">
            <w:pPr>
              <w:spacing w:line="300" w:lineRule="atLeast"/>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1.</w:t>
            </w:r>
            <w:r w:rsidRPr="002C4E0D">
              <w:rPr>
                <w:rFonts w:ascii="Times New Roman" w:eastAsia="Times New Roman" w:hAnsi="Times New Roman" w:cs="Times New Roman"/>
                <w:bCs/>
                <w:sz w:val="20"/>
                <w:szCs w:val="20"/>
                <w:lang w:eastAsia="sq-AL"/>
              </w:rPr>
              <w:tab/>
              <w:t xml:space="preserve">Në rastin e mekanizmave të tregtueshëm, ndërmjetësi duhet t'i paraqesë autoritetit kompetent një </w:t>
            </w:r>
            <w:r w:rsidRPr="002C4E0D">
              <w:rPr>
                <w:rFonts w:ascii="Times New Roman" w:eastAsia="Times New Roman" w:hAnsi="Times New Roman" w:cs="Times New Roman"/>
                <w:bCs/>
                <w:sz w:val="20"/>
                <w:szCs w:val="20"/>
                <w:lang w:eastAsia="sq-AL"/>
              </w:rPr>
              <w:lastRenderedPageBreak/>
              <w:t>raport periodik çdo tre muaj  duke ofruar një përditësim që përmban informacion të ri të raportueshëm në lidhje me këto marrëveshje.</w:t>
            </w:r>
            <w:r w:rsidR="00902500" w:rsidRPr="002C4E0D">
              <w:rPr>
                <w:rFonts w:ascii="Times New Roman" w:eastAsia="Times New Roman" w:hAnsi="Times New Roman" w:cs="Times New Roman"/>
                <w:bCs/>
                <w:sz w:val="20"/>
                <w:szCs w:val="20"/>
                <w:lang w:eastAsia="sq-AL"/>
              </w:rPr>
              <w:t xml:space="preserve"> Forma, përmbajtja dhe mënyra elektronike e raportimit përcaktohen me vendim të Këshillit të Ministrave.</w:t>
            </w:r>
          </w:p>
          <w:p w14:paraId="307F3762" w14:textId="18A88702" w:rsidR="00E01344" w:rsidRPr="002C4E0D" w:rsidRDefault="00E01344" w:rsidP="002C4E0D">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2.</w:t>
            </w:r>
            <w:r w:rsidRPr="002C4E0D">
              <w:rPr>
                <w:rFonts w:ascii="Times New Roman" w:eastAsia="Times New Roman" w:hAnsi="Times New Roman" w:cs="Times New Roman"/>
                <w:bCs/>
                <w:sz w:val="20"/>
                <w:szCs w:val="20"/>
                <w:lang w:eastAsia="sq-AL"/>
              </w:rPr>
              <w:tab/>
              <w:t>Raporti periodik duhet të përmbajë çdo përditësim të informacionit të raportueshëm që është bërë i disponueshëm pas dorëzimit të raportit të fundit.</w:t>
            </w:r>
          </w:p>
          <w:p w14:paraId="799EA3BE"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p>
          <w:p w14:paraId="586950B8"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p>
          <w:p w14:paraId="5E413F79" w14:textId="55FCA596"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7</w:t>
            </w:r>
          </w:p>
          <w:p w14:paraId="082CEE89"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Rregullat për shmangien e raportimit të shumëfishtë nga ndërmjetësi</w:t>
            </w:r>
          </w:p>
          <w:p w14:paraId="355C7FBC" w14:textId="77777777" w:rsidR="00D0501F" w:rsidRPr="002C4E0D" w:rsidRDefault="00D0501F" w:rsidP="00E01344">
            <w:pPr>
              <w:spacing w:line="276" w:lineRule="auto"/>
              <w:jc w:val="center"/>
              <w:rPr>
                <w:rFonts w:ascii="Times New Roman" w:eastAsia="Times New Roman" w:hAnsi="Times New Roman" w:cs="Times New Roman"/>
                <w:b/>
                <w:sz w:val="20"/>
                <w:szCs w:val="20"/>
                <w:lang w:eastAsia="sq-AL"/>
              </w:rPr>
            </w:pPr>
          </w:p>
          <w:p w14:paraId="71F8D5B3"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1.</w:t>
            </w:r>
            <w:r w:rsidRPr="002C4E0D">
              <w:rPr>
                <w:rFonts w:ascii="Times New Roman" w:eastAsia="Times New Roman" w:hAnsi="Times New Roman" w:cs="Times New Roman"/>
                <w:bCs/>
                <w:sz w:val="20"/>
                <w:szCs w:val="20"/>
                <w:lang w:eastAsia="sq-AL"/>
              </w:rPr>
              <w:tab/>
              <w:t>Kur ndërmjetësi ka detyrimin të raportojë informacionin për të njëjtin mekanizëm ndërkufitarë te autoriteti kompetent i më shumë se një shteti anëtar, informacioni duhet të raportohet në Republikën e Shqipërisë, vetëm nëse Republika e Shqipërisë është shteti që renditet i pari sipas rendit të  mëposhtëm  të përparësisë:</w:t>
            </w:r>
          </w:p>
          <w:p w14:paraId="722B1B20"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a)  Shteti Anëtar ku ndërmjetësi është rezident për qëllime tatimore;</w:t>
            </w:r>
          </w:p>
          <w:p w14:paraId="7ABC986D"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b) Shteti Anëtar ku ndërmjetësi ka një seli të përhershme nëpërmjet të cilës ofrohen shërbimet në lidhje me marrëveshjen;</w:t>
            </w:r>
          </w:p>
          <w:p w14:paraId="30308CE7"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c) Shteti Anëtar sipas ligjeve të të cilit ndërmjetësi është themeluar ose rregullohet;</w:t>
            </w:r>
          </w:p>
          <w:p w14:paraId="519A44C5"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t>ç) Shteti Anëtar ku ndërmjetësi është i regjistruar në një shoqatë profesionale që lidhet me shërbime ligjore, tatimore ose këshillim.</w:t>
            </w:r>
          </w:p>
          <w:p w14:paraId="264D2504" w14:textId="77777777" w:rsidR="00D0501F" w:rsidRPr="002C4E0D" w:rsidRDefault="00D0501F" w:rsidP="00D0501F">
            <w:pPr>
              <w:spacing w:line="276" w:lineRule="auto"/>
              <w:jc w:val="both"/>
              <w:rPr>
                <w:rFonts w:ascii="Times New Roman" w:eastAsia="Times New Roman" w:hAnsi="Times New Roman" w:cs="Times New Roman"/>
                <w:bCs/>
                <w:sz w:val="20"/>
                <w:szCs w:val="20"/>
                <w:lang w:eastAsia="sq-AL"/>
              </w:rPr>
            </w:pPr>
            <w:r w:rsidRPr="002C4E0D">
              <w:rPr>
                <w:rFonts w:ascii="Times New Roman" w:eastAsia="Times New Roman" w:hAnsi="Times New Roman" w:cs="Times New Roman"/>
                <w:bCs/>
                <w:sz w:val="20"/>
                <w:szCs w:val="20"/>
                <w:lang w:eastAsia="sq-AL"/>
              </w:rPr>
              <w:lastRenderedPageBreak/>
              <w:t>2.</w:t>
            </w:r>
            <w:r w:rsidRPr="002C4E0D">
              <w:rPr>
                <w:rFonts w:ascii="Times New Roman" w:eastAsia="Times New Roman" w:hAnsi="Times New Roman" w:cs="Times New Roman"/>
                <w:bCs/>
                <w:sz w:val="20"/>
                <w:szCs w:val="20"/>
                <w:lang w:eastAsia="sq-AL"/>
              </w:rPr>
              <w:tab/>
              <w:t xml:space="preserve">Ndërmjetësi përjashtohet nga detyrimi për raportim nëse vërteton, me dokumentacion të mjaftueshëm, se i njëjti informacion është raportuar tashmë në një Shtet Anëtar tjetër të Bashkimit Europian. </w:t>
            </w:r>
          </w:p>
          <w:p w14:paraId="1D61A5D6" w14:textId="3E3BE51B" w:rsidR="00E01344" w:rsidRPr="002C4E0D" w:rsidRDefault="00D0501F" w:rsidP="00E01344">
            <w:pPr>
              <w:spacing w:line="276" w:lineRule="auto"/>
              <w:rPr>
                <w:rFonts w:ascii="Times New Roman" w:eastAsia="Times New Roman" w:hAnsi="Times New Roman" w:cs="Times New Roman"/>
                <w:b/>
                <w:bCs/>
                <w:sz w:val="20"/>
                <w:szCs w:val="20"/>
                <w:lang w:eastAsia="sq-AL"/>
              </w:rPr>
            </w:pPr>
            <w:r w:rsidRPr="002C4E0D">
              <w:rPr>
                <w:rFonts w:ascii="Times New Roman" w:eastAsia="Times New Roman" w:hAnsi="Times New Roman" w:cs="Times New Roman"/>
                <w:bCs/>
                <w:sz w:val="20"/>
                <w:szCs w:val="20"/>
                <w:lang w:eastAsia="sq-AL"/>
              </w:rPr>
              <w:t>3.</w:t>
            </w:r>
            <w:r w:rsidRPr="002C4E0D">
              <w:rPr>
                <w:rFonts w:ascii="Times New Roman" w:eastAsia="Times New Roman" w:hAnsi="Times New Roman" w:cs="Times New Roman"/>
                <w:bCs/>
                <w:sz w:val="20"/>
                <w:szCs w:val="20"/>
                <w:lang w:eastAsia="sq-AL"/>
              </w:rPr>
              <w:tab/>
              <w:t>Ky nen zbatohet pa cenuar rregullat e nenit 10 për rastet kur përfshihen më shumë se një ndërmjetës.</w:t>
            </w:r>
          </w:p>
          <w:p w14:paraId="63BBEC62" w14:textId="77777777" w:rsidR="00E01344" w:rsidRPr="002C4E0D" w:rsidRDefault="00E01344" w:rsidP="00E01344">
            <w:pPr>
              <w:spacing w:line="276" w:lineRule="auto"/>
              <w:jc w:val="center"/>
              <w:rPr>
                <w:rFonts w:ascii="Times New Roman" w:eastAsia="Times New Roman" w:hAnsi="Times New Roman" w:cs="Times New Roman"/>
                <w:b/>
                <w:bCs/>
                <w:sz w:val="20"/>
                <w:szCs w:val="20"/>
                <w:lang w:eastAsia="sq-AL"/>
              </w:rPr>
            </w:pPr>
          </w:p>
          <w:p w14:paraId="77DBF28B" w14:textId="4623BAA3" w:rsidR="00E01344" w:rsidRPr="002C4E0D" w:rsidRDefault="00E01344" w:rsidP="00E01344">
            <w:pPr>
              <w:spacing w:line="276" w:lineRule="auto"/>
              <w:jc w:val="center"/>
              <w:rPr>
                <w:rFonts w:ascii="Times New Roman" w:eastAsia="Times New Roman" w:hAnsi="Times New Roman" w:cs="Times New Roman"/>
                <w:b/>
                <w:bCs/>
                <w:sz w:val="20"/>
                <w:szCs w:val="20"/>
                <w:lang w:eastAsia="sq-AL"/>
              </w:rPr>
            </w:pPr>
            <w:r w:rsidRPr="002C4E0D">
              <w:rPr>
                <w:rFonts w:ascii="Times New Roman" w:eastAsia="Times New Roman" w:hAnsi="Times New Roman" w:cs="Times New Roman"/>
                <w:b/>
                <w:bCs/>
                <w:sz w:val="20"/>
                <w:szCs w:val="20"/>
                <w:lang w:eastAsia="sq-AL"/>
              </w:rPr>
              <w:t>Neni 8</w:t>
            </w:r>
          </w:p>
          <w:p w14:paraId="4BF4A838" w14:textId="77777777" w:rsidR="00E01344" w:rsidRPr="002C4E0D" w:rsidRDefault="00E01344" w:rsidP="00E01344">
            <w:pPr>
              <w:spacing w:line="276" w:lineRule="auto"/>
              <w:ind w:left="360"/>
              <w:jc w:val="center"/>
              <w:rPr>
                <w:rFonts w:ascii="Times New Roman" w:eastAsia="Times New Roman" w:hAnsi="Times New Roman" w:cs="Times New Roman"/>
                <w:b/>
                <w:bCs/>
                <w:sz w:val="20"/>
                <w:szCs w:val="20"/>
                <w:lang w:eastAsia="sq-AL"/>
              </w:rPr>
            </w:pPr>
            <w:r w:rsidRPr="002C4E0D">
              <w:rPr>
                <w:rFonts w:ascii="Times New Roman" w:eastAsia="Times New Roman" w:hAnsi="Times New Roman" w:cs="Times New Roman"/>
                <w:b/>
                <w:bCs/>
                <w:sz w:val="20"/>
                <w:szCs w:val="20"/>
                <w:lang w:eastAsia="sq-AL"/>
              </w:rPr>
              <w:t>Përjashtim nga raportimi për shkak të sekretit profesional</w:t>
            </w:r>
          </w:p>
          <w:p w14:paraId="03E65193" w14:textId="77777777" w:rsidR="00E01344" w:rsidRPr="002C4E0D" w:rsidRDefault="00E01344" w:rsidP="00E01344">
            <w:pPr>
              <w:spacing w:line="276" w:lineRule="auto"/>
              <w:ind w:left="360"/>
              <w:rPr>
                <w:rFonts w:ascii="Times New Roman" w:eastAsia="Times New Roman" w:hAnsi="Times New Roman" w:cs="Times New Roman"/>
                <w:sz w:val="20"/>
                <w:szCs w:val="20"/>
                <w:lang w:eastAsia="sq-AL"/>
              </w:rPr>
            </w:pPr>
          </w:p>
          <w:p w14:paraId="35D43717" w14:textId="77777777" w:rsidR="00E01344" w:rsidRPr="002C4E0D" w:rsidRDefault="00E01344" w:rsidP="00E01344">
            <w:pPr>
              <w:spacing w:line="276" w:lineRule="auto"/>
              <w:ind w:left="360"/>
              <w:rPr>
                <w:rFonts w:ascii="Times New Roman" w:eastAsia="Times New Roman" w:hAnsi="Times New Roman" w:cs="Times New Roman"/>
                <w:sz w:val="20"/>
                <w:szCs w:val="20"/>
                <w:lang w:eastAsia="sq-AL"/>
              </w:rPr>
            </w:pPr>
          </w:p>
          <w:p w14:paraId="29523A29"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1.</w:t>
            </w:r>
            <w:r w:rsidRPr="002C4E0D">
              <w:rPr>
                <w:rFonts w:ascii="Times New Roman" w:eastAsia="Times New Roman" w:hAnsi="Times New Roman" w:cs="Times New Roman"/>
                <w:sz w:val="20"/>
                <w:szCs w:val="20"/>
                <w:lang w:eastAsia="sq-AL"/>
              </w:rPr>
              <w:tab/>
              <w:t>Ndërmjetësi përjashtohet nga detyrimi për raportim në masën që raportimi do të shkelte detyrimin për ruajtjen e sekretit profesional, në përputhje me legjislacionin kombëtar në fuqi që rregullon sekretin profesional të ndërmjetësit, për aq sa ky detyrim njihet sipas këtij legjislacioni.</w:t>
            </w:r>
          </w:p>
          <w:p w14:paraId="54373DCD" w14:textId="1AD1213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2.</w:t>
            </w:r>
            <w:r w:rsidRPr="002C4E0D">
              <w:rPr>
                <w:rFonts w:ascii="Times New Roman" w:eastAsia="Times New Roman" w:hAnsi="Times New Roman" w:cs="Times New Roman"/>
                <w:sz w:val="20"/>
                <w:szCs w:val="20"/>
                <w:lang w:eastAsia="sq-AL"/>
              </w:rPr>
              <w:tab/>
              <w:t>Në rastet e parashikuara në pikwn 1 të këtij neni, ndërmjetësi duhet të njoftojë pa vonesë një ndërmjetës tjetër ose, në mungesë të tij, tatimpaguesin përkatës, për transferimin e detyrimit të raportimit.</w:t>
            </w:r>
          </w:p>
          <w:p w14:paraId="34BF2C4C" w14:textId="79CE896E"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3.</w:t>
            </w:r>
            <w:r w:rsidRPr="002C4E0D">
              <w:rPr>
                <w:rFonts w:ascii="Times New Roman" w:eastAsia="Times New Roman" w:hAnsi="Times New Roman" w:cs="Times New Roman"/>
                <w:sz w:val="20"/>
                <w:szCs w:val="20"/>
                <w:lang w:eastAsia="sq-AL"/>
              </w:rPr>
              <w:tab/>
            </w:r>
            <w:r w:rsidR="00CA5A58" w:rsidRPr="002C4E0D">
              <w:rPr>
                <w:rFonts w:ascii="Times New Roman" w:eastAsia="Times New Roman" w:hAnsi="Times New Roman" w:cs="Times New Roman"/>
                <w:sz w:val="20"/>
                <w:szCs w:val="20"/>
                <w:lang w:eastAsia="sq-AL"/>
              </w:rPr>
              <w:t>Njoftimi sipas pikës 2 të këtij neni nuk duhet të përmbajë informacione që përbëjne  sekret profesional.</w:t>
            </w:r>
          </w:p>
          <w:p w14:paraId="25132A51"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4.</w:t>
            </w:r>
            <w:r w:rsidRPr="002C4E0D">
              <w:rPr>
                <w:rFonts w:ascii="Times New Roman" w:eastAsia="Times New Roman" w:hAnsi="Times New Roman" w:cs="Times New Roman"/>
                <w:sz w:val="20"/>
                <w:szCs w:val="20"/>
                <w:lang w:eastAsia="sq-AL"/>
              </w:rPr>
              <w:tab/>
              <w:t>Përjashtimi sipas këtij neni zbatohet vetëm në masën që ndërmjetësi vepron brenda kufijve të sekretit profesional të përfshirë në legjislacionin në fuqi që rregullon profesionin e tij.</w:t>
            </w:r>
          </w:p>
          <w:p w14:paraId="6B4B1C92" w14:textId="53B6812E"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5.</w:t>
            </w:r>
            <w:r w:rsidRPr="002C4E0D">
              <w:rPr>
                <w:rFonts w:ascii="Times New Roman" w:eastAsia="Times New Roman" w:hAnsi="Times New Roman" w:cs="Times New Roman"/>
                <w:sz w:val="20"/>
                <w:szCs w:val="20"/>
                <w:lang w:eastAsia="sq-AL"/>
              </w:rPr>
              <w:tab/>
              <w:t xml:space="preserve">Kushtet, procedurat dhe forma e njoftimit në përputhje me këtë nen përcaktohen me vendim të </w:t>
            </w:r>
            <w:r w:rsidR="00CA5A58" w:rsidRPr="002C4E0D">
              <w:rPr>
                <w:rFonts w:ascii="Times New Roman" w:eastAsia="Times New Roman" w:hAnsi="Times New Roman" w:cs="Times New Roman"/>
                <w:sz w:val="20"/>
                <w:szCs w:val="20"/>
                <w:lang w:eastAsia="sq-AL"/>
              </w:rPr>
              <w:t>Kë</w:t>
            </w:r>
            <w:r w:rsidRPr="002C4E0D">
              <w:rPr>
                <w:rFonts w:ascii="Times New Roman" w:eastAsia="Times New Roman" w:hAnsi="Times New Roman" w:cs="Times New Roman"/>
                <w:sz w:val="20"/>
                <w:szCs w:val="20"/>
                <w:lang w:eastAsia="sq-AL"/>
              </w:rPr>
              <w:t xml:space="preserve">shillit të </w:t>
            </w:r>
            <w:r w:rsidR="00CA5A58" w:rsidRPr="002C4E0D">
              <w:rPr>
                <w:rFonts w:ascii="Times New Roman" w:eastAsia="Times New Roman" w:hAnsi="Times New Roman" w:cs="Times New Roman"/>
                <w:sz w:val="20"/>
                <w:szCs w:val="20"/>
                <w:lang w:eastAsia="sq-AL"/>
              </w:rPr>
              <w:t>M</w:t>
            </w:r>
            <w:r w:rsidRPr="002C4E0D">
              <w:rPr>
                <w:rFonts w:ascii="Times New Roman" w:eastAsia="Times New Roman" w:hAnsi="Times New Roman" w:cs="Times New Roman"/>
                <w:sz w:val="20"/>
                <w:szCs w:val="20"/>
                <w:lang w:eastAsia="sq-AL"/>
              </w:rPr>
              <w:t>inistrave.</w:t>
            </w:r>
          </w:p>
          <w:p w14:paraId="0832D201" w14:textId="3B940141" w:rsidR="00E01344" w:rsidRPr="0042075D" w:rsidRDefault="00E01344" w:rsidP="00E01344">
            <w:pPr>
              <w:spacing w:line="276" w:lineRule="auto"/>
              <w:jc w:val="both"/>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sz w:val="20"/>
                <w:szCs w:val="20"/>
                <w:lang w:eastAsia="sq-AL"/>
              </w:rPr>
              <w:lastRenderedPageBreak/>
              <w:t>6.</w:t>
            </w:r>
            <w:r w:rsidRPr="002C4E0D">
              <w:rPr>
                <w:rFonts w:ascii="Times New Roman" w:eastAsia="Times New Roman" w:hAnsi="Times New Roman" w:cs="Times New Roman"/>
                <w:sz w:val="20"/>
                <w:szCs w:val="20"/>
                <w:lang w:eastAsia="sq-AL"/>
              </w:rPr>
              <w:tab/>
              <w:t>Asnjë dispozitë e këtij neni nuk duhet të interpretohet si kufizim ose zgjerim i fushëveprimit të sekretit profesional sipas legjislacionit në fuqi.</w:t>
            </w:r>
          </w:p>
          <w:p w14:paraId="7BA84FB0" w14:textId="77777777" w:rsidR="00E01344" w:rsidRPr="0042075D" w:rsidRDefault="00E01344" w:rsidP="00E01344">
            <w:pPr>
              <w:spacing w:line="276" w:lineRule="auto"/>
              <w:jc w:val="both"/>
              <w:rPr>
                <w:rFonts w:ascii="Times New Roman" w:eastAsia="Times New Roman" w:hAnsi="Times New Roman" w:cs="Times New Roman"/>
                <w:b/>
                <w:sz w:val="20"/>
                <w:szCs w:val="20"/>
                <w:lang w:eastAsia="sq-AL"/>
              </w:rPr>
            </w:pPr>
          </w:p>
          <w:p w14:paraId="0D7AE9FA"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9</w:t>
            </w:r>
          </w:p>
          <w:p w14:paraId="3F6EC33C"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Detyrimi për raportim për tatimpaguesin përkatës</w:t>
            </w:r>
          </w:p>
          <w:p w14:paraId="32BAF51B"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1.</w:t>
            </w:r>
            <w:r w:rsidRPr="0042075D">
              <w:rPr>
                <w:rFonts w:ascii="Times New Roman" w:eastAsia="Times New Roman" w:hAnsi="Times New Roman" w:cs="Times New Roman"/>
                <w:sz w:val="20"/>
                <w:szCs w:val="20"/>
                <w:lang w:eastAsia="sq-AL"/>
              </w:rPr>
              <w:tab/>
              <w:t>Kur nuk ka ndërmjetës, ose kur ndërmjetësi është i përjashtuar nga detyrimi për raportim në përputhje me nenin 8 të këtij ligji dhe ka njoftuar një ndërmjetës tjetër ose, në mungesë të tij, tatimpaguesin përkatës për transferimin e detyrimit të raportimit, detyrimi për raportim i takon ndërmjetësit tjetër të njoftuar ose, në mungesë të tij, tatimpaguesit përkatës.</w:t>
            </w:r>
          </w:p>
          <w:p w14:paraId="4959D39E"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2.</w:t>
            </w:r>
            <w:r w:rsidRPr="0042075D">
              <w:rPr>
                <w:rFonts w:ascii="Times New Roman" w:eastAsia="Times New Roman" w:hAnsi="Times New Roman" w:cs="Times New Roman"/>
                <w:sz w:val="20"/>
                <w:szCs w:val="20"/>
                <w:lang w:eastAsia="sq-AL"/>
              </w:rPr>
              <w:tab/>
              <w:t>Tatimpaguesi përkatës mbi të cilin bie detyrimi për raportim duhet t'ia paraqesë informacionin autoritetit kompetent brenda 30 ditëve nga data më e hershme ndër datat e mëposhtme:</w:t>
            </w:r>
          </w:p>
          <w:p w14:paraId="161820D4"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a) mekanizmi ndërkufitar i raportueshëm vihet në dispozicion për zbatim;</w:t>
            </w:r>
          </w:p>
          <w:p w14:paraId="36B022FB"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b) mekanizmi ndërkufitar i raportueshëm është gati për zbatim; ose</w:t>
            </w:r>
          </w:p>
          <w:p w14:paraId="1E3AD958"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c) kur është kryer hapi i parë në zbatimin e mekanizmit në lidhje me tatimpaguesin përkatës.</w:t>
            </w:r>
          </w:p>
          <w:p w14:paraId="52B0B67F"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2.</w:t>
            </w:r>
            <w:r w:rsidRPr="0042075D">
              <w:rPr>
                <w:rFonts w:ascii="Times New Roman" w:eastAsia="Times New Roman" w:hAnsi="Times New Roman" w:cs="Times New Roman"/>
                <w:sz w:val="20"/>
                <w:szCs w:val="20"/>
                <w:lang w:eastAsia="sq-AL"/>
              </w:rPr>
              <w:tab/>
              <w:t>Kur tatimpaguesi përkatës ka detyrimin të raportojë informacionin për të njëjtin mekanizëm ndërkufitarë te autoriteti kompetent i më shumë se një shteti anëtar, informacioni duhet të raportohet në Republikën e Shqipërisë, vetëm nëse Republika e Shqipërisë është shteti që renditet i pari sipas rendit të  mëposhtëm  të përparësisë:</w:t>
            </w:r>
          </w:p>
          <w:p w14:paraId="5EA8C739"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a) Shteti anëtar ku tatimpaguesi përkatës është rezident për qëllime tatimore;</w:t>
            </w:r>
          </w:p>
          <w:p w14:paraId="0BEFC08F"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lastRenderedPageBreak/>
              <w:t>b) Shteti Anëtar ku tatimpaguesi përkatës ka një seli të përhershme që përfiton nga marrëveshja;</w:t>
            </w:r>
          </w:p>
          <w:p w14:paraId="07BAE22E"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 xml:space="preserve">c) Shteti Anëtar ku tatimpaguesi përkatës merr të ardhura ose gjeneron fitime, pa qenë rezident dhe pa pasur seli të përhershme në atë Shtet Anëtar; </w:t>
            </w:r>
          </w:p>
          <w:p w14:paraId="2783A2FA" w14:textId="77777777" w:rsidR="00CA5A58" w:rsidRPr="0042075D" w:rsidRDefault="00CA5A58" w:rsidP="00CA5A58">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ç) Shteti Anëtar ku tatimpaguesi përkatës ushtron një aktivitet, pa qenë rezident dhe pa pasur seli të përhershme në atë Shtet Anëtar.</w:t>
            </w:r>
          </w:p>
          <w:p w14:paraId="6F9A6556" w14:textId="714683FB" w:rsidR="00E01344" w:rsidRPr="0042075D" w:rsidRDefault="00CA5A58"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3. Tatimpaguesi përkatës përjashtohet nga detyrimi i raportimit nëse vërteton, me dokumentacion të mjaftueshëm, se i njëjti informacion është raportuar tashmë në një Shtet tjetër Anëtar të Bashkimit Europian.</w:t>
            </w:r>
          </w:p>
          <w:p w14:paraId="40B185CD" w14:textId="7566EEC6" w:rsidR="00E01344" w:rsidRPr="0042075D" w:rsidRDefault="00E01344" w:rsidP="00E01344">
            <w:pPr>
              <w:spacing w:line="276" w:lineRule="auto"/>
              <w:jc w:val="center"/>
              <w:rPr>
                <w:rFonts w:ascii="Times New Roman" w:eastAsia="Times New Roman" w:hAnsi="Times New Roman" w:cs="Times New Roman"/>
                <w:sz w:val="20"/>
                <w:szCs w:val="20"/>
                <w:lang w:eastAsia="sq-AL"/>
              </w:rPr>
            </w:pPr>
          </w:p>
          <w:p w14:paraId="08E311F4" w14:textId="77777777" w:rsidR="00E01344" w:rsidRPr="0042075D" w:rsidRDefault="00E01344" w:rsidP="00E01344">
            <w:pPr>
              <w:spacing w:line="276" w:lineRule="auto"/>
              <w:jc w:val="center"/>
              <w:rPr>
                <w:rFonts w:ascii="Times New Roman" w:eastAsia="Times New Roman" w:hAnsi="Times New Roman" w:cs="Times New Roman"/>
                <w:b/>
                <w:sz w:val="20"/>
                <w:szCs w:val="20"/>
                <w:lang w:eastAsia="sq-AL"/>
              </w:rPr>
            </w:pPr>
          </w:p>
          <w:p w14:paraId="3C6B8502"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10</w:t>
            </w:r>
          </w:p>
          <w:p w14:paraId="03DA8282"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Detyrimi për raportim kur ka më shumë se një ndërmjetës ose tatimpagues përkatës</w:t>
            </w:r>
          </w:p>
          <w:p w14:paraId="70CD7477" w14:textId="39422374"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1.</w:t>
            </w:r>
            <w:r w:rsidRPr="0042075D">
              <w:rPr>
                <w:rFonts w:ascii="Times New Roman" w:eastAsia="Times New Roman" w:hAnsi="Times New Roman" w:cs="Times New Roman"/>
                <w:sz w:val="20"/>
                <w:szCs w:val="20"/>
                <w:lang w:eastAsia="sq-AL"/>
              </w:rPr>
              <w:tab/>
              <w:t>Kur më shumë se një ndërmjetës është i përfshirë në të njëjtën mekaniz</w:t>
            </w:r>
            <w:r w:rsidR="00754C23" w:rsidRPr="0042075D">
              <w:rPr>
                <w:rFonts w:ascii="Times New Roman" w:eastAsia="Times New Roman" w:hAnsi="Times New Roman" w:cs="Times New Roman"/>
                <w:sz w:val="20"/>
                <w:szCs w:val="20"/>
                <w:lang w:eastAsia="sq-AL"/>
              </w:rPr>
              <w:t>ë</w:t>
            </w:r>
            <w:r w:rsidRPr="0042075D">
              <w:rPr>
                <w:rFonts w:ascii="Times New Roman" w:eastAsia="Times New Roman" w:hAnsi="Times New Roman" w:cs="Times New Roman"/>
                <w:sz w:val="20"/>
                <w:szCs w:val="20"/>
                <w:lang w:eastAsia="sq-AL"/>
              </w:rPr>
              <w:t>m ndërkufitar të raportuesh</w:t>
            </w:r>
            <w:r w:rsidR="00754C23" w:rsidRPr="0042075D">
              <w:rPr>
                <w:rFonts w:ascii="Times New Roman" w:eastAsia="Times New Roman" w:hAnsi="Times New Roman" w:cs="Times New Roman"/>
                <w:sz w:val="20"/>
                <w:szCs w:val="20"/>
                <w:lang w:eastAsia="sq-AL"/>
              </w:rPr>
              <w:t>ë</w:t>
            </w:r>
            <w:r w:rsidRPr="0042075D">
              <w:rPr>
                <w:rFonts w:ascii="Times New Roman" w:eastAsia="Times New Roman" w:hAnsi="Times New Roman" w:cs="Times New Roman"/>
                <w:sz w:val="20"/>
                <w:szCs w:val="20"/>
                <w:lang w:eastAsia="sq-AL"/>
              </w:rPr>
              <w:t>m, detyrimi për raportim zbatohet për secilin prej tyre .</w:t>
            </w:r>
          </w:p>
          <w:p w14:paraId="14F9DEC3"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2.</w:t>
            </w:r>
            <w:r w:rsidRPr="0042075D">
              <w:rPr>
                <w:rFonts w:ascii="Times New Roman" w:eastAsia="Times New Roman" w:hAnsi="Times New Roman" w:cs="Times New Roman"/>
                <w:sz w:val="20"/>
                <w:szCs w:val="20"/>
                <w:lang w:eastAsia="sq-AL"/>
              </w:rPr>
              <w:tab/>
              <w:t>Një ndërmjetës përjashtohet nga detyrimi për raportim nëse vërteton, me dokumentacion të mjaftueshëm, se i njëjti informacion është raportuar tashmë nga një ndërmjetës tjetër.</w:t>
            </w:r>
          </w:p>
          <w:p w14:paraId="50E3971C"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3.</w:t>
            </w:r>
            <w:r w:rsidRPr="0042075D">
              <w:rPr>
                <w:rFonts w:ascii="Times New Roman" w:eastAsia="Times New Roman" w:hAnsi="Times New Roman" w:cs="Times New Roman"/>
                <w:sz w:val="20"/>
                <w:szCs w:val="20"/>
                <w:lang w:eastAsia="sq-AL"/>
              </w:rPr>
              <w:tab/>
              <w:t>Kur detyrimi për raportim i takon tatimpaguesit përkatës dhe në marrëveshje është i përfshirë më shumë se një tatimpagues, informacioni raportohet nga tatimpaguesi që renditet i pari sipas rendit të mëposhtëm të përparësisë:</w:t>
            </w:r>
          </w:p>
          <w:p w14:paraId="4628F6D2"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a)</w:t>
            </w:r>
            <w:r w:rsidRPr="0042075D">
              <w:rPr>
                <w:rFonts w:ascii="Times New Roman" w:eastAsia="Times New Roman" w:hAnsi="Times New Roman" w:cs="Times New Roman"/>
                <w:sz w:val="20"/>
                <w:szCs w:val="20"/>
                <w:lang w:eastAsia="sq-AL"/>
              </w:rPr>
              <w:tab/>
              <w:t xml:space="preserve">tatimpaguesi që ka rënë dakord me ndërmjetësin për mekanizmin ndërkufitarr të raportueshm. </w:t>
            </w:r>
          </w:p>
          <w:p w14:paraId="2C91B47A"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lastRenderedPageBreak/>
              <w:t>b)</w:t>
            </w:r>
            <w:r w:rsidRPr="0042075D">
              <w:rPr>
                <w:rFonts w:ascii="Times New Roman" w:eastAsia="Times New Roman" w:hAnsi="Times New Roman" w:cs="Times New Roman"/>
                <w:sz w:val="20"/>
                <w:szCs w:val="20"/>
                <w:lang w:eastAsia="sq-AL"/>
              </w:rPr>
              <w:tab/>
              <w:t>tatimpaguesi  që menaxhon zbatimin e marrëveshjes.</w:t>
            </w:r>
          </w:p>
          <w:p w14:paraId="5DD5D57C" w14:textId="505C6990" w:rsidR="00E01344" w:rsidRPr="0042075D" w:rsidRDefault="00E01344" w:rsidP="00E01344">
            <w:pPr>
              <w:spacing w:line="276" w:lineRule="auto"/>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4.</w:t>
            </w:r>
            <w:r w:rsidRPr="0042075D">
              <w:rPr>
                <w:rFonts w:ascii="Times New Roman" w:eastAsia="Times New Roman" w:hAnsi="Times New Roman" w:cs="Times New Roman"/>
                <w:sz w:val="20"/>
                <w:szCs w:val="20"/>
                <w:lang w:eastAsia="sq-AL"/>
              </w:rPr>
              <w:tab/>
              <w:t>Tatimpaguesi përkatës përjashtohet nga detyrimi për raportim vetëm nëse vërteton, me dokumentacion të mjaftueshëm, se i njëjti informacion, i referuar në nenin 11 të këtij ligji, është raportuar tashmë nga një tatimpagues tjetër.</w:t>
            </w:r>
            <w:r w:rsidR="00754C23" w:rsidRPr="0042075D">
              <w:rPr>
                <w:rFonts w:ascii="Times New Roman" w:eastAsia="Times New Roman" w:hAnsi="Times New Roman" w:cs="Times New Roman"/>
                <w:sz w:val="20"/>
                <w:szCs w:val="20"/>
                <w:lang w:eastAsia="sq-AL"/>
              </w:rPr>
              <w:br/>
              <w:t>5.</w:t>
            </w:r>
            <w:r w:rsidR="00754C23" w:rsidRPr="0042075D">
              <w:rPr>
                <w:rFonts w:ascii="Times New Roman" w:eastAsia="Times New Roman" w:hAnsi="Times New Roman" w:cs="Times New Roman"/>
                <w:sz w:val="20"/>
                <w:szCs w:val="20"/>
                <w:lang w:eastAsia="sq-AL"/>
              </w:rPr>
              <w:tab/>
              <w:t>Dispozitat e këtij neni zbatohen në përputhje dhe në harmoni me rregullat për shmangien e raportimit të shumëfishtë të përcaktuara në nenet 7 dhe 9 të këtij ligji.</w:t>
            </w:r>
          </w:p>
          <w:p w14:paraId="4F3D0AA3"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3FA036AB"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35A48036"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1D25C134"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40702AA6"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4BC6E806"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3A7D8B6A" w14:textId="2A20EA3D"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17</w:t>
            </w:r>
          </w:p>
          <w:p w14:paraId="7D5A4755" w14:textId="3956E8F1" w:rsidR="00E01344" w:rsidRPr="0042075D" w:rsidRDefault="00372ECB"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Kërkesa për informacion mbi përdorimin e mekanizmit</w:t>
            </w:r>
          </w:p>
          <w:p w14:paraId="00EB54EC" w14:textId="77777777" w:rsidR="00372ECB" w:rsidRPr="0042075D" w:rsidRDefault="00372ECB" w:rsidP="00E01344">
            <w:pPr>
              <w:spacing w:line="276" w:lineRule="auto"/>
              <w:jc w:val="center"/>
              <w:rPr>
                <w:rFonts w:ascii="Times New Roman" w:eastAsia="Times New Roman" w:hAnsi="Times New Roman" w:cs="Times New Roman"/>
                <w:b/>
                <w:bCs/>
                <w:sz w:val="20"/>
                <w:szCs w:val="20"/>
                <w:lang w:eastAsia="sq-AL"/>
              </w:rPr>
            </w:pPr>
          </w:p>
          <w:p w14:paraId="6F810A5D" w14:textId="03E6359A" w:rsidR="00E01344" w:rsidRPr="002C4E0D" w:rsidRDefault="00E01344" w:rsidP="00E01344">
            <w:pPr>
              <w:jc w:val="both"/>
              <w:rPr>
                <w:b/>
                <w:sz w:val="20"/>
                <w:szCs w:val="20"/>
                <w:lang w:eastAsia="sq-AL"/>
              </w:rPr>
            </w:pPr>
            <w:r w:rsidRPr="0042075D">
              <w:rPr>
                <w:rFonts w:ascii="Times New Roman" w:eastAsia="Times New Roman" w:hAnsi="Times New Roman" w:cs="Times New Roman"/>
                <w:sz w:val="20"/>
                <w:szCs w:val="20"/>
                <w:lang w:eastAsia="sq-AL"/>
              </w:rPr>
              <w:t xml:space="preserve">Kur kërkohet nga autoriteti kompetent, tatimpaguesi përkatës duhet të paraqesë informacion mbi përdorimin e mekanizmave ndërkufitare të raportueshme për çdo vit </w:t>
            </w:r>
            <w:r w:rsidR="00372ECB" w:rsidRPr="0042075D">
              <w:rPr>
                <w:rFonts w:ascii="Times New Roman" w:eastAsia="Times New Roman" w:hAnsi="Times New Roman" w:cs="Times New Roman"/>
                <w:sz w:val="20"/>
                <w:szCs w:val="20"/>
                <w:lang w:eastAsia="sq-AL"/>
              </w:rPr>
              <w:t xml:space="preserve">tatimor </w:t>
            </w:r>
            <w:r w:rsidRPr="0042075D">
              <w:rPr>
                <w:rFonts w:ascii="Times New Roman" w:eastAsia="Times New Roman" w:hAnsi="Times New Roman" w:cs="Times New Roman"/>
                <w:sz w:val="20"/>
                <w:szCs w:val="20"/>
                <w:lang w:eastAsia="sq-AL"/>
              </w:rPr>
              <w:t>gjatë të cilit përdoret marrëveshja.</w:t>
            </w:r>
          </w:p>
          <w:p w14:paraId="7855552A" w14:textId="4FE70968" w:rsidR="00E01344" w:rsidRPr="0042075D" w:rsidRDefault="00E01344" w:rsidP="00E01344">
            <w:pPr>
              <w:spacing w:line="276" w:lineRule="auto"/>
              <w:jc w:val="both"/>
              <w:rPr>
                <w:rFonts w:ascii="Times New Roman" w:hAnsi="Times New Roman" w:cs="Times New Roman"/>
                <w:b/>
                <w:sz w:val="20"/>
                <w:szCs w:val="20"/>
                <w:lang w:eastAsia="sq-AL"/>
              </w:rPr>
            </w:pPr>
          </w:p>
          <w:p w14:paraId="680F2FDC" w14:textId="77777777" w:rsidR="00E01344" w:rsidRPr="0042075D" w:rsidRDefault="00E01344" w:rsidP="00E01344">
            <w:pPr>
              <w:spacing w:line="276" w:lineRule="auto"/>
              <w:jc w:val="center"/>
              <w:rPr>
                <w:rFonts w:ascii="Times New Roman" w:hAnsi="Times New Roman" w:cs="Times New Roman"/>
                <w:b/>
                <w:sz w:val="20"/>
                <w:szCs w:val="20"/>
                <w:lang w:eastAsia="sq-AL"/>
              </w:rPr>
            </w:pPr>
          </w:p>
          <w:p w14:paraId="45BE189F" w14:textId="77777777" w:rsidR="00E01344" w:rsidRPr="0042075D" w:rsidRDefault="00E01344" w:rsidP="00E01344">
            <w:pPr>
              <w:spacing w:line="276" w:lineRule="auto"/>
              <w:jc w:val="center"/>
              <w:rPr>
                <w:rFonts w:ascii="Times New Roman" w:hAnsi="Times New Roman" w:cs="Times New Roman"/>
                <w:b/>
                <w:sz w:val="20"/>
                <w:szCs w:val="20"/>
                <w:lang w:eastAsia="sq-AL"/>
              </w:rPr>
            </w:pPr>
          </w:p>
          <w:p w14:paraId="293A91D6" w14:textId="29ABFAB7" w:rsidR="00E01344" w:rsidRPr="0042075D" w:rsidRDefault="00E01344" w:rsidP="00E01344">
            <w:pPr>
              <w:spacing w:line="276" w:lineRule="auto"/>
              <w:jc w:val="center"/>
              <w:rPr>
                <w:rFonts w:ascii="Times New Roman" w:hAnsi="Times New Roman" w:cs="Times New Roman"/>
                <w:b/>
                <w:sz w:val="20"/>
                <w:szCs w:val="20"/>
                <w:lang w:eastAsia="sq-AL"/>
              </w:rPr>
            </w:pPr>
            <w:r w:rsidRPr="0042075D">
              <w:rPr>
                <w:rFonts w:ascii="Times New Roman" w:hAnsi="Times New Roman" w:cs="Times New Roman"/>
                <w:b/>
                <w:sz w:val="20"/>
                <w:szCs w:val="20"/>
                <w:lang w:eastAsia="sq-AL"/>
              </w:rPr>
              <w:t>Neni 19</w:t>
            </w:r>
          </w:p>
          <w:p w14:paraId="46F98A7F" w14:textId="77777777" w:rsidR="00E01344" w:rsidRPr="0042075D" w:rsidRDefault="00E01344" w:rsidP="00E01344">
            <w:pPr>
              <w:spacing w:line="276" w:lineRule="auto"/>
              <w:jc w:val="center"/>
              <w:rPr>
                <w:rFonts w:ascii="Times New Roman" w:hAnsi="Times New Roman" w:cs="Times New Roman"/>
                <w:b/>
                <w:sz w:val="20"/>
                <w:szCs w:val="20"/>
                <w:lang w:eastAsia="sq-AL"/>
              </w:rPr>
            </w:pPr>
            <w:r w:rsidRPr="0042075D">
              <w:rPr>
                <w:rFonts w:ascii="Times New Roman" w:hAnsi="Times New Roman" w:cs="Times New Roman"/>
                <w:b/>
                <w:sz w:val="20"/>
                <w:szCs w:val="20"/>
                <w:lang w:eastAsia="sq-AL"/>
              </w:rPr>
              <w:t>Dispozitat kalimtare</w:t>
            </w:r>
          </w:p>
          <w:p w14:paraId="6E42F61D" w14:textId="77777777" w:rsidR="00E01344" w:rsidRPr="0042075D" w:rsidRDefault="00E01344" w:rsidP="00E01344">
            <w:pPr>
              <w:spacing w:line="276" w:lineRule="auto"/>
              <w:jc w:val="both"/>
              <w:rPr>
                <w:rFonts w:ascii="Times New Roman" w:hAnsi="Times New Roman" w:cs="Times New Roman"/>
                <w:bCs/>
                <w:sz w:val="20"/>
                <w:szCs w:val="20"/>
                <w:lang w:eastAsia="sq-AL"/>
              </w:rPr>
            </w:pPr>
            <w:r w:rsidRPr="0042075D">
              <w:rPr>
                <w:rFonts w:ascii="Times New Roman" w:hAnsi="Times New Roman" w:cs="Times New Roman"/>
                <w:bCs/>
                <w:sz w:val="20"/>
                <w:szCs w:val="20"/>
                <w:lang w:eastAsia="sq-AL"/>
              </w:rPr>
              <w:t>1.</w:t>
            </w:r>
            <w:r w:rsidRPr="0042075D">
              <w:rPr>
                <w:rFonts w:ascii="Times New Roman" w:hAnsi="Times New Roman" w:cs="Times New Roman"/>
                <w:bCs/>
                <w:sz w:val="20"/>
                <w:szCs w:val="20"/>
                <w:lang w:eastAsia="sq-AL"/>
              </w:rPr>
              <w:tab/>
              <w:t xml:space="preserve">Detyrimet e raportimit sipas këtij ligji zbatohen për mekanizmat ndërkufitare të raportueshme të vëna në </w:t>
            </w:r>
            <w:r w:rsidRPr="0042075D">
              <w:rPr>
                <w:rFonts w:ascii="Times New Roman" w:hAnsi="Times New Roman" w:cs="Times New Roman"/>
                <w:bCs/>
                <w:sz w:val="20"/>
                <w:szCs w:val="20"/>
                <w:lang w:eastAsia="sq-AL"/>
              </w:rPr>
              <w:lastRenderedPageBreak/>
              <w:t>dispozicion për zbatim, të gatshme për zbatim ose për të cilat hapi i parë i zbatimit është ndërmarrë pas hyrjes në fuqi të këtij ligji.</w:t>
            </w:r>
          </w:p>
          <w:p w14:paraId="6D60CC85" w14:textId="19E8976C" w:rsidR="00E01344" w:rsidRPr="0042075D" w:rsidRDefault="00E01344" w:rsidP="00E01344">
            <w:pPr>
              <w:spacing w:line="276" w:lineRule="auto"/>
              <w:jc w:val="both"/>
              <w:rPr>
                <w:rFonts w:ascii="Times New Roman" w:hAnsi="Times New Roman" w:cs="Times New Roman"/>
                <w:bCs/>
                <w:sz w:val="20"/>
                <w:szCs w:val="20"/>
                <w:lang w:eastAsia="sq-AL"/>
              </w:rPr>
            </w:pPr>
            <w:r w:rsidRPr="0042075D">
              <w:rPr>
                <w:rFonts w:ascii="Times New Roman" w:hAnsi="Times New Roman" w:cs="Times New Roman"/>
                <w:bCs/>
                <w:sz w:val="20"/>
                <w:szCs w:val="20"/>
                <w:lang w:eastAsia="sq-AL"/>
              </w:rPr>
              <w:t>2.</w:t>
            </w:r>
            <w:r w:rsidRPr="0042075D">
              <w:rPr>
                <w:rFonts w:ascii="Times New Roman" w:hAnsi="Times New Roman" w:cs="Times New Roman"/>
                <w:bCs/>
                <w:sz w:val="20"/>
                <w:szCs w:val="20"/>
                <w:lang w:eastAsia="sq-AL"/>
              </w:rPr>
              <w:tab/>
              <w:t>Lidhur me rregullimet ekzistuese në datën e hyrjes në fuqi të këtij ligji, të cilat mbeten të raportueshme sipas dispozitave të tij, raportimi do të kryhet brenda 1 viti nga data e hyrjes në fuqi.</w:t>
            </w:r>
          </w:p>
          <w:p w14:paraId="084B7617" w14:textId="77777777" w:rsidR="00E01344" w:rsidRPr="0042075D" w:rsidRDefault="00E01344" w:rsidP="00E01344">
            <w:pPr>
              <w:spacing w:line="276" w:lineRule="auto"/>
              <w:rPr>
                <w:rFonts w:ascii="Times New Roman" w:eastAsia="Times New Roman" w:hAnsi="Times New Roman" w:cs="Times New Roman"/>
                <w:b/>
                <w:bCs/>
                <w:sz w:val="20"/>
                <w:szCs w:val="20"/>
                <w:lang w:eastAsia="sq-AL"/>
              </w:rPr>
            </w:pPr>
          </w:p>
          <w:p w14:paraId="640A970C"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267F690A"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31EBBBB3"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p>
          <w:p w14:paraId="5A60A539" w14:textId="00ED7D4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12</w:t>
            </w:r>
          </w:p>
          <w:p w14:paraId="48AF5519"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Transmetimi dhe shkëmbimi automatik i informacionit</w:t>
            </w:r>
          </w:p>
          <w:p w14:paraId="26A4502D" w14:textId="77777777" w:rsidR="00611D97" w:rsidRPr="0042075D" w:rsidRDefault="00611D97" w:rsidP="00E01344">
            <w:pPr>
              <w:spacing w:line="276" w:lineRule="auto"/>
              <w:jc w:val="center"/>
              <w:rPr>
                <w:rFonts w:ascii="Times New Roman" w:eastAsia="Times New Roman" w:hAnsi="Times New Roman" w:cs="Times New Roman"/>
                <w:b/>
                <w:bCs/>
                <w:sz w:val="20"/>
                <w:szCs w:val="20"/>
                <w:lang w:eastAsia="sq-AL"/>
              </w:rPr>
            </w:pPr>
          </w:p>
          <w:p w14:paraId="09606E50"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1. Drejtoria e Përgjithshme e Tatimeve, në cilësinë e autoritetit kompetent, transmeton dhe shkëmben automatikisht informacionin e raportuar në përputhje me këtë ligj me autoritetet kompetente të të gjitha Shteteve të tjera Anëtare, përmes sistemeve të komunikimit dhe rrjeteve të përcaktuara nga legjislacioni në fuqi “Për bashkëpunimin administrativ në fushën e tatimeve dhe shkëmbimit të informacionit tatimor”.</w:t>
            </w:r>
          </w:p>
          <w:p w14:paraId="3B09661E"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2. Shkëmbimi automatik i informacionit do të kryhet brenda një muaji nga fundi i tremujorit në të cilin është raportuar informacioni.</w:t>
            </w:r>
          </w:p>
          <w:p w14:paraId="4B9F0C3E" w14:textId="58C2EF2B"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 xml:space="preserve">3.Forma standarde, procedurat teknike dhe metoda e transmetimit të informacionit do të përcaktohen me vendim të </w:t>
            </w:r>
            <w:r w:rsidR="00611D97" w:rsidRPr="0042075D">
              <w:rPr>
                <w:rFonts w:ascii="Times New Roman" w:eastAsia="Times New Roman" w:hAnsi="Times New Roman" w:cs="Times New Roman"/>
                <w:sz w:val="20"/>
                <w:szCs w:val="20"/>
                <w:lang w:eastAsia="sq-AL"/>
              </w:rPr>
              <w:t>K</w:t>
            </w:r>
            <w:r w:rsidRPr="0042075D">
              <w:rPr>
                <w:rFonts w:ascii="Times New Roman" w:eastAsia="Times New Roman" w:hAnsi="Times New Roman" w:cs="Times New Roman"/>
                <w:sz w:val="20"/>
                <w:szCs w:val="20"/>
                <w:lang w:eastAsia="sq-AL"/>
              </w:rPr>
              <w:t xml:space="preserve">ëshillit të </w:t>
            </w:r>
            <w:r w:rsidR="00611D97" w:rsidRPr="0042075D">
              <w:rPr>
                <w:rFonts w:ascii="Times New Roman" w:eastAsia="Times New Roman" w:hAnsi="Times New Roman" w:cs="Times New Roman"/>
                <w:sz w:val="20"/>
                <w:szCs w:val="20"/>
                <w:lang w:eastAsia="sq-AL"/>
              </w:rPr>
              <w:t>M</w:t>
            </w:r>
            <w:r w:rsidRPr="0042075D">
              <w:rPr>
                <w:rFonts w:ascii="Times New Roman" w:eastAsia="Times New Roman" w:hAnsi="Times New Roman" w:cs="Times New Roman"/>
                <w:sz w:val="20"/>
                <w:szCs w:val="20"/>
                <w:lang w:eastAsia="sq-AL"/>
              </w:rPr>
              <w:t>inistrave.</w:t>
            </w:r>
          </w:p>
          <w:p w14:paraId="171E8B98" w14:textId="77777777" w:rsidR="00E01344" w:rsidRPr="0042075D" w:rsidRDefault="00E01344" w:rsidP="00E01344">
            <w:pPr>
              <w:spacing w:line="276" w:lineRule="auto"/>
              <w:jc w:val="both"/>
              <w:rPr>
                <w:rFonts w:ascii="Times New Roman" w:eastAsia="Times New Roman" w:hAnsi="Times New Roman" w:cs="Times New Roman"/>
                <w:b/>
                <w:sz w:val="20"/>
                <w:szCs w:val="20"/>
                <w:lang w:eastAsia="sq-AL"/>
              </w:rPr>
            </w:pPr>
          </w:p>
          <w:p w14:paraId="767C2462" w14:textId="76274762" w:rsidR="00E01344" w:rsidRPr="0042075D" w:rsidRDefault="00E01344" w:rsidP="00E01344">
            <w:pPr>
              <w:spacing w:line="276" w:lineRule="auto"/>
              <w:jc w:val="center"/>
              <w:rPr>
                <w:rFonts w:ascii="Times New Roman" w:eastAsia="Times New Roman" w:hAnsi="Times New Roman" w:cs="Times New Roman"/>
                <w:b/>
                <w:sz w:val="20"/>
                <w:szCs w:val="20"/>
                <w:lang w:eastAsia="sq-AL"/>
              </w:rPr>
            </w:pPr>
            <w:r w:rsidRPr="0042075D">
              <w:rPr>
                <w:rFonts w:ascii="Times New Roman" w:eastAsia="Times New Roman" w:hAnsi="Times New Roman" w:cs="Times New Roman"/>
                <w:b/>
                <w:sz w:val="20"/>
                <w:szCs w:val="20"/>
                <w:lang w:eastAsia="sq-AL"/>
              </w:rPr>
              <w:t>Neni 4</w:t>
            </w:r>
          </w:p>
          <w:p w14:paraId="5BEA679F" w14:textId="7D567568" w:rsidR="00E01344" w:rsidRPr="0042075D" w:rsidRDefault="00E01344" w:rsidP="00E01344">
            <w:pPr>
              <w:spacing w:line="276" w:lineRule="auto"/>
              <w:jc w:val="center"/>
              <w:rPr>
                <w:rFonts w:ascii="Times New Roman" w:eastAsia="Times New Roman" w:hAnsi="Times New Roman" w:cs="Times New Roman"/>
                <w:b/>
                <w:sz w:val="20"/>
                <w:szCs w:val="20"/>
                <w:lang w:eastAsia="sq-AL"/>
              </w:rPr>
            </w:pPr>
            <w:r w:rsidRPr="0042075D">
              <w:rPr>
                <w:rFonts w:ascii="Times New Roman" w:eastAsia="Times New Roman" w:hAnsi="Times New Roman" w:cs="Times New Roman"/>
                <w:b/>
                <w:sz w:val="20"/>
                <w:szCs w:val="20"/>
                <w:lang w:eastAsia="sq-AL"/>
              </w:rPr>
              <w:t>Perkufizimiet</w:t>
            </w:r>
          </w:p>
          <w:p w14:paraId="59B3A1FD" w14:textId="620EF70F" w:rsidR="00E01344" w:rsidRPr="0042075D" w:rsidRDefault="00E01344"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lastRenderedPageBreak/>
              <w:t>12. “Numër reference” është numri unik i identifikimit i caktuar nga autoriteti kompetent për çdo mekanizëm ndërkufitar të raportueshëm.</w:t>
            </w:r>
          </w:p>
          <w:p w14:paraId="7E7F30F3" w14:textId="77777777" w:rsidR="00E01344" w:rsidRPr="0042075D" w:rsidRDefault="00E01344" w:rsidP="00E01344">
            <w:pPr>
              <w:spacing w:line="276" w:lineRule="auto"/>
              <w:jc w:val="center"/>
              <w:rPr>
                <w:rFonts w:ascii="Times New Roman" w:eastAsia="Times New Roman" w:hAnsi="Times New Roman" w:cs="Times New Roman"/>
                <w:b/>
                <w:sz w:val="20"/>
                <w:szCs w:val="20"/>
                <w:lang w:eastAsia="sq-AL"/>
              </w:rPr>
            </w:pPr>
            <w:r w:rsidRPr="0042075D">
              <w:rPr>
                <w:rFonts w:ascii="Times New Roman" w:eastAsia="Times New Roman" w:hAnsi="Times New Roman" w:cs="Times New Roman"/>
                <w:b/>
                <w:sz w:val="20"/>
                <w:szCs w:val="20"/>
                <w:lang w:eastAsia="sq-AL"/>
              </w:rPr>
              <w:t>Neni 16</w:t>
            </w:r>
          </w:p>
          <w:p w14:paraId="7085CDF7" w14:textId="77777777" w:rsidR="00E01344" w:rsidRPr="0042075D" w:rsidRDefault="00E01344" w:rsidP="00E01344">
            <w:pPr>
              <w:spacing w:line="276" w:lineRule="auto"/>
              <w:jc w:val="center"/>
              <w:rPr>
                <w:rFonts w:ascii="Times New Roman" w:eastAsia="Times New Roman" w:hAnsi="Times New Roman" w:cs="Times New Roman"/>
                <w:b/>
                <w:sz w:val="20"/>
                <w:szCs w:val="20"/>
                <w:lang w:eastAsia="sq-AL"/>
              </w:rPr>
            </w:pPr>
            <w:r w:rsidRPr="0042075D">
              <w:rPr>
                <w:rFonts w:ascii="Times New Roman" w:eastAsia="Times New Roman" w:hAnsi="Times New Roman" w:cs="Times New Roman"/>
                <w:b/>
                <w:sz w:val="20"/>
                <w:szCs w:val="20"/>
                <w:lang w:eastAsia="sq-AL"/>
              </w:rPr>
              <w:t>Numër unik i reference</w:t>
            </w:r>
          </w:p>
          <w:p w14:paraId="7328D748" w14:textId="495E35EA" w:rsidR="00E01344" w:rsidRPr="0042075D" w:rsidRDefault="00611D97"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Drejtoria e Përgjithshme e Tatimeve në cilësinë e Autoritetit kompetent do të caktojë një numër unik reference për çdo mekanizëm ndërkufitar të raportueshëm</w:t>
            </w:r>
            <w:r w:rsidR="00E01344" w:rsidRPr="0042075D">
              <w:rPr>
                <w:rFonts w:ascii="Times New Roman" w:eastAsia="Times New Roman" w:hAnsi="Times New Roman" w:cs="Times New Roman"/>
                <w:sz w:val="20"/>
                <w:szCs w:val="20"/>
                <w:lang w:eastAsia="sq-AL"/>
              </w:rPr>
              <w:t>, i cili do të përdoret për identifikimin dhe ndjekjen administrative të raportimit, si dhe në çdo komunikim të mëvonshëm që lidhet me atë marrëveshje.</w:t>
            </w:r>
          </w:p>
          <w:p w14:paraId="6975D843"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11</w:t>
            </w:r>
          </w:p>
          <w:p w14:paraId="68F680F7" w14:textId="77777777"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Informacioni i raportuar</w:t>
            </w:r>
          </w:p>
          <w:p w14:paraId="77F95F66" w14:textId="15EDF909"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1. Informacioni i raportuar Drejtorisë së Përgjithshme të Tatimeve, në cilësinë e  Autoritetit Kompetent, duhet të përfshijë, sipas rastit:</w:t>
            </w:r>
          </w:p>
          <w:p w14:paraId="34CDB9C0"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a) identifikimin e ndërmjetësve dhe tatimpaguesve përkatës, duke përfshirë emrin, datën dhe vendin e lindjes në rastin e individëve, rezidencën tatimore, numrin e identifikimit tatimor dhe, kur është e zbatueshme, identifikimin e personave që janë ndërmarrje të lidhura me tatimpaguesin përkatës;</w:t>
            </w:r>
          </w:p>
          <w:p w14:paraId="535BD197"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b) detajet e shenjave dalluese të përcaktuara në Shtojcën e këtij ligji që e bëjnë mekanizmin ndërkufitare të raportueshme;</w:t>
            </w:r>
          </w:p>
          <w:p w14:paraId="04847BB4"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 xml:space="preserve">c) një përmbledhje të përmbajtjes së mekanizmit ndërkufitar të raportueshm, duke përfshirë një referencë për emrin me të cilin njihet zakonisht, nëse ka, dhe një përshkrim në terma të përgjithshëm të aktiviteteve ose marrëveshjeve përkatëse të biznesit, pa zbuluar një sekret tregtar, industrial ose </w:t>
            </w:r>
            <w:r w:rsidRPr="0042075D">
              <w:rPr>
                <w:rFonts w:ascii="Times New Roman" w:eastAsia="Times New Roman" w:hAnsi="Times New Roman" w:cs="Times New Roman"/>
                <w:sz w:val="20"/>
                <w:szCs w:val="20"/>
                <w:lang w:eastAsia="sq-AL"/>
              </w:rPr>
              <w:lastRenderedPageBreak/>
              <w:t xml:space="preserve">profesional, ose të informacionit, zbulimi i të cilit do të ishte në kundërshtim me interesin publik; </w:t>
            </w:r>
          </w:p>
          <w:p w14:paraId="698A66CE"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ç) datën në të cilën është kryer ose do të kryhet  hapi i parë në zbatimin e mekanizmit  ndërkufitar të raportueshm;</w:t>
            </w:r>
          </w:p>
          <w:p w14:paraId="7D96D26F"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d) referencë për dispozitat ligjore kombëtare që përbëjnë bazën e mekanizmit ndërkufitar të raportueshm;</w:t>
            </w:r>
          </w:p>
          <w:p w14:paraId="1E13F838"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dh) vlera e mekanizmit ndërkufitar të raportueshëm, kur ajo mund të përcaktohet;</w:t>
            </w:r>
          </w:p>
          <w:p w14:paraId="7F26349D" w14:textId="77777777" w:rsidR="004C296D" w:rsidRPr="0042075D" w:rsidRDefault="004C296D" w:rsidP="004C296D">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e) identifikimin e shteteve anëtare  ku tatimpaguesit përkatës janë rezidentë për qëllime tatimore, dhe të çdo juridiksioni tjetër që mund të preket nga mekanizmi;</w:t>
            </w:r>
          </w:p>
          <w:p w14:paraId="2866325B" w14:textId="1BCB87F6" w:rsidR="00E01344" w:rsidRPr="002C4E0D" w:rsidRDefault="004C296D" w:rsidP="00E01344">
            <w:pPr>
              <w:spacing w:line="276" w:lineRule="auto"/>
              <w:jc w:val="both"/>
              <w:rPr>
                <w:rFonts w:ascii="Segoe UI" w:eastAsia="Times New Roman" w:hAnsi="Segoe UI" w:cs="Segoe UI"/>
                <w:sz w:val="20"/>
                <w:szCs w:val="20"/>
                <w:lang w:eastAsia="sq-AL"/>
              </w:rPr>
            </w:pPr>
            <w:r w:rsidRPr="0042075D">
              <w:rPr>
                <w:rFonts w:ascii="Times New Roman" w:eastAsia="Times New Roman" w:hAnsi="Times New Roman" w:cs="Times New Roman"/>
                <w:sz w:val="20"/>
                <w:szCs w:val="20"/>
                <w:lang w:eastAsia="sq-AL"/>
              </w:rPr>
              <w:t>ë) identifikimin e çdo personi tjetër që që mund të ndikohet nga mekanizmi ndërkufitar e raportueshm, duke treguar shtetet anëtare me të cilat lidhet ky person.</w:t>
            </w:r>
          </w:p>
          <w:p w14:paraId="5ADC3D0B"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DFCF4D8"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70DBED58" w14:textId="77777777" w:rsidR="00E01344" w:rsidRPr="002C4E0D" w:rsidRDefault="00E01344" w:rsidP="00E01344">
            <w:pPr>
              <w:spacing w:line="276" w:lineRule="auto"/>
              <w:jc w:val="both"/>
              <w:rPr>
                <w:rFonts w:ascii="Segoe UI" w:eastAsia="Times New Roman" w:hAnsi="Segoe UI" w:cs="Segoe UI"/>
                <w:sz w:val="20"/>
                <w:szCs w:val="20"/>
                <w:lang w:eastAsia="sq-AL"/>
              </w:rPr>
            </w:pPr>
          </w:p>
          <w:p w14:paraId="03E35E68" w14:textId="44A97686"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5BD96E5" w14:textId="77777777" w:rsidR="00E01344" w:rsidRPr="0042075D" w:rsidRDefault="00E01344" w:rsidP="00E01344">
            <w:pPr>
              <w:spacing w:line="276" w:lineRule="auto"/>
              <w:rPr>
                <w:rFonts w:ascii="Times New Roman" w:eastAsia="Times New Roman" w:hAnsi="Times New Roman" w:cs="Times New Roman"/>
                <w:b/>
                <w:bCs/>
                <w:sz w:val="20"/>
                <w:szCs w:val="20"/>
                <w:lang w:eastAsia="sq-AL"/>
              </w:rPr>
            </w:pPr>
          </w:p>
          <w:p w14:paraId="44213F74" w14:textId="3A3EC94E" w:rsidR="00E01344" w:rsidRPr="0042075D" w:rsidRDefault="00E01344"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Neni 13</w:t>
            </w:r>
          </w:p>
          <w:p w14:paraId="4A8C1D08" w14:textId="6A2BA3C8" w:rsidR="00E01344" w:rsidRPr="0042075D" w:rsidRDefault="00D902E9" w:rsidP="00E01344">
            <w:pPr>
              <w:spacing w:line="276" w:lineRule="auto"/>
              <w:jc w:val="center"/>
              <w:rPr>
                <w:rFonts w:ascii="Times New Roman" w:eastAsia="Times New Roman" w:hAnsi="Times New Roman" w:cs="Times New Roman"/>
                <w:b/>
                <w:bCs/>
                <w:sz w:val="20"/>
                <w:szCs w:val="20"/>
                <w:lang w:eastAsia="sq-AL"/>
              </w:rPr>
            </w:pPr>
            <w:r w:rsidRPr="0042075D">
              <w:rPr>
                <w:rFonts w:ascii="Times New Roman" w:eastAsia="Times New Roman" w:hAnsi="Times New Roman" w:cs="Times New Roman"/>
                <w:b/>
                <w:bCs/>
                <w:sz w:val="20"/>
                <w:szCs w:val="20"/>
                <w:lang w:eastAsia="sq-AL"/>
              </w:rPr>
              <w:t>Raportimi i një mekanizmi ndërkufitar të raportueshëm</w:t>
            </w:r>
          </w:p>
          <w:p w14:paraId="42FDB29D" w14:textId="77777777" w:rsidR="004C296D" w:rsidRPr="0042075D" w:rsidRDefault="004C296D" w:rsidP="00E01344">
            <w:pPr>
              <w:spacing w:line="276" w:lineRule="auto"/>
              <w:jc w:val="both"/>
              <w:rPr>
                <w:rFonts w:ascii="Times New Roman" w:eastAsia="Times New Roman" w:hAnsi="Times New Roman" w:cs="Times New Roman"/>
                <w:sz w:val="20"/>
                <w:szCs w:val="20"/>
                <w:lang w:eastAsia="sq-AL"/>
              </w:rPr>
            </w:pPr>
          </w:p>
          <w:p w14:paraId="2B8AA6E7" w14:textId="2737316F" w:rsidR="00E01344" w:rsidRPr="0042075D" w:rsidRDefault="004C296D" w:rsidP="00E01344">
            <w:pPr>
              <w:spacing w:line="276" w:lineRule="auto"/>
              <w:jc w:val="both"/>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Raportimi i një mekanizmi ndërkufitar të raportueshëm nuk përbën miratim të vlefshmërisë ose trajtimit tatimor të tij nga autoriteti kompetent në Republikën e Shqipërisë.</w:t>
            </w:r>
          </w:p>
          <w:p w14:paraId="6C688190" w14:textId="003F56B2"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8EDA08A" w14:textId="6F34989C"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FCF9602" w14:textId="69BAA803"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8CC5A66" w14:textId="12B4D6B2"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E9D23C3" w14:textId="2D71B30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DEED0F0" w14:textId="4DD27183"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D597ED7" w14:textId="0D63C63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7B6EF3C" w14:textId="5004BBC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0A54345" w14:textId="3F1296D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730A738" w14:textId="308BDA46"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0417B7C" w14:textId="6B2B058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C80292B" w14:textId="0BB83B1A"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5C01E40" w14:textId="265553DE"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27F4497" w14:textId="57771FA2"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0056E55" w14:textId="3B667C9C"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5C73C52" w14:textId="2761F2DA"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3AE5F99" w14:textId="03965896"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9D12A77" w14:textId="2856E502"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89C4609" w14:textId="0E37859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30D904F" w14:textId="3A65E9FC"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2CE46BB" w14:textId="6E7C7123"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70D39A3" w14:textId="1168E7A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08C99F0" w14:textId="2CFA479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899E0BA" w14:textId="624EEF43"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93DBB91" w14:textId="205159C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BEE18A8" w14:textId="2834DE6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F456C3E" w14:textId="755630EE"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6A01353" w14:textId="46120A2E"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D1D54F0" w14:textId="295046F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7BE5788" w14:textId="2C30B6E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3E6769D" w14:textId="1B61610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1D4AE14" w14:textId="5726E8E4"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AC15271" w14:textId="35847AD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6695004" w14:textId="012F6EFE"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3C1A8F8" w14:textId="077BE965"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7B5889E" w14:textId="4A46EB14"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DB53FF9" w14:textId="4D6407E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18FF799" w14:textId="5B1A516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BB24F7D" w14:textId="22A02B2E"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5A54319" w14:textId="600C098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8D71640" w14:textId="7E7D7FA5"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F96DA73" w14:textId="49472AD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A437BBB" w14:textId="19EE97E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146C3D2" w14:textId="42D34AFF"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EF0EE48" w14:textId="3BF20B3C"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FA5D6C9" w14:textId="282DBCA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DAA3DA2" w14:textId="070B653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B35CDA9" w14:textId="3A1FA376"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ACEC240" w14:textId="18FF100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C16C346" w14:textId="604E090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CBD3F04" w14:textId="73273E63"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391562C" w14:textId="39A3B9B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9187241" w14:textId="19E3FA1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9FEDD7C" w14:textId="2183CBA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8292EFE" w14:textId="3EFCB83D"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034E091" w14:textId="0797DD7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816E575" w14:textId="516DA491"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64F2EE1" w14:textId="56C676A2"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6C1F94C" w14:textId="2A85A749"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46F6AB8" w14:textId="215DEE76"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B91E1A3" w14:textId="1689E99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43D3AC69" w14:textId="2A8A0E7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D59A84D" w14:textId="439A46DF"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09DBBFF" w14:textId="0E41D71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EE562B4" w14:textId="11084299"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4EFABB2" w14:textId="799A836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37B03261" w14:textId="7D8987FB"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03292BC" w14:textId="4F33F529"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7510EF2" w14:textId="1BB726B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C551B49" w14:textId="4804B36F"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77648316" w14:textId="6605D40F"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08A5210A" w14:textId="41F12B1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C0EDC82" w14:textId="412E482F"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27940E90" w14:textId="75FF7BD5"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653E8C31" w14:textId="2B9530B5"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57A61BA" w14:textId="1303EB79"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86D3EB3" w14:textId="320B2648"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18EC61E7" w14:textId="77777777" w:rsidR="00E01344" w:rsidRPr="0042075D" w:rsidRDefault="00E01344" w:rsidP="00E01344">
            <w:pPr>
              <w:spacing w:line="276" w:lineRule="auto"/>
              <w:jc w:val="center"/>
              <w:rPr>
                <w:rFonts w:ascii="Times New Roman" w:eastAsia="Times New Roman" w:hAnsi="Times New Roman" w:cs="Times New Roman"/>
                <w:sz w:val="20"/>
                <w:szCs w:val="20"/>
                <w:lang w:eastAsia="sq-AL"/>
              </w:rPr>
            </w:pPr>
          </w:p>
          <w:p w14:paraId="791C811B" w14:textId="77777777" w:rsidR="00E01344" w:rsidRPr="0042075D" w:rsidRDefault="00E01344" w:rsidP="00E01344">
            <w:pPr>
              <w:spacing w:line="276" w:lineRule="auto"/>
              <w:jc w:val="center"/>
              <w:rPr>
                <w:rFonts w:ascii="Times New Roman" w:eastAsia="Times New Roman" w:hAnsi="Times New Roman" w:cs="Times New Roman"/>
                <w:sz w:val="20"/>
                <w:szCs w:val="20"/>
                <w:lang w:eastAsia="sq-AL"/>
              </w:rPr>
            </w:pPr>
          </w:p>
          <w:p w14:paraId="70C8560B" w14:textId="5C72611E" w:rsidR="00E01344" w:rsidRPr="0042075D" w:rsidRDefault="00E01344" w:rsidP="00E01344">
            <w:pPr>
              <w:spacing w:line="276" w:lineRule="auto"/>
              <w:jc w:val="center"/>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N/A</w:t>
            </w:r>
          </w:p>
          <w:p w14:paraId="3B0807F2" w14:textId="77777777" w:rsidR="00E01344" w:rsidRPr="0042075D" w:rsidRDefault="00E01344" w:rsidP="00E01344">
            <w:pPr>
              <w:spacing w:line="276" w:lineRule="auto"/>
              <w:jc w:val="both"/>
              <w:rPr>
                <w:rFonts w:ascii="Times New Roman" w:eastAsia="Times New Roman" w:hAnsi="Times New Roman" w:cs="Times New Roman"/>
                <w:sz w:val="20"/>
                <w:szCs w:val="20"/>
                <w:lang w:eastAsia="sq-AL"/>
              </w:rPr>
            </w:pPr>
          </w:p>
          <w:p w14:paraId="5D7AA8B2" w14:textId="0EDC3605" w:rsidR="00E01344" w:rsidRPr="002C4E0D" w:rsidRDefault="00E01344" w:rsidP="00E01344">
            <w:pPr>
              <w:spacing w:line="276" w:lineRule="auto"/>
              <w:jc w:val="both"/>
              <w:rPr>
                <w:rFonts w:ascii="Segoe UI" w:eastAsia="Times New Roman" w:hAnsi="Segoe UI" w:cs="Segoe UI"/>
                <w:sz w:val="20"/>
                <w:szCs w:val="20"/>
                <w:lang w:eastAsia="sq-AL"/>
              </w:rPr>
            </w:pPr>
          </w:p>
        </w:tc>
        <w:tc>
          <w:tcPr>
            <w:tcW w:w="720" w:type="dxa"/>
            <w:shd w:val="clear" w:color="auto" w:fill="FFFFFF" w:themeFill="background1"/>
          </w:tcPr>
          <w:p w14:paraId="45A69A57" w14:textId="6D624C42"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4D0702A2" w14:textId="6E7C0310"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1 përcakton objektin dhe fushën e zbatimit të ligjit, duke reflektuar kërkesat e Nenit 8ab të Direktivës 2011/16/BE lidhur me raportimin e mekanizmave ndërkufitarë të raportueshëm dhe shkëmbimin automatik të informacionit ndërmjet autoriteteve kompetente.</w:t>
            </w:r>
          </w:p>
          <w:p w14:paraId="1479B60A"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08C14906" w14:textId="35F0E164"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2  përcakton qëllimin e ligjit dhe reflekton objektivat e Direktivës (BE) 2018/822, në veçanti rritjen e transparencës fiskale, forcimin e bashkëpunimit administrativ dhe mundësimin e identifikimit në kohë të praktikave të shmangies dhe evazionit tatimor, siç parashikohet në kuadrin e Nenit 8ab.</w:t>
            </w:r>
          </w:p>
          <w:p w14:paraId="5AD13FEC"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7503871A" w14:textId="527E856B"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3 përcakton fushën e zbatimit të ligjit duke identifikuar ndërmjetësit dhe tatimpaguesit përkatës si subjektet me detyrim raportimi, në përputhje me Nenin 8ab të Direktivës 2011/16/BE.</w:t>
            </w:r>
          </w:p>
          <w:p w14:paraId="7E42DB63" w14:textId="77777777" w:rsidR="00E01344" w:rsidRPr="002C4E0D" w:rsidRDefault="00E01344" w:rsidP="00E01344">
            <w:pPr>
              <w:spacing w:line="300" w:lineRule="atLeast"/>
              <w:rPr>
                <w:rFonts w:ascii="Segoe UI" w:eastAsia="Times New Roman" w:hAnsi="Segoe UI" w:cs="Segoe UI"/>
                <w:sz w:val="20"/>
                <w:szCs w:val="20"/>
                <w:lang w:eastAsia="sq-AL"/>
              </w:rPr>
            </w:pPr>
          </w:p>
          <w:p w14:paraId="7A9C634B" w14:textId="77777777" w:rsidR="00E01344" w:rsidRPr="002C4E0D" w:rsidRDefault="00E01344" w:rsidP="00E01344">
            <w:pPr>
              <w:spacing w:line="300" w:lineRule="atLeast"/>
              <w:rPr>
                <w:rFonts w:ascii="Segoe UI" w:eastAsia="Times New Roman" w:hAnsi="Segoe UI" w:cs="Segoe UI"/>
                <w:sz w:val="20"/>
                <w:szCs w:val="20"/>
                <w:lang w:eastAsia="sq-AL"/>
              </w:rPr>
            </w:pPr>
          </w:p>
          <w:p w14:paraId="22CC923F" w14:textId="77777777" w:rsidR="00E01344" w:rsidRPr="002C4E0D" w:rsidRDefault="00E01344" w:rsidP="00E01344">
            <w:pPr>
              <w:spacing w:line="300" w:lineRule="atLeast"/>
              <w:rPr>
                <w:rFonts w:ascii="Segoe UI" w:eastAsia="Times New Roman" w:hAnsi="Segoe UI" w:cs="Segoe UI"/>
                <w:sz w:val="20"/>
                <w:szCs w:val="20"/>
                <w:lang w:eastAsia="sq-AL"/>
              </w:rPr>
            </w:pPr>
          </w:p>
          <w:p w14:paraId="09025C9E" w14:textId="77777777" w:rsidR="00E01344" w:rsidRPr="002C4E0D" w:rsidRDefault="00E01344" w:rsidP="00E01344">
            <w:pPr>
              <w:spacing w:line="300" w:lineRule="atLeast"/>
              <w:rPr>
                <w:rFonts w:ascii="Segoe UI" w:eastAsia="Times New Roman" w:hAnsi="Segoe UI" w:cs="Segoe UI"/>
                <w:sz w:val="20"/>
                <w:szCs w:val="20"/>
                <w:lang w:eastAsia="sq-AL"/>
              </w:rPr>
            </w:pPr>
          </w:p>
          <w:p w14:paraId="530F57AD" w14:textId="77777777" w:rsidR="00E01344" w:rsidRPr="002C4E0D" w:rsidRDefault="00E01344" w:rsidP="00E01344">
            <w:pPr>
              <w:spacing w:line="300" w:lineRule="atLeast"/>
              <w:rPr>
                <w:rFonts w:ascii="Segoe UI" w:eastAsia="Times New Roman" w:hAnsi="Segoe UI" w:cs="Segoe UI"/>
                <w:sz w:val="20"/>
                <w:szCs w:val="20"/>
                <w:lang w:eastAsia="sq-AL"/>
              </w:rPr>
            </w:pPr>
          </w:p>
          <w:p w14:paraId="2C211789" w14:textId="77777777" w:rsidR="00E01344" w:rsidRPr="002C4E0D" w:rsidRDefault="00E01344" w:rsidP="00E01344">
            <w:pPr>
              <w:spacing w:line="300" w:lineRule="atLeast"/>
              <w:rPr>
                <w:rFonts w:ascii="Segoe UI" w:eastAsia="Times New Roman" w:hAnsi="Segoe UI" w:cs="Segoe UI"/>
                <w:sz w:val="20"/>
                <w:szCs w:val="20"/>
                <w:lang w:eastAsia="sq-AL"/>
              </w:rPr>
            </w:pPr>
          </w:p>
          <w:p w14:paraId="242E060C" w14:textId="77777777" w:rsidR="00E01344" w:rsidRPr="002C4E0D" w:rsidRDefault="00E01344" w:rsidP="00E01344">
            <w:pPr>
              <w:spacing w:line="300" w:lineRule="atLeast"/>
              <w:rPr>
                <w:rFonts w:ascii="Segoe UI" w:eastAsia="Times New Roman" w:hAnsi="Segoe UI" w:cs="Segoe UI"/>
                <w:sz w:val="20"/>
                <w:szCs w:val="20"/>
                <w:lang w:eastAsia="sq-AL"/>
              </w:rPr>
            </w:pPr>
          </w:p>
          <w:p w14:paraId="786A9C65" w14:textId="77777777" w:rsidR="00E01344" w:rsidRPr="002C4E0D" w:rsidRDefault="00E01344" w:rsidP="00E01344">
            <w:pPr>
              <w:spacing w:line="300" w:lineRule="atLeast"/>
              <w:rPr>
                <w:rFonts w:ascii="Segoe UI" w:eastAsia="Times New Roman" w:hAnsi="Segoe UI" w:cs="Segoe UI"/>
                <w:sz w:val="20"/>
                <w:szCs w:val="20"/>
                <w:lang w:eastAsia="sq-AL"/>
              </w:rPr>
            </w:pPr>
          </w:p>
          <w:p w14:paraId="4542E526" w14:textId="77777777" w:rsidR="00E01344" w:rsidRPr="002C4E0D" w:rsidRDefault="00E01344" w:rsidP="00E01344">
            <w:pPr>
              <w:spacing w:line="300" w:lineRule="atLeast"/>
              <w:rPr>
                <w:rFonts w:ascii="Segoe UI" w:eastAsia="Times New Roman" w:hAnsi="Segoe UI" w:cs="Segoe UI"/>
                <w:sz w:val="20"/>
                <w:szCs w:val="20"/>
                <w:lang w:eastAsia="sq-AL"/>
              </w:rPr>
            </w:pPr>
          </w:p>
          <w:p w14:paraId="52376ACF" w14:textId="77777777" w:rsidR="00E01344" w:rsidRPr="002C4E0D" w:rsidRDefault="00E01344" w:rsidP="00E01344">
            <w:pPr>
              <w:spacing w:line="300" w:lineRule="atLeast"/>
              <w:rPr>
                <w:rFonts w:ascii="Segoe UI" w:eastAsia="Times New Roman" w:hAnsi="Segoe UI" w:cs="Segoe UI"/>
                <w:sz w:val="20"/>
                <w:szCs w:val="20"/>
                <w:lang w:eastAsia="sq-AL"/>
              </w:rPr>
            </w:pPr>
          </w:p>
          <w:p w14:paraId="0BE4D6E6" w14:textId="77777777" w:rsidR="00E01344" w:rsidRPr="002C4E0D" w:rsidRDefault="00E01344" w:rsidP="00E01344">
            <w:pPr>
              <w:spacing w:line="300" w:lineRule="atLeast"/>
              <w:rPr>
                <w:rFonts w:ascii="Segoe UI" w:eastAsia="Times New Roman" w:hAnsi="Segoe UI" w:cs="Segoe UI"/>
                <w:sz w:val="20"/>
                <w:szCs w:val="20"/>
                <w:lang w:eastAsia="sq-AL"/>
              </w:rPr>
            </w:pPr>
          </w:p>
          <w:p w14:paraId="715EA57E" w14:textId="77777777" w:rsidR="00E01344" w:rsidRPr="002C4E0D" w:rsidRDefault="00E01344" w:rsidP="00E01344">
            <w:pPr>
              <w:spacing w:line="300" w:lineRule="atLeast"/>
              <w:rPr>
                <w:rFonts w:ascii="Segoe UI" w:eastAsia="Times New Roman" w:hAnsi="Segoe UI" w:cs="Segoe UI"/>
                <w:sz w:val="20"/>
                <w:szCs w:val="20"/>
                <w:lang w:eastAsia="sq-AL"/>
              </w:rPr>
            </w:pPr>
          </w:p>
          <w:p w14:paraId="2F677154" w14:textId="77777777" w:rsidR="00E01344" w:rsidRPr="002C4E0D" w:rsidRDefault="00E01344" w:rsidP="00E01344">
            <w:pPr>
              <w:spacing w:line="300" w:lineRule="atLeast"/>
              <w:rPr>
                <w:rFonts w:ascii="Segoe UI" w:eastAsia="Times New Roman" w:hAnsi="Segoe UI" w:cs="Segoe UI"/>
                <w:sz w:val="20"/>
                <w:szCs w:val="20"/>
                <w:lang w:eastAsia="sq-AL"/>
              </w:rPr>
            </w:pPr>
          </w:p>
          <w:p w14:paraId="1FBC7C4F" w14:textId="77777777" w:rsidR="00E01344" w:rsidRPr="002C4E0D" w:rsidRDefault="00E01344" w:rsidP="00E01344">
            <w:pPr>
              <w:spacing w:line="300" w:lineRule="atLeast"/>
              <w:rPr>
                <w:rFonts w:ascii="Segoe UI" w:eastAsia="Times New Roman" w:hAnsi="Segoe UI" w:cs="Segoe UI"/>
                <w:sz w:val="20"/>
                <w:szCs w:val="20"/>
                <w:lang w:eastAsia="sq-AL"/>
              </w:rPr>
            </w:pPr>
          </w:p>
          <w:p w14:paraId="32A6389C" w14:textId="77777777" w:rsidR="00E01344" w:rsidRPr="002C4E0D" w:rsidRDefault="00E01344" w:rsidP="00E01344">
            <w:pPr>
              <w:spacing w:line="300" w:lineRule="atLeast"/>
              <w:rPr>
                <w:rFonts w:ascii="Segoe UI" w:eastAsia="Times New Roman" w:hAnsi="Segoe UI" w:cs="Segoe UI"/>
                <w:sz w:val="20"/>
                <w:szCs w:val="20"/>
                <w:lang w:eastAsia="sq-AL"/>
              </w:rPr>
            </w:pPr>
          </w:p>
          <w:p w14:paraId="1994B639" w14:textId="77777777" w:rsidR="00E01344" w:rsidRPr="002C4E0D" w:rsidRDefault="00E01344" w:rsidP="00E01344">
            <w:pPr>
              <w:spacing w:line="300" w:lineRule="atLeast"/>
              <w:rPr>
                <w:rFonts w:ascii="Segoe UI" w:eastAsia="Times New Roman" w:hAnsi="Segoe UI" w:cs="Segoe UI"/>
                <w:sz w:val="20"/>
                <w:szCs w:val="20"/>
                <w:lang w:eastAsia="sq-AL"/>
              </w:rPr>
            </w:pPr>
          </w:p>
          <w:p w14:paraId="4744F906" w14:textId="77777777" w:rsidR="00E01344" w:rsidRPr="002C4E0D" w:rsidRDefault="00E01344" w:rsidP="00E01344">
            <w:pPr>
              <w:spacing w:line="300" w:lineRule="atLeast"/>
              <w:rPr>
                <w:rFonts w:ascii="Segoe UI" w:eastAsia="Times New Roman" w:hAnsi="Segoe UI" w:cs="Segoe UI"/>
                <w:sz w:val="20"/>
                <w:szCs w:val="20"/>
                <w:lang w:eastAsia="sq-AL"/>
              </w:rPr>
            </w:pPr>
          </w:p>
          <w:p w14:paraId="238E3B36" w14:textId="77777777" w:rsidR="00E01344" w:rsidRPr="002C4E0D" w:rsidRDefault="00E01344" w:rsidP="00E01344">
            <w:pPr>
              <w:spacing w:line="300" w:lineRule="atLeast"/>
              <w:rPr>
                <w:rFonts w:ascii="Segoe UI" w:eastAsia="Times New Roman" w:hAnsi="Segoe UI" w:cs="Segoe UI"/>
                <w:sz w:val="20"/>
                <w:szCs w:val="20"/>
                <w:lang w:eastAsia="sq-AL"/>
              </w:rPr>
            </w:pPr>
          </w:p>
          <w:p w14:paraId="7CBB9131" w14:textId="77777777" w:rsidR="00E01344" w:rsidRPr="002C4E0D" w:rsidRDefault="00E01344" w:rsidP="00E01344">
            <w:pPr>
              <w:spacing w:line="300" w:lineRule="atLeast"/>
              <w:rPr>
                <w:rFonts w:ascii="Segoe UI" w:eastAsia="Times New Roman" w:hAnsi="Segoe UI" w:cs="Segoe UI"/>
                <w:sz w:val="20"/>
                <w:szCs w:val="20"/>
                <w:lang w:eastAsia="sq-AL"/>
              </w:rPr>
            </w:pPr>
          </w:p>
          <w:p w14:paraId="0F73C1DF" w14:textId="77777777" w:rsidR="00E01344" w:rsidRPr="002C4E0D" w:rsidRDefault="00E01344" w:rsidP="00E01344">
            <w:pPr>
              <w:spacing w:line="300" w:lineRule="atLeast"/>
              <w:rPr>
                <w:rFonts w:ascii="Segoe UI" w:eastAsia="Times New Roman" w:hAnsi="Segoe UI" w:cs="Segoe UI"/>
                <w:sz w:val="20"/>
                <w:szCs w:val="20"/>
                <w:lang w:eastAsia="sq-AL"/>
              </w:rPr>
            </w:pPr>
          </w:p>
          <w:p w14:paraId="6A9711DD" w14:textId="77777777" w:rsidR="00E01344" w:rsidRPr="002C4E0D" w:rsidRDefault="00E01344" w:rsidP="00E01344">
            <w:pPr>
              <w:spacing w:line="300" w:lineRule="atLeast"/>
              <w:rPr>
                <w:rFonts w:ascii="Segoe UI" w:eastAsia="Times New Roman" w:hAnsi="Segoe UI" w:cs="Segoe UI"/>
                <w:sz w:val="20"/>
                <w:szCs w:val="20"/>
                <w:lang w:eastAsia="sq-AL"/>
              </w:rPr>
            </w:pPr>
          </w:p>
          <w:p w14:paraId="37A0CD10" w14:textId="77777777" w:rsidR="00E01344" w:rsidRPr="002C4E0D" w:rsidRDefault="00E01344" w:rsidP="00E01344">
            <w:pPr>
              <w:spacing w:line="300" w:lineRule="atLeast"/>
              <w:rPr>
                <w:rFonts w:ascii="Segoe UI" w:eastAsia="Times New Roman" w:hAnsi="Segoe UI" w:cs="Segoe UI"/>
                <w:sz w:val="20"/>
                <w:szCs w:val="20"/>
                <w:lang w:eastAsia="sq-AL"/>
              </w:rPr>
            </w:pPr>
          </w:p>
          <w:p w14:paraId="07147957" w14:textId="77777777" w:rsidR="00E01344" w:rsidRPr="002C4E0D" w:rsidRDefault="00E01344" w:rsidP="00E01344">
            <w:pPr>
              <w:spacing w:line="300" w:lineRule="atLeast"/>
              <w:rPr>
                <w:rFonts w:ascii="Segoe UI" w:eastAsia="Times New Roman" w:hAnsi="Segoe UI" w:cs="Segoe UI"/>
                <w:sz w:val="20"/>
                <w:szCs w:val="20"/>
                <w:lang w:eastAsia="sq-AL"/>
              </w:rPr>
            </w:pPr>
          </w:p>
          <w:p w14:paraId="391BFE96" w14:textId="77777777" w:rsidR="00E01344" w:rsidRPr="002C4E0D" w:rsidRDefault="00E01344" w:rsidP="00E01344">
            <w:pPr>
              <w:spacing w:line="300" w:lineRule="atLeast"/>
              <w:rPr>
                <w:rFonts w:ascii="Segoe UI" w:eastAsia="Times New Roman" w:hAnsi="Segoe UI" w:cs="Segoe UI"/>
                <w:sz w:val="20"/>
                <w:szCs w:val="20"/>
                <w:lang w:eastAsia="sq-AL"/>
              </w:rPr>
            </w:pPr>
          </w:p>
          <w:p w14:paraId="375DB245" w14:textId="77777777" w:rsidR="00E01344" w:rsidRPr="002C4E0D" w:rsidRDefault="00E01344" w:rsidP="00E01344">
            <w:pPr>
              <w:spacing w:line="300" w:lineRule="atLeast"/>
              <w:rPr>
                <w:rFonts w:ascii="Segoe UI" w:eastAsia="Times New Roman" w:hAnsi="Segoe UI" w:cs="Segoe UI"/>
                <w:sz w:val="20"/>
                <w:szCs w:val="20"/>
                <w:lang w:eastAsia="sq-AL"/>
              </w:rPr>
            </w:pPr>
          </w:p>
          <w:p w14:paraId="5504D27C" w14:textId="77777777" w:rsidR="00E01344" w:rsidRPr="002C4E0D" w:rsidRDefault="00E01344" w:rsidP="00E01344">
            <w:pPr>
              <w:spacing w:line="300" w:lineRule="atLeast"/>
              <w:rPr>
                <w:rFonts w:ascii="Segoe UI" w:eastAsia="Times New Roman" w:hAnsi="Segoe UI" w:cs="Segoe UI"/>
                <w:sz w:val="20"/>
                <w:szCs w:val="20"/>
                <w:lang w:eastAsia="sq-AL"/>
              </w:rPr>
            </w:pPr>
          </w:p>
          <w:p w14:paraId="1D986FF3" w14:textId="77777777" w:rsidR="00E01344" w:rsidRPr="002C4E0D" w:rsidRDefault="00E01344" w:rsidP="00E01344">
            <w:pPr>
              <w:spacing w:line="300" w:lineRule="atLeast"/>
              <w:rPr>
                <w:rFonts w:ascii="Segoe UI" w:eastAsia="Times New Roman" w:hAnsi="Segoe UI" w:cs="Segoe UI"/>
                <w:sz w:val="20"/>
                <w:szCs w:val="20"/>
                <w:lang w:eastAsia="sq-AL"/>
              </w:rPr>
            </w:pPr>
          </w:p>
          <w:p w14:paraId="60C5CD31" w14:textId="77777777" w:rsidR="00E01344" w:rsidRPr="002C4E0D" w:rsidRDefault="00E01344" w:rsidP="00E01344">
            <w:pPr>
              <w:spacing w:line="300" w:lineRule="atLeast"/>
              <w:rPr>
                <w:rFonts w:ascii="Segoe UI" w:eastAsia="Times New Roman" w:hAnsi="Segoe UI" w:cs="Segoe UI"/>
                <w:sz w:val="20"/>
                <w:szCs w:val="20"/>
                <w:lang w:eastAsia="sq-AL"/>
              </w:rPr>
            </w:pPr>
          </w:p>
          <w:p w14:paraId="6CB4EA35" w14:textId="77777777" w:rsidR="00E01344" w:rsidRPr="002C4E0D" w:rsidRDefault="00E01344" w:rsidP="00E01344">
            <w:pPr>
              <w:spacing w:line="300" w:lineRule="atLeast"/>
              <w:rPr>
                <w:rFonts w:ascii="Segoe UI" w:eastAsia="Times New Roman" w:hAnsi="Segoe UI" w:cs="Segoe UI"/>
                <w:sz w:val="20"/>
                <w:szCs w:val="20"/>
                <w:lang w:eastAsia="sq-AL"/>
              </w:rPr>
            </w:pPr>
          </w:p>
          <w:p w14:paraId="0A319096" w14:textId="77777777" w:rsidR="00E01344" w:rsidRPr="002C4E0D" w:rsidRDefault="00E01344" w:rsidP="00E01344">
            <w:pPr>
              <w:spacing w:line="300" w:lineRule="atLeast"/>
              <w:rPr>
                <w:rFonts w:ascii="Segoe UI" w:eastAsia="Times New Roman" w:hAnsi="Segoe UI" w:cs="Segoe UI"/>
                <w:sz w:val="20"/>
                <w:szCs w:val="20"/>
                <w:lang w:eastAsia="sq-AL"/>
              </w:rPr>
            </w:pPr>
          </w:p>
          <w:p w14:paraId="3AB0046F" w14:textId="77777777" w:rsidR="00E01344" w:rsidRPr="002C4E0D" w:rsidRDefault="00E01344" w:rsidP="00E01344">
            <w:pPr>
              <w:spacing w:line="300" w:lineRule="atLeast"/>
              <w:rPr>
                <w:rFonts w:ascii="Segoe UI" w:eastAsia="Times New Roman" w:hAnsi="Segoe UI" w:cs="Segoe UI"/>
                <w:sz w:val="20"/>
                <w:szCs w:val="20"/>
                <w:lang w:eastAsia="sq-AL"/>
              </w:rPr>
            </w:pPr>
          </w:p>
          <w:p w14:paraId="591BC422" w14:textId="77777777" w:rsidR="00E01344" w:rsidRPr="002C4E0D" w:rsidRDefault="00E01344" w:rsidP="00E01344">
            <w:pPr>
              <w:spacing w:line="300" w:lineRule="atLeast"/>
              <w:rPr>
                <w:rFonts w:ascii="Segoe UI" w:eastAsia="Times New Roman" w:hAnsi="Segoe UI" w:cs="Segoe UI"/>
                <w:sz w:val="20"/>
                <w:szCs w:val="20"/>
                <w:lang w:eastAsia="sq-AL"/>
              </w:rPr>
            </w:pPr>
          </w:p>
          <w:p w14:paraId="50F40A35" w14:textId="77777777" w:rsidR="00E01344" w:rsidRPr="002C4E0D" w:rsidRDefault="00E01344" w:rsidP="00E01344">
            <w:pPr>
              <w:spacing w:line="300" w:lineRule="atLeast"/>
              <w:rPr>
                <w:rFonts w:ascii="Segoe UI" w:eastAsia="Times New Roman" w:hAnsi="Segoe UI" w:cs="Segoe UI"/>
                <w:sz w:val="20"/>
                <w:szCs w:val="20"/>
                <w:lang w:eastAsia="sq-AL"/>
              </w:rPr>
            </w:pPr>
          </w:p>
          <w:p w14:paraId="3AFCE987" w14:textId="77777777" w:rsidR="00E01344" w:rsidRPr="002C4E0D" w:rsidRDefault="00E01344" w:rsidP="00E01344">
            <w:pPr>
              <w:spacing w:line="300" w:lineRule="atLeast"/>
              <w:rPr>
                <w:rFonts w:ascii="Segoe UI" w:eastAsia="Times New Roman" w:hAnsi="Segoe UI" w:cs="Segoe UI"/>
                <w:sz w:val="20"/>
                <w:szCs w:val="20"/>
                <w:lang w:eastAsia="sq-AL"/>
              </w:rPr>
            </w:pPr>
          </w:p>
          <w:p w14:paraId="3BE8C59F" w14:textId="77777777" w:rsidR="00E01344" w:rsidRPr="002C4E0D" w:rsidRDefault="00E01344" w:rsidP="00E01344">
            <w:pPr>
              <w:spacing w:line="300" w:lineRule="atLeast"/>
              <w:rPr>
                <w:rFonts w:ascii="Segoe UI" w:eastAsia="Times New Roman" w:hAnsi="Segoe UI" w:cs="Segoe UI"/>
                <w:sz w:val="20"/>
                <w:szCs w:val="20"/>
                <w:lang w:eastAsia="sq-AL"/>
              </w:rPr>
            </w:pPr>
          </w:p>
          <w:p w14:paraId="48EAD983" w14:textId="77777777" w:rsidR="00E01344" w:rsidRPr="002C4E0D" w:rsidRDefault="00E01344" w:rsidP="00E01344">
            <w:pPr>
              <w:spacing w:line="300" w:lineRule="atLeast"/>
              <w:rPr>
                <w:rFonts w:ascii="Segoe UI" w:eastAsia="Times New Roman" w:hAnsi="Segoe UI" w:cs="Segoe UI"/>
                <w:sz w:val="20"/>
                <w:szCs w:val="20"/>
                <w:lang w:eastAsia="sq-AL"/>
              </w:rPr>
            </w:pPr>
          </w:p>
          <w:p w14:paraId="518060BC" w14:textId="77777777" w:rsidR="00E01344" w:rsidRPr="002C4E0D" w:rsidRDefault="00E01344" w:rsidP="00E01344">
            <w:pPr>
              <w:spacing w:line="300" w:lineRule="atLeast"/>
              <w:rPr>
                <w:rFonts w:ascii="Segoe UI" w:eastAsia="Times New Roman" w:hAnsi="Segoe UI" w:cs="Segoe UI"/>
                <w:sz w:val="20"/>
                <w:szCs w:val="20"/>
                <w:lang w:eastAsia="sq-AL"/>
              </w:rPr>
            </w:pPr>
          </w:p>
          <w:p w14:paraId="77CFF89F" w14:textId="77777777" w:rsidR="00E01344" w:rsidRPr="002C4E0D" w:rsidRDefault="00E01344" w:rsidP="00E01344">
            <w:pPr>
              <w:spacing w:line="300" w:lineRule="atLeast"/>
              <w:rPr>
                <w:rFonts w:ascii="Segoe UI" w:eastAsia="Times New Roman" w:hAnsi="Segoe UI" w:cs="Segoe UI"/>
                <w:sz w:val="20"/>
                <w:szCs w:val="20"/>
                <w:lang w:eastAsia="sq-AL"/>
              </w:rPr>
            </w:pPr>
          </w:p>
          <w:p w14:paraId="11188D92" w14:textId="77777777" w:rsidR="00E01344" w:rsidRPr="002C4E0D" w:rsidRDefault="00E01344" w:rsidP="00E01344">
            <w:pPr>
              <w:spacing w:line="300" w:lineRule="atLeast"/>
              <w:rPr>
                <w:rFonts w:ascii="Segoe UI" w:eastAsia="Times New Roman" w:hAnsi="Segoe UI" w:cs="Segoe UI"/>
                <w:sz w:val="20"/>
                <w:szCs w:val="20"/>
                <w:lang w:eastAsia="sq-AL"/>
              </w:rPr>
            </w:pPr>
          </w:p>
          <w:p w14:paraId="58167D7B" w14:textId="77777777" w:rsidR="00E01344" w:rsidRPr="002C4E0D" w:rsidRDefault="00E01344" w:rsidP="00E01344">
            <w:pPr>
              <w:spacing w:line="300" w:lineRule="atLeast"/>
              <w:rPr>
                <w:rFonts w:ascii="Segoe UI" w:eastAsia="Times New Roman" w:hAnsi="Segoe UI" w:cs="Segoe UI"/>
                <w:sz w:val="20"/>
                <w:szCs w:val="20"/>
                <w:lang w:eastAsia="sq-AL"/>
              </w:rPr>
            </w:pPr>
          </w:p>
          <w:p w14:paraId="202DBE38" w14:textId="77777777" w:rsidR="00E01344" w:rsidRPr="002C4E0D" w:rsidRDefault="00E01344" w:rsidP="00E01344">
            <w:pPr>
              <w:spacing w:line="300" w:lineRule="atLeast"/>
              <w:rPr>
                <w:rFonts w:ascii="Segoe UI" w:eastAsia="Times New Roman" w:hAnsi="Segoe UI" w:cs="Segoe UI"/>
                <w:sz w:val="20"/>
                <w:szCs w:val="20"/>
                <w:lang w:eastAsia="sq-AL"/>
              </w:rPr>
            </w:pPr>
          </w:p>
          <w:p w14:paraId="5E86D1ED" w14:textId="77777777" w:rsidR="00E01344" w:rsidRPr="002C4E0D" w:rsidRDefault="00E01344" w:rsidP="00E01344">
            <w:pPr>
              <w:spacing w:line="300" w:lineRule="atLeast"/>
              <w:rPr>
                <w:rFonts w:ascii="Segoe UI" w:eastAsia="Times New Roman" w:hAnsi="Segoe UI" w:cs="Segoe UI"/>
                <w:sz w:val="20"/>
                <w:szCs w:val="20"/>
                <w:lang w:eastAsia="sq-AL"/>
              </w:rPr>
            </w:pPr>
          </w:p>
          <w:p w14:paraId="59756253" w14:textId="77777777" w:rsidR="00E01344" w:rsidRPr="002C4E0D" w:rsidRDefault="00E01344" w:rsidP="00E01344">
            <w:pPr>
              <w:spacing w:line="300" w:lineRule="atLeast"/>
              <w:rPr>
                <w:rFonts w:ascii="Segoe UI" w:eastAsia="Times New Roman" w:hAnsi="Segoe UI" w:cs="Segoe UI"/>
                <w:sz w:val="20"/>
                <w:szCs w:val="20"/>
                <w:lang w:eastAsia="sq-AL"/>
              </w:rPr>
            </w:pPr>
          </w:p>
          <w:p w14:paraId="3826DFAC" w14:textId="77777777" w:rsidR="00E01344" w:rsidRPr="002C4E0D" w:rsidRDefault="00E01344" w:rsidP="00E01344">
            <w:pPr>
              <w:spacing w:line="300" w:lineRule="atLeast"/>
              <w:rPr>
                <w:rFonts w:ascii="Segoe UI" w:eastAsia="Times New Roman" w:hAnsi="Segoe UI" w:cs="Segoe UI"/>
                <w:sz w:val="20"/>
                <w:szCs w:val="20"/>
                <w:lang w:eastAsia="sq-AL"/>
              </w:rPr>
            </w:pPr>
          </w:p>
          <w:p w14:paraId="5B96D504" w14:textId="77777777" w:rsidR="00E01344" w:rsidRPr="002C4E0D" w:rsidRDefault="00E01344" w:rsidP="00E01344">
            <w:pPr>
              <w:spacing w:line="300" w:lineRule="atLeast"/>
              <w:rPr>
                <w:rFonts w:ascii="Segoe UI" w:eastAsia="Times New Roman" w:hAnsi="Segoe UI" w:cs="Segoe UI"/>
                <w:sz w:val="20"/>
                <w:szCs w:val="20"/>
                <w:lang w:eastAsia="sq-AL"/>
              </w:rPr>
            </w:pPr>
          </w:p>
          <w:p w14:paraId="2010F805" w14:textId="77777777" w:rsidR="00E01344" w:rsidRPr="002C4E0D" w:rsidRDefault="00E01344" w:rsidP="00E01344">
            <w:pPr>
              <w:spacing w:line="300" w:lineRule="atLeast"/>
              <w:rPr>
                <w:rFonts w:ascii="Segoe UI" w:eastAsia="Times New Roman" w:hAnsi="Segoe UI" w:cs="Segoe UI"/>
                <w:sz w:val="20"/>
                <w:szCs w:val="20"/>
                <w:lang w:eastAsia="sq-AL"/>
              </w:rPr>
            </w:pPr>
          </w:p>
          <w:p w14:paraId="2E2C233E" w14:textId="77777777" w:rsidR="00E01344" w:rsidRPr="002C4E0D" w:rsidRDefault="00E01344" w:rsidP="00E01344">
            <w:pPr>
              <w:spacing w:line="300" w:lineRule="atLeast"/>
              <w:rPr>
                <w:rFonts w:ascii="Segoe UI" w:eastAsia="Times New Roman" w:hAnsi="Segoe UI" w:cs="Segoe UI"/>
                <w:sz w:val="20"/>
                <w:szCs w:val="20"/>
                <w:lang w:eastAsia="sq-AL"/>
              </w:rPr>
            </w:pPr>
          </w:p>
          <w:p w14:paraId="2C55EEFB" w14:textId="77777777" w:rsidR="00E01344" w:rsidRPr="002C4E0D" w:rsidRDefault="00E01344" w:rsidP="00E01344">
            <w:pPr>
              <w:spacing w:line="300" w:lineRule="atLeast"/>
              <w:rPr>
                <w:rFonts w:ascii="Segoe UI" w:eastAsia="Times New Roman" w:hAnsi="Segoe UI" w:cs="Segoe UI"/>
                <w:sz w:val="20"/>
                <w:szCs w:val="20"/>
                <w:lang w:eastAsia="sq-AL"/>
              </w:rPr>
            </w:pPr>
          </w:p>
          <w:p w14:paraId="4874FC4E" w14:textId="77777777" w:rsidR="00E01344" w:rsidRPr="002C4E0D" w:rsidRDefault="00E01344" w:rsidP="00E01344">
            <w:pPr>
              <w:spacing w:line="300" w:lineRule="atLeast"/>
              <w:rPr>
                <w:rFonts w:ascii="Segoe UI" w:eastAsia="Times New Roman" w:hAnsi="Segoe UI" w:cs="Segoe UI"/>
                <w:sz w:val="20"/>
                <w:szCs w:val="20"/>
                <w:lang w:eastAsia="sq-AL"/>
              </w:rPr>
            </w:pPr>
          </w:p>
          <w:p w14:paraId="5DDE0854" w14:textId="77777777" w:rsidR="00E01344" w:rsidRPr="002C4E0D" w:rsidRDefault="00E01344" w:rsidP="00E01344">
            <w:pPr>
              <w:spacing w:line="300" w:lineRule="atLeast"/>
              <w:rPr>
                <w:rFonts w:ascii="Segoe UI" w:eastAsia="Times New Roman" w:hAnsi="Segoe UI" w:cs="Segoe UI"/>
                <w:sz w:val="20"/>
                <w:szCs w:val="20"/>
                <w:lang w:eastAsia="sq-AL"/>
              </w:rPr>
            </w:pPr>
          </w:p>
          <w:p w14:paraId="52B59B66" w14:textId="77777777" w:rsidR="00E01344" w:rsidRPr="002C4E0D" w:rsidRDefault="00E01344" w:rsidP="00E01344">
            <w:pPr>
              <w:spacing w:line="300" w:lineRule="atLeast"/>
              <w:rPr>
                <w:rFonts w:ascii="Segoe UI" w:eastAsia="Times New Roman" w:hAnsi="Segoe UI" w:cs="Segoe UI"/>
                <w:sz w:val="20"/>
                <w:szCs w:val="20"/>
                <w:lang w:eastAsia="sq-AL"/>
              </w:rPr>
            </w:pPr>
          </w:p>
          <w:p w14:paraId="4DE3088C" w14:textId="77777777" w:rsidR="00E01344" w:rsidRPr="002C4E0D" w:rsidRDefault="00E01344" w:rsidP="00E01344">
            <w:pPr>
              <w:spacing w:line="300" w:lineRule="atLeast"/>
              <w:rPr>
                <w:rFonts w:ascii="Segoe UI" w:eastAsia="Times New Roman" w:hAnsi="Segoe UI" w:cs="Segoe UI"/>
                <w:sz w:val="20"/>
                <w:szCs w:val="20"/>
                <w:lang w:eastAsia="sq-AL"/>
              </w:rPr>
            </w:pPr>
          </w:p>
          <w:p w14:paraId="39FB9AB7" w14:textId="77777777" w:rsidR="00E01344" w:rsidRPr="002C4E0D" w:rsidRDefault="00E01344" w:rsidP="00E01344">
            <w:pPr>
              <w:spacing w:line="300" w:lineRule="atLeast"/>
              <w:rPr>
                <w:rFonts w:ascii="Segoe UI" w:eastAsia="Times New Roman" w:hAnsi="Segoe UI" w:cs="Segoe UI"/>
                <w:sz w:val="20"/>
                <w:szCs w:val="20"/>
                <w:lang w:eastAsia="sq-AL"/>
              </w:rPr>
            </w:pPr>
          </w:p>
          <w:p w14:paraId="1ECA0592" w14:textId="77777777" w:rsidR="00E01344" w:rsidRPr="002C4E0D" w:rsidRDefault="00E01344" w:rsidP="00E01344">
            <w:pPr>
              <w:spacing w:line="300" w:lineRule="atLeast"/>
              <w:rPr>
                <w:rFonts w:ascii="Segoe UI" w:eastAsia="Times New Roman" w:hAnsi="Segoe UI" w:cs="Segoe UI"/>
                <w:sz w:val="20"/>
                <w:szCs w:val="20"/>
                <w:lang w:eastAsia="sq-AL"/>
              </w:rPr>
            </w:pPr>
          </w:p>
          <w:p w14:paraId="261F88D1" w14:textId="77777777" w:rsidR="00E01344" w:rsidRPr="002C4E0D" w:rsidRDefault="00E01344" w:rsidP="00E01344">
            <w:pPr>
              <w:spacing w:line="300" w:lineRule="atLeast"/>
              <w:rPr>
                <w:rFonts w:ascii="Segoe UI" w:eastAsia="Times New Roman" w:hAnsi="Segoe UI" w:cs="Segoe UI"/>
                <w:sz w:val="20"/>
                <w:szCs w:val="20"/>
                <w:lang w:eastAsia="sq-AL"/>
              </w:rPr>
            </w:pPr>
          </w:p>
          <w:p w14:paraId="33CABA05" w14:textId="77777777" w:rsidR="00E01344" w:rsidRPr="002C4E0D" w:rsidRDefault="00E01344" w:rsidP="00E01344">
            <w:pPr>
              <w:spacing w:line="300" w:lineRule="atLeast"/>
              <w:rPr>
                <w:rFonts w:ascii="Segoe UI" w:eastAsia="Times New Roman" w:hAnsi="Segoe UI" w:cs="Segoe UI"/>
                <w:sz w:val="20"/>
                <w:szCs w:val="20"/>
                <w:lang w:eastAsia="sq-AL"/>
              </w:rPr>
            </w:pPr>
          </w:p>
          <w:p w14:paraId="0B8A88E7" w14:textId="77777777" w:rsidR="00E01344" w:rsidRPr="002C4E0D" w:rsidRDefault="00E01344" w:rsidP="00E01344">
            <w:pPr>
              <w:spacing w:line="300" w:lineRule="atLeast"/>
              <w:rPr>
                <w:rFonts w:ascii="Segoe UI" w:eastAsia="Times New Roman" w:hAnsi="Segoe UI" w:cs="Segoe UI"/>
                <w:sz w:val="20"/>
                <w:szCs w:val="20"/>
                <w:lang w:eastAsia="sq-AL"/>
              </w:rPr>
            </w:pPr>
          </w:p>
          <w:p w14:paraId="4EBBC927" w14:textId="77777777" w:rsidR="00E01344" w:rsidRPr="002C4E0D" w:rsidRDefault="00E01344" w:rsidP="00E01344">
            <w:pPr>
              <w:spacing w:line="300" w:lineRule="atLeast"/>
              <w:rPr>
                <w:rFonts w:ascii="Segoe UI" w:eastAsia="Times New Roman" w:hAnsi="Segoe UI" w:cs="Segoe UI"/>
                <w:sz w:val="20"/>
                <w:szCs w:val="20"/>
                <w:lang w:eastAsia="sq-AL"/>
              </w:rPr>
            </w:pPr>
          </w:p>
          <w:p w14:paraId="21229008" w14:textId="77777777" w:rsidR="00E01344" w:rsidRPr="002C4E0D" w:rsidRDefault="00E01344" w:rsidP="00E01344">
            <w:pPr>
              <w:spacing w:line="300" w:lineRule="atLeast"/>
              <w:rPr>
                <w:rFonts w:ascii="Segoe UI" w:eastAsia="Times New Roman" w:hAnsi="Segoe UI" w:cs="Segoe UI"/>
                <w:sz w:val="20"/>
                <w:szCs w:val="20"/>
                <w:lang w:eastAsia="sq-AL"/>
              </w:rPr>
            </w:pPr>
          </w:p>
          <w:p w14:paraId="7C458B27" w14:textId="77777777" w:rsidR="00E01344" w:rsidRPr="002C4E0D" w:rsidRDefault="00E01344" w:rsidP="00E01344">
            <w:pPr>
              <w:spacing w:line="300" w:lineRule="atLeast"/>
              <w:rPr>
                <w:rFonts w:ascii="Segoe UI" w:eastAsia="Times New Roman" w:hAnsi="Segoe UI" w:cs="Segoe UI"/>
                <w:sz w:val="20"/>
                <w:szCs w:val="20"/>
                <w:lang w:eastAsia="sq-AL"/>
              </w:rPr>
            </w:pPr>
          </w:p>
          <w:p w14:paraId="5A7F1D3A" w14:textId="77777777" w:rsidR="00E01344" w:rsidRPr="002C4E0D" w:rsidRDefault="00E01344" w:rsidP="00E01344">
            <w:pPr>
              <w:spacing w:line="300" w:lineRule="atLeast"/>
              <w:rPr>
                <w:rFonts w:ascii="Segoe UI" w:eastAsia="Times New Roman" w:hAnsi="Segoe UI" w:cs="Segoe UI"/>
                <w:sz w:val="20"/>
                <w:szCs w:val="20"/>
                <w:lang w:eastAsia="sq-AL"/>
              </w:rPr>
            </w:pPr>
          </w:p>
          <w:p w14:paraId="31619907" w14:textId="77777777" w:rsidR="00E01344" w:rsidRPr="002C4E0D" w:rsidRDefault="00E01344" w:rsidP="00E01344">
            <w:pPr>
              <w:spacing w:line="300" w:lineRule="atLeast"/>
              <w:rPr>
                <w:rFonts w:ascii="Segoe UI" w:eastAsia="Times New Roman" w:hAnsi="Segoe UI" w:cs="Segoe UI"/>
                <w:sz w:val="20"/>
                <w:szCs w:val="20"/>
                <w:lang w:eastAsia="sq-AL"/>
              </w:rPr>
            </w:pPr>
          </w:p>
          <w:p w14:paraId="79161974" w14:textId="77777777" w:rsidR="00E01344" w:rsidRPr="002C4E0D" w:rsidRDefault="00E01344" w:rsidP="00E01344">
            <w:pPr>
              <w:spacing w:line="300" w:lineRule="atLeast"/>
              <w:rPr>
                <w:rFonts w:ascii="Segoe UI" w:eastAsia="Times New Roman" w:hAnsi="Segoe UI" w:cs="Segoe UI"/>
                <w:sz w:val="20"/>
                <w:szCs w:val="20"/>
                <w:lang w:eastAsia="sq-AL"/>
              </w:rPr>
            </w:pPr>
          </w:p>
          <w:p w14:paraId="7F47F644" w14:textId="77777777" w:rsidR="00E01344" w:rsidRPr="002C4E0D" w:rsidRDefault="00E01344" w:rsidP="00E01344">
            <w:pPr>
              <w:spacing w:line="300" w:lineRule="atLeast"/>
              <w:rPr>
                <w:rFonts w:ascii="Segoe UI" w:eastAsia="Times New Roman" w:hAnsi="Segoe UI" w:cs="Segoe UI"/>
                <w:sz w:val="20"/>
                <w:szCs w:val="20"/>
                <w:lang w:eastAsia="sq-AL"/>
              </w:rPr>
            </w:pPr>
          </w:p>
          <w:p w14:paraId="7B0E6C4D" w14:textId="77777777" w:rsidR="00E01344" w:rsidRPr="002C4E0D" w:rsidRDefault="00E01344" w:rsidP="00E01344">
            <w:pPr>
              <w:spacing w:line="300" w:lineRule="atLeast"/>
              <w:rPr>
                <w:rFonts w:ascii="Segoe UI" w:eastAsia="Times New Roman" w:hAnsi="Segoe UI" w:cs="Segoe UI"/>
                <w:sz w:val="20"/>
                <w:szCs w:val="20"/>
                <w:lang w:eastAsia="sq-AL"/>
              </w:rPr>
            </w:pPr>
          </w:p>
          <w:p w14:paraId="701B1792" w14:textId="77777777" w:rsidR="00E01344" w:rsidRPr="002C4E0D" w:rsidRDefault="00E01344" w:rsidP="00E01344">
            <w:pPr>
              <w:spacing w:line="300" w:lineRule="atLeast"/>
              <w:rPr>
                <w:rFonts w:ascii="Segoe UI" w:eastAsia="Times New Roman" w:hAnsi="Segoe UI" w:cs="Segoe UI"/>
                <w:sz w:val="20"/>
                <w:szCs w:val="20"/>
                <w:lang w:eastAsia="sq-AL"/>
              </w:rPr>
            </w:pPr>
          </w:p>
          <w:p w14:paraId="51AFF08C" w14:textId="77777777" w:rsidR="00E01344" w:rsidRPr="002C4E0D" w:rsidRDefault="00E01344" w:rsidP="00E01344">
            <w:pPr>
              <w:spacing w:line="300" w:lineRule="atLeast"/>
              <w:rPr>
                <w:rFonts w:ascii="Segoe UI" w:eastAsia="Times New Roman" w:hAnsi="Segoe UI" w:cs="Segoe UI"/>
                <w:sz w:val="20"/>
                <w:szCs w:val="20"/>
                <w:lang w:eastAsia="sq-AL"/>
              </w:rPr>
            </w:pPr>
          </w:p>
          <w:p w14:paraId="137F35BA" w14:textId="77777777" w:rsidR="00E01344" w:rsidRPr="002C4E0D" w:rsidRDefault="00E01344" w:rsidP="00E01344">
            <w:pPr>
              <w:spacing w:line="300" w:lineRule="atLeast"/>
              <w:rPr>
                <w:rFonts w:ascii="Segoe UI" w:eastAsia="Times New Roman" w:hAnsi="Segoe UI" w:cs="Segoe UI"/>
                <w:sz w:val="20"/>
                <w:szCs w:val="20"/>
                <w:lang w:eastAsia="sq-AL"/>
              </w:rPr>
            </w:pPr>
          </w:p>
          <w:p w14:paraId="45995FC3" w14:textId="77777777" w:rsidR="00E01344" w:rsidRPr="002C4E0D" w:rsidRDefault="00E01344" w:rsidP="00E01344">
            <w:pPr>
              <w:spacing w:line="300" w:lineRule="atLeast"/>
              <w:rPr>
                <w:rFonts w:ascii="Segoe UI" w:eastAsia="Times New Roman" w:hAnsi="Segoe UI" w:cs="Segoe UI"/>
                <w:sz w:val="20"/>
                <w:szCs w:val="20"/>
                <w:lang w:eastAsia="sq-AL"/>
              </w:rPr>
            </w:pPr>
          </w:p>
          <w:p w14:paraId="76E9C591" w14:textId="77777777" w:rsidR="00E01344" w:rsidRPr="002C4E0D" w:rsidRDefault="00E01344" w:rsidP="00E01344">
            <w:pPr>
              <w:spacing w:line="300" w:lineRule="atLeast"/>
              <w:rPr>
                <w:rFonts w:ascii="Segoe UI" w:eastAsia="Times New Roman" w:hAnsi="Segoe UI" w:cs="Segoe UI"/>
                <w:sz w:val="20"/>
                <w:szCs w:val="20"/>
                <w:lang w:eastAsia="sq-AL"/>
              </w:rPr>
            </w:pPr>
          </w:p>
          <w:p w14:paraId="09685653" w14:textId="77777777" w:rsidR="00E01344" w:rsidRPr="002C4E0D" w:rsidRDefault="00E01344" w:rsidP="00E01344">
            <w:pPr>
              <w:spacing w:line="300" w:lineRule="atLeast"/>
              <w:rPr>
                <w:rFonts w:ascii="Segoe UI" w:eastAsia="Times New Roman" w:hAnsi="Segoe UI" w:cs="Segoe UI"/>
                <w:sz w:val="20"/>
                <w:szCs w:val="20"/>
                <w:lang w:eastAsia="sq-AL"/>
              </w:rPr>
            </w:pPr>
          </w:p>
          <w:p w14:paraId="43975284" w14:textId="77777777" w:rsidR="00E01344" w:rsidRPr="002C4E0D" w:rsidRDefault="00E01344" w:rsidP="00E01344">
            <w:pPr>
              <w:spacing w:line="300" w:lineRule="atLeast"/>
              <w:rPr>
                <w:rFonts w:ascii="Segoe UI" w:eastAsia="Times New Roman" w:hAnsi="Segoe UI" w:cs="Segoe UI"/>
                <w:sz w:val="20"/>
                <w:szCs w:val="20"/>
                <w:lang w:eastAsia="sq-AL"/>
              </w:rPr>
            </w:pPr>
          </w:p>
          <w:p w14:paraId="42FC3DB4" w14:textId="77777777" w:rsidR="00E01344" w:rsidRPr="002C4E0D" w:rsidRDefault="00E01344" w:rsidP="00E01344">
            <w:pPr>
              <w:spacing w:line="300" w:lineRule="atLeast"/>
              <w:rPr>
                <w:rFonts w:ascii="Segoe UI" w:eastAsia="Times New Roman" w:hAnsi="Segoe UI" w:cs="Segoe UI"/>
                <w:sz w:val="20"/>
                <w:szCs w:val="20"/>
                <w:lang w:eastAsia="sq-AL"/>
              </w:rPr>
            </w:pPr>
          </w:p>
          <w:p w14:paraId="3333F4CB" w14:textId="77777777" w:rsidR="00E01344" w:rsidRPr="002C4E0D" w:rsidRDefault="00E01344" w:rsidP="00E01344">
            <w:pPr>
              <w:spacing w:line="300" w:lineRule="atLeast"/>
              <w:rPr>
                <w:rFonts w:ascii="Segoe UI" w:eastAsia="Times New Roman" w:hAnsi="Segoe UI" w:cs="Segoe UI"/>
                <w:sz w:val="20"/>
                <w:szCs w:val="20"/>
                <w:lang w:eastAsia="sq-AL"/>
              </w:rPr>
            </w:pPr>
          </w:p>
          <w:p w14:paraId="7D0B7F12" w14:textId="77777777" w:rsidR="00E01344" w:rsidRPr="002C4E0D" w:rsidRDefault="00E01344" w:rsidP="00E01344">
            <w:pPr>
              <w:spacing w:line="300" w:lineRule="atLeast"/>
              <w:rPr>
                <w:rFonts w:ascii="Segoe UI" w:eastAsia="Times New Roman" w:hAnsi="Segoe UI" w:cs="Segoe UI"/>
                <w:sz w:val="20"/>
                <w:szCs w:val="20"/>
                <w:lang w:eastAsia="sq-AL"/>
              </w:rPr>
            </w:pPr>
          </w:p>
          <w:p w14:paraId="30CAA37F" w14:textId="77777777" w:rsidR="00E01344" w:rsidRPr="002C4E0D" w:rsidRDefault="00E01344" w:rsidP="00E01344">
            <w:pPr>
              <w:spacing w:line="300" w:lineRule="atLeast"/>
              <w:rPr>
                <w:rFonts w:ascii="Segoe UI" w:eastAsia="Times New Roman" w:hAnsi="Segoe UI" w:cs="Segoe UI"/>
                <w:sz w:val="20"/>
                <w:szCs w:val="20"/>
                <w:lang w:eastAsia="sq-AL"/>
              </w:rPr>
            </w:pPr>
          </w:p>
          <w:p w14:paraId="33904F2E" w14:textId="77777777" w:rsidR="00E01344" w:rsidRPr="002C4E0D" w:rsidRDefault="00E01344" w:rsidP="00E01344">
            <w:pPr>
              <w:spacing w:line="300" w:lineRule="atLeast"/>
              <w:rPr>
                <w:rFonts w:ascii="Segoe UI" w:eastAsia="Times New Roman" w:hAnsi="Segoe UI" w:cs="Segoe UI"/>
                <w:sz w:val="20"/>
                <w:szCs w:val="20"/>
                <w:lang w:eastAsia="sq-AL"/>
              </w:rPr>
            </w:pPr>
          </w:p>
          <w:p w14:paraId="55CCEF49" w14:textId="77777777" w:rsidR="00E01344" w:rsidRPr="002C4E0D" w:rsidRDefault="00E01344" w:rsidP="00E01344">
            <w:pPr>
              <w:spacing w:line="300" w:lineRule="atLeast"/>
              <w:rPr>
                <w:rFonts w:ascii="Segoe UI" w:eastAsia="Times New Roman" w:hAnsi="Segoe UI" w:cs="Segoe UI"/>
                <w:sz w:val="20"/>
                <w:szCs w:val="20"/>
                <w:lang w:eastAsia="sq-AL"/>
              </w:rPr>
            </w:pPr>
          </w:p>
          <w:p w14:paraId="74C55339" w14:textId="77777777" w:rsidR="00E01344" w:rsidRPr="002C4E0D" w:rsidRDefault="00E01344" w:rsidP="00E01344">
            <w:pPr>
              <w:spacing w:line="300" w:lineRule="atLeast"/>
              <w:rPr>
                <w:rFonts w:ascii="Segoe UI" w:eastAsia="Times New Roman" w:hAnsi="Segoe UI" w:cs="Segoe UI"/>
                <w:sz w:val="20"/>
                <w:szCs w:val="20"/>
                <w:lang w:eastAsia="sq-AL"/>
              </w:rPr>
            </w:pPr>
          </w:p>
          <w:p w14:paraId="6C2786AC" w14:textId="77777777" w:rsidR="00E01344" w:rsidRPr="002C4E0D" w:rsidRDefault="00E01344" w:rsidP="00E01344">
            <w:pPr>
              <w:spacing w:line="300" w:lineRule="atLeast"/>
              <w:rPr>
                <w:rFonts w:ascii="Segoe UI" w:eastAsia="Times New Roman" w:hAnsi="Segoe UI" w:cs="Segoe UI"/>
                <w:sz w:val="20"/>
                <w:szCs w:val="20"/>
                <w:lang w:eastAsia="sq-AL"/>
              </w:rPr>
            </w:pPr>
          </w:p>
          <w:p w14:paraId="48FC9F46" w14:textId="77777777" w:rsidR="00E01344" w:rsidRPr="002C4E0D" w:rsidRDefault="00E01344" w:rsidP="00E01344">
            <w:pPr>
              <w:spacing w:line="300" w:lineRule="atLeast"/>
              <w:rPr>
                <w:rFonts w:ascii="Segoe UI" w:eastAsia="Times New Roman" w:hAnsi="Segoe UI" w:cs="Segoe UI"/>
                <w:sz w:val="20"/>
                <w:szCs w:val="20"/>
                <w:lang w:eastAsia="sq-AL"/>
              </w:rPr>
            </w:pPr>
          </w:p>
          <w:p w14:paraId="594345BB" w14:textId="77777777" w:rsidR="00E01344" w:rsidRPr="002C4E0D" w:rsidRDefault="00E01344" w:rsidP="00E01344">
            <w:pPr>
              <w:spacing w:line="300" w:lineRule="atLeast"/>
              <w:rPr>
                <w:rFonts w:ascii="Segoe UI" w:eastAsia="Times New Roman" w:hAnsi="Segoe UI" w:cs="Segoe UI"/>
                <w:sz w:val="20"/>
                <w:szCs w:val="20"/>
                <w:lang w:eastAsia="sq-AL"/>
              </w:rPr>
            </w:pPr>
          </w:p>
          <w:p w14:paraId="458F05B6" w14:textId="77777777" w:rsidR="00E01344" w:rsidRPr="002C4E0D" w:rsidRDefault="00E01344" w:rsidP="00E01344">
            <w:pPr>
              <w:spacing w:line="300" w:lineRule="atLeast"/>
              <w:rPr>
                <w:rFonts w:ascii="Segoe UI" w:eastAsia="Times New Roman" w:hAnsi="Segoe UI" w:cs="Segoe UI"/>
                <w:sz w:val="20"/>
                <w:szCs w:val="20"/>
                <w:lang w:eastAsia="sq-AL"/>
              </w:rPr>
            </w:pPr>
          </w:p>
          <w:p w14:paraId="5EDBBBD6" w14:textId="77777777" w:rsidR="00E01344" w:rsidRPr="002C4E0D" w:rsidRDefault="00E01344" w:rsidP="00E01344">
            <w:pPr>
              <w:spacing w:line="300" w:lineRule="atLeast"/>
              <w:rPr>
                <w:rFonts w:ascii="Segoe UI" w:eastAsia="Times New Roman" w:hAnsi="Segoe UI" w:cs="Segoe UI"/>
                <w:sz w:val="20"/>
                <w:szCs w:val="20"/>
                <w:lang w:eastAsia="sq-AL"/>
              </w:rPr>
            </w:pPr>
          </w:p>
          <w:p w14:paraId="5E1C359A" w14:textId="77777777" w:rsidR="00E01344" w:rsidRPr="002C4E0D" w:rsidRDefault="00E01344" w:rsidP="00E01344">
            <w:pPr>
              <w:spacing w:line="300" w:lineRule="atLeast"/>
              <w:rPr>
                <w:rFonts w:ascii="Segoe UI" w:eastAsia="Times New Roman" w:hAnsi="Segoe UI" w:cs="Segoe UI"/>
                <w:sz w:val="20"/>
                <w:szCs w:val="20"/>
                <w:lang w:eastAsia="sq-AL"/>
              </w:rPr>
            </w:pPr>
          </w:p>
          <w:p w14:paraId="0F9B3BF6" w14:textId="77777777" w:rsidR="00E01344" w:rsidRPr="002C4E0D" w:rsidRDefault="00E01344" w:rsidP="00E01344">
            <w:pPr>
              <w:spacing w:line="300" w:lineRule="atLeast"/>
              <w:rPr>
                <w:rFonts w:ascii="Segoe UI" w:eastAsia="Times New Roman" w:hAnsi="Segoe UI" w:cs="Segoe UI"/>
                <w:sz w:val="20"/>
                <w:szCs w:val="20"/>
                <w:lang w:eastAsia="sq-AL"/>
              </w:rPr>
            </w:pPr>
          </w:p>
          <w:p w14:paraId="386C0E3A" w14:textId="77777777" w:rsidR="00E01344" w:rsidRPr="002C4E0D" w:rsidRDefault="00E01344" w:rsidP="00E01344">
            <w:pPr>
              <w:spacing w:line="300" w:lineRule="atLeast"/>
              <w:rPr>
                <w:rFonts w:ascii="Segoe UI" w:eastAsia="Times New Roman" w:hAnsi="Segoe UI" w:cs="Segoe UI"/>
                <w:sz w:val="20"/>
                <w:szCs w:val="20"/>
                <w:lang w:eastAsia="sq-AL"/>
              </w:rPr>
            </w:pPr>
          </w:p>
          <w:p w14:paraId="2921E287" w14:textId="77777777" w:rsidR="00E01344" w:rsidRPr="002C4E0D" w:rsidRDefault="00E01344" w:rsidP="00E01344">
            <w:pPr>
              <w:spacing w:line="300" w:lineRule="atLeast"/>
              <w:rPr>
                <w:rFonts w:ascii="Segoe UI" w:eastAsia="Times New Roman" w:hAnsi="Segoe UI" w:cs="Segoe UI"/>
                <w:sz w:val="20"/>
                <w:szCs w:val="20"/>
                <w:lang w:eastAsia="sq-AL"/>
              </w:rPr>
            </w:pPr>
          </w:p>
          <w:p w14:paraId="47B45E6B" w14:textId="77777777" w:rsidR="00E01344" w:rsidRPr="002C4E0D" w:rsidRDefault="00E01344" w:rsidP="00E01344">
            <w:pPr>
              <w:spacing w:line="300" w:lineRule="atLeast"/>
              <w:rPr>
                <w:rFonts w:ascii="Segoe UI" w:eastAsia="Times New Roman" w:hAnsi="Segoe UI" w:cs="Segoe UI"/>
                <w:sz w:val="20"/>
                <w:szCs w:val="20"/>
                <w:lang w:eastAsia="sq-AL"/>
              </w:rPr>
            </w:pPr>
          </w:p>
          <w:p w14:paraId="566F7D34" w14:textId="77777777" w:rsidR="00E01344" w:rsidRPr="002C4E0D" w:rsidRDefault="00E01344" w:rsidP="00E01344">
            <w:pPr>
              <w:spacing w:line="300" w:lineRule="atLeast"/>
              <w:rPr>
                <w:rFonts w:ascii="Segoe UI" w:eastAsia="Times New Roman" w:hAnsi="Segoe UI" w:cs="Segoe UI"/>
                <w:sz w:val="20"/>
                <w:szCs w:val="20"/>
                <w:lang w:eastAsia="sq-AL"/>
              </w:rPr>
            </w:pPr>
          </w:p>
          <w:p w14:paraId="70EC9AF3" w14:textId="77777777" w:rsidR="00E01344" w:rsidRPr="002C4E0D" w:rsidRDefault="00E01344" w:rsidP="00E01344">
            <w:pPr>
              <w:spacing w:line="300" w:lineRule="atLeast"/>
              <w:rPr>
                <w:rFonts w:ascii="Segoe UI" w:eastAsia="Times New Roman" w:hAnsi="Segoe UI" w:cs="Segoe UI"/>
                <w:sz w:val="20"/>
                <w:szCs w:val="20"/>
                <w:lang w:eastAsia="sq-AL"/>
              </w:rPr>
            </w:pPr>
          </w:p>
          <w:p w14:paraId="0CDE881C" w14:textId="77777777" w:rsidR="00E01344" w:rsidRPr="002C4E0D" w:rsidRDefault="00E01344" w:rsidP="00E01344">
            <w:pPr>
              <w:spacing w:line="300" w:lineRule="atLeast"/>
              <w:rPr>
                <w:rFonts w:ascii="Segoe UI" w:eastAsia="Times New Roman" w:hAnsi="Segoe UI" w:cs="Segoe UI"/>
                <w:sz w:val="20"/>
                <w:szCs w:val="20"/>
                <w:lang w:eastAsia="sq-AL"/>
              </w:rPr>
            </w:pPr>
          </w:p>
          <w:p w14:paraId="50508080" w14:textId="77777777" w:rsidR="00E01344" w:rsidRPr="002C4E0D" w:rsidRDefault="00E01344" w:rsidP="00E01344">
            <w:pPr>
              <w:spacing w:line="300" w:lineRule="atLeast"/>
              <w:rPr>
                <w:rFonts w:ascii="Segoe UI" w:eastAsia="Times New Roman" w:hAnsi="Segoe UI" w:cs="Segoe UI"/>
                <w:sz w:val="20"/>
                <w:szCs w:val="20"/>
                <w:lang w:eastAsia="sq-AL"/>
              </w:rPr>
            </w:pPr>
          </w:p>
          <w:p w14:paraId="3647D044" w14:textId="77777777" w:rsidR="00E01344" w:rsidRPr="002C4E0D" w:rsidRDefault="00E01344" w:rsidP="00E01344">
            <w:pPr>
              <w:spacing w:line="300" w:lineRule="atLeast"/>
              <w:rPr>
                <w:rFonts w:ascii="Segoe UI" w:eastAsia="Times New Roman" w:hAnsi="Segoe UI" w:cs="Segoe UI"/>
                <w:sz w:val="20"/>
                <w:szCs w:val="20"/>
                <w:lang w:eastAsia="sq-AL"/>
              </w:rPr>
            </w:pPr>
          </w:p>
          <w:p w14:paraId="3210EB1B" w14:textId="77777777" w:rsidR="00E01344" w:rsidRPr="002C4E0D" w:rsidRDefault="00E01344" w:rsidP="00E01344">
            <w:pPr>
              <w:spacing w:line="300" w:lineRule="atLeast"/>
              <w:rPr>
                <w:rFonts w:ascii="Segoe UI" w:eastAsia="Times New Roman" w:hAnsi="Segoe UI" w:cs="Segoe UI"/>
                <w:sz w:val="20"/>
                <w:szCs w:val="20"/>
                <w:lang w:eastAsia="sq-AL"/>
              </w:rPr>
            </w:pPr>
          </w:p>
          <w:p w14:paraId="14DD5CAB" w14:textId="77777777" w:rsidR="00E01344" w:rsidRPr="002C4E0D" w:rsidRDefault="00E01344" w:rsidP="00E01344">
            <w:pPr>
              <w:spacing w:line="300" w:lineRule="atLeast"/>
              <w:rPr>
                <w:rFonts w:ascii="Segoe UI" w:eastAsia="Times New Roman" w:hAnsi="Segoe UI" w:cs="Segoe UI"/>
                <w:sz w:val="20"/>
                <w:szCs w:val="20"/>
                <w:lang w:eastAsia="sq-AL"/>
              </w:rPr>
            </w:pPr>
          </w:p>
          <w:p w14:paraId="1C90D172" w14:textId="77777777" w:rsidR="00E01344" w:rsidRPr="002C4E0D" w:rsidRDefault="00E01344" w:rsidP="00E01344">
            <w:pPr>
              <w:spacing w:line="300" w:lineRule="atLeast"/>
              <w:rPr>
                <w:rFonts w:ascii="Segoe UI" w:eastAsia="Times New Roman" w:hAnsi="Segoe UI" w:cs="Segoe UI"/>
                <w:sz w:val="20"/>
                <w:szCs w:val="20"/>
                <w:lang w:eastAsia="sq-AL"/>
              </w:rPr>
            </w:pPr>
          </w:p>
          <w:p w14:paraId="27D43BF3" w14:textId="77777777" w:rsidR="00E01344" w:rsidRPr="002C4E0D" w:rsidRDefault="00E01344" w:rsidP="00E01344">
            <w:pPr>
              <w:spacing w:line="300" w:lineRule="atLeast"/>
              <w:rPr>
                <w:rFonts w:ascii="Segoe UI" w:eastAsia="Times New Roman" w:hAnsi="Segoe UI" w:cs="Segoe UI"/>
                <w:sz w:val="20"/>
                <w:szCs w:val="20"/>
                <w:lang w:eastAsia="sq-AL"/>
              </w:rPr>
            </w:pPr>
          </w:p>
          <w:p w14:paraId="448B6B3A" w14:textId="77777777" w:rsidR="00E01344" w:rsidRPr="002C4E0D" w:rsidRDefault="00E01344" w:rsidP="00E01344">
            <w:pPr>
              <w:spacing w:line="300" w:lineRule="atLeast"/>
              <w:rPr>
                <w:rFonts w:ascii="Segoe UI" w:eastAsia="Times New Roman" w:hAnsi="Segoe UI" w:cs="Segoe UI"/>
                <w:sz w:val="20"/>
                <w:szCs w:val="20"/>
                <w:lang w:eastAsia="sq-AL"/>
              </w:rPr>
            </w:pPr>
          </w:p>
          <w:p w14:paraId="3AC68C5E" w14:textId="77777777" w:rsidR="00E01344" w:rsidRPr="002C4E0D" w:rsidRDefault="00E01344" w:rsidP="00E01344">
            <w:pPr>
              <w:spacing w:line="300" w:lineRule="atLeast"/>
              <w:rPr>
                <w:rFonts w:ascii="Segoe UI" w:eastAsia="Times New Roman" w:hAnsi="Segoe UI" w:cs="Segoe UI"/>
                <w:sz w:val="20"/>
                <w:szCs w:val="20"/>
                <w:lang w:eastAsia="sq-AL"/>
              </w:rPr>
            </w:pPr>
          </w:p>
          <w:p w14:paraId="20541600" w14:textId="77777777" w:rsidR="00E01344" w:rsidRPr="002C4E0D" w:rsidRDefault="00E01344" w:rsidP="00E01344">
            <w:pPr>
              <w:spacing w:line="300" w:lineRule="atLeast"/>
              <w:rPr>
                <w:rFonts w:ascii="Segoe UI" w:eastAsia="Times New Roman" w:hAnsi="Segoe UI" w:cs="Segoe UI"/>
                <w:sz w:val="20"/>
                <w:szCs w:val="20"/>
                <w:lang w:eastAsia="sq-AL"/>
              </w:rPr>
            </w:pPr>
          </w:p>
          <w:p w14:paraId="35F8344C" w14:textId="77777777" w:rsidR="00E01344" w:rsidRPr="002C4E0D" w:rsidRDefault="00E01344" w:rsidP="00E01344">
            <w:pPr>
              <w:spacing w:line="300" w:lineRule="atLeast"/>
              <w:rPr>
                <w:rFonts w:ascii="Segoe UI" w:eastAsia="Times New Roman" w:hAnsi="Segoe UI" w:cs="Segoe UI"/>
                <w:sz w:val="20"/>
                <w:szCs w:val="20"/>
                <w:lang w:eastAsia="sq-AL"/>
              </w:rPr>
            </w:pPr>
          </w:p>
          <w:p w14:paraId="758CD277" w14:textId="77777777" w:rsidR="00E01344" w:rsidRPr="002C4E0D" w:rsidRDefault="00E01344" w:rsidP="00E01344">
            <w:pPr>
              <w:spacing w:line="300" w:lineRule="atLeast"/>
              <w:rPr>
                <w:rFonts w:ascii="Segoe UI" w:eastAsia="Times New Roman" w:hAnsi="Segoe UI" w:cs="Segoe UI"/>
                <w:sz w:val="20"/>
                <w:szCs w:val="20"/>
                <w:lang w:eastAsia="sq-AL"/>
              </w:rPr>
            </w:pPr>
          </w:p>
          <w:p w14:paraId="77844E59" w14:textId="77777777" w:rsidR="00E01344" w:rsidRPr="002C4E0D" w:rsidRDefault="00E01344" w:rsidP="00E01344">
            <w:pPr>
              <w:spacing w:line="300" w:lineRule="atLeast"/>
              <w:rPr>
                <w:rFonts w:ascii="Segoe UI" w:eastAsia="Times New Roman" w:hAnsi="Segoe UI" w:cs="Segoe UI"/>
                <w:sz w:val="20"/>
                <w:szCs w:val="20"/>
                <w:lang w:eastAsia="sq-AL"/>
              </w:rPr>
            </w:pPr>
          </w:p>
          <w:p w14:paraId="10169650" w14:textId="77777777" w:rsidR="00E01344" w:rsidRPr="002C4E0D" w:rsidRDefault="00E01344" w:rsidP="00E01344">
            <w:pPr>
              <w:spacing w:line="300" w:lineRule="atLeast"/>
              <w:rPr>
                <w:rFonts w:ascii="Segoe UI" w:eastAsia="Times New Roman" w:hAnsi="Segoe UI" w:cs="Segoe UI"/>
                <w:sz w:val="20"/>
                <w:szCs w:val="20"/>
                <w:lang w:eastAsia="sq-AL"/>
              </w:rPr>
            </w:pPr>
          </w:p>
          <w:p w14:paraId="58BE32C2" w14:textId="77777777" w:rsidR="00E01344" w:rsidRPr="002C4E0D" w:rsidRDefault="00E01344" w:rsidP="00E01344">
            <w:pPr>
              <w:spacing w:line="300" w:lineRule="atLeast"/>
              <w:rPr>
                <w:rFonts w:ascii="Segoe UI" w:eastAsia="Times New Roman" w:hAnsi="Segoe UI" w:cs="Segoe UI"/>
                <w:sz w:val="20"/>
                <w:szCs w:val="20"/>
                <w:lang w:eastAsia="sq-AL"/>
              </w:rPr>
            </w:pPr>
          </w:p>
          <w:p w14:paraId="17E5DB3F" w14:textId="77777777" w:rsidR="00E01344" w:rsidRPr="002C4E0D" w:rsidRDefault="00E01344" w:rsidP="00E01344">
            <w:pPr>
              <w:spacing w:line="300" w:lineRule="atLeast"/>
              <w:rPr>
                <w:rFonts w:ascii="Segoe UI" w:eastAsia="Times New Roman" w:hAnsi="Segoe UI" w:cs="Segoe UI"/>
                <w:sz w:val="20"/>
                <w:szCs w:val="20"/>
                <w:lang w:eastAsia="sq-AL"/>
              </w:rPr>
            </w:pPr>
          </w:p>
          <w:p w14:paraId="1AFE3669" w14:textId="77777777" w:rsidR="00E01344" w:rsidRPr="002C4E0D" w:rsidRDefault="00E01344" w:rsidP="00E01344">
            <w:pPr>
              <w:spacing w:line="300" w:lineRule="atLeast"/>
              <w:rPr>
                <w:rFonts w:ascii="Segoe UI" w:eastAsia="Times New Roman" w:hAnsi="Segoe UI" w:cs="Segoe UI"/>
                <w:sz w:val="20"/>
                <w:szCs w:val="20"/>
                <w:lang w:eastAsia="sq-AL"/>
              </w:rPr>
            </w:pPr>
          </w:p>
          <w:p w14:paraId="58CDA2E3" w14:textId="77777777" w:rsidR="00E01344" w:rsidRPr="002C4E0D" w:rsidRDefault="00E01344" w:rsidP="00E01344">
            <w:pPr>
              <w:spacing w:line="300" w:lineRule="atLeast"/>
              <w:rPr>
                <w:rFonts w:ascii="Segoe UI" w:eastAsia="Times New Roman" w:hAnsi="Segoe UI" w:cs="Segoe UI"/>
                <w:sz w:val="20"/>
                <w:szCs w:val="20"/>
                <w:lang w:eastAsia="sq-AL"/>
              </w:rPr>
            </w:pPr>
          </w:p>
          <w:p w14:paraId="58BF72E5" w14:textId="77777777" w:rsidR="00E01344" w:rsidRPr="002C4E0D" w:rsidRDefault="00E01344" w:rsidP="00E01344">
            <w:pPr>
              <w:spacing w:line="300" w:lineRule="atLeast"/>
              <w:rPr>
                <w:rFonts w:ascii="Segoe UI" w:eastAsia="Times New Roman" w:hAnsi="Segoe UI" w:cs="Segoe UI"/>
                <w:sz w:val="20"/>
                <w:szCs w:val="20"/>
                <w:lang w:eastAsia="sq-AL"/>
              </w:rPr>
            </w:pPr>
          </w:p>
          <w:p w14:paraId="0F830047" w14:textId="77777777" w:rsidR="00E01344" w:rsidRPr="002C4E0D" w:rsidRDefault="00E01344" w:rsidP="00E01344">
            <w:pPr>
              <w:spacing w:line="300" w:lineRule="atLeast"/>
              <w:rPr>
                <w:rFonts w:ascii="Segoe UI" w:eastAsia="Times New Roman" w:hAnsi="Segoe UI" w:cs="Segoe UI"/>
                <w:sz w:val="20"/>
                <w:szCs w:val="20"/>
                <w:lang w:eastAsia="sq-AL"/>
              </w:rPr>
            </w:pPr>
          </w:p>
          <w:p w14:paraId="51B23D12" w14:textId="77777777" w:rsidR="00E01344" w:rsidRPr="002C4E0D" w:rsidRDefault="00E01344" w:rsidP="00E01344">
            <w:pPr>
              <w:spacing w:line="300" w:lineRule="atLeast"/>
              <w:rPr>
                <w:rFonts w:ascii="Segoe UI" w:eastAsia="Times New Roman" w:hAnsi="Segoe UI" w:cs="Segoe UI"/>
                <w:sz w:val="20"/>
                <w:szCs w:val="20"/>
                <w:lang w:eastAsia="sq-AL"/>
              </w:rPr>
            </w:pPr>
          </w:p>
          <w:p w14:paraId="7CC38492" w14:textId="77777777" w:rsidR="00E01344" w:rsidRPr="002C4E0D" w:rsidRDefault="00E01344" w:rsidP="00E01344">
            <w:pPr>
              <w:spacing w:line="300" w:lineRule="atLeast"/>
              <w:rPr>
                <w:rFonts w:ascii="Segoe UI" w:eastAsia="Times New Roman" w:hAnsi="Segoe UI" w:cs="Segoe UI"/>
                <w:sz w:val="20"/>
                <w:szCs w:val="20"/>
                <w:lang w:eastAsia="sq-AL"/>
              </w:rPr>
            </w:pPr>
          </w:p>
          <w:p w14:paraId="6F2F910E" w14:textId="77777777" w:rsidR="00E01344" w:rsidRPr="002C4E0D" w:rsidRDefault="00E01344" w:rsidP="00E01344">
            <w:pPr>
              <w:spacing w:line="300" w:lineRule="atLeast"/>
              <w:rPr>
                <w:rFonts w:ascii="Segoe UI" w:eastAsia="Times New Roman" w:hAnsi="Segoe UI" w:cs="Segoe UI"/>
                <w:sz w:val="20"/>
                <w:szCs w:val="20"/>
                <w:lang w:eastAsia="sq-AL"/>
              </w:rPr>
            </w:pPr>
          </w:p>
          <w:p w14:paraId="478A4CCD" w14:textId="77777777" w:rsidR="00E01344" w:rsidRPr="002C4E0D" w:rsidRDefault="00E01344" w:rsidP="00E01344">
            <w:pPr>
              <w:spacing w:line="300" w:lineRule="atLeast"/>
              <w:rPr>
                <w:rFonts w:ascii="Segoe UI" w:eastAsia="Times New Roman" w:hAnsi="Segoe UI" w:cs="Segoe UI"/>
                <w:sz w:val="20"/>
                <w:szCs w:val="20"/>
                <w:lang w:eastAsia="sq-AL"/>
              </w:rPr>
            </w:pPr>
          </w:p>
          <w:p w14:paraId="6B532458" w14:textId="77777777" w:rsidR="00E01344" w:rsidRPr="002C4E0D" w:rsidRDefault="00E01344" w:rsidP="00E01344">
            <w:pPr>
              <w:spacing w:line="300" w:lineRule="atLeast"/>
              <w:rPr>
                <w:rFonts w:ascii="Segoe UI" w:eastAsia="Times New Roman" w:hAnsi="Segoe UI" w:cs="Segoe UI"/>
                <w:sz w:val="20"/>
                <w:szCs w:val="20"/>
                <w:lang w:eastAsia="sq-AL"/>
              </w:rPr>
            </w:pPr>
          </w:p>
          <w:p w14:paraId="56A693C5" w14:textId="77777777" w:rsidR="00E01344" w:rsidRPr="002C4E0D" w:rsidRDefault="00E01344" w:rsidP="00E01344">
            <w:pPr>
              <w:spacing w:line="300" w:lineRule="atLeast"/>
              <w:rPr>
                <w:rFonts w:ascii="Segoe UI" w:eastAsia="Times New Roman" w:hAnsi="Segoe UI" w:cs="Segoe UI"/>
                <w:sz w:val="20"/>
                <w:szCs w:val="20"/>
                <w:lang w:eastAsia="sq-AL"/>
              </w:rPr>
            </w:pPr>
          </w:p>
          <w:p w14:paraId="75FC3DA7" w14:textId="77777777" w:rsidR="00E01344" w:rsidRPr="002C4E0D" w:rsidRDefault="00E01344" w:rsidP="00E01344">
            <w:pPr>
              <w:spacing w:line="300" w:lineRule="atLeast"/>
              <w:rPr>
                <w:rFonts w:ascii="Segoe UI" w:eastAsia="Times New Roman" w:hAnsi="Segoe UI" w:cs="Segoe UI"/>
                <w:sz w:val="20"/>
                <w:szCs w:val="20"/>
                <w:lang w:eastAsia="sq-AL"/>
              </w:rPr>
            </w:pPr>
          </w:p>
          <w:p w14:paraId="7D3F0103" w14:textId="77777777" w:rsidR="00E01344" w:rsidRPr="002C4E0D" w:rsidRDefault="00E01344" w:rsidP="00E01344">
            <w:pPr>
              <w:spacing w:line="300" w:lineRule="atLeast"/>
              <w:rPr>
                <w:rFonts w:ascii="Segoe UI" w:eastAsia="Times New Roman" w:hAnsi="Segoe UI" w:cs="Segoe UI"/>
                <w:sz w:val="20"/>
                <w:szCs w:val="20"/>
                <w:lang w:eastAsia="sq-AL"/>
              </w:rPr>
            </w:pPr>
          </w:p>
          <w:p w14:paraId="06D183F7" w14:textId="77777777" w:rsidR="00E01344" w:rsidRPr="002C4E0D" w:rsidRDefault="00E01344" w:rsidP="00E01344">
            <w:pPr>
              <w:spacing w:line="300" w:lineRule="atLeast"/>
              <w:rPr>
                <w:rFonts w:ascii="Segoe UI" w:eastAsia="Times New Roman" w:hAnsi="Segoe UI" w:cs="Segoe UI"/>
                <w:sz w:val="20"/>
                <w:szCs w:val="20"/>
                <w:lang w:eastAsia="sq-AL"/>
              </w:rPr>
            </w:pPr>
          </w:p>
          <w:p w14:paraId="238D8D08" w14:textId="77777777" w:rsidR="00E01344" w:rsidRPr="002C4E0D" w:rsidRDefault="00E01344" w:rsidP="00E01344">
            <w:pPr>
              <w:spacing w:line="300" w:lineRule="atLeast"/>
              <w:rPr>
                <w:rFonts w:ascii="Segoe UI" w:eastAsia="Times New Roman" w:hAnsi="Segoe UI" w:cs="Segoe UI"/>
                <w:sz w:val="20"/>
                <w:szCs w:val="20"/>
                <w:lang w:eastAsia="sq-AL"/>
              </w:rPr>
            </w:pPr>
          </w:p>
          <w:p w14:paraId="1E23FD4B" w14:textId="77777777" w:rsidR="00E01344" w:rsidRPr="002C4E0D" w:rsidRDefault="00E01344" w:rsidP="00E01344">
            <w:pPr>
              <w:spacing w:line="300" w:lineRule="atLeast"/>
              <w:rPr>
                <w:rFonts w:ascii="Segoe UI" w:eastAsia="Times New Roman" w:hAnsi="Segoe UI" w:cs="Segoe UI"/>
                <w:sz w:val="20"/>
                <w:szCs w:val="20"/>
                <w:lang w:eastAsia="sq-AL"/>
              </w:rPr>
            </w:pPr>
          </w:p>
          <w:p w14:paraId="00995378" w14:textId="77777777" w:rsidR="00E01344" w:rsidRPr="002C4E0D" w:rsidRDefault="00E01344" w:rsidP="00E01344">
            <w:pPr>
              <w:spacing w:line="300" w:lineRule="atLeast"/>
              <w:rPr>
                <w:rFonts w:ascii="Segoe UI" w:eastAsia="Times New Roman" w:hAnsi="Segoe UI" w:cs="Segoe UI"/>
                <w:sz w:val="20"/>
                <w:szCs w:val="20"/>
                <w:lang w:eastAsia="sq-AL"/>
              </w:rPr>
            </w:pPr>
          </w:p>
          <w:p w14:paraId="18FB17AF" w14:textId="77777777" w:rsidR="00E01344" w:rsidRPr="002C4E0D" w:rsidRDefault="00E01344" w:rsidP="00E01344">
            <w:pPr>
              <w:spacing w:line="300" w:lineRule="atLeast"/>
              <w:rPr>
                <w:rFonts w:ascii="Segoe UI" w:eastAsia="Times New Roman" w:hAnsi="Segoe UI" w:cs="Segoe UI"/>
                <w:sz w:val="20"/>
                <w:szCs w:val="20"/>
                <w:lang w:eastAsia="sq-AL"/>
              </w:rPr>
            </w:pPr>
          </w:p>
          <w:p w14:paraId="6631B470" w14:textId="77777777" w:rsidR="00E01344" w:rsidRPr="002C4E0D" w:rsidRDefault="00E01344" w:rsidP="00E01344">
            <w:pPr>
              <w:spacing w:line="300" w:lineRule="atLeast"/>
              <w:rPr>
                <w:rFonts w:ascii="Segoe UI" w:eastAsia="Times New Roman" w:hAnsi="Segoe UI" w:cs="Segoe UI"/>
                <w:sz w:val="20"/>
                <w:szCs w:val="20"/>
                <w:lang w:eastAsia="sq-AL"/>
              </w:rPr>
            </w:pPr>
          </w:p>
          <w:p w14:paraId="1AEE8043" w14:textId="77777777" w:rsidR="00E01344" w:rsidRPr="002C4E0D" w:rsidRDefault="00E01344" w:rsidP="00E01344">
            <w:pPr>
              <w:spacing w:line="300" w:lineRule="atLeast"/>
              <w:rPr>
                <w:rFonts w:ascii="Segoe UI" w:eastAsia="Times New Roman" w:hAnsi="Segoe UI" w:cs="Segoe UI"/>
                <w:sz w:val="20"/>
                <w:szCs w:val="20"/>
                <w:lang w:eastAsia="sq-AL"/>
              </w:rPr>
            </w:pPr>
          </w:p>
          <w:p w14:paraId="0EBD6FE4" w14:textId="77777777" w:rsidR="00E01344" w:rsidRPr="002C4E0D" w:rsidRDefault="00E01344" w:rsidP="00E01344">
            <w:pPr>
              <w:spacing w:line="300" w:lineRule="atLeast"/>
              <w:rPr>
                <w:rFonts w:ascii="Segoe UI" w:eastAsia="Times New Roman" w:hAnsi="Segoe UI" w:cs="Segoe UI"/>
                <w:sz w:val="20"/>
                <w:szCs w:val="20"/>
                <w:lang w:eastAsia="sq-AL"/>
              </w:rPr>
            </w:pPr>
          </w:p>
          <w:p w14:paraId="2F9145B3" w14:textId="77777777" w:rsidR="00E01344" w:rsidRPr="002C4E0D" w:rsidRDefault="00E01344" w:rsidP="00E01344">
            <w:pPr>
              <w:spacing w:line="300" w:lineRule="atLeast"/>
              <w:rPr>
                <w:rFonts w:ascii="Segoe UI" w:eastAsia="Times New Roman" w:hAnsi="Segoe UI" w:cs="Segoe UI"/>
                <w:sz w:val="20"/>
                <w:szCs w:val="20"/>
                <w:lang w:eastAsia="sq-AL"/>
              </w:rPr>
            </w:pPr>
          </w:p>
          <w:p w14:paraId="6BD5B0B8" w14:textId="77777777" w:rsidR="00E01344" w:rsidRPr="002C4E0D" w:rsidRDefault="00E01344" w:rsidP="00E01344">
            <w:pPr>
              <w:spacing w:line="300" w:lineRule="atLeast"/>
              <w:rPr>
                <w:rFonts w:ascii="Segoe UI" w:eastAsia="Times New Roman" w:hAnsi="Segoe UI" w:cs="Segoe UI"/>
                <w:sz w:val="20"/>
                <w:szCs w:val="20"/>
                <w:lang w:eastAsia="sq-AL"/>
              </w:rPr>
            </w:pPr>
          </w:p>
          <w:p w14:paraId="3C77B38E" w14:textId="77777777" w:rsidR="00E01344" w:rsidRPr="002C4E0D" w:rsidRDefault="00E01344" w:rsidP="00E01344">
            <w:pPr>
              <w:spacing w:line="300" w:lineRule="atLeast"/>
              <w:rPr>
                <w:rFonts w:ascii="Segoe UI" w:eastAsia="Times New Roman" w:hAnsi="Segoe UI" w:cs="Segoe UI"/>
                <w:sz w:val="20"/>
                <w:szCs w:val="20"/>
                <w:lang w:eastAsia="sq-AL"/>
              </w:rPr>
            </w:pPr>
          </w:p>
          <w:p w14:paraId="6CDF3707" w14:textId="77777777" w:rsidR="00E01344" w:rsidRPr="002C4E0D" w:rsidRDefault="00E01344" w:rsidP="00E01344">
            <w:pPr>
              <w:spacing w:line="300" w:lineRule="atLeast"/>
              <w:rPr>
                <w:rFonts w:ascii="Segoe UI" w:eastAsia="Times New Roman" w:hAnsi="Segoe UI" w:cs="Segoe UI"/>
                <w:sz w:val="20"/>
                <w:szCs w:val="20"/>
                <w:lang w:eastAsia="sq-AL"/>
              </w:rPr>
            </w:pPr>
          </w:p>
          <w:p w14:paraId="51A761A3" w14:textId="77777777" w:rsidR="00E01344" w:rsidRPr="002C4E0D" w:rsidRDefault="00E01344" w:rsidP="00E01344">
            <w:pPr>
              <w:spacing w:line="300" w:lineRule="atLeast"/>
              <w:rPr>
                <w:rFonts w:ascii="Segoe UI" w:eastAsia="Times New Roman" w:hAnsi="Segoe UI" w:cs="Segoe UI"/>
                <w:sz w:val="20"/>
                <w:szCs w:val="20"/>
                <w:lang w:eastAsia="sq-AL"/>
              </w:rPr>
            </w:pPr>
          </w:p>
          <w:p w14:paraId="1006296C" w14:textId="77777777" w:rsidR="00E01344" w:rsidRPr="002C4E0D" w:rsidRDefault="00E01344" w:rsidP="00E01344">
            <w:pPr>
              <w:spacing w:line="300" w:lineRule="atLeast"/>
              <w:rPr>
                <w:rFonts w:ascii="Segoe UI" w:eastAsia="Times New Roman" w:hAnsi="Segoe UI" w:cs="Segoe UI"/>
                <w:sz w:val="20"/>
                <w:szCs w:val="20"/>
                <w:lang w:eastAsia="sq-AL"/>
              </w:rPr>
            </w:pPr>
          </w:p>
          <w:p w14:paraId="77D17154" w14:textId="77777777" w:rsidR="00E01344" w:rsidRPr="002C4E0D" w:rsidRDefault="00E01344" w:rsidP="00E01344">
            <w:pPr>
              <w:spacing w:line="300" w:lineRule="atLeast"/>
              <w:rPr>
                <w:rFonts w:ascii="Segoe UI" w:eastAsia="Times New Roman" w:hAnsi="Segoe UI" w:cs="Segoe UI"/>
                <w:sz w:val="20"/>
                <w:szCs w:val="20"/>
                <w:lang w:eastAsia="sq-AL"/>
              </w:rPr>
            </w:pPr>
          </w:p>
          <w:p w14:paraId="3FA29D87" w14:textId="77777777" w:rsidR="00E01344" w:rsidRPr="002C4E0D" w:rsidRDefault="00E01344" w:rsidP="00E01344">
            <w:pPr>
              <w:spacing w:line="300" w:lineRule="atLeast"/>
              <w:rPr>
                <w:rFonts w:ascii="Segoe UI" w:eastAsia="Times New Roman" w:hAnsi="Segoe UI" w:cs="Segoe UI"/>
                <w:sz w:val="20"/>
                <w:szCs w:val="20"/>
                <w:lang w:eastAsia="sq-AL"/>
              </w:rPr>
            </w:pPr>
          </w:p>
          <w:p w14:paraId="0822C8DF" w14:textId="77777777" w:rsidR="00E01344" w:rsidRPr="002C4E0D" w:rsidRDefault="00E01344" w:rsidP="00E01344">
            <w:pPr>
              <w:spacing w:line="300" w:lineRule="atLeast"/>
              <w:rPr>
                <w:rFonts w:ascii="Segoe UI" w:eastAsia="Times New Roman" w:hAnsi="Segoe UI" w:cs="Segoe UI"/>
                <w:sz w:val="20"/>
                <w:szCs w:val="20"/>
                <w:lang w:eastAsia="sq-AL"/>
              </w:rPr>
            </w:pPr>
          </w:p>
          <w:p w14:paraId="1B00E9F5" w14:textId="77777777" w:rsidR="00E01344" w:rsidRPr="002C4E0D" w:rsidRDefault="00E01344" w:rsidP="00E01344">
            <w:pPr>
              <w:spacing w:line="300" w:lineRule="atLeast"/>
              <w:rPr>
                <w:rFonts w:ascii="Segoe UI" w:eastAsia="Times New Roman" w:hAnsi="Segoe UI" w:cs="Segoe UI"/>
                <w:sz w:val="20"/>
                <w:szCs w:val="20"/>
                <w:lang w:eastAsia="sq-AL"/>
              </w:rPr>
            </w:pPr>
          </w:p>
          <w:p w14:paraId="0A81BCBA" w14:textId="77777777" w:rsidR="00E01344" w:rsidRPr="002C4E0D" w:rsidRDefault="00E01344" w:rsidP="00E01344">
            <w:pPr>
              <w:spacing w:line="300" w:lineRule="atLeast"/>
              <w:rPr>
                <w:rFonts w:ascii="Segoe UI" w:eastAsia="Times New Roman" w:hAnsi="Segoe UI" w:cs="Segoe UI"/>
                <w:sz w:val="20"/>
                <w:szCs w:val="20"/>
                <w:lang w:eastAsia="sq-AL"/>
              </w:rPr>
            </w:pPr>
          </w:p>
          <w:p w14:paraId="4B5D747C" w14:textId="77777777" w:rsidR="00E01344" w:rsidRPr="002C4E0D" w:rsidRDefault="00E01344" w:rsidP="00E01344">
            <w:pPr>
              <w:spacing w:line="300" w:lineRule="atLeast"/>
              <w:rPr>
                <w:rFonts w:ascii="Segoe UI" w:eastAsia="Times New Roman" w:hAnsi="Segoe UI" w:cs="Segoe UI"/>
                <w:sz w:val="20"/>
                <w:szCs w:val="20"/>
                <w:lang w:eastAsia="sq-AL"/>
              </w:rPr>
            </w:pPr>
          </w:p>
          <w:p w14:paraId="5A365A80" w14:textId="77777777" w:rsidR="00E01344" w:rsidRPr="002C4E0D" w:rsidRDefault="00E01344" w:rsidP="00E01344">
            <w:pPr>
              <w:spacing w:line="300" w:lineRule="atLeast"/>
              <w:rPr>
                <w:rFonts w:ascii="Segoe UI" w:eastAsia="Times New Roman" w:hAnsi="Segoe UI" w:cs="Segoe UI"/>
                <w:sz w:val="20"/>
                <w:szCs w:val="20"/>
                <w:lang w:eastAsia="sq-AL"/>
              </w:rPr>
            </w:pPr>
          </w:p>
          <w:p w14:paraId="563B9D0A" w14:textId="77777777" w:rsidR="00E01344" w:rsidRPr="002C4E0D" w:rsidRDefault="00E01344" w:rsidP="00E01344">
            <w:pPr>
              <w:spacing w:line="300" w:lineRule="atLeast"/>
              <w:rPr>
                <w:rFonts w:ascii="Segoe UI" w:eastAsia="Times New Roman" w:hAnsi="Segoe UI" w:cs="Segoe UI"/>
                <w:sz w:val="20"/>
                <w:szCs w:val="20"/>
                <w:lang w:eastAsia="sq-AL"/>
              </w:rPr>
            </w:pPr>
          </w:p>
          <w:p w14:paraId="6ACF92CD" w14:textId="77777777" w:rsidR="00E01344" w:rsidRPr="002C4E0D" w:rsidRDefault="00E01344" w:rsidP="00E01344">
            <w:pPr>
              <w:spacing w:line="300" w:lineRule="atLeast"/>
              <w:rPr>
                <w:rFonts w:ascii="Segoe UI" w:eastAsia="Times New Roman" w:hAnsi="Segoe UI" w:cs="Segoe UI"/>
                <w:sz w:val="20"/>
                <w:szCs w:val="20"/>
                <w:lang w:eastAsia="sq-AL"/>
              </w:rPr>
            </w:pPr>
          </w:p>
          <w:p w14:paraId="7D0027ED" w14:textId="77777777" w:rsidR="00E01344" w:rsidRPr="002C4E0D" w:rsidRDefault="00E01344" w:rsidP="00E01344">
            <w:pPr>
              <w:spacing w:line="300" w:lineRule="atLeast"/>
              <w:rPr>
                <w:rFonts w:ascii="Segoe UI" w:eastAsia="Times New Roman" w:hAnsi="Segoe UI" w:cs="Segoe UI"/>
                <w:sz w:val="20"/>
                <w:szCs w:val="20"/>
                <w:lang w:eastAsia="sq-AL"/>
              </w:rPr>
            </w:pPr>
          </w:p>
          <w:p w14:paraId="0745F0A9" w14:textId="77777777" w:rsidR="00E01344" w:rsidRPr="002C4E0D" w:rsidRDefault="00E01344" w:rsidP="00E01344">
            <w:pPr>
              <w:spacing w:line="300" w:lineRule="atLeast"/>
              <w:rPr>
                <w:rFonts w:ascii="Segoe UI" w:eastAsia="Times New Roman" w:hAnsi="Segoe UI" w:cs="Segoe UI"/>
                <w:sz w:val="20"/>
                <w:szCs w:val="20"/>
                <w:lang w:eastAsia="sq-AL"/>
              </w:rPr>
            </w:pPr>
          </w:p>
          <w:p w14:paraId="065D6AC8" w14:textId="77777777" w:rsidR="00E01344" w:rsidRPr="002C4E0D" w:rsidRDefault="00E01344" w:rsidP="00E01344">
            <w:pPr>
              <w:spacing w:line="300" w:lineRule="atLeast"/>
              <w:rPr>
                <w:rFonts w:ascii="Segoe UI" w:eastAsia="Times New Roman" w:hAnsi="Segoe UI" w:cs="Segoe UI"/>
                <w:sz w:val="20"/>
                <w:szCs w:val="20"/>
                <w:lang w:eastAsia="sq-AL"/>
              </w:rPr>
            </w:pPr>
          </w:p>
          <w:p w14:paraId="5A6A0EE5" w14:textId="77777777" w:rsidR="00E01344" w:rsidRPr="002C4E0D" w:rsidRDefault="00E01344" w:rsidP="00E01344">
            <w:pPr>
              <w:spacing w:line="300" w:lineRule="atLeast"/>
              <w:rPr>
                <w:rFonts w:ascii="Segoe UI" w:eastAsia="Times New Roman" w:hAnsi="Segoe UI" w:cs="Segoe UI"/>
                <w:sz w:val="20"/>
                <w:szCs w:val="20"/>
                <w:lang w:eastAsia="sq-AL"/>
              </w:rPr>
            </w:pPr>
          </w:p>
          <w:p w14:paraId="3924AAF2" w14:textId="77777777" w:rsidR="00E01344" w:rsidRPr="002C4E0D" w:rsidRDefault="00E01344" w:rsidP="00E01344">
            <w:pPr>
              <w:spacing w:line="300" w:lineRule="atLeast"/>
              <w:rPr>
                <w:rFonts w:ascii="Segoe UI" w:eastAsia="Times New Roman" w:hAnsi="Segoe UI" w:cs="Segoe UI"/>
                <w:sz w:val="20"/>
                <w:szCs w:val="20"/>
                <w:lang w:eastAsia="sq-AL"/>
              </w:rPr>
            </w:pPr>
          </w:p>
          <w:p w14:paraId="0CB1943E" w14:textId="77777777" w:rsidR="00E01344" w:rsidRPr="002C4E0D" w:rsidRDefault="00E01344" w:rsidP="00E01344">
            <w:pPr>
              <w:spacing w:line="300" w:lineRule="atLeast"/>
              <w:rPr>
                <w:rFonts w:ascii="Segoe UI" w:eastAsia="Times New Roman" w:hAnsi="Segoe UI" w:cs="Segoe UI"/>
                <w:sz w:val="20"/>
                <w:szCs w:val="20"/>
                <w:lang w:eastAsia="sq-AL"/>
              </w:rPr>
            </w:pPr>
          </w:p>
          <w:p w14:paraId="36B3C60A" w14:textId="77777777" w:rsidR="00E01344" w:rsidRPr="002C4E0D" w:rsidRDefault="00E01344" w:rsidP="00E01344">
            <w:pPr>
              <w:spacing w:line="300" w:lineRule="atLeast"/>
              <w:rPr>
                <w:rFonts w:ascii="Segoe UI" w:eastAsia="Times New Roman" w:hAnsi="Segoe UI" w:cs="Segoe UI"/>
                <w:sz w:val="20"/>
                <w:szCs w:val="20"/>
                <w:lang w:eastAsia="sq-AL"/>
              </w:rPr>
            </w:pPr>
          </w:p>
          <w:p w14:paraId="7550309A" w14:textId="77777777" w:rsidR="00E01344" w:rsidRPr="002C4E0D" w:rsidRDefault="00E01344" w:rsidP="00E01344">
            <w:pPr>
              <w:spacing w:line="300" w:lineRule="atLeast"/>
              <w:rPr>
                <w:rFonts w:ascii="Segoe UI" w:eastAsia="Times New Roman" w:hAnsi="Segoe UI" w:cs="Segoe UI"/>
                <w:sz w:val="20"/>
                <w:szCs w:val="20"/>
                <w:lang w:eastAsia="sq-AL"/>
              </w:rPr>
            </w:pPr>
          </w:p>
          <w:p w14:paraId="71159CED" w14:textId="77777777" w:rsidR="00E01344" w:rsidRPr="002C4E0D" w:rsidRDefault="00E01344" w:rsidP="00E01344">
            <w:pPr>
              <w:spacing w:line="300" w:lineRule="atLeast"/>
              <w:rPr>
                <w:rFonts w:ascii="Segoe UI" w:eastAsia="Times New Roman" w:hAnsi="Segoe UI" w:cs="Segoe UI"/>
                <w:sz w:val="20"/>
                <w:szCs w:val="20"/>
                <w:lang w:eastAsia="sq-AL"/>
              </w:rPr>
            </w:pPr>
          </w:p>
          <w:p w14:paraId="500C7BF6" w14:textId="77777777" w:rsidR="00E01344" w:rsidRPr="002C4E0D" w:rsidRDefault="00E01344" w:rsidP="00E01344">
            <w:pPr>
              <w:spacing w:line="300" w:lineRule="atLeast"/>
              <w:rPr>
                <w:rFonts w:ascii="Segoe UI" w:eastAsia="Times New Roman" w:hAnsi="Segoe UI" w:cs="Segoe UI"/>
                <w:sz w:val="20"/>
                <w:szCs w:val="20"/>
                <w:lang w:eastAsia="sq-AL"/>
              </w:rPr>
            </w:pPr>
          </w:p>
          <w:p w14:paraId="31A4FF8A" w14:textId="77777777" w:rsidR="00E01344" w:rsidRPr="002C4E0D" w:rsidRDefault="00E01344" w:rsidP="00E01344">
            <w:pPr>
              <w:spacing w:line="300" w:lineRule="atLeast"/>
              <w:rPr>
                <w:rFonts w:ascii="Segoe UI" w:eastAsia="Times New Roman" w:hAnsi="Segoe UI" w:cs="Segoe UI"/>
                <w:sz w:val="20"/>
                <w:szCs w:val="20"/>
                <w:lang w:eastAsia="sq-AL"/>
              </w:rPr>
            </w:pPr>
          </w:p>
          <w:p w14:paraId="7CF43BB8" w14:textId="77777777" w:rsidR="00E01344" w:rsidRPr="002C4E0D" w:rsidRDefault="00E01344" w:rsidP="00E01344">
            <w:pPr>
              <w:spacing w:line="300" w:lineRule="atLeast"/>
              <w:rPr>
                <w:rFonts w:ascii="Segoe UI" w:eastAsia="Times New Roman" w:hAnsi="Segoe UI" w:cs="Segoe UI"/>
                <w:sz w:val="20"/>
                <w:szCs w:val="20"/>
                <w:lang w:eastAsia="sq-AL"/>
              </w:rPr>
            </w:pPr>
          </w:p>
          <w:p w14:paraId="6EF7F7CA" w14:textId="77777777" w:rsidR="00E01344" w:rsidRPr="002C4E0D" w:rsidRDefault="00E01344" w:rsidP="00E01344">
            <w:pPr>
              <w:spacing w:line="300" w:lineRule="atLeast"/>
              <w:rPr>
                <w:rFonts w:ascii="Segoe UI" w:eastAsia="Times New Roman" w:hAnsi="Segoe UI" w:cs="Segoe UI"/>
                <w:sz w:val="20"/>
                <w:szCs w:val="20"/>
                <w:lang w:eastAsia="sq-AL"/>
              </w:rPr>
            </w:pPr>
          </w:p>
          <w:p w14:paraId="61506A5F" w14:textId="77777777" w:rsidR="00E01344" w:rsidRPr="002C4E0D" w:rsidRDefault="00E01344" w:rsidP="00E01344">
            <w:pPr>
              <w:spacing w:line="300" w:lineRule="atLeast"/>
              <w:rPr>
                <w:rFonts w:ascii="Segoe UI" w:eastAsia="Times New Roman" w:hAnsi="Segoe UI" w:cs="Segoe UI"/>
                <w:sz w:val="20"/>
                <w:szCs w:val="20"/>
                <w:lang w:eastAsia="sq-AL"/>
              </w:rPr>
            </w:pPr>
          </w:p>
          <w:p w14:paraId="59DBF55A" w14:textId="77777777" w:rsidR="00E01344" w:rsidRPr="002C4E0D" w:rsidRDefault="00E01344" w:rsidP="00E01344">
            <w:pPr>
              <w:spacing w:line="300" w:lineRule="atLeast"/>
              <w:rPr>
                <w:rFonts w:ascii="Segoe UI" w:eastAsia="Times New Roman" w:hAnsi="Segoe UI" w:cs="Segoe UI"/>
                <w:sz w:val="20"/>
                <w:szCs w:val="20"/>
                <w:lang w:eastAsia="sq-AL"/>
              </w:rPr>
            </w:pPr>
          </w:p>
          <w:p w14:paraId="1AA04236" w14:textId="77777777" w:rsidR="00E01344" w:rsidRPr="002C4E0D" w:rsidRDefault="00E01344" w:rsidP="00E01344">
            <w:pPr>
              <w:spacing w:line="300" w:lineRule="atLeast"/>
              <w:rPr>
                <w:rFonts w:ascii="Segoe UI" w:eastAsia="Times New Roman" w:hAnsi="Segoe UI" w:cs="Segoe UI"/>
                <w:sz w:val="20"/>
                <w:szCs w:val="20"/>
                <w:lang w:eastAsia="sq-AL"/>
              </w:rPr>
            </w:pPr>
          </w:p>
          <w:p w14:paraId="7D6525DD" w14:textId="77777777" w:rsidR="00E01344" w:rsidRPr="002C4E0D" w:rsidRDefault="00E01344" w:rsidP="00E01344">
            <w:pPr>
              <w:spacing w:line="300" w:lineRule="atLeast"/>
              <w:rPr>
                <w:rFonts w:ascii="Segoe UI" w:eastAsia="Times New Roman" w:hAnsi="Segoe UI" w:cs="Segoe UI"/>
                <w:sz w:val="20"/>
                <w:szCs w:val="20"/>
                <w:lang w:eastAsia="sq-AL"/>
              </w:rPr>
            </w:pPr>
          </w:p>
          <w:p w14:paraId="0D4674A6" w14:textId="77777777" w:rsidR="00E01344" w:rsidRPr="002C4E0D" w:rsidRDefault="00E01344" w:rsidP="00E01344">
            <w:pPr>
              <w:spacing w:line="300" w:lineRule="atLeast"/>
              <w:rPr>
                <w:rFonts w:ascii="Segoe UI" w:eastAsia="Times New Roman" w:hAnsi="Segoe UI" w:cs="Segoe UI"/>
                <w:sz w:val="20"/>
                <w:szCs w:val="20"/>
                <w:lang w:eastAsia="sq-AL"/>
              </w:rPr>
            </w:pPr>
          </w:p>
          <w:p w14:paraId="07FCE0CE" w14:textId="77777777" w:rsidR="00E01344" w:rsidRPr="002C4E0D" w:rsidRDefault="00E01344" w:rsidP="00E01344">
            <w:pPr>
              <w:spacing w:line="300" w:lineRule="atLeast"/>
              <w:rPr>
                <w:rFonts w:ascii="Segoe UI" w:eastAsia="Times New Roman" w:hAnsi="Segoe UI" w:cs="Segoe UI"/>
                <w:sz w:val="20"/>
                <w:szCs w:val="20"/>
                <w:lang w:eastAsia="sq-AL"/>
              </w:rPr>
            </w:pPr>
          </w:p>
          <w:p w14:paraId="09D5099B" w14:textId="77777777" w:rsidR="00E01344" w:rsidRPr="002C4E0D" w:rsidRDefault="00E01344" w:rsidP="00E01344">
            <w:pPr>
              <w:spacing w:line="300" w:lineRule="atLeast"/>
              <w:rPr>
                <w:rFonts w:ascii="Segoe UI" w:eastAsia="Times New Roman" w:hAnsi="Segoe UI" w:cs="Segoe UI"/>
                <w:sz w:val="20"/>
                <w:szCs w:val="20"/>
                <w:lang w:eastAsia="sq-AL"/>
              </w:rPr>
            </w:pPr>
          </w:p>
          <w:p w14:paraId="05B91EE4" w14:textId="77777777" w:rsidR="00E01344" w:rsidRPr="002C4E0D" w:rsidRDefault="00E01344" w:rsidP="00E01344">
            <w:pPr>
              <w:spacing w:line="300" w:lineRule="atLeast"/>
              <w:rPr>
                <w:rFonts w:ascii="Segoe UI" w:eastAsia="Times New Roman" w:hAnsi="Segoe UI" w:cs="Segoe UI"/>
                <w:sz w:val="20"/>
                <w:szCs w:val="20"/>
                <w:lang w:eastAsia="sq-AL"/>
              </w:rPr>
            </w:pPr>
          </w:p>
          <w:p w14:paraId="7AF39D1E" w14:textId="77777777" w:rsidR="00E01344" w:rsidRPr="002C4E0D" w:rsidRDefault="00E01344" w:rsidP="00E01344">
            <w:pPr>
              <w:spacing w:line="300" w:lineRule="atLeast"/>
              <w:rPr>
                <w:rFonts w:ascii="Segoe UI" w:eastAsia="Times New Roman" w:hAnsi="Segoe UI" w:cs="Segoe UI"/>
                <w:sz w:val="20"/>
                <w:szCs w:val="20"/>
                <w:lang w:eastAsia="sq-AL"/>
              </w:rPr>
            </w:pPr>
          </w:p>
          <w:p w14:paraId="0FDCC620" w14:textId="77777777" w:rsidR="00E01344" w:rsidRPr="002C4E0D" w:rsidRDefault="00E01344" w:rsidP="00E01344">
            <w:pPr>
              <w:spacing w:line="300" w:lineRule="atLeast"/>
              <w:rPr>
                <w:rFonts w:ascii="Segoe UI" w:eastAsia="Times New Roman" w:hAnsi="Segoe UI" w:cs="Segoe UI"/>
                <w:sz w:val="20"/>
                <w:szCs w:val="20"/>
                <w:lang w:eastAsia="sq-AL"/>
              </w:rPr>
            </w:pPr>
          </w:p>
          <w:p w14:paraId="36104D04" w14:textId="77777777" w:rsidR="00E01344" w:rsidRPr="002C4E0D" w:rsidRDefault="00E01344" w:rsidP="00E01344">
            <w:pPr>
              <w:spacing w:line="300" w:lineRule="atLeast"/>
              <w:rPr>
                <w:rFonts w:ascii="Segoe UI" w:eastAsia="Times New Roman" w:hAnsi="Segoe UI" w:cs="Segoe UI"/>
                <w:sz w:val="20"/>
                <w:szCs w:val="20"/>
                <w:lang w:eastAsia="sq-AL"/>
              </w:rPr>
            </w:pPr>
          </w:p>
          <w:p w14:paraId="594E31F9" w14:textId="77777777" w:rsidR="00E01344" w:rsidRPr="002C4E0D" w:rsidRDefault="00E01344" w:rsidP="00E01344">
            <w:pPr>
              <w:spacing w:line="300" w:lineRule="atLeast"/>
              <w:rPr>
                <w:rFonts w:ascii="Segoe UI" w:eastAsia="Times New Roman" w:hAnsi="Segoe UI" w:cs="Segoe UI"/>
                <w:sz w:val="20"/>
                <w:szCs w:val="20"/>
                <w:lang w:eastAsia="sq-AL"/>
              </w:rPr>
            </w:pPr>
          </w:p>
          <w:p w14:paraId="589753D4" w14:textId="77777777" w:rsidR="00E01344" w:rsidRPr="002C4E0D" w:rsidRDefault="00E01344" w:rsidP="00E01344">
            <w:pPr>
              <w:spacing w:line="300" w:lineRule="atLeast"/>
              <w:rPr>
                <w:rFonts w:ascii="Segoe UI" w:eastAsia="Times New Roman" w:hAnsi="Segoe UI" w:cs="Segoe UI"/>
                <w:sz w:val="20"/>
                <w:szCs w:val="20"/>
                <w:lang w:eastAsia="sq-AL"/>
              </w:rPr>
            </w:pPr>
          </w:p>
          <w:p w14:paraId="4FF95CB1" w14:textId="77777777" w:rsidR="00E01344" w:rsidRPr="002C4E0D" w:rsidRDefault="00E01344" w:rsidP="00E01344">
            <w:pPr>
              <w:spacing w:line="300" w:lineRule="atLeast"/>
              <w:rPr>
                <w:rFonts w:ascii="Segoe UI" w:eastAsia="Times New Roman" w:hAnsi="Segoe UI" w:cs="Segoe UI"/>
                <w:sz w:val="20"/>
                <w:szCs w:val="20"/>
                <w:lang w:eastAsia="sq-AL"/>
              </w:rPr>
            </w:pPr>
          </w:p>
          <w:p w14:paraId="5AD935C8" w14:textId="77777777" w:rsidR="00E01344" w:rsidRPr="002C4E0D" w:rsidRDefault="00E01344" w:rsidP="00E01344">
            <w:pPr>
              <w:spacing w:line="300" w:lineRule="atLeast"/>
              <w:rPr>
                <w:rFonts w:ascii="Segoe UI" w:eastAsia="Times New Roman" w:hAnsi="Segoe UI" w:cs="Segoe UI"/>
                <w:sz w:val="20"/>
                <w:szCs w:val="20"/>
                <w:lang w:eastAsia="sq-AL"/>
              </w:rPr>
            </w:pPr>
          </w:p>
          <w:p w14:paraId="101885BA" w14:textId="77777777" w:rsidR="00E01344" w:rsidRPr="002C4E0D" w:rsidRDefault="00E01344" w:rsidP="00E01344">
            <w:pPr>
              <w:spacing w:line="300" w:lineRule="atLeast"/>
              <w:rPr>
                <w:rFonts w:ascii="Segoe UI" w:eastAsia="Times New Roman" w:hAnsi="Segoe UI" w:cs="Segoe UI"/>
                <w:sz w:val="20"/>
                <w:szCs w:val="20"/>
                <w:lang w:eastAsia="sq-AL"/>
              </w:rPr>
            </w:pPr>
          </w:p>
          <w:p w14:paraId="7776ED5F" w14:textId="77777777" w:rsidR="00E01344" w:rsidRPr="002C4E0D" w:rsidRDefault="00E01344" w:rsidP="00E01344">
            <w:pPr>
              <w:spacing w:line="300" w:lineRule="atLeast"/>
              <w:rPr>
                <w:rFonts w:ascii="Segoe UI" w:eastAsia="Times New Roman" w:hAnsi="Segoe UI" w:cs="Segoe UI"/>
                <w:sz w:val="20"/>
                <w:szCs w:val="20"/>
                <w:lang w:eastAsia="sq-AL"/>
              </w:rPr>
            </w:pPr>
          </w:p>
          <w:p w14:paraId="6C005735" w14:textId="77777777" w:rsidR="00E01344" w:rsidRPr="002C4E0D" w:rsidRDefault="00E01344" w:rsidP="00E01344">
            <w:pPr>
              <w:spacing w:line="300" w:lineRule="atLeast"/>
              <w:rPr>
                <w:rFonts w:ascii="Segoe UI" w:eastAsia="Times New Roman" w:hAnsi="Segoe UI" w:cs="Segoe UI"/>
                <w:sz w:val="20"/>
                <w:szCs w:val="20"/>
                <w:lang w:eastAsia="sq-AL"/>
              </w:rPr>
            </w:pPr>
          </w:p>
          <w:p w14:paraId="002DB6A4" w14:textId="77777777" w:rsidR="00E01344" w:rsidRPr="002C4E0D" w:rsidRDefault="00E01344" w:rsidP="00E01344">
            <w:pPr>
              <w:spacing w:line="300" w:lineRule="atLeast"/>
              <w:rPr>
                <w:rFonts w:ascii="Segoe UI" w:eastAsia="Times New Roman" w:hAnsi="Segoe UI" w:cs="Segoe UI"/>
                <w:sz w:val="20"/>
                <w:szCs w:val="20"/>
                <w:lang w:eastAsia="sq-AL"/>
              </w:rPr>
            </w:pPr>
          </w:p>
          <w:p w14:paraId="2D1DBEFE" w14:textId="77777777" w:rsidR="00E01344" w:rsidRPr="002C4E0D" w:rsidRDefault="00E01344" w:rsidP="00E01344">
            <w:pPr>
              <w:spacing w:line="300" w:lineRule="atLeast"/>
              <w:rPr>
                <w:rFonts w:ascii="Segoe UI" w:eastAsia="Times New Roman" w:hAnsi="Segoe UI" w:cs="Segoe UI"/>
                <w:sz w:val="20"/>
                <w:szCs w:val="20"/>
                <w:lang w:eastAsia="sq-AL"/>
              </w:rPr>
            </w:pPr>
          </w:p>
          <w:p w14:paraId="2F3716D9" w14:textId="77777777" w:rsidR="00E01344" w:rsidRPr="002C4E0D" w:rsidRDefault="00E01344" w:rsidP="00E01344">
            <w:pPr>
              <w:spacing w:line="300" w:lineRule="atLeast"/>
              <w:rPr>
                <w:rFonts w:ascii="Segoe UI" w:eastAsia="Times New Roman" w:hAnsi="Segoe UI" w:cs="Segoe UI"/>
                <w:sz w:val="20"/>
                <w:szCs w:val="20"/>
                <w:lang w:eastAsia="sq-AL"/>
              </w:rPr>
            </w:pPr>
          </w:p>
          <w:p w14:paraId="5973B970" w14:textId="77777777" w:rsidR="00E01344" w:rsidRPr="002C4E0D" w:rsidRDefault="00E01344" w:rsidP="00E01344">
            <w:pPr>
              <w:spacing w:line="300" w:lineRule="atLeast"/>
              <w:rPr>
                <w:rFonts w:ascii="Segoe UI" w:eastAsia="Times New Roman" w:hAnsi="Segoe UI" w:cs="Segoe UI"/>
                <w:sz w:val="20"/>
                <w:szCs w:val="20"/>
                <w:lang w:eastAsia="sq-AL"/>
              </w:rPr>
            </w:pPr>
          </w:p>
          <w:p w14:paraId="0ED2172A" w14:textId="77777777" w:rsidR="00E01344" w:rsidRPr="002C4E0D" w:rsidRDefault="00E01344" w:rsidP="00E01344">
            <w:pPr>
              <w:spacing w:line="300" w:lineRule="atLeast"/>
              <w:rPr>
                <w:rFonts w:ascii="Segoe UI" w:eastAsia="Times New Roman" w:hAnsi="Segoe UI" w:cs="Segoe UI"/>
                <w:sz w:val="20"/>
                <w:szCs w:val="20"/>
                <w:lang w:eastAsia="sq-AL"/>
              </w:rPr>
            </w:pPr>
          </w:p>
          <w:p w14:paraId="2B110331" w14:textId="77777777" w:rsidR="00E01344" w:rsidRPr="002C4E0D" w:rsidRDefault="00E01344" w:rsidP="00E01344">
            <w:pPr>
              <w:spacing w:line="300" w:lineRule="atLeast"/>
              <w:rPr>
                <w:rFonts w:ascii="Segoe UI" w:eastAsia="Times New Roman" w:hAnsi="Segoe UI" w:cs="Segoe UI"/>
                <w:sz w:val="20"/>
                <w:szCs w:val="20"/>
                <w:lang w:eastAsia="sq-AL"/>
              </w:rPr>
            </w:pPr>
          </w:p>
          <w:p w14:paraId="0CA71503" w14:textId="77777777" w:rsidR="00E01344" w:rsidRPr="002C4E0D" w:rsidRDefault="00E01344" w:rsidP="00E01344">
            <w:pPr>
              <w:spacing w:line="300" w:lineRule="atLeast"/>
              <w:rPr>
                <w:rFonts w:ascii="Segoe UI" w:eastAsia="Times New Roman" w:hAnsi="Segoe UI" w:cs="Segoe UI"/>
                <w:sz w:val="20"/>
                <w:szCs w:val="20"/>
                <w:lang w:eastAsia="sq-AL"/>
              </w:rPr>
            </w:pPr>
          </w:p>
          <w:p w14:paraId="59BBFAA3" w14:textId="77777777" w:rsidR="00E01344" w:rsidRPr="002C4E0D" w:rsidRDefault="00E01344" w:rsidP="00E01344">
            <w:pPr>
              <w:spacing w:line="300" w:lineRule="atLeast"/>
              <w:rPr>
                <w:rFonts w:ascii="Segoe UI" w:eastAsia="Times New Roman" w:hAnsi="Segoe UI" w:cs="Segoe UI"/>
                <w:sz w:val="20"/>
                <w:szCs w:val="20"/>
                <w:lang w:eastAsia="sq-AL"/>
              </w:rPr>
            </w:pPr>
          </w:p>
          <w:p w14:paraId="431C01E9" w14:textId="77777777" w:rsidR="00E01344" w:rsidRPr="002C4E0D" w:rsidRDefault="00E01344" w:rsidP="00E01344">
            <w:pPr>
              <w:spacing w:line="300" w:lineRule="atLeast"/>
              <w:rPr>
                <w:rFonts w:ascii="Segoe UI" w:eastAsia="Times New Roman" w:hAnsi="Segoe UI" w:cs="Segoe UI"/>
                <w:sz w:val="20"/>
                <w:szCs w:val="20"/>
                <w:lang w:eastAsia="sq-AL"/>
              </w:rPr>
            </w:pPr>
          </w:p>
          <w:p w14:paraId="2F8D80BF" w14:textId="77777777" w:rsidR="00E01344" w:rsidRPr="002C4E0D" w:rsidRDefault="00E01344" w:rsidP="00E01344">
            <w:pPr>
              <w:spacing w:line="300" w:lineRule="atLeast"/>
              <w:rPr>
                <w:rFonts w:ascii="Segoe UI" w:eastAsia="Times New Roman" w:hAnsi="Segoe UI" w:cs="Segoe UI"/>
                <w:sz w:val="20"/>
                <w:szCs w:val="20"/>
                <w:lang w:eastAsia="sq-AL"/>
              </w:rPr>
            </w:pPr>
          </w:p>
          <w:p w14:paraId="6BEFF7AF" w14:textId="77777777" w:rsidR="00E01344" w:rsidRPr="002C4E0D" w:rsidRDefault="00E01344" w:rsidP="00E01344">
            <w:pPr>
              <w:spacing w:line="300" w:lineRule="atLeast"/>
              <w:rPr>
                <w:rFonts w:ascii="Segoe UI" w:eastAsia="Times New Roman" w:hAnsi="Segoe UI" w:cs="Segoe UI"/>
                <w:sz w:val="20"/>
                <w:szCs w:val="20"/>
                <w:lang w:eastAsia="sq-AL"/>
              </w:rPr>
            </w:pPr>
          </w:p>
          <w:p w14:paraId="79E407CC" w14:textId="77777777" w:rsidR="00E01344" w:rsidRPr="002C4E0D" w:rsidRDefault="00E01344" w:rsidP="00E01344">
            <w:pPr>
              <w:spacing w:line="300" w:lineRule="atLeast"/>
              <w:rPr>
                <w:rFonts w:ascii="Segoe UI" w:eastAsia="Times New Roman" w:hAnsi="Segoe UI" w:cs="Segoe UI"/>
                <w:sz w:val="20"/>
                <w:szCs w:val="20"/>
                <w:lang w:eastAsia="sq-AL"/>
              </w:rPr>
            </w:pPr>
          </w:p>
          <w:p w14:paraId="35EA6D89" w14:textId="77777777" w:rsidR="00E01344" w:rsidRPr="002C4E0D" w:rsidRDefault="00E01344" w:rsidP="00E01344">
            <w:pPr>
              <w:spacing w:line="300" w:lineRule="atLeast"/>
              <w:rPr>
                <w:rFonts w:ascii="Segoe UI" w:eastAsia="Times New Roman" w:hAnsi="Segoe UI" w:cs="Segoe UI"/>
                <w:sz w:val="20"/>
                <w:szCs w:val="20"/>
                <w:lang w:eastAsia="sq-AL"/>
              </w:rPr>
            </w:pPr>
          </w:p>
          <w:p w14:paraId="267215FE" w14:textId="77777777" w:rsidR="00E01344" w:rsidRPr="002C4E0D" w:rsidRDefault="00E01344" w:rsidP="00E01344">
            <w:pPr>
              <w:spacing w:line="300" w:lineRule="atLeast"/>
              <w:rPr>
                <w:rFonts w:ascii="Segoe UI" w:eastAsia="Times New Roman" w:hAnsi="Segoe UI" w:cs="Segoe UI"/>
                <w:sz w:val="20"/>
                <w:szCs w:val="20"/>
                <w:lang w:eastAsia="sq-AL"/>
              </w:rPr>
            </w:pPr>
          </w:p>
          <w:p w14:paraId="1A01A707" w14:textId="77777777" w:rsidR="00E01344" w:rsidRPr="002C4E0D" w:rsidRDefault="00E01344" w:rsidP="00E01344">
            <w:pPr>
              <w:spacing w:line="300" w:lineRule="atLeast"/>
              <w:rPr>
                <w:rFonts w:ascii="Segoe UI" w:eastAsia="Times New Roman" w:hAnsi="Segoe UI" w:cs="Segoe UI"/>
                <w:sz w:val="20"/>
                <w:szCs w:val="20"/>
                <w:lang w:eastAsia="sq-AL"/>
              </w:rPr>
            </w:pPr>
          </w:p>
          <w:p w14:paraId="3811F13F" w14:textId="77777777" w:rsidR="00E01344" w:rsidRPr="002C4E0D" w:rsidRDefault="00E01344" w:rsidP="00E01344">
            <w:pPr>
              <w:spacing w:line="300" w:lineRule="atLeast"/>
              <w:rPr>
                <w:rFonts w:ascii="Segoe UI" w:eastAsia="Times New Roman" w:hAnsi="Segoe UI" w:cs="Segoe UI"/>
                <w:sz w:val="20"/>
                <w:szCs w:val="20"/>
                <w:lang w:eastAsia="sq-AL"/>
              </w:rPr>
            </w:pPr>
          </w:p>
          <w:p w14:paraId="56D61A02" w14:textId="77777777" w:rsidR="00E01344" w:rsidRPr="002C4E0D" w:rsidRDefault="00E01344" w:rsidP="00E01344">
            <w:pPr>
              <w:spacing w:line="300" w:lineRule="atLeast"/>
              <w:rPr>
                <w:rFonts w:ascii="Segoe UI" w:eastAsia="Times New Roman" w:hAnsi="Segoe UI" w:cs="Segoe UI"/>
                <w:sz w:val="20"/>
                <w:szCs w:val="20"/>
                <w:lang w:eastAsia="sq-AL"/>
              </w:rPr>
            </w:pPr>
          </w:p>
          <w:p w14:paraId="06F0EED4" w14:textId="77777777" w:rsidR="00E01344" w:rsidRPr="002C4E0D" w:rsidRDefault="00E01344" w:rsidP="00E01344">
            <w:pPr>
              <w:spacing w:line="300" w:lineRule="atLeast"/>
              <w:rPr>
                <w:rFonts w:ascii="Segoe UI" w:eastAsia="Times New Roman" w:hAnsi="Segoe UI" w:cs="Segoe UI"/>
                <w:sz w:val="20"/>
                <w:szCs w:val="20"/>
                <w:lang w:eastAsia="sq-AL"/>
              </w:rPr>
            </w:pPr>
          </w:p>
          <w:p w14:paraId="7731FDE0" w14:textId="77777777" w:rsidR="00E01344" w:rsidRPr="002C4E0D" w:rsidRDefault="00E01344" w:rsidP="00E01344">
            <w:pPr>
              <w:spacing w:line="300" w:lineRule="atLeast"/>
              <w:rPr>
                <w:rFonts w:ascii="Segoe UI" w:eastAsia="Times New Roman" w:hAnsi="Segoe UI" w:cs="Segoe UI"/>
                <w:sz w:val="20"/>
                <w:szCs w:val="20"/>
                <w:lang w:eastAsia="sq-AL"/>
              </w:rPr>
            </w:pPr>
          </w:p>
          <w:p w14:paraId="2562D41A" w14:textId="77777777" w:rsidR="00E01344" w:rsidRPr="002C4E0D" w:rsidRDefault="00E01344" w:rsidP="00E01344">
            <w:pPr>
              <w:spacing w:line="300" w:lineRule="atLeast"/>
              <w:rPr>
                <w:rFonts w:ascii="Segoe UI" w:eastAsia="Times New Roman" w:hAnsi="Segoe UI" w:cs="Segoe UI"/>
                <w:sz w:val="20"/>
                <w:szCs w:val="20"/>
                <w:lang w:eastAsia="sq-AL"/>
              </w:rPr>
            </w:pPr>
          </w:p>
          <w:p w14:paraId="65B86653" w14:textId="77777777" w:rsidR="00E01344" w:rsidRPr="002C4E0D" w:rsidRDefault="00E01344" w:rsidP="00E01344">
            <w:pPr>
              <w:spacing w:line="300" w:lineRule="atLeast"/>
              <w:rPr>
                <w:rFonts w:ascii="Segoe UI" w:eastAsia="Times New Roman" w:hAnsi="Segoe UI" w:cs="Segoe UI"/>
                <w:sz w:val="20"/>
                <w:szCs w:val="20"/>
                <w:lang w:eastAsia="sq-AL"/>
              </w:rPr>
            </w:pPr>
          </w:p>
          <w:p w14:paraId="520EBD42" w14:textId="77777777" w:rsidR="00E01344" w:rsidRPr="002C4E0D" w:rsidRDefault="00E01344" w:rsidP="00E01344">
            <w:pPr>
              <w:spacing w:line="300" w:lineRule="atLeast"/>
              <w:rPr>
                <w:rFonts w:ascii="Segoe UI" w:eastAsia="Times New Roman" w:hAnsi="Segoe UI" w:cs="Segoe UI"/>
                <w:sz w:val="20"/>
                <w:szCs w:val="20"/>
                <w:lang w:eastAsia="sq-AL"/>
              </w:rPr>
            </w:pPr>
          </w:p>
          <w:p w14:paraId="2875051C" w14:textId="77777777" w:rsidR="00E01344" w:rsidRPr="002C4E0D" w:rsidRDefault="00E01344" w:rsidP="00E01344">
            <w:pPr>
              <w:spacing w:line="300" w:lineRule="atLeast"/>
              <w:rPr>
                <w:rFonts w:ascii="Segoe UI" w:eastAsia="Times New Roman" w:hAnsi="Segoe UI" w:cs="Segoe UI"/>
                <w:sz w:val="20"/>
                <w:szCs w:val="20"/>
                <w:lang w:eastAsia="sq-AL"/>
              </w:rPr>
            </w:pPr>
          </w:p>
          <w:p w14:paraId="5BCC4B6F" w14:textId="77777777" w:rsidR="00E01344" w:rsidRPr="002C4E0D" w:rsidRDefault="00E01344" w:rsidP="00E01344">
            <w:pPr>
              <w:spacing w:line="300" w:lineRule="atLeast"/>
              <w:rPr>
                <w:rFonts w:ascii="Segoe UI" w:eastAsia="Times New Roman" w:hAnsi="Segoe UI" w:cs="Segoe UI"/>
                <w:sz w:val="20"/>
                <w:szCs w:val="20"/>
                <w:lang w:eastAsia="sq-AL"/>
              </w:rPr>
            </w:pPr>
          </w:p>
          <w:p w14:paraId="3147884F" w14:textId="77777777" w:rsidR="00E01344" w:rsidRPr="002C4E0D" w:rsidRDefault="00E01344" w:rsidP="00E01344">
            <w:pPr>
              <w:spacing w:line="300" w:lineRule="atLeast"/>
              <w:rPr>
                <w:rFonts w:ascii="Segoe UI" w:eastAsia="Times New Roman" w:hAnsi="Segoe UI" w:cs="Segoe UI"/>
                <w:sz w:val="20"/>
                <w:szCs w:val="20"/>
                <w:lang w:eastAsia="sq-AL"/>
              </w:rPr>
            </w:pPr>
          </w:p>
          <w:p w14:paraId="15AE791A" w14:textId="77777777" w:rsidR="00E01344" w:rsidRPr="002C4E0D" w:rsidRDefault="00E01344" w:rsidP="00E01344">
            <w:pPr>
              <w:spacing w:line="300" w:lineRule="atLeast"/>
              <w:rPr>
                <w:rFonts w:ascii="Segoe UI" w:eastAsia="Times New Roman" w:hAnsi="Segoe UI" w:cs="Segoe UI"/>
                <w:sz w:val="20"/>
                <w:szCs w:val="20"/>
                <w:lang w:eastAsia="sq-AL"/>
              </w:rPr>
            </w:pPr>
          </w:p>
          <w:p w14:paraId="03756446" w14:textId="77777777" w:rsidR="00E01344" w:rsidRPr="002C4E0D" w:rsidRDefault="00E01344" w:rsidP="00E01344">
            <w:pPr>
              <w:spacing w:line="300" w:lineRule="atLeast"/>
              <w:rPr>
                <w:rFonts w:ascii="Segoe UI" w:eastAsia="Times New Roman" w:hAnsi="Segoe UI" w:cs="Segoe UI"/>
                <w:sz w:val="20"/>
                <w:szCs w:val="20"/>
                <w:lang w:eastAsia="sq-AL"/>
              </w:rPr>
            </w:pPr>
          </w:p>
          <w:p w14:paraId="5F2667B2" w14:textId="77777777" w:rsidR="00E01344" w:rsidRPr="002C4E0D" w:rsidRDefault="00E01344" w:rsidP="00E01344">
            <w:pPr>
              <w:spacing w:line="300" w:lineRule="atLeast"/>
              <w:rPr>
                <w:rFonts w:ascii="Segoe UI" w:eastAsia="Times New Roman" w:hAnsi="Segoe UI" w:cs="Segoe UI"/>
                <w:sz w:val="20"/>
                <w:szCs w:val="20"/>
                <w:lang w:eastAsia="sq-AL"/>
              </w:rPr>
            </w:pPr>
          </w:p>
          <w:p w14:paraId="4291057F" w14:textId="77777777" w:rsidR="00E01344" w:rsidRPr="002C4E0D" w:rsidRDefault="00E01344" w:rsidP="00E01344">
            <w:pPr>
              <w:spacing w:line="300" w:lineRule="atLeast"/>
              <w:rPr>
                <w:rFonts w:ascii="Segoe UI" w:eastAsia="Times New Roman" w:hAnsi="Segoe UI" w:cs="Segoe UI"/>
                <w:sz w:val="20"/>
                <w:szCs w:val="20"/>
                <w:lang w:eastAsia="sq-AL"/>
              </w:rPr>
            </w:pPr>
          </w:p>
          <w:p w14:paraId="3F45434E" w14:textId="77777777" w:rsidR="00E01344" w:rsidRPr="002C4E0D" w:rsidRDefault="00E01344" w:rsidP="00E01344">
            <w:pPr>
              <w:spacing w:line="300" w:lineRule="atLeast"/>
              <w:rPr>
                <w:rFonts w:ascii="Segoe UI" w:eastAsia="Times New Roman" w:hAnsi="Segoe UI" w:cs="Segoe UI"/>
                <w:sz w:val="20"/>
                <w:szCs w:val="20"/>
                <w:lang w:eastAsia="sq-AL"/>
              </w:rPr>
            </w:pPr>
          </w:p>
          <w:p w14:paraId="640D501F" w14:textId="77777777" w:rsidR="00E01344" w:rsidRPr="002C4E0D" w:rsidRDefault="00E01344" w:rsidP="00E01344">
            <w:pPr>
              <w:spacing w:line="300" w:lineRule="atLeast"/>
              <w:rPr>
                <w:rFonts w:ascii="Segoe UI" w:eastAsia="Times New Roman" w:hAnsi="Segoe UI" w:cs="Segoe UI"/>
                <w:sz w:val="20"/>
                <w:szCs w:val="20"/>
                <w:lang w:eastAsia="sq-AL"/>
              </w:rPr>
            </w:pPr>
          </w:p>
          <w:p w14:paraId="1F0B449D" w14:textId="77777777" w:rsidR="00E01344" w:rsidRPr="002C4E0D" w:rsidRDefault="00E01344" w:rsidP="00E01344">
            <w:pPr>
              <w:spacing w:line="300" w:lineRule="atLeast"/>
              <w:rPr>
                <w:rFonts w:ascii="Segoe UI" w:eastAsia="Times New Roman" w:hAnsi="Segoe UI" w:cs="Segoe UI"/>
                <w:sz w:val="20"/>
                <w:szCs w:val="20"/>
                <w:lang w:eastAsia="sq-AL"/>
              </w:rPr>
            </w:pPr>
          </w:p>
          <w:p w14:paraId="49C031E9" w14:textId="77777777" w:rsidR="00E01344" w:rsidRPr="002C4E0D" w:rsidRDefault="00E01344" w:rsidP="00E01344">
            <w:pPr>
              <w:spacing w:line="300" w:lineRule="atLeast"/>
              <w:rPr>
                <w:rFonts w:ascii="Segoe UI" w:eastAsia="Times New Roman" w:hAnsi="Segoe UI" w:cs="Segoe UI"/>
                <w:sz w:val="20"/>
                <w:szCs w:val="20"/>
                <w:lang w:eastAsia="sq-AL"/>
              </w:rPr>
            </w:pPr>
          </w:p>
          <w:p w14:paraId="6DB652F1" w14:textId="77777777" w:rsidR="00E01344" w:rsidRPr="002C4E0D" w:rsidRDefault="00E01344" w:rsidP="00E01344">
            <w:pPr>
              <w:spacing w:line="300" w:lineRule="atLeast"/>
              <w:rPr>
                <w:rFonts w:ascii="Segoe UI" w:eastAsia="Times New Roman" w:hAnsi="Segoe UI" w:cs="Segoe UI"/>
                <w:sz w:val="20"/>
                <w:szCs w:val="20"/>
                <w:lang w:eastAsia="sq-AL"/>
              </w:rPr>
            </w:pPr>
          </w:p>
          <w:p w14:paraId="2F39D451" w14:textId="77777777" w:rsidR="00E01344" w:rsidRPr="002C4E0D" w:rsidRDefault="00E01344" w:rsidP="00E01344">
            <w:pPr>
              <w:spacing w:line="300" w:lineRule="atLeast"/>
              <w:rPr>
                <w:rFonts w:ascii="Segoe UI" w:eastAsia="Times New Roman" w:hAnsi="Segoe UI" w:cs="Segoe UI"/>
                <w:sz w:val="20"/>
                <w:szCs w:val="20"/>
                <w:lang w:eastAsia="sq-AL"/>
              </w:rPr>
            </w:pPr>
          </w:p>
          <w:p w14:paraId="1668B022" w14:textId="77777777" w:rsidR="00E01344" w:rsidRPr="002C4E0D" w:rsidRDefault="00E01344" w:rsidP="00E01344">
            <w:pPr>
              <w:spacing w:line="300" w:lineRule="atLeast"/>
              <w:rPr>
                <w:rFonts w:ascii="Segoe UI" w:eastAsia="Times New Roman" w:hAnsi="Segoe UI" w:cs="Segoe UI"/>
                <w:sz w:val="20"/>
                <w:szCs w:val="20"/>
                <w:lang w:eastAsia="sq-AL"/>
              </w:rPr>
            </w:pPr>
          </w:p>
          <w:p w14:paraId="49B3457C" w14:textId="77777777" w:rsidR="00E01344" w:rsidRPr="002C4E0D" w:rsidRDefault="00E01344" w:rsidP="00E01344">
            <w:pPr>
              <w:spacing w:line="300" w:lineRule="atLeast"/>
              <w:rPr>
                <w:rFonts w:ascii="Segoe UI" w:eastAsia="Times New Roman" w:hAnsi="Segoe UI" w:cs="Segoe UI"/>
                <w:sz w:val="20"/>
                <w:szCs w:val="20"/>
                <w:lang w:eastAsia="sq-AL"/>
              </w:rPr>
            </w:pPr>
          </w:p>
          <w:p w14:paraId="5401893B" w14:textId="77777777" w:rsidR="00E01344" w:rsidRPr="002C4E0D" w:rsidRDefault="00E01344" w:rsidP="00E01344">
            <w:pPr>
              <w:spacing w:line="300" w:lineRule="atLeast"/>
              <w:rPr>
                <w:rFonts w:ascii="Segoe UI" w:eastAsia="Times New Roman" w:hAnsi="Segoe UI" w:cs="Segoe UI"/>
                <w:sz w:val="20"/>
                <w:szCs w:val="20"/>
                <w:lang w:eastAsia="sq-AL"/>
              </w:rPr>
            </w:pPr>
          </w:p>
          <w:p w14:paraId="77507BD7" w14:textId="77777777" w:rsidR="00E01344" w:rsidRPr="002C4E0D" w:rsidRDefault="00E01344" w:rsidP="00E01344">
            <w:pPr>
              <w:spacing w:line="300" w:lineRule="atLeast"/>
              <w:rPr>
                <w:rFonts w:ascii="Segoe UI" w:eastAsia="Times New Roman" w:hAnsi="Segoe UI" w:cs="Segoe UI"/>
                <w:sz w:val="20"/>
                <w:szCs w:val="20"/>
                <w:lang w:eastAsia="sq-AL"/>
              </w:rPr>
            </w:pPr>
          </w:p>
          <w:p w14:paraId="102E83EE" w14:textId="77777777" w:rsidR="00E01344" w:rsidRPr="002C4E0D" w:rsidRDefault="00E01344" w:rsidP="00E01344">
            <w:pPr>
              <w:spacing w:line="300" w:lineRule="atLeast"/>
              <w:rPr>
                <w:rFonts w:ascii="Segoe UI" w:eastAsia="Times New Roman" w:hAnsi="Segoe UI" w:cs="Segoe UI"/>
                <w:sz w:val="20"/>
                <w:szCs w:val="20"/>
                <w:lang w:eastAsia="sq-AL"/>
              </w:rPr>
            </w:pPr>
          </w:p>
          <w:p w14:paraId="73677A5D" w14:textId="77777777" w:rsidR="00E01344" w:rsidRPr="002C4E0D" w:rsidRDefault="00E01344" w:rsidP="00E01344">
            <w:pPr>
              <w:spacing w:line="300" w:lineRule="atLeast"/>
              <w:rPr>
                <w:rFonts w:ascii="Segoe UI" w:eastAsia="Times New Roman" w:hAnsi="Segoe UI" w:cs="Segoe UI"/>
                <w:sz w:val="20"/>
                <w:szCs w:val="20"/>
                <w:lang w:eastAsia="sq-AL"/>
              </w:rPr>
            </w:pPr>
          </w:p>
          <w:p w14:paraId="78A15148" w14:textId="77777777" w:rsidR="00E01344" w:rsidRPr="002C4E0D" w:rsidRDefault="00E01344" w:rsidP="00E01344">
            <w:pPr>
              <w:spacing w:line="300" w:lineRule="atLeast"/>
              <w:rPr>
                <w:rFonts w:ascii="Segoe UI" w:eastAsia="Times New Roman" w:hAnsi="Segoe UI" w:cs="Segoe UI"/>
                <w:sz w:val="20"/>
                <w:szCs w:val="20"/>
                <w:lang w:eastAsia="sq-AL"/>
              </w:rPr>
            </w:pPr>
          </w:p>
          <w:p w14:paraId="365956F7" w14:textId="77777777" w:rsidR="00E01344" w:rsidRPr="002C4E0D" w:rsidRDefault="00E01344" w:rsidP="00E01344">
            <w:pPr>
              <w:spacing w:line="300" w:lineRule="atLeast"/>
              <w:rPr>
                <w:rFonts w:ascii="Segoe UI" w:eastAsia="Times New Roman" w:hAnsi="Segoe UI" w:cs="Segoe UI"/>
                <w:sz w:val="20"/>
                <w:szCs w:val="20"/>
                <w:lang w:eastAsia="sq-AL"/>
              </w:rPr>
            </w:pPr>
          </w:p>
          <w:p w14:paraId="2AFBC0E1" w14:textId="77777777" w:rsidR="00E01344" w:rsidRPr="002C4E0D" w:rsidRDefault="00E01344" w:rsidP="00E01344">
            <w:pPr>
              <w:spacing w:line="300" w:lineRule="atLeast"/>
              <w:rPr>
                <w:rFonts w:ascii="Segoe UI" w:eastAsia="Times New Roman" w:hAnsi="Segoe UI" w:cs="Segoe UI"/>
                <w:sz w:val="20"/>
                <w:szCs w:val="20"/>
                <w:lang w:eastAsia="sq-AL"/>
              </w:rPr>
            </w:pPr>
          </w:p>
          <w:p w14:paraId="40485496" w14:textId="77777777" w:rsidR="00E01344" w:rsidRPr="002C4E0D" w:rsidRDefault="00E01344" w:rsidP="00E01344">
            <w:pPr>
              <w:spacing w:line="300" w:lineRule="atLeast"/>
              <w:rPr>
                <w:rFonts w:ascii="Segoe UI" w:eastAsia="Times New Roman" w:hAnsi="Segoe UI" w:cs="Segoe UI"/>
                <w:sz w:val="20"/>
                <w:szCs w:val="20"/>
                <w:lang w:eastAsia="sq-AL"/>
              </w:rPr>
            </w:pPr>
          </w:p>
          <w:p w14:paraId="3ECDB6B8" w14:textId="77777777" w:rsidR="00E01344" w:rsidRPr="002C4E0D" w:rsidRDefault="00E01344" w:rsidP="00E01344">
            <w:pPr>
              <w:spacing w:line="300" w:lineRule="atLeast"/>
              <w:rPr>
                <w:rFonts w:ascii="Segoe UI" w:eastAsia="Times New Roman" w:hAnsi="Segoe UI" w:cs="Segoe UI"/>
                <w:sz w:val="20"/>
                <w:szCs w:val="20"/>
                <w:lang w:eastAsia="sq-AL"/>
              </w:rPr>
            </w:pPr>
          </w:p>
          <w:p w14:paraId="6E64B3E9" w14:textId="77777777" w:rsidR="00E01344" w:rsidRPr="002C4E0D" w:rsidRDefault="00E01344" w:rsidP="00E01344">
            <w:pPr>
              <w:spacing w:line="300" w:lineRule="atLeast"/>
              <w:rPr>
                <w:rFonts w:ascii="Segoe UI" w:eastAsia="Times New Roman" w:hAnsi="Segoe UI" w:cs="Segoe UI"/>
                <w:sz w:val="20"/>
                <w:szCs w:val="20"/>
                <w:lang w:eastAsia="sq-AL"/>
              </w:rPr>
            </w:pPr>
          </w:p>
          <w:p w14:paraId="2B29DC57" w14:textId="77777777" w:rsidR="00E01344" w:rsidRPr="002C4E0D" w:rsidRDefault="00E01344" w:rsidP="00E01344">
            <w:pPr>
              <w:spacing w:line="300" w:lineRule="atLeast"/>
              <w:rPr>
                <w:rFonts w:ascii="Segoe UI" w:eastAsia="Times New Roman" w:hAnsi="Segoe UI" w:cs="Segoe UI"/>
                <w:sz w:val="20"/>
                <w:szCs w:val="20"/>
                <w:lang w:eastAsia="sq-AL"/>
              </w:rPr>
            </w:pPr>
          </w:p>
          <w:p w14:paraId="35A47216" w14:textId="77777777" w:rsidR="00E01344" w:rsidRPr="002C4E0D" w:rsidRDefault="00E01344" w:rsidP="00E01344">
            <w:pPr>
              <w:spacing w:line="300" w:lineRule="atLeast"/>
              <w:rPr>
                <w:rFonts w:ascii="Segoe UI" w:eastAsia="Times New Roman" w:hAnsi="Segoe UI" w:cs="Segoe UI"/>
                <w:sz w:val="20"/>
                <w:szCs w:val="20"/>
                <w:lang w:eastAsia="sq-AL"/>
              </w:rPr>
            </w:pPr>
          </w:p>
          <w:p w14:paraId="66F590E6" w14:textId="77777777" w:rsidR="00E01344" w:rsidRPr="002C4E0D" w:rsidRDefault="00E01344" w:rsidP="00E01344">
            <w:pPr>
              <w:spacing w:line="300" w:lineRule="atLeast"/>
              <w:rPr>
                <w:rFonts w:ascii="Segoe UI" w:eastAsia="Times New Roman" w:hAnsi="Segoe UI" w:cs="Segoe UI"/>
                <w:sz w:val="20"/>
                <w:szCs w:val="20"/>
                <w:lang w:eastAsia="sq-AL"/>
              </w:rPr>
            </w:pPr>
          </w:p>
          <w:p w14:paraId="1502EAB9" w14:textId="77777777" w:rsidR="00E01344" w:rsidRPr="002C4E0D" w:rsidRDefault="00E01344" w:rsidP="00E01344">
            <w:pPr>
              <w:spacing w:line="300" w:lineRule="atLeast"/>
              <w:rPr>
                <w:rFonts w:ascii="Segoe UI" w:eastAsia="Times New Roman" w:hAnsi="Segoe UI" w:cs="Segoe UI"/>
                <w:sz w:val="20"/>
                <w:szCs w:val="20"/>
                <w:lang w:eastAsia="sq-AL"/>
              </w:rPr>
            </w:pPr>
          </w:p>
          <w:p w14:paraId="392E501A" w14:textId="77777777" w:rsidR="00E01344" w:rsidRPr="002C4E0D" w:rsidRDefault="00E01344" w:rsidP="00E01344">
            <w:pPr>
              <w:spacing w:line="300" w:lineRule="atLeast"/>
              <w:rPr>
                <w:rFonts w:ascii="Segoe UI" w:eastAsia="Times New Roman" w:hAnsi="Segoe UI" w:cs="Segoe UI"/>
                <w:sz w:val="20"/>
                <w:szCs w:val="20"/>
                <w:lang w:eastAsia="sq-AL"/>
              </w:rPr>
            </w:pPr>
          </w:p>
          <w:p w14:paraId="33EB2A12" w14:textId="77777777" w:rsidR="00E01344" w:rsidRPr="002C4E0D" w:rsidRDefault="00E01344" w:rsidP="00E01344">
            <w:pPr>
              <w:spacing w:line="300" w:lineRule="atLeast"/>
              <w:rPr>
                <w:rFonts w:ascii="Segoe UI" w:eastAsia="Times New Roman" w:hAnsi="Segoe UI" w:cs="Segoe UI"/>
                <w:sz w:val="20"/>
                <w:szCs w:val="20"/>
                <w:lang w:eastAsia="sq-AL"/>
              </w:rPr>
            </w:pPr>
          </w:p>
          <w:p w14:paraId="74BF4176" w14:textId="77777777" w:rsidR="00E01344" w:rsidRPr="002C4E0D" w:rsidRDefault="00E01344" w:rsidP="00E01344">
            <w:pPr>
              <w:spacing w:line="300" w:lineRule="atLeast"/>
              <w:rPr>
                <w:rFonts w:ascii="Segoe UI" w:eastAsia="Times New Roman" w:hAnsi="Segoe UI" w:cs="Segoe UI"/>
                <w:sz w:val="20"/>
                <w:szCs w:val="20"/>
                <w:lang w:eastAsia="sq-AL"/>
              </w:rPr>
            </w:pPr>
          </w:p>
          <w:p w14:paraId="5DD4F19D" w14:textId="77777777" w:rsidR="00E01344" w:rsidRPr="002C4E0D" w:rsidRDefault="00E01344" w:rsidP="00E01344">
            <w:pPr>
              <w:spacing w:line="300" w:lineRule="atLeast"/>
              <w:rPr>
                <w:rFonts w:ascii="Segoe UI" w:eastAsia="Times New Roman" w:hAnsi="Segoe UI" w:cs="Segoe UI"/>
                <w:sz w:val="20"/>
                <w:szCs w:val="20"/>
                <w:lang w:eastAsia="sq-AL"/>
              </w:rPr>
            </w:pPr>
          </w:p>
          <w:p w14:paraId="120236AD" w14:textId="77777777" w:rsidR="00E01344" w:rsidRPr="002C4E0D" w:rsidRDefault="00E01344" w:rsidP="00E01344">
            <w:pPr>
              <w:spacing w:line="300" w:lineRule="atLeast"/>
              <w:rPr>
                <w:rFonts w:ascii="Segoe UI" w:eastAsia="Times New Roman" w:hAnsi="Segoe UI" w:cs="Segoe UI"/>
                <w:sz w:val="20"/>
                <w:szCs w:val="20"/>
                <w:lang w:eastAsia="sq-AL"/>
              </w:rPr>
            </w:pPr>
          </w:p>
          <w:p w14:paraId="43286B93" w14:textId="77777777" w:rsidR="00E01344" w:rsidRPr="002C4E0D" w:rsidRDefault="00E01344" w:rsidP="00E01344">
            <w:pPr>
              <w:spacing w:line="300" w:lineRule="atLeast"/>
              <w:rPr>
                <w:rFonts w:ascii="Segoe UI" w:eastAsia="Times New Roman" w:hAnsi="Segoe UI" w:cs="Segoe UI"/>
                <w:sz w:val="20"/>
                <w:szCs w:val="20"/>
                <w:lang w:eastAsia="sq-AL"/>
              </w:rPr>
            </w:pPr>
          </w:p>
          <w:p w14:paraId="0B7E1537" w14:textId="77777777" w:rsidR="00E01344" w:rsidRPr="002C4E0D" w:rsidRDefault="00E01344" w:rsidP="00E01344">
            <w:pPr>
              <w:spacing w:line="300" w:lineRule="atLeast"/>
              <w:rPr>
                <w:rFonts w:ascii="Segoe UI" w:eastAsia="Times New Roman" w:hAnsi="Segoe UI" w:cs="Segoe UI"/>
                <w:sz w:val="20"/>
                <w:szCs w:val="20"/>
                <w:lang w:eastAsia="sq-AL"/>
              </w:rPr>
            </w:pPr>
          </w:p>
          <w:p w14:paraId="55136343" w14:textId="77777777" w:rsidR="00E01344" w:rsidRPr="002C4E0D" w:rsidRDefault="00E01344" w:rsidP="00E01344">
            <w:pPr>
              <w:spacing w:line="300" w:lineRule="atLeast"/>
              <w:rPr>
                <w:rFonts w:ascii="Segoe UI" w:eastAsia="Times New Roman" w:hAnsi="Segoe UI" w:cs="Segoe UI"/>
                <w:sz w:val="20"/>
                <w:szCs w:val="20"/>
                <w:lang w:eastAsia="sq-AL"/>
              </w:rPr>
            </w:pPr>
          </w:p>
          <w:p w14:paraId="51E28181" w14:textId="77777777" w:rsidR="00E01344" w:rsidRPr="002C4E0D" w:rsidRDefault="00E01344" w:rsidP="00E01344">
            <w:pPr>
              <w:spacing w:line="300" w:lineRule="atLeast"/>
              <w:rPr>
                <w:rFonts w:ascii="Segoe UI" w:eastAsia="Times New Roman" w:hAnsi="Segoe UI" w:cs="Segoe UI"/>
                <w:sz w:val="20"/>
                <w:szCs w:val="20"/>
                <w:lang w:eastAsia="sq-AL"/>
              </w:rPr>
            </w:pPr>
          </w:p>
          <w:p w14:paraId="7E67D994" w14:textId="77777777" w:rsidR="00E01344" w:rsidRPr="002C4E0D" w:rsidRDefault="00E01344" w:rsidP="00E01344">
            <w:pPr>
              <w:spacing w:line="300" w:lineRule="atLeast"/>
              <w:rPr>
                <w:rFonts w:ascii="Segoe UI" w:eastAsia="Times New Roman" w:hAnsi="Segoe UI" w:cs="Segoe UI"/>
                <w:sz w:val="20"/>
                <w:szCs w:val="20"/>
                <w:lang w:eastAsia="sq-AL"/>
              </w:rPr>
            </w:pPr>
          </w:p>
          <w:p w14:paraId="00B93D9B" w14:textId="77777777" w:rsidR="00E01344" w:rsidRPr="002C4E0D" w:rsidRDefault="00E01344" w:rsidP="00E01344">
            <w:pPr>
              <w:spacing w:line="300" w:lineRule="atLeast"/>
              <w:rPr>
                <w:rFonts w:ascii="Segoe UI" w:eastAsia="Times New Roman" w:hAnsi="Segoe UI" w:cs="Segoe UI"/>
                <w:sz w:val="20"/>
                <w:szCs w:val="20"/>
                <w:lang w:eastAsia="sq-AL"/>
              </w:rPr>
            </w:pPr>
          </w:p>
          <w:p w14:paraId="20AC880B" w14:textId="77777777" w:rsidR="00E01344" w:rsidRPr="002C4E0D" w:rsidRDefault="00E01344" w:rsidP="00E01344">
            <w:pPr>
              <w:spacing w:line="300" w:lineRule="atLeast"/>
              <w:rPr>
                <w:rFonts w:ascii="Segoe UI" w:eastAsia="Times New Roman" w:hAnsi="Segoe UI" w:cs="Segoe UI"/>
                <w:sz w:val="20"/>
                <w:szCs w:val="20"/>
                <w:lang w:eastAsia="sq-AL"/>
              </w:rPr>
            </w:pPr>
          </w:p>
          <w:p w14:paraId="12611A00" w14:textId="77777777" w:rsidR="00E01344" w:rsidRPr="002C4E0D" w:rsidRDefault="00E01344" w:rsidP="00E01344">
            <w:pPr>
              <w:spacing w:line="300" w:lineRule="atLeast"/>
              <w:rPr>
                <w:rFonts w:ascii="Segoe UI" w:eastAsia="Times New Roman" w:hAnsi="Segoe UI" w:cs="Segoe UI"/>
                <w:sz w:val="20"/>
                <w:szCs w:val="20"/>
                <w:lang w:eastAsia="sq-AL"/>
              </w:rPr>
            </w:pPr>
          </w:p>
          <w:p w14:paraId="56D45E72" w14:textId="77777777" w:rsidR="00E01344" w:rsidRPr="002C4E0D" w:rsidRDefault="00E01344" w:rsidP="00E01344">
            <w:pPr>
              <w:spacing w:line="300" w:lineRule="atLeast"/>
              <w:rPr>
                <w:rFonts w:ascii="Segoe UI" w:eastAsia="Times New Roman" w:hAnsi="Segoe UI" w:cs="Segoe UI"/>
                <w:sz w:val="20"/>
                <w:szCs w:val="20"/>
                <w:lang w:eastAsia="sq-AL"/>
              </w:rPr>
            </w:pPr>
          </w:p>
          <w:p w14:paraId="01D8AAA8" w14:textId="77777777" w:rsidR="00E01344" w:rsidRPr="002C4E0D" w:rsidRDefault="00E01344" w:rsidP="00E01344">
            <w:pPr>
              <w:spacing w:line="300" w:lineRule="atLeast"/>
              <w:rPr>
                <w:rFonts w:ascii="Segoe UI" w:eastAsia="Times New Roman" w:hAnsi="Segoe UI" w:cs="Segoe UI"/>
                <w:sz w:val="20"/>
                <w:szCs w:val="20"/>
                <w:lang w:eastAsia="sq-AL"/>
              </w:rPr>
            </w:pPr>
          </w:p>
          <w:p w14:paraId="543298E0" w14:textId="77777777" w:rsidR="00E01344" w:rsidRPr="002C4E0D" w:rsidRDefault="00E01344" w:rsidP="00E01344">
            <w:pPr>
              <w:spacing w:line="300" w:lineRule="atLeast"/>
              <w:rPr>
                <w:rFonts w:ascii="Segoe UI" w:eastAsia="Times New Roman" w:hAnsi="Segoe UI" w:cs="Segoe UI"/>
                <w:sz w:val="20"/>
                <w:szCs w:val="20"/>
                <w:lang w:eastAsia="sq-AL"/>
              </w:rPr>
            </w:pPr>
          </w:p>
          <w:p w14:paraId="3FC1E441" w14:textId="77777777" w:rsidR="00E01344" w:rsidRPr="002C4E0D" w:rsidRDefault="00E01344" w:rsidP="00E01344">
            <w:pPr>
              <w:spacing w:line="300" w:lineRule="atLeast"/>
              <w:rPr>
                <w:rFonts w:ascii="Segoe UI" w:eastAsia="Times New Roman" w:hAnsi="Segoe UI" w:cs="Segoe UI"/>
                <w:sz w:val="20"/>
                <w:szCs w:val="20"/>
                <w:lang w:eastAsia="sq-AL"/>
              </w:rPr>
            </w:pPr>
          </w:p>
          <w:p w14:paraId="19EEB99D" w14:textId="77777777" w:rsidR="00E01344" w:rsidRPr="002C4E0D" w:rsidRDefault="00E01344" w:rsidP="00E01344">
            <w:pPr>
              <w:spacing w:line="300" w:lineRule="atLeast"/>
              <w:rPr>
                <w:rFonts w:ascii="Segoe UI" w:eastAsia="Times New Roman" w:hAnsi="Segoe UI" w:cs="Segoe UI"/>
                <w:sz w:val="20"/>
                <w:szCs w:val="20"/>
                <w:lang w:eastAsia="sq-AL"/>
              </w:rPr>
            </w:pPr>
          </w:p>
          <w:p w14:paraId="7B25F808" w14:textId="77777777" w:rsidR="00E01344" w:rsidRPr="002C4E0D" w:rsidRDefault="00E01344" w:rsidP="00E01344">
            <w:pPr>
              <w:spacing w:line="300" w:lineRule="atLeast"/>
              <w:rPr>
                <w:rFonts w:ascii="Segoe UI" w:eastAsia="Times New Roman" w:hAnsi="Segoe UI" w:cs="Segoe UI"/>
                <w:sz w:val="20"/>
                <w:szCs w:val="20"/>
                <w:lang w:eastAsia="sq-AL"/>
              </w:rPr>
            </w:pPr>
          </w:p>
          <w:p w14:paraId="4CB0378A" w14:textId="77777777" w:rsidR="00E01344" w:rsidRPr="002C4E0D" w:rsidRDefault="00E01344" w:rsidP="00E01344">
            <w:pPr>
              <w:spacing w:line="300" w:lineRule="atLeast"/>
              <w:rPr>
                <w:rFonts w:ascii="Segoe UI" w:eastAsia="Times New Roman" w:hAnsi="Segoe UI" w:cs="Segoe UI"/>
                <w:sz w:val="20"/>
                <w:szCs w:val="20"/>
                <w:lang w:eastAsia="sq-AL"/>
              </w:rPr>
            </w:pPr>
          </w:p>
          <w:p w14:paraId="46C26EC0" w14:textId="77777777" w:rsidR="00E01344" w:rsidRPr="002C4E0D" w:rsidRDefault="00E01344" w:rsidP="00E01344">
            <w:pPr>
              <w:spacing w:line="300" w:lineRule="atLeast"/>
              <w:rPr>
                <w:rFonts w:ascii="Segoe UI" w:eastAsia="Times New Roman" w:hAnsi="Segoe UI" w:cs="Segoe UI"/>
                <w:sz w:val="20"/>
                <w:szCs w:val="20"/>
                <w:lang w:eastAsia="sq-AL"/>
              </w:rPr>
            </w:pPr>
          </w:p>
          <w:p w14:paraId="555B3544" w14:textId="77777777" w:rsidR="00E01344" w:rsidRPr="002C4E0D" w:rsidRDefault="00E01344" w:rsidP="00E01344">
            <w:pPr>
              <w:spacing w:line="300" w:lineRule="atLeast"/>
              <w:rPr>
                <w:rFonts w:ascii="Segoe UI" w:eastAsia="Times New Roman" w:hAnsi="Segoe UI" w:cs="Segoe UI"/>
                <w:sz w:val="20"/>
                <w:szCs w:val="20"/>
                <w:lang w:eastAsia="sq-AL"/>
              </w:rPr>
            </w:pPr>
          </w:p>
          <w:p w14:paraId="42DF6EFF" w14:textId="77777777" w:rsidR="00E01344" w:rsidRPr="002C4E0D" w:rsidRDefault="00E01344" w:rsidP="00E01344">
            <w:pPr>
              <w:spacing w:line="300" w:lineRule="atLeast"/>
              <w:rPr>
                <w:rFonts w:ascii="Segoe UI" w:eastAsia="Times New Roman" w:hAnsi="Segoe UI" w:cs="Segoe UI"/>
                <w:sz w:val="20"/>
                <w:szCs w:val="20"/>
                <w:lang w:eastAsia="sq-AL"/>
              </w:rPr>
            </w:pPr>
          </w:p>
          <w:p w14:paraId="198F7DE8" w14:textId="77777777" w:rsidR="00E01344" w:rsidRPr="002C4E0D" w:rsidRDefault="00E01344" w:rsidP="00E01344">
            <w:pPr>
              <w:spacing w:line="300" w:lineRule="atLeast"/>
              <w:rPr>
                <w:rFonts w:ascii="Segoe UI" w:eastAsia="Times New Roman" w:hAnsi="Segoe UI" w:cs="Segoe UI"/>
                <w:sz w:val="20"/>
                <w:szCs w:val="20"/>
                <w:lang w:eastAsia="sq-AL"/>
              </w:rPr>
            </w:pPr>
          </w:p>
          <w:p w14:paraId="4E851BCC" w14:textId="77777777" w:rsidR="00E01344" w:rsidRPr="002C4E0D" w:rsidRDefault="00E01344" w:rsidP="00E01344">
            <w:pPr>
              <w:spacing w:line="300" w:lineRule="atLeast"/>
              <w:rPr>
                <w:rFonts w:ascii="Segoe UI" w:eastAsia="Times New Roman" w:hAnsi="Segoe UI" w:cs="Segoe UI"/>
                <w:sz w:val="20"/>
                <w:szCs w:val="20"/>
                <w:lang w:eastAsia="sq-AL"/>
              </w:rPr>
            </w:pPr>
          </w:p>
          <w:p w14:paraId="7F01EEA6" w14:textId="77777777" w:rsidR="00E01344" w:rsidRPr="002C4E0D" w:rsidRDefault="00E01344" w:rsidP="00E01344">
            <w:pPr>
              <w:spacing w:line="300" w:lineRule="atLeast"/>
              <w:rPr>
                <w:rFonts w:ascii="Segoe UI" w:eastAsia="Times New Roman" w:hAnsi="Segoe UI" w:cs="Segoe UI"/>
                <w:sz w:val="20"/>
                <w:szCs w:val="20"/>
                <w:lang w:eastAsia="sq-AL"/>
              </w:rPr>
            </w:pPr>
          </w:p>
          <w:p w14:paraId="4E510B7D" w14:textId="77777777" w:rsidR="00E01344" w:rsidRPr="002C4E0D" w:rsidRDefault="00E01344" w:rsidP="00E01344">
            <w:pPr>
              <w:spacing w:line="300" w:lineRule="atLeast"/>
              <w:rPr>
                <w:rFonts w:ascii="Segoe UI" w:eastAsia="Times New Roman" w:hAnsi="Segoe UI" w:cs="Segoe UI"/>
                <w:sz w:val="20"/>
                <w:szCs w:val="20"/>
                <w:lang w:eastAsia="sq-AL"/>
              </w:rPr>
            </w:pPr>
          </w:p>
          <w:p w14:paraId="30E0A538" w14:textId="77777777" w:rsidR="00E01344" w:rsidRPr="002C4E0D" w:rsidRDefault="00E01344" w:rsidP="00E01344">
            <w:pPr>
              <w:spacing w:line="300" w:lineRule="atLeast"/>
              <w:rPr>
                <w:rFonts w:ascii="Segoe UI" w:eastAsia="Times New Roman" w:hAnsi="Segoe UI" w:cs="Segoe UI"/>
                <w:sz w:val="20"/>
                <w:szCs w:val="20"/>
                <w:lang w:eastAsia="sq-AL"/>
              </w:rPr>
            </w:pPr>
          </w:p>
          <w:p w14:paraId="6E404F19" w14:textId="77777777" w:rsidR="00E01344" w:rsidRPr="002C4E0D" w:rsidRDefault="00E01344" w:rsidP="00E01344">
            <w:pPr>
              <w:spacing w:line="300" w:lineRule="atLeast"/>
              <w:rPr>
                <w:rFonts w:ascii="Segoe UI" w:eastAsia="Times New Roman" w:hAnsi="Segoe UI" w:cs="Segoe UI"/>
                <w:sz w:val="20"/>
                <w:szCs w:val="20"/>
                <w:lang w:eastAsia="sq-AL"/>
              </w:rPr>
            </w:pPr>
          </w:p>
          <w:p w14:paraId="653070AE" w14:textId="77777777" w:rsidR="00E01344" w:rsidRPr="002C4E0D" w:rsidRDefault="00E01344" w:rsidP="00E01344">
            <w:pPr>
              <w:spacing w:line="300" w:lineRule="atLeast"/>
              <w:rPr>
                <w:rFonts w:ascii="Segoe UI" w:eastAsia="Times New Roman" w:hAnsi="Segoe UI" w:cs="Segoe UI"/>
                <w:sz w:val="20"/>
                <w:szCs w:val="20"/>
                <w:lang w:eastAsia="sq-AL"/>
              </w:rPr>
            </w:pPr>
          </w:p>
          <w:p w14:paraId="082F49D5" w14:textId="77777777" w:rsidR="00E01344" w:rsidRPr="002C4E0D" w:rsidRDefault="00E01344" w:rsidP="00E01344">
            <w:pPr>
              <w:spacing w:line="300" w:lineRule="atLeast"/>
              <w:rPr>
                <w:rFonts w:ascii="Segoe UI" w:eastAsia="Times New Roman" w:hAnsi="Segoe UI" w:cs="Segoe UI"/>
                <w:sz w:val="20"/>
                <w:szCs w:val="20"/>
                <w:lang w:eastAsia="sq-AL"/>
              </w:rPr>
            </w:pPr>
          </w:p>
          <w:p w14:paraId="696E9C9D" w14:textId="77777777" w:rsidR="00E01344" w:rsidRPr="002C4E0D" w:rsidRDefault="00E01344" w:rsidP="00E01344">
            <w:pPr>
              <w:spacing w:line="300" w:lineRule="atLeast"/>
              <w:rPr>
                <w:rFonts w:ascii="Segoe UI" w:eastAsia="Times New Roman" w:hAnsi="Segoe UI" w:cs="Segoe UI"/>
                <w:sz w:val="20"/>
                <w:szCs w:val="20"/>
                <w:lang w:eastAsia="sq-AL"/>
              </w:rPr>
            </w:pPr>
          </w:p>
          <w:p w14:paraId="34E5C550" w14:textId="77777777" w:rsidR="00E01344" w:rsidRPr="002C4E0D" w:rsidRDefault="00E01344" w:rsidP="00E01344">
            <w:pPr>
              <w:spacing w:line="300" w:lineRule="atLeast"/>
              <w:rPr>
                <w:rFonts w:ascii="Segoe UI" w:eastAsia="Times New Roman" w:hAnsi="Segoe UI" w:cs="Segoe UI"/>
                <w:sz w:val="20"/>
                <w:szCs w:val="20"/>
                <w:lang w:eastAsia="sq-AL"/>
              </w:rPr>
            </w:pPr>
          </w:p>
          <w:p w14:paraId="4695D453" w14:textId="77777777" w:rsidR="00E01344" w:rsidRPr="002C4E0D" w:rsidRDefault="00E01344" w:rsidP="00E01344">
            <w:pPr>
              <w:spacing w:line="300" w:lineRule="atLeast"/>
              <w:rPr>
                <w:rFonts w:ascii="Segoe UI" w:eastAsia="Times New Roman" w:hAnsi="Segoe UI" w:cs="Segoe UI"/>
                <w:sz w:val="20"/>
                <w:szCs w:val="20"/>
                <w:lang w:eastAsia="sq-AL"/>
              </w:rPr>
            </w:pPr>
          </w:p>
          <w:p w14:paraId="6B7C42A1" w14:textId="77777777" w:rsidR="00E01344" w:rsidRPr="002C4E0D" w:rsidRDefault="00E01344" w:rsidP="00E01344">
            <w:pPr>
              <w:spacing w:line="300" w:lineRule="atLeast"/>
              <w:rPr>
                <w:rFonts w:ascii="Segoe UI" w:eastAsia="Times New Roman" w:hAnsi="Segoe UI" w:cs="Segoe UI"/>
                <w:sz w:val="20"/>
                <w:szCs w:val="20"/>
                <w:lang w:eastAsia="sq-AL"/>
              </w:rPr>
            </w:pPr>
          </w:p>
          <w:p w14:paraId="5882D77F" w14:textId="77777777" w:rsidR="00E01344" w:rsidRPr="002C4E0D" w:rsidRDefault="00E01344" w:rsidP="00E01344">
            <w:pPr>
              <w:spacing w:line="300" w:lineRule="atLeast"/>
              <w:rPr>
                <w:rFonts w:ascii="Segoe UI" w:eastAsia="Times New Roman" w:hAnsi="Segoe UI" w:cs="Segoe UI"/>
                <w:sz w:val="20"/>
                <w:szCs w:val="20"/>
                <w:lang w:eastAsia="sq-AL"/>
              </w:rPr>
            </w:pPr>
          </w:p>
          <w:p w14:paraId="3399DDDC" w14:textId="77777777" w:rsidR="00E01344" w:rsidRPr="002C4E0D" w:rsidRDefault="00E01344" w:rsidP="00E01344">
            <w:pPr>
              <w:spacing w:line="300" w:lineRule="atLeast"/>
              <w:rPr>
                <w:rFonts w:ascii="Segoe UI" w:eastAsia="Times New Roman" w:hAnsi="Segoe UI" w:cs="Segoe UI"/>
                <w:sz w:val="20"/>
                <w:szCs w:val="20"/>
                <w:lang w:eastAsia="sq-AL"/>
              </w:rPr>
            </w:pPr>
          </w:p>
          <w:p w14:paraId="47E34FF8" w14:textId="77777777" w:rsidR="00E01344" w:rsidRPr="002C4E0D" w:rsidRDefault="00E01344" w:rsidP="00E01344">
            <w:pPr>
              <w:spacing w:line="300" w:lineRule="atLeast"/>
              <w:rPr>
                <w:rFonts w:ascii="Segoe UI" w:eastAsia="Times New Roman" w:hAnsi="Segoe UI" w:cs="Segoe UI"/>
                <w:sz w:val="20"/>
                <w:szCs w:val="20"/>
                <w:lang w:eastAsia="sq-AL"/>
              </w:rPr>
            </w:pPr>
          </w:p>
          <w:p w14:paraId="1A1E7D14" w14:textId="77777777" w:rsidR="00E01344" w:rsidRPr="002C4E0D" w:rsidRDefault="00E01344" w:rsidP="00E01344">
            <w:pPr>
              <w:spacing w:line="300" w:lineRule="atLeast"/>
              <w:rPr>
                <w:rFonts w:ascii="Segoe UI" w:eastAsia="Times New Roman" w:hAnsi="Segoe UI" w:cs="Segoe UI"/>
                <w:sz w:val="20"/>
                <w:szCs w:val="20"/>
                <w:lang w:eastAsia="sq-AL"/>
              </w:rPr>
            </w:pPr>
          </w:p>
          <w:p w14:paraId="0FB52955" w14:textId="77777777" w:rsidR="00E01344" w:rsidRPr="002C4E0D" w:rsidRDefault="00E01344" w:rsidP="00E01344">
            <w:pPr>
              <w:spacing w:line="300" w:lineRule="atLeast"/>
              <w:rPr>
                <w:rFonts w:ascii="Segoe UI" w:eastAsia="Times New Roman" w:hAnsi="Segoe UI" w:cs="Segoe UI"/>
                <w:sz w:val="20"/>
                <w:szCs w:val="20"/>
                <w:lang w:eastAsia="sq-AL"/>
              </w:rPr>
            </w:pPr>
          </w:p>
          <w:p w14:paraId="64666225" w14:textId="77777777" w:rsidR="00E01344" w:rsidRPr="002C4E0D" w:rsidRDefault="00E01344" w:rsidP="00E01344">
            <w:pPr>
              <w:spacing w:line="300" w:lineRule="atLeast"/>
              <w:rPr>
                <w:rFonts w:ascii="Segoe UI" w:eastAsia="Times New Roman" w:hAnsi="Segoe UI" w:cs="Segoe UI"/>
                <w:sz w:val="20"/>
                <w:szCs w:val="20"/>
                <w:lang w:eastAsia="sq-AL"/>
              </w:rPr>
            </w:pPr>
          </w:p>
          <w:p w14:paraId="363BEAEA" w14:textId="77777777" w:rsidR="00E01344" w:rsidRPr="002C4E0D" w:rsidRDefault="00E01344" w:rsidP="00E01344">
            <w:pPr>
              <w:spacing w:line="300" w:lineRule="atLeast"/>
              <w:rPr>
                <w:rFonts w:ascii="Segoe UI" w:eastAsia="Times New Roman" w:hAnsi="Segoe UI" w:cs="Segoe UI"/>
                <w:sz w:val="20"/>
                <w:szCs w:val="20"/>
                <w:lang w:eastAsia="sq-AL"/>
              </w:rPr>
            </w:pPr>
          </w:p>
          <w:p w14:paraId="7BEDB73B" w14:textId="77777777" w:rsidR="00E01344" w:rsidRPr="002C4E0D" w:rsidRDefault="00E01344" w:rsidP="00E01344">
            <w:pPr>
              <w:spacing w:line="300" w:lineRule="atLeast"/>
              <w:rPr>
                <w:rFonts w:ascii="Segoe UI" w:eastAsia="Times New Roman" w:hAnsi="Segoe UI" w:cs="Segoe UI"/>
                <w:sz w:val="20"/>
                <w:szCs w:val="20"/>
                <w:lang w:eastAsia="sq-AL"/>
              </w:rPr>
            </w:pPr>
          </w:p>
          <w:p w14:paraId="03D86A55" w14:textId="77777777" w:rsidR="00E01344" w:rsidRPr="002C4E0D" w:rsidRDefault="00E01344" w:rsidP="00E01344">
            <w:pPr>
              <w:spacing w:line="300" w:lineRule="atLeast"/>
              <w:rPr>
                <w:rFonts w:ascii="Segoe UI" w:eastAsia="Times New Roman" w:hAnsi="Segoe UI" w:cs="Segoe UI"/>
                <w:sz w:val="20"/>
                <w:szCs w:val="20"/>
                <w:lang w:eastAsia="sq-AL"/>
              </w:rPr>
            </w:pPr>
          </w:p>
          <w:p w14:paraId="1A7BC65D" w14:textId="77777777" w:rsidR="00E01344" w:rsidRPr="002C4E0D" w:rsidRDefault="00E01344" w:rsidP="00E01344">
            <w:pPr>
              <w:spacing w:line="300" w:lineRule="atLeast"/>
              <w:rPr>
                <w:rFonts w:ascii="Segoe UI" w:eastAsia="Times New Roman" w:hAnsi="Segoe UI" w:cs="Segoe UI"/>
                <w:sz w:val="20"/>
                <w:szCs w:val="20"/>
                <w:lang w:eastAsia="sq-AL"/>
              </w:rPr>
            </w:pPr>
          </w:p>
          <w:p w14:paraId="5032936A" w14:textId="77777777" w:rsidR="00E01344" w:rsidRPr="002C4E0D" w:rsidRDefault="00E01344" w:rsidP="00E01344">
            <w:pPr>
              <w:spacing w:line="300" w:lineRule="atLeast"/>
              <w:rPr>
                <w:rFonts w:ascii="Segoe UI" w:eastAsia="Times New Roman" w:hAnsi="Segoe UI" w:cs="Segoe UI"/>
                <w:sz w:val="20"/>
                <w:szCs w:val="20"/>
                <w:lang w:eastAsia="sq-AL"/>
              </w:rPr>
            </w:pPr>
          </w:p>
          <w:p w14:paraId="33F6BBC6" w14:textId="77777777" w:rsidR="00E01344" w:rsidRPr="002C4E0D" w:rsidRDefault="00E01344" w:rsidP="00E01344">
            <w:pPr>
              <w:spacing w:line="300" w:lineRule="atLeast"/>
              <w:rPr>
                <w:rFonts w:ascii="Segoe UI" w:eastAsia="Times New Roman" w:hAnsi="Segoe UI" w:cs="Segoe UI"/>
                <w:sz w:val="20"/>
                <w:szCs w:val="20"/>
                <w:lang w:eastAsia="sq-AL"/>
              </w:rPr>
            </w:pPr>
          </w:p>
          <w:p w14:paraId="3F204968" w14:textId="77777777" w:rsidR="00E01344" w:rsidRPr="002C4E0D" w:rsidRDefault="00E01344" w:rsidP="00E01344">
            <w:pPr>
              <w:spacing w:line="300" w:lineRule="atLeast"/>
              <w:rPr>
                <w:rFonts w:ascii="Segoe UI" w:eastAsia="Times New Roman" w:hAnsi="Segoe UI" w:cs="Segoe UI"/>
                <w:sz w:val="20"/>
                <w:szCs w:val="20"/>
                <w:lang w:eastAsia="sq-AL"/>
              </w:rPr>
            </w:pPr>
          </w:p>
          <w:p w14:paraId="0C229310" w14:textId="77777777" w:rsidR="00E01344" w:rsidRPr="002C4E0D" w:rsidRDefault="00E01344" w:rsidP="00E01344">
            <w:pPr>
              <w:spacing w:line="300" w:lineRule="atLeast"/>
              <w:rPr>
                <w:rFonts w:ascii="Segoe UI" w:eastAsia="Times New Roman" w:hAnsi="Segoe UI" w:cs="Segoe UI"/>
                <w:sz w:val="20"/>
                <w:szCs w:val="20"/>
                <w:lang w:eastAsia="sq-AL"/>
              </w:rPr>
            </w:pPr>
          </w:p>
          <w:p w14:paraId="6A496DC8" w14:textId="77777777" w:rsidR="00E01344" w:rsidRPr="002C4E0D" w:rsidRDefault="00E01344" w:rsidP="00E01344">
            <w:pPr>
              <w:spacing w:line="300" w:lineRule="atLeast"/>
              <w:rPr>
                <w:rFonts w:ascii="Segoe UI" w:eastAsia="Times New Roman" w:hAnsi="Segoe UI" w:cs="Segoe UI"/>
                <w:sz w:val="20"/>
                <w:szCs w:val="20"/>
                <w:lang w:eastAsia="sq-AL"/>
              </w:rPr>
            </w:pPr>
          </w:p>
          <w:p w14:paraId="554C6704" w14:textId="77777777" w:rsidR="00E01344" w:rsidRPr="002C4E0D" w:rsidRDefault="00E01344" w:rsidP="00E01344">
            <w:pPr>
              <w:spacing w:line="300" w:lineRule="atLeast"/>
              <w:rPr>
                <w:rFonts w:ascii="Segoe UI" w:eastAsia="Times New Roman" w:hAnsi="Segoe UI" w:cs="Segoe UI"/>
                <w:sz w:val="20"/>
                <w:szCs w:val="20"/>
                <w:lang w:eastAsia="sq-AL"/>
              </w:rPr>
            </w:pPr>
          </w:p>
          <w:p w14:paraId="2BB52B26" w14:textId="77777777" w:rsidR="00E01344" w:rsidRPr="002C4E0D" w:rsidRDefault="00E01344" w:rsidP="00E01344">
            <w:pPr>
              <w:spacing w:line="300" w:lineRule="atLeast"/>
              <w:rPr>
                <w:rFonts w:ascii="Segoe UI" w:eastAsia="Times New Roman" w:hAnsi="Segoe UI" w:cs="Segoe UI"/>
                <w:sz w:val="20"/>
                <w:szCs w:val="20"/>
                <w:lang w:eastAsia="sq-AL"/>
              </w:rPr>
            </w:pPr>
          </w:p>
          <w:p w14:paraId="54713C6E" w14:textId="77777777" w:rsidR="00E01344" w:rsidRPr="002C4E0D" w:rsidRDefault="00E01344" w:rsidP="00E01344">
            <w:pPr>
              <w:spacing w:line="300" w:lineRule="atLeast"/>
              <w:rPr>
                <w:rFonts w:ascii="Segoe UI" w:eastAsia="Times New Roman" w:hAnsi="Segoe UI" w:cs="Segoe UI"/>
                <w:sz w:val="20"/>
                <w:szCs w:val="20"/>
                <w:lang w:eastAsia="sq-AL"/>
              </w:rPr>
            </w:pPr>
          </w:p>
          <w:p w14:paraId="78ED8F6B" w14:textId="77777777" w:rsidR="00E01344" w:rsidRPr="002C4E0D" w:rsidRDefault="00E01344" w:rsidP="00E01344">
            <w:pPr>
              <w:spacing w:line="300" w:lineRule="atLeast"/>
              <w:rPr>
                <w:rFonts w:ascii="Segoe UI" w:eastAsia="Times New Roman" w:hAnsi="Segoe UI" w:cs="Segoe UI"/>
                <w:sz w:val="20"/>
                <w:szCs w:val="20"/>
                <w:lang w:eastAsia="sq-AL"/>
              </w:rPr>
            </w:pPr>
          </w:p>
          <w:p w14:paraId="4940FFB4" w14:textId="77777777" w:rsidR="00E01344" w:rsidRPr="002C4E0D" w:rsidRDefault="00E01344" w:rsidP="00E01344">
            <w:pPr>
              <w:spacing w:line="300" w:lineRule="atLeast"/>
              <w:rPr>
                <w:rFonts w:ascii="Segoe UI" w:eastAsia="Times New Roman" w:hAnsi="Segoe UI" w:cs="Segoe UI"/>
                <w:sz w:val="20"/>
                <w:szCs w:val="20"/>
                <w:lang w:eastAsia="sq-AL"/>
              </w:rPr>
            </w:pPr>
          </w:p>
          <w:p w14:paraId="21617BAC" w14:textId="77777777" w:rsidR="00E01344" w:rsidRPr="002C4E0D" w:rsidRDefault="00E01344" w:rsidP="00E01344">
            <w:pPr>
              <w:spacing w:line="300" w:lineRule="atLeast"/>
              <w:rPr>
                <w:rFonts w:ascii="Segoe UI" w:eastAsia="Times New Roman" w:hAnsi="Segoe UI" w:cs="Segoe UI"/>
                <w:sz w:val="20"/>
                <w:szCs w:val="20"/>
                <w:lang w:eastAsia="sq-AL"/>
              </w:rPr>
            </w:pPr>
          </w:p>
          <w:p w14:paraId="20DED284" w14:textId="77777777" w:rsidR="00E01344" w:rsidRPr="002C4E0D" w:rsidRDefault="00E01344" w:rsidP="00E01344">
            <w:pPr>
              <w:spacing w:line="300" w:lineRule="atLeast"/>
              <w:rPr>
                <w:rFonts w:ascii="Segoe UI" w:eastAsia="Times New Roman" w:hAnsi="Segoe UI" w:cs="Segoe UI"/>
                <w:sz w:val="20"/>
                <w:szCs w:val="20"/>
                <w:lang w:eastAsia="sq-AL"/>
              </w:rPr>
            </w:pPr>
          </w:p>
          <w:p w14:paraId="47792F80" w14:textId="77777777" w:rsidR="00E01344" w:rsidRPr="002C4E0D" w:rsidRDefault="00E01344" w:rsidP="00E01344">
            <w:pPr>
              <w:spacing w:line="300" w:lineRule="atLeast"/>
              <w:rPr>
                <w:rFonts w:ascii="Segoe UI" w:eastAsia="Times New Roman" w:hAnsi="Segoe UI" w:cs="Segoe UI"/>
                <w:sz w:val="20"/>
                <w:szCs w:val="20"/>
                <w:lang w:eastAsia="sq-AL"/>
              </w:rPr>
            </w:pPr>
          </w:p>
          <w:p w14:paraId="602FAE78" w14:textId="77777777" w:rsidR="00E01344" w:rsidRPr="002C4E0D" w:rsidRDefault="00E01344" w:rsidP="00E01344">
            <w:pPr>
              <w:spacing w:line="300" w:lineRule="atLeast"/>
              <w:rPr>
                <w:rFonts w:ascii="Segoe UI" w:eastAsia="Times New Roman" w:hAnsi="Segoe UI" w:cs="Segoe UI"/>
                <w:sz w:val="20"/>
                <w:szCs w:val="20"/>
                <w:lang w:eastAsia="sq-AL"/>
              </w:rPr>
            </w:pPr>
          </w:p>
          <w:p w14:paraId="18F617E6" w14:textId="77777777" w:rsidR="00E01344" w:rsidRPr="002C4E0D" w:rsidRDefault="00E01344" w:rsidP="00E01344">
            <w:pPr>
              <w:spacing w:line="300" w:lineRule="atLeast"/>
              <w:rPr>
                <w:rFonts w:ascii="Segoe UI" w:eastAsia="Times New Roman" w:hAnsi="Segoe UI" w:cs="Segoe UI"/>
                <w:sz w:val="20"/>
                <w:szCs w:val="20"/>
                <w:lang w:eastAsia="sq-AL"/>
              </w:rPr>
            </w:pPr>
          </w:p>
          <w:p w14:paraId="6C2D596E" w14:textId="77777777" w:rsidR="00E01344" w:rsidRPr="002C4E0D" w:rsidRDefault="00E01344" w:rsidP="00E01344">
            <w:pPr>
              <w:spacing w:line="300" w:lineRule="atLeast"/>
              <w:rPr>
                <w:rFonts w:ascii="Segoe UI" w:eastAsia="Times New Roman" w:hAnsi="Segoe UI" w:cs="Segoe UI"/>
                <w:sz w:val="20"/>
                <w:szCs w:val="20"/>
                <w:lang w:eastAsia="sq-AL"/>
              </w:rPr>
            </w:pPr>
          </w:p>
          <w:p w14:paraId="24AC7F03" w14:textId="77777777" w:rsidR="00E01344" w:rsidRPr="002C4E0D" w:rsidRDefault="00E01344" w:rsidP="00E01344">
            <w:pPr>
              <w:spacing w:line="300" w:lineRule="atLeast"/>
              <w:rPr>
                <w:rFonts w:ascii="Segoe UI" w:eastAsia="Times New Roman" w:hAnsi="Segoe UI" w:cs="Segoe UI"/>
                <w:sz w:val="20"/>
                <w:szCs w:val="20"/>
                <w:lang w:eastAsia="sq-AL"/>
              </w:rPr>
            </w:pPr>
          </w:p>
          <w:p w14:paraId="4B9D105F" w14:textId="77777777" w:rsidR="00E01344" w:rsidRPr="002C4E0D" w:rsidRDefault="00E01344" w:rsidP="00E01344">
            <w:pPr>
              <w:spacing w:line="300" w:lineRule="atLeast"/>
              <w:rPr>
                <w:rFonts w:ascii="Segoe UI" w:eastAsia="Times New Roman" w:hAnsi="Segoe UI" w:cs="Segoe UI"/>
                <w:sz w:val="20"/>
                <w:szCs w:val="20"/>
                <w:lang w:eastAsia="sq-AL"/>
              </w:rPr>
            </w:pPr>
          </w:p>
          <w:p w14:paraId="3A03D723" w14:textId="77777777" w:rsidR="00E01344" w:rsidRPr="002C4E0D" w:rsidRDefault="00E01344" w:rsidP="00E01344">
            <w:pPr>
              <w:spacing w:line="300" w:lineRule="atLeast"/>
              <w:rPr>
                <w:rFonts w:ascii="Segoe UI" w:eastAsia="Times New Roman" w:hAnsi="Segoe UI" w:cs="Segoe UI"/>
                <w:sz w:val="20"/>
                <w:szCs w:val="20"/>
                <w:lang w:eastAsia="sq-AL"/>
              </w:rPr>
            </w:pPr>
          </w:p>
          <w:p w14:paraId="6D4E3162" w14:textId="77777777" w:rsidR="00E01344" w:rsidRPr="002C4E0D" w:rsidRDefault="00E01344" w:rsidP="00E01344">
            <w:pPr>
              <w:spacing w:line="300" w:lineRule="atLeast"/>
              <w:rPr>
                <w:rFonts w:ascii="Segoe UI" w:eastAsia="Times New Roman" w:hAnsi="Segoe UI" w:cs="Segoe UI"/>
                <w:sz w:val="20"/>
                <w:szCs w:val="20"/>
                <w:lang w:eastAsia="sq-AL"/>
              </w:rPr>
            </w:pPr>
          </w:p>
          <w:p w14:paraId="29AC34B2" w14:textId="77777777" w:rsidR="00E01344" w:rsidRPr="002C4E0D" w:rsidRDefault="00E01344" w:rsidP="00E01344">
            <w:pPr>
              <w:spacing w:line="300" w:lineRule="atLeast"/>
              <w:rPr>
                <w:rFonts w:ascii="Segoe UI" w:eastAsia="Times New Roman" w:hAnsi="Segoe UI" w:cs="Segoe UI"/>
                <w:sz w:val="20"/>
                <w:szCs w:val="20"/>
                <w:lang w:eastAsia="sq-AL"/>
              </w:rPr>
            </w:pPr>
          </w:p>
          <w:p w14:paraId="77ABE593" w14:textId="77777777" w:rsidR="00E01344" w:rsidRPr="002C4E0D" w:rsidRDefault="00E01344" w:rsidP="00E01344">
            <w:pPr>
              <w:spacing w:line="300" w:lineRule="atLeast"/>
              <w:rPr>
                <w:rFonts w:ascii="Segoe UI" w:eastAsia="Times New Roman" w:hAnsi="Segoe UI" w:cs="Segoe UI"/>
                <w:sz w:val="20"/>
                <w:szCs w:val="20"/>
                <w:lang w:eastAsia="sq-AL"/>
              </w:rPr>
            </w:pPr>
          </w:p>
          <w:p w14:paraId="6129387D"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2634587C"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6716BCA6"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1463AD6E"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743D92E9"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3DF1CBE9"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30FEAAD6"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75D4C9EB"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38951626"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1ADCDD6C"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48DB8A3F" w14:textId="77777777" w:rsidR="00E01344" w:rsidRPr="0042075D" w:rsidRDefault="00E01344" w:rsidP="00E01344">
            <w:pPr>
              <w:spacing w:line="300" w:lineRule="atLeast"/>
              <w:rPr>
                <w:rFonts w:ascii="Times New Roman" w:eastAsia="Times New Roman" w:hAnsi="Times New Roman" w:cs="Times New Roman"/>
                <w:sz w:val="20"/>
                <w:szCs w:val="20"/>
                <w:lang w:eastAsia="sq-AL"/>
              </w:rPr>
            </w:pPr>
          </w:p>
          <w:p w14:paraId="237BE81B" w14:textId="262732FB"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Kjo dispozitë përbën një ndryshim pasues të Nenit 23(3) të Direktivës 2011/16/BE, duke zgjeruar një detyrim ekzistues për të përfshirë Nenin 8ab (DAC6). Ajo nuk prezanton një kërkesë të re të pavarur për transpozim, pasi ka të bëjë me detyrimet e raportimit institucional të Shteteve Anëtare ndaj Komisionit Evropian. Kjo nuk është fushëveprimi i këtij ligji.</w:t>
            </w:r>
          </w:p>
        </w:tc>
      </w:tr>
      <w:tr w:rsidR="00E01344" w:rsidRPr="0042075D" w14:paraId="4776A0DE" w14:textId="77777777" w:rsidTr="002C4E0D">
        <w:trPr>
          <w:trHeight w:val="764"/>
        </w:trPr>
        <w:tc>
          <w:tcPr>
            <w:tcW w:w="630" w:type="dxa"/>
            <w:shd w:val="clear" w:color="auto" w:fill="F2F2F2"/>
          </w:tcPr>
          <w:p w14:paraId="723C312C"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0A375F59" w14:textId="77777777" w:rsidR="00E01344" w:rsidRPr="0042075D" w:rsidRDefault="00E01344" w:rsidP="00E01344">
            <w:pPr>
              <w:pStyle w:val="oj-ti-grseq-1"/>
              <w:shd w:val="clear" w:color="auto" w:fill="FFFFFF"/>
              <w:spacing w:before="240" w:after="120"/>
              <w:jc w:val="both"/>
              <w:rPr>
                <w:rFonts w:eastAsia="Calibri"/>
                <w:iCs/>
                <w:sz w:val="20"/>
                <w:szCs w:val="20"/>
              </w:rPr>
            </w:pPr>
          </w:p>
        </w:tc>
        <w:tc>
          <w:tcPr>
            <w:tcW w:w="540" w:type="dxa"/>
            <w:shd w:val="clear" w:color="auto" w:fill="FFFFFF" w:themeFill="background1"/>
          </w:tcPr>
          <w:p w14:paraId="09517E46" w14:textId="3FAFE03D"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16660BF7" w14:textId="33482DD3" w:rsidR="00E01344" w:rsidRPr="002C4E0D" w:rsidRDefault="00E01344" w:rsidP="00E01344">
            <w:pPr>
              <w:jc w:val="center"/>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14</w:t>
            </w:r>
          </w:p>
        </w:tc>
        <w:tc>
          <w:tcPr>
            <w:tcW w:w="4964" w:type="dxa"/>
            <w:shd w:val="clear" w:color="auto" w:fill="FFFFFF" w:themeFill="background1"/>
          </w:tcPr>
          <w:p w14:paraId="39754D21"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14</w:t>
            </w:r>
          </w:p>
          <w:p w14:paraId="641CC2CD"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Mbrojtja dhe përpunimi i të dhënave personale</w:t>
            </w:r>
          </w:p>
          <w:p w14:paraId="63E5AF9C" w14:textId="6B693C4F"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 xml:space="preserve">Dispozitat mbi mbrojtjen e të dhënave personale të parashikuara në ligjin “Për bashkëpunimin administrativ në fushën e tatimeve dhe shkëmbimit të informacionit </w:t>
            </w:r>
            <w:r w:rsidRPr="002C4E0D">
              <w:rPr>
                <w:rFonts w:ascii="Times New Roman" w:eastAsia="Times New Roman" w:hAnsi="Times New Roman" w:cs="Times New Roman"/>
                <w:sz w:val="20"/>
                <w:szCs w:val="20"/>
                <w:lang w:eastAsia="sq-AL"/>
              </w:rPr>
              <w:lastRenderedPageBreak/>
              <w:t xml:space="preserve">tatimor”, </w:t>
            </w:r>
            <w:r w:rsidR="00A554A7" w:rsidRPr="002C4E0D">
              <w:rPr>
                <w:rFonts w:ascii="Times New Roman" w:eastAsia="Times New Roman" w:hAnsi="Times New Roman" w:cs="Times New Roman"/>
                <w:sz w:val="20"/>
                <w:szCs w:val="20"/>
                <w:lang w:eastAsia="sq-AL"/>
              </w:rPr>
              <w:t xml:space="preserve">si dhe legjislacioni në fuqi për mbrojtjen e të dhënave personale, </w:t>
            </w:r>
            <w:r w:rsidRPr="002C4E0D">
              <w:rPr>
                <w:rFonts w:ascii="Times New Roman" w:eastAsia="Times New Roman" w:hAnsi="Times New Roman" w:cs="Times New Roman"/>
                <w:sz w:val="20"/>
                <w:szCs w:val="20"/>
                <w:lang w:eastAsia="sq-AL"/>
              </w:rPr>
              <w:t>zbatohen edhe për këtë ligj.</w:t>
            </w:r>
          </w:p>
        </w:tc>
        <w:tc>
          <w:tcPr>
            <w:tcW w:w="720" w:type="dxa"/>
            <w:shd w:val="clear" w:color="auto" w:fill="FFFFFF" w:themeFill="background1"/>
          </w:tcPr>
          <w:p w14:paraId="7D8EEC4E" w14:textId="142E7EA6"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N/A</w:t>
            </w:r>
          </w:p>
        </w:tc>
        <w:tc>
          <w:tcPr>
            <w:tcW w:w="3406" w:type="dxa"/>
            <w:shd w:val="clear" w:color="auto" w:fill="FFFFFF" w:themeFill="background1"/>
          </w:tcPr>
          <w:p w14:paraId="6F0C571B" w14:textId="071A4548"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 xml:space="preserve">Dispozita siguron zbatimin e rregullave për mbrojtjen dhe përpunimin e të dhënave personale në përputhje me Nenin 25 të Direktivës 2011/16/BE, përmes referimit në ligjin “Për </w:t>
            </w:r>
            <w:r w:rsidRPr="0042075D">
              <w:rPr>
                <w:rFonts w:ascii="Times New Roman" w:eastAsia="Times New Roman" w:hAnsi="Times New Roman" w:cs="Times New Roman"/>
                <w:sz w:val="20"/>
                <w:szCs w:val="20"/>
                <w:lang w:eastAsia="sq-AL"/>
              </w:rPr>
              <w:lastRenderedPageBreak/>
              <w:t>bashkëpunimin administrativ në fushën e tatimeve dhe shkëmbimit të informacionit tatimor” , zbatohen edhe për këtë ligj.</w:t>
            </w:r>
          </w:p>
        </w:tc>
      </w:tr>
      <w:tr w:rsidR="00E01344" w:rsidRPr="0042075D" w14:paraId="1712B4C6" w14:textId="77777777" w:rsidTr="002C4E0D">
        <w:trPr>
          <w:trHeight w:val="764"/>
        </w:trPr>
        <w:tc>
          <w:tcPr>
            <w:tcW w:w="630" w:type="dxa"/>
            <w:shd w:val="clear" w:color="auto" w:fill="F2F2F2"/>
          </w:tcPr>
          <w:p w14:paraId="1E67F7CE" w14:textId="77777777" w:rsidR="00E01344" w:rsidRPr="002C4E0D" w:rsidRDefault="00E01344" w:rsidP="00E01344">
            <w:pPr>
              <w:jc w:val="center"/>
              <w:rPr>
                <w:rFonts w:ascii="Times New Roman" w:eastAsia="Calibri" w:hAnsi="Times New Roman" w:cs="Times New Roman"/>
                <w:i/>
                <w:sz w:val="20"/>
                <w:szCs w:val="20"/>
              </w:rPr>
            </w:pPr>
          </w:p>
        </w:tc>
        <w:tc>
          <w:tcPr>
            <w:tcW w:w="5310" w:type="dxa"/>
            <w:shd w:val="clear" w:color="auto" w:fill="FFFFFF" w:themeFill="background1"/>
          </w:tcPr>
          <w:p w14:paraId="604BA1E0"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71BE78DF"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50A54D02" w14:textId="77777777" w:rsidR="00E01344" w:rsidRPr="0042075D" w:rsidRDefault="00E01344" w:rsidP="00E01344">
            <w:pPr>
              <w:pStyle w:val="oj-ti-grseq-1"/>
              <w:shd w:val="clear" w:color="auto" w:fill="FFFFFF"/>
              <w:spacing w:before="240" w:after="120"/>
              <w:jc w:val="center"/>
              <w:rPr>
                <w:rFonts w:eastAsia="Calibri"/>
                <w:iCs/>
                <w:sz w:val="20"/>
                <w:szCs w:val="20"/>
              </w:rPr>
            </w:pPr>
          </w:p>
          <w:p w14:paraId="159A5CD3" w14:textId="332FED09" w:rsidR="00E01344" w:rsidRPr="0042075D" w:rsidRDefault="00E01344" w:rsidP="00E01344">
            <w:pPr>
              <w:pStyle w:val="oj-ti-grseq-1"/>
              <w:shd w:val="clear" w:color="auto" w:fill="FFFFFF"/>
              <w:spacing w:before="240" w:after="120"/>
              <w:jc w:val="center"/>
              <w:rPr>
                <w:rFonts w:eastAsia="Calibri"/>
                <w:iCs/>
                <w:sz w:val="20"/>
                <w:szCs w:val="20"/>
              </w:rPr>
            </w:pPr>
            <w:r w:rsidRPr="0042075D">
              <w:rPr>
                <w:rFonts w:eastAsia="Calibri"/>
                <w:iCs/>
                <w:sz w:val="20"/>
                <w:szCs w:val="20"/>
              </w:rPr>
              <w:t>N/A</w:t>
            </w:r>
          </w:p>
        </w:tc>
        <w:tc>
          <w:tcPr>
            <w:tcW w:w="540" w:type="dxa"/>
            <w:shd w:val="clear" w:color="auto" w:fill="FFFFFF" w:themeFill="background1"/>
          </w:tcPr>
          <w:p w14:paraId="5DE7CCF6" w14:textId="593A48DE"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20AEF00E" w14:textId="14D10371" w:rsidR="00E01344" w:rsidRPr="002C4E0D" w:rsidRDefault="00E01344" w:rsidP="00E01344">
            <w:pPr>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Neni 15</w:t>
            </w:r>
          </w:p>
        </w:tc>
        <w:tc>
          <w:tcPr>
            <w:tcW w:w="4964" w:type="dxa"/>
            <w:shd w:val="clear" w:color="auto" w:fill="FFFFFF" w:themeFill="background1"/>
          </w:tcPr>
          <w:p w14:paraId="6A5D216C"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Neni 15</w:t>
            </w:r>
          </w:p>
          <w:p w14:paraId="11D814FD" w14:textId="77777777" w:rsidR="00E01344" w:rsidRPr="002C4E0D" w:rsidRDefault="00E01344" w:rsidP="00E01344">
            <w:pPr>
              <w:spacing w:line="276" w:lineRule="auto"/>
              <w:jc w:val="center"/>
              <w:rPr>
                <w:rFonts w:ascii="Times New Roman" w:eastAsia="Times New Roman" w:hAnsi="Times New Roman" w:cs="Times New Roman"/>
                <w:b/>
                <w:sz w:val="20"/>
                <w:szCs w:val="20"/>
                <w:lang w:eastAsia="sq-AL"/>
              </w:rPr>
            </w:pPr>
            <w:r w:rsidRPr="002C4E0D">
              <w:rPr>
                <w:rFonts w:ascii="Times New Roman" w:eastAsia="Times New Roman" w:hAnsi="Times New Roman" w:cs="Times New Roman"/>
                <w:b/>
                <w:sz w:val="20"/>
                <w:szCs w:val="20"/>
                <w:lang w:eastAsia="sq-AL"/>
              </w:rPr>
              <w:t>Sistemi elektronik i raportimit</w:t>
            </w:r>
          </w:p>
          <w:p w14:paraId="29A9DED7" w14:textId="3F3B9F28"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1.</w:t>
            </w:r>
            <w:r w:rsidRPr="002C4E0D">
              <w:rPr>
                <w:rFonts w:ascii="Times New Roman" w:eastAsia="Times New Roman" w:hAnsi="Times New Roman" w:cs="Times New Roman"/>
                <w:sz w:val="20"/>
                <w:szCs w:val="20"/>
                <w:lang w:eastAsia="sq-AL"/>
              </w:rPr>
              <w:tab/>
            </w:r>
            <w:r w:rsidR="00A554A7" w:rsidRPr="002C4E0D">
              <w:rPr>
                <w:rFonts w:ascii="Times New Roman" w:eastAsia="Times New Roman" w:hAnsi="Times New Roman" w:cs="Times New Roman"/>
                <w:sz w:val="20"/>
                <w:szCs w:val="20"/>
                <w:lang w:eastAsia="sq-AL"/>
              </w:rPr>
              <w:t>Drejtoria e Përgjithshme e Tatimeve, në cilësinë e Autoritetit kompetent administron sistemin elektronik për marrjen, përpunimin, ruajtjen dhe transmetimin e informacionit të raportuar në përputhje me këtë ligj.</w:t>
            </w:r>
          </w:p>
          <w:p w14:paraId="74D6A908" w14:textId="77777777"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2.</w:t>
            </w:r>
            <w:r w:rsidRPr="002C4E0D">
              <w:rPr>
                <w:rFonts w:ascii="Times New Roman" w:eastAsia="Times New Roman" w:hAnsi="Times New Roman" w:cs="Times New Roman"/>
                <w:sz w:val="20"/>
                <w:szCs w:val="20"/>
                <w:lang w:eastAsia="sq-AL"/>
              </w:rPr>
              <w:tab/>
              <w:t>Sistemi elektronik duhet të garantojë sigurinë, integritetin dhe konfidencialitetin e të dhënave, si dhe ndërveprimin me sistemet ndërkombëtare të shkëmbimit të informacionit.</w:t>
            </w:r>
          </w:p>
          <w:p w14:paraId="723C1822" w14:textId="06873096" w:rsidR="00E01344" w:rsidRPr="002C4E0D" w:rsidRDefault="00E01344" w:rsidP="00E01344">
            <w:pPr>
              <w:spacing w:line="276" w:lineRule="auto"/>
              <w:jc w:val="both"/>
              <w:rPr>
                <w:rFonts w:ascii="Times New Roman" w:eastAsia="Times New Roman" w:hAnsi="Times New Roman" w:cs="Times New Roman"/>
                <w:sz w:val="20"/>
                <w:szCs w:val="20"/>
                <w:lang w:eastAsia="sq-AL"/>
              </w:rPr>
            </w:pPr>
            <w:r w:rsidRPr="002C4E0D">
              <w:rPr>
                <w:rFonts w:ascii="Times New Roman" w:eastAsia="Times New Roman" w:hAnsi="Times New Roman" w:cs="Times New Roman"/>
                <w:sz w:val="20"/>
                <w:szCs w:val="20"/>
                <w:lang w:eastAsia="sq-AL"/>
              </w:rPr>
              <w:t>3.</w:t>
            </w:r>
            <w:r w:rsidRPr="002C4E0D">
              <w:rPr>
                <w:rFonts w:ascii="Times New Roman" w:eastAsia="Times New Roman" w:hAnsi="Times New Roman" w:cs="Times New Roman"/>
                <w:sz w:val="20"/>
                <w:szCs w:val="20"/>
                <w:lang w:eastAsia="sq-AL"/>
              </w:rPr>
              <w:tab/>
              <w:t xml:space="preserve">Rregullat teknike dhe formati i raportimit do të përcaktohen me vendim të </w:t>
            </w:r>
            <w:r w:rsidR="00A554A7" w:rsidRPr="002C4E0D">
              <w:rPr>
                <w:rFonts w:ascii="Times New Roman" w:eastAsia="Times New Roman" w:hAnsi="Times New Roman" w:cs="Times New Roman"/>
                <w:sz w:val="20"/>
                <w:szCs w:val="20"/>
                <w:lang w:eastAsia="sq-AL"/>
              </w:rPr>
              <w:t>K</w:t>
            </w:r>
            <w:r w:rsidRPr="002C4E0D">
              <w:rPr>
                <w:rFonts w:ascii="Times New Roman" w:eastAsia="Times New Roman" w:hAnsi="Times New Roman" w:cs="Times New Roman"/>
                <w:sz w:val="20"/>
                <w:szCs w:val="20"/>
                <w:lang w:eastAsia="sq-AL"/>
              </w:rPr>
              <w:t xml:space="preserve">ëshillit të </w:t>
            </w:r>
            <w:r w:rsidR="00A554A7" w:rsidRPr="002C4E0D">
              <w:rPr>
                <w:rFonts w:ascii="Times New Roman" w:eastAsia="Times New Roman" w:hAnsi="Times New Roman" w:cs="Times New Roman"/>
                <w:sz w:val="20"/>
                <w:szCs w:val="20"/>
                <w:lang w:eastAsia="sq-AL"/>
              </w:rPr>
              <w:t>M</w:t>
            </w:r>
            <w:r w:rsidRPr="002C4E0D">
              <w:rPr>
                <w:rFonts w:ascii="Times New Roman" w:eastAsia="Times New Roman" w:hAnsi="Times New Roman" w:cs="Times New Roman"/>
                <w:sz w:val="20"/>
                <w:szCs w:val="20"/>
                <w:lang w:eastAsia="sq-AL"/>
              </w:rPr>
              <w:t>inistrave.</w:t>
            </w:r>
          </w:p>
        </w:tc>
        <w:tc>
          <w:tcPr>
            <w:tcW w:w="720" w:type="dxa"/>
            <w:shd w:val="clear" w:color="auto" w:fill="FFFFFF" w:themeFill="background1"/>
          </w:tcPr>
          <w:p w14:paraId="0676C265" w14:textId="2BEF608F"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N/A</w:t>
            </w:r>
          </w:p>
        </w:tc>
        <w:tc>
          <w:tcPr>
            <w:tcW w:w="3406" w:type="dxa"/>
            <w:shd w:val="clear" w:color="auto" w:fill="FFFFFF" w:themeFill="background1"/>
          </w:tcPr>
          <w:p w14:paraId="150C61DA" w14:textId="428387D9" w:rsidR="00E01344" w:rsidRPr="0042075D" w:rsidRDefault="00E01344" w:rsidP="00E01344">
            <w:pPr>
              <w:spacing w:line="300" w:lineRule="atLeast"/>
              <w:rPr>
                <w:rFonts w:ascii="Times New Roman" w:eastAsia="Times New Roman" w:hAnsi="Times New Roman" w:cs="Times New Roman"/>
                <w:sz w:val="20"/>
                <w:szCs w:val="20"/>
                <w:lang w:eastAsia="sq-AL"/>
              </w:rPr>
            </w:pPr>
            <w:r w:rsidRPr="0042075D">
              <w:rPr>
                <w:rFonts w:ascii="Times New Roman" w:eastAsia="Times New Roman" w:hAnsi="Times New Roman" w:cs="Times New Roman"/>
                <w:sz w:val="20"/>
                <w:szCs w:val="20"/>
                <w:lang w:eastAsia="sq-AL"/>
              </w:rPr>
              <w:t>Dispozita është një masë teknike dhe organizative në nivel kombëtar për të mundësuar zbatimin e detyrimeve për raportim dhe shkëmbim automatik të informacionit sipas ktij ligji dhe  Direktivës 2011/16/BE.</w:t>
            </w:r>
          </w:p>
        </w:tc>
      </w:tr>
      <w:tr w:rsidR="00E01344" w:rsidRPr="0042075D" w14:paraId="65C77C64" w14:textId="77777777" w:rsidTr="002C4E0D">
        <w:trPr>
          <w:trHeight w:val="2085"/>
        </w:trPr>
        <w:tc>
          <w:tcPr>
            <w:tcW w:w="630" w:type="dxa"/>
          </w:tcPr>
          <w:p w14:paraId="6050527A" w14:textId="424C66A8" w:rsidR="00E01344" w:rsidRPr="002C4E0D" w:rsidRDefault="00E01344" w:rsidP="00E01344">
            <w:pPr>
              <w:jc w:val="both"/>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1</w:t>
            </w:r>
          </w:p>
        </w:tc>
        <w:tc>
          <w:tcPr>
            <w:tcW w:w="5310" w:type="dxa"/>
          </w:tcPr>
          <w:p w14:paraId="76517FA1"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Neni 25a</w:t>
            </w:r>
          </w:p>
          <w:p w14:paraId="2F9A3142" w14:textId="77777777" w:rsidR="00E01344" w:rsidRPr="0042075D" w:rsidRDefault="00E01344" w:rsidP="00E01344">
            <w:pPr>
              <w:jc w:val="both"/>
              <w:rPr>
                <w:rFonts w:ascii="Times New Roman" w:eastAsia="Calibri" w:hAnsi="Times New Roman" w:cs="Times New Roman"/>
                <w:iCs/>
                <w:sz w:val="20"/>
                <w:szCs w:val="20"/>
                <w:lang w:val="en-US"/>
              </w:rPr>
            </w:pPr>
          </w:p>
          <w:p w14:paraId="49608EDD"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Penalitete</w:t>
            </w:r>
          </w:p>
          <w:p w14:paraId="18557E9E" w14:textId="77777777" w:rsidR="00E01344" w:rsidRPr="0042075D" w:rsidRDefault="00E01344" w:rsidP="00E01344">
            <w:pPr>
              <w:jc w:val="both"/>
              <w:rPr>
                <w:rFonts w:ascii="Times New Roman" w:eastAsia="Calibri" w:hAnsi="Times New Roman" w:cs="Times New Roman"/>
                <w:iCs/>
                <w:sz w:val="20"/>
                <w:szCs w:val="20"/>
                <w:lang w:val="en-US"/>
              </w:rPr>
            </w:pPr>
          </w:p>
          <w:p w14:paraId="13191D8A" w14:textId="22E72E12" w:rsidR="00E01344" w:rsidRPr="0042075D" w:rsidRDefault="00E01344" w:rsidP="00E01344">
            <w:pPr>
              <w:jc w:val="both"/>
              <w:rPr>
                <w:rFonts w:ascii="Times New Roman" w:eastAsia="Calibri" w:hAnsi="Times New Roman" w:cs="Times New Roman"/>
                <w:iCs/>
                <w:sz w:val="20"/>
                <w:szCs w:val="20"/>
                <w:lang w:val="it-CH"/>
              </w:rPr>
            </w:pPr>
            <w:r w:rsidRPr="0042075D">
              <w:rPr>
                <w:rFonts w:ascii="Times New Roman" w:eastAsia="Calibri" w:hAnsi="Times New Roman" w:cs="Times New Roman"/>
                <w:iCs/>
                <w:sz w:val="20"/>
                <w:szCs w:val="20"/>
                <w:lang w:val="en-US"/>
              </w:rPr>
              <w:t xml:space="preserve">Shtetet Anëtare përcaktojnë rregullat mbi sanksionet e zbatueshme për shkeljet e dispozitave kombëtare të miratuara në përputhje me këtë Direktivë dhe në lidhje me Nenet 8aa dhe 8ab, dhe marrin të gjitha masat e nevojshme për të siguruar që ato të zbatohen. </w:t>
            </w:r>
            <w:r w:rsidRPr="0042075D">
              <w:rPr>
                <w:rFonts w:ascii="Times New Roman" w:eastAsia="Calibri" w:hAnsi="Times New Roman" w:cs="Times New Roman"/>
                <w:iCs/>
                <w:sz w:val="20"/>
                <w:szCs w:val="20"/>
                <w:lang w:val="it-CH"/>
              </w:rPr>
              <w:t>Sanksionet e parashikuara duhet të jenë efektive, proporcionale dhe dekurajuese.';</w:t>
            </w:r>
          </w:p>
        </w:tc>
        <w:tc>
          <w:tcPr>
            <w:tcW w:w="540" w:type="dxa"/>
          </w:tcPr>
          <w:p w14:paraId="73A9F1D9" w14:textId="2C0A5C25"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tcPr>
          <w:p w14:paraId="36EE66EF" w14:textId="77777777" w:rsidR="00E01344" w:rsidRPr="002C4E0D" w:rsidRDefault="00E01344" w:rsidP="00E01344">
            <w:pPr>
              <w:jc w:val="center"/>
              <w:rPr>
                <w:rFonts w:ascii="Times New Roman" w:eastAsia="Calibri" w:hAnsi="Times New Roman" w:cs="Times New Roman"/>
                <w:sz w:val="20"/>
                <w:szCs w:val="20"/>
                <w:lang w:val="it-CH"/>
              </w:rPr>
            </w:pPr>
          </w:p>
          <w:p w14:paraId="16B43562" w14:textId="7D4082B7" w:rsidR="00E01344" w:rsidRPr="002C4E0D" w:rsidRDefault="00E01344" w:rsidP="00E01344">
            <w:pPr>
              <w:jc w:val="center"/>
              <w:rPr>
                <w:rFonts w:ascii="Times New Roman" w:eastAsia="Calibri" w:hAnsi="Times New Roman" w:cs="Times New Roman"/>
                <w:sz w:val="20"/>
                <w:szCs w:val="20"/>
                <w:lang w:val="it-CH"/>
              </w:rPr>
            </w:pPr>
          </w:p>
        </w:tc>
        <w:tc>
          <w:tcPr>
            <w:tcW w:w="4964" w:type="dxa"/>
            <w:tcBorders>
              <w:bottom w:val="dashed" w:sz="4" w:space="0" w:color="auto"/>
            </w:tcBorders>
          </w:tcPr>
          <w:p w14:paraId="7F3CF3FA" w14:textId="77777777" w:rsidR="00E01344" w:rsidRPr="002C4E0D" w:rsidRDefault="00E01344" w:rsidP="00E01344">
            <w:pPr>
              <w:jc w:val="center"/>
              <w:rPr>
                <w:rFonts w:ascii="Times New Roman" w:eastAsia="Calibri" w:hAnsi="Times New Roman" w:cs="Times New Roman"/>
                <w:b/>
                <w:sz w:val="20"/>
                <w:szCs w:val="20"/>
              </w:rPr>
            </w:pPr>
            <w:r w:rsidRPr="002C4E0D">
              <w:rPr>
                <w:rFonts w:ascii="Times New Roman" w:eastAsia="Calibri" w:hAnsi="Times New Roman" w:cs="Times New Roman"/>
                <w:b/>
                <w:sz w:val="20"/>
                <w:szCs w:val="20"/>
              </w:rPr>
              <w:t>Neni 18</w:t>
            </w:r>
          </w:p>
          <w:p w14:paraId="6068BBD9" w14:textId="77777777" w:rsidR="00E01344" w:rsidRPr="002C4E0D" w:rsidRDefault="00E01344" w:rsidP="00E01344">
            <w:pPr>
              <w:jc w:val="center"/>
              <w:rPr>
                <w:rFonts w:ascii="Times New Roman" w:eastAsia="Calibri" w:hAnsi="Times New Roman" w:cs="Times New Roman"/>
                <w:b/>
                <w:sz w:val="20"/>
                <w:szCs w:val="20"/>
              </w:rPr>
            </w:pPr>
            <w:r w:rsidRPr="002C4E0D">
              <w:rPr>
                <w:rFonts w:ascii="Times New Roman" w:eastAsia="Calibri" w:hAnsi="Times New Roman" w:cs="Times New Roman"/>
                <w:b/>
                <w:sz w:val="20"/>
                <w:szCs w:val="20"/>
              </w:rPr>
              <w:t>Kundërvajtjet administrative dhe sanksionet</w:t>
            </w:r>
          </w:p>
          <w:p w14:paraId="4E5C4AA8"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1.</w:t>
            </w:r>
            <w:r w:rsidRPr="002C4E0D">
              <w:rPr>
                <w:rFonts w:ascii="Times New Roman" w:eastAsia="Calibri" w:hAnsi="Times New Roman" w:cs="Times New Roman"/>
                <w:bCs/>
                <w:sz w:val="20"/>
                <w:szCs w:val="20"/>
              </w:rPr>
              <w:tab/>
              <w:t>Mospërmbushja e detyrimeve të parashikuara në këtë ligj përbën kundërvajtje administrative dhe dënohet me gjobë nga 100,000 (njëqind mijë) lekë deri në 1,000,000 (një milion) lekë.</w:t>
            </w:r>
          </w:p>
          <w:p w14:paraId="45A8E5B9" w14:textId="77777777" w:rsidR="007526FA" w:rsidRPr="002C4E0D" w:rsidRDefault="007526FA" w:rsidP="007526FA">
            <w:pPr>
              <w:jc w:val="both"/>
              <w:rPr>
                <w:rFonts w:ascii="Times New Roman" w:eastAsia="Calibri" w:hAnsi="Times New Roman" w:cs="Times New Roman"/>
                <w:bCs/>
                <w:sz w:val="20"/>
                <w:szCs w:val="20"/>
              </w:rPr>
            </w:pPr>
          </w:p>
          <w:p w14:paraId="7B81CA1D"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2.</w:t>
            </w:r>
            <w:r w:rsidRPr="002C4E0D">
              <w:rPr>
                <w:rFonts w:ascii="Times New Roman" w:eastAsia="Calibri" w:hAnsi="Times New Roman" w:cs="Times New Roman"/>
                <w:bCs/>
                <w:sz w:val="20"/>
                <w:szCs w:val="20"/>
              </w:rPr>
              <w:tab/>
              <w:t>Pa cënuar paragrafin 1 të këtij neni, përbëjnë në veçanti kundërvajtje administrative rastet e mëposhtme:</w:t>
            </w:r>
          </w:p>
          <w:p w14:paraId="3D33A78E" w14:textId="77777777" w:rsidR="007526FA" w:rsidRPr="002C4E0D" w:rsidRDefault="007526FA" w:rsidP="007526FA">
            <w:pPr>
              <w:jc w:val="both"/>
              <w:rPr>
                <w:rFonts w:ascii="Times New Roman" w:eastAsia="Calibri" w:hAnsi="Times New Roman" w:cs="Times New Roman"/>
                <w:bCs/>
                <w:sz w:val="20"/>
                <w:szCs w:val="20"/>
              </w:rPr>
            </w:pPr>
          </w:p>
          <w:p w14:paraId="01AFD785"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a) mospërmbushja e detyrimit për të raportuar informacionin e kërkuar brenda afateve të përcaktuara në këtë ligj, dënohet me gjobë në shumën pprej 300,000 (treqind mijë) lekë deri në 700,000 (shtatëqind mijë) lekë;</w:t>
            </w:r>
          </w:p>
          <w:p w14:paraId="51EBB021"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lastRenderedPageBreak/>
              <w:t xml:space="preserve">b) dorëzimi i një raportimi që përmban të dhëna të paplota, të pasakta ose të rreme që ndikojnë në përmbushjen e detyrimit të raportimit, dënohet me gjobë në shumën prej </w:t>
            </w:r>
          </w:p>
          <w:p w14:paraId="59D0BF46"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200,000 (dyqind mijë) lekë deri në 600,000 (gjashtëqind mijë) lekë;</w:t>
            </w:r>
          </w:p>
          <w:p w14:paraId="3846D6BE"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 xml:space="preserve">c) mospërmbushja e detyrimit për njoftim, në rastet e parashikuara në nenin 8, dënohet me gjobë në shumën prej </w:t>
            </w:r>
          </w:p>
          <w:p w14:paraId="10A90999"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150,000 (njëqind e pesëdhjetë mijë) lekë deri në 400,000 (katërqind mijë) lekë;</w:t>
            </w:r>
          </w:p>
          <w:p w14:paraId="3FE1EC80"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d) pengimi, refuzimi për të bashkëpunuar ose mosdhënia e informacionit të kërkuar nga autoriteti kompetent gjatë procedurave të verifikimit dhe kontrollit, dënohet me gjobë në shumën prej prej 500,000 (pesëqind mijë) lekë deri në 1,000,000 (një milion) lekë.</w:t>
            </w:r>
          </w:p>
          <w:p w14:paraId="593AD3FF" w14:textId="77777777" w:rsidR="007526FA" w:rsidRPr="002C4E0D" w:rsidRDefault="007526FA" w:rsidP="007526FA">
            <w:pPr>
              <w:jc w:val="both"/>
              <w:rPr>
                <w:rFonts w:ascii="Times New Roman" w:eastAsia="Calibri" w:hAnsi="Times New Roman" w:cs="Times New Roman"/>
                <w:bCs/>
                <w:sz w:val="20"/>
                <w:szCs w:val="20"/>
              </w:rPr>
            </w:pPr>
          </w:p>
          <w:p w14:paraId="40E3D440" w14:textId="77777777" w:rsidR="007526FA" w:rsidRPr="002C4E0D" w:rsidRDefault="007526FA" w:rsidP="007526FA">
            <w:pPr>
              <w:jc w:val="both"/>
              <w:rPr>
                <w:rFonts w:ascii="Times New Roman" w:eastAsia="Calibri" w:hAnsi="Times New Roman" w:cs="Times New Roman"/>
                <w:bCs/>
                <w:sz w:val="20"/>
                <w:szCs w:val="20"/>
              </w:rPr>
            </w:pPr>
            <w:r w:rsidRPr="002C4E0D">
              <w:rPr>
                <w:rFonts w:ascii="Times New Roman" w:eastAsia="Calibri" w:hAnsi="Times New Roman" w:cs="Times New Roman"/>
                <w:bCs/>
                <w:sz w:val="20"/>
                <w:szCs w:val="20"/>
              </w:rPr>
              <w:t>3.</w:t>
            </w:r>
            <w:r w:rsidRPr="002C4E0D">
              <w:rPr>
                <w:rFonts w:ascii="Times New Roman" w:eastAsia="Calibri" w:hAnsi="Times New Roman" w:cs="Times New Roman"/>
                <w:bCs/>
                <w:sz w:val="20"/>
                <w:szCs w:val="20"/>
              </w:rPr>
              <w:tab/>
              <w:t>Gjoba vendoset nga titullari i Drejtorisë së Përgjithshme të Tatimeve sipas legjislacionit në fuqi për kundërvajtjet administrative dhe duhet të jetë efektive, proporcionale dhe dekurajuese.</w:t>
            </w:r>
          </w:p>
          <w:p w14:paraId="05CBA041" w14:textId="04041479" w:rsidR="00E01344" w:rsidRPr="002C4E0D" w:rsidRDefault="007526FA" w:rsidP="00E01344">
            <w:pPr>
              <w:jc w:val="both"/>
              <w:rPr>
                <w:rFonts w:ascii="Times New Roman" w:eastAsia="Calibri" w:hAnsi="Times New Roman" w:cs="Times New Roman"/>
                <w:sz w:val="20"/>
                <w:szCs w:val="20"/>
              </w:rPr>
            </w:pPr>
            <w:r w:rsidRPr="002C4E0D">
              <w:rPr>
                <w:rFonts w:ascii="Times New Roman" w:eastAsia="Calibri" w:hAnsi="Times New Roman" w:cs="Times New Roman"/>
                <w:bCs/>
                <w:sz w:val="20"/>
                <w:szCs w:val="20"/>
              </w:rPr>
              <w:t>4.</w:t>
            </w:r>
            <w:r w:rsidRPr="002C4E0D">
              <w:rPr>
                <w:rFonts w:ascii="Times New Roman" w:eastAsia="Calibri" w:hAnsi="Times New Roman" w:cs="Times New Roman"/>
                <w:bCs/>
                <w:sz w:val="20"/>
                <w:szCs w:val="20"/>
              </w:rPr>
              <w:tab/>
              <w:t>Kundër vendimit për vendosjen e gjobës mund të bëhet ankim pranë gjykatës administrative kompetente, në përputhje me legjislacionin në fuqi për gjykatat administrative dhe gjykimin e mosmarrëveshjeve administrative.</w:t>
            </w:r>
          </w:p>
        </w:tc>
        <w:tc>
          <w:tcPr>
            <w:tcW w:w="720" w:type="dxa"/>
            <w:tcBorders>
              <w:bottom w:val="dashed" w:sz="4" w:space="0" w:color="auto"/>
            </w:tcBorders>
          </w:tcPr>
          <w:p w14:paraId="6FCF9030" w14:textId="6F146DF8"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tcBorders>
              <w:bottom w:val="dashed" w:sz="4" w:space="0" w:color="auto"/>
            </w:tcBorders>
          </w:tcPr>
          <w:p w14:paraId="08DB7295" w14:textId="67880360" w:rsidR="00E01344" w:rsidRPr="002C4E0D" w:rsidRDefault="00E01344" w:rsidP="00E01344">
            <w:pPr>
              <w:rPr>
                <w:rFonts w:ascii="Times New Roman" w:eastAsia="Calibri" w:hAnsi="Times New Roman" w:cs="Times New Roman"/>
                <w:sz w:val="20"/>
                <w:szCs w:val="20"/>
              </w:rPr>
            </w:pPr>
          </w:p>
        </w:tc>
      </w:tr>
      <w:tr w:rsidR="00E01344" w:rsidRPr="0042075D" w14:paraId="7D4505B4" w14:textId="77777777" w:rsidTr="002C4E0D">
        <w:trPr>
          <w:trHeight w:val="645"/>
        </w:trPr>
        <w:tc>
          <w:tcPr>
            <w:tcW w:w="630" w:type="dxa"/>
          </w:tcPr>
          <w:p w14:paraId="1080D9D2" w14:textId="139AC4B4" w:rsidR="00E01344" w:rsidRPr="002C4E0D" w:rsidRDefault="00E01344" w:rsidP="00E01344">
            <w:pPr>
              <w:jc w:val="both"/>
              <w:rPr>
                <w:rFonts w:ascii="Times New Roman" w:eastAsia="Calibri" w:hAnsi="Times New Roman" w:cs="Times New Roman"/>
                <w:sz w:val="20"/>
                <w:szCs w:val="20"/>
              </w:rPr>
            </w:pPr>
          </w:p>
        </w:tc>
        <w:tc>
          <w:tcPr>
            <w:tcW w:w="5310" w:type="dxa"/>
          </w:tcPr>
          <w:p w14:paraId="4E2183F3" w14:textId="77777777" w:rsidR="00E01344" w:rsidRPr="0042075D" w:rsidRDefault="00E01344" w:rsidP="00E01344">
            <w:pPr>
              <w:jc w:val="both"/>
              <w:rPr>
                <w:rFonts w:ascii="Times New Roman" w:hAnsi="Times New Roman" w:cs="Times New Roman"/>
                <w:sz w:val="20"/>
                <w:szCs w:val="20"/>
              </w:rPr>
            </w:pPr>
            <w:r w:rsidRPr="0042075D">
              <w:rPr>
                <w:rFonts w:ascii="Times New Roman" w:hAnsi="Times New Roman" w:cs="Times New Roman"/>
                <w:sz w:val="20"/>
                <w:szCs w:val="20"/>
              </w:rPr>
              <w:t>Neni 27</w:t>
            </w:r>
          </w:p>
          <w:p w14:paraId="76CFD006" w14:textId="77777777" w:rsidR="00E01344" w:rsidRPr="0042075D" w:rsidRDefault="00E01344" w:rsidP="00E01344">
            <w:pPr>
              <w:jc w:val="both"/>
              <w:rPr>
                <w:rFonts w:ascii="Times New Roman" w:hAnsi="Times New Roman" w:cs="Times New Roman"/>
                <w:sz w:val="20"/>
                <w:szCs w:val="20"/>
              </w:rPr>
            </w:pPr>
          </w:p>
          <w:p w14:paraId="1D6C72B7" w14:textId="77777777" w:rsidR="00E01344" w:rsidRPr="0042075D" w:rsidRDefault="00E01344" w:rsidP="00E01344">
            <w:pPr>
              <w:jc w:val="both"/>
              <w:rPr>
                <w:rFonts w:ascii="Times New Roman" w:hAnsi="Times New Roman" w:cs="Times New Roman"/>
                <w:sz w:val="20"/>
                <w:szCs w:val="20"/>
              </w:rPr>
            </w:pPr>
            <w:r w:rsidRPr="0042075D">
              <w:rPr>
                <w:rFonts w:ascii="Times New Roman" w:hAnsi="Times New Roman" w:cs="Times New Roman"/>
                <w:sz w:val="20"/>
                <w:szCs w:val="20"/>
              </w:rPr>
              <w:t>Raportimi</w:t>
            </w:r>
          </w:p>
          <w:p w14:paraId="647985C2" w14:textId="77777777" w:rsidR="00E01344" w:rsidRPr="0042075D" w:rsidRDefault="00E01344" w:rsidP="00E01344">
            <w:pPr>
              <w:jc w:val="both"/>
              <w:rPr>
                <w:rFonts w:ascii="Times New Roman" w:hAnsi="Times New Roman" w:cs="Times New Roman"/>
                <w:sz w:val="20"/>
                <w:szCs w:val="20"/>
              </w:rPr>
            </w:pPr>
          </w:p>
          <w:p w14:paraId="250D54EC" w14:textId="77777777" w:rsidR="00E01344" w:rsidRPr="0042075D" w:rsidRDefault="00E01344" w:rsidP="00E01344">
            <w:pPr>
              <w:jc w:val="both"/>
              <w:rPr>
                <w:rFonts w:ascii="Times New Roman" w:hAnsi="Times New Roman" w:cs="Times New Roman"/>
                <w:sz w:val="20"/>
                <w:szCs w:val="20"/>
              </w:rPr>
            </w:pPr>
            <w:r w:rsidRPr="0042075D">
              <w:rPr>
                <w:rFonts w:ascii="Times New Roman" w:hAnsi="Times New Roman" w:cs="Times New Roman"/>
                <w:sz w:val="20"/>
                <w:szCs w:val="20"/>
              </w:rPr>
              <w:t>1. Çdo pesë vjet pas 1 janarit 2013, Komisioni i paraqet Parlamentit Evropian dhe Këshillit një raport mbi zbatimin e kësaj Direktive.</w:t>
            </w:r>
          </w:p>
          <w:p w14:paraId="0B7F955D" w14:textId="77777777" w:rsidR="00E01344" w:rsidRPr="0042075D" w:rsidRDefault="00E01344" w:rsidP="00E01344">
            <w:pPr>
              <w:jc w:val="both"/>
              <w:rPr>
                <w:rFonts w:ascii="Times New Roman" w:hAnsi="Times New Roman" w:cs="Times New Roman"/>
                <w:sz w:val="20"/>
                <w:szCs w:val="20"/>
              </w:rPr>
            </w:pPr>
          </w:p>
          <w:p w14:paraId="3891CA08" w14:textId="77777777" w:rsidR="00E01344" w:rsidRPr="0042075D" w:rsidRDefault="00E01344" w:rsidP="00E01344">
            <w:pPr>
              <w:jc w:val="both"/>
              <w:rPr>
                <w:rFonts w:ascii="Times New Roman" w:hAnsi="Times New Roman" w:cs="Times New Roman"/>
                <w:sz w:val="20"/>
                <w:szCs w:val="20"/>
              </w:rPr>
            </w:pPr>
            <w:r w:rsidRPr="0042075D">
              <w:rPr>
                <w:rFonts w:ascii="Times New Roman" w:hAnsi="Times New Roman" w:cs="Times New Roman"/>
                <w:sz w:val="20"/>
                <w:szCs w:val="20"/>
              </w:rPr>
              <w:t xml:space="preserve">2. Çdo dy vjet pas 1 korrikut 2020, Shtetet Anëtare dhe Komisioni vlerësojnë rëndësinë e Shtojcës IV dhe Komisioni i </w:t>
            </w:r>
            <w:r w:rsidRPr="0042075D">
              <w:rPr>
                <w:rFonts w:ascii="Times New Roman" w:hAnsi="Times New Roman" w:cs="Times New Roman"/>
                <w:sz w:val="20"/>
                <w:szCs w:val="20"/>
              </w:rPr>
              <w:lastRenderedPageBreak/>
              <w:t>paraqet një raport Këshillit. Ky raport, kur është e përshtatshme, shoqërohet me një propozim legjislativ.</w:t>
            </w:r>
          </w:p>
          <w:p w14:paraId="4C00660E" w14:textId="77777777" w:rsidR="00E01344" w:rsidRPr="0042075D" w:rsidRDefault="00E01344" w:rsidP="00E01344">
            <w:pPr>
              <w:jc w:val="both"/>
              <w:rPr>
                <w:rFonts w:ascii="Times New Roman" w:hAnsi="Times New Roman" w:cs="Times New Roman"/>
                <w:sz w:val="20"/>
                <w:szCs w:val="20"/>
              </w:rPr>
            </w:pPr>
          </w:p>
          <w:p w14:paraId="4657F60F" w14:textId="77777777" w:rsidR="00E01344" w:rsidRPr="0042075D" w:rsidRDefault="00E01344" w:rsidP="00E01344">
            <w:pPr>
              <w:jc w:val="both"/>
              <w:rPr>
                <w:rFonts w:ascii="Times New Roman" w:hAnsi="Times New Roman" w:cs="Times New Roman"/>
                <w:sz w:val="20"/>
                <w:szCs w:val="20"/>
              </w:rPr>
            </w:pPr>
            <w:r w:rsidRPr="0042075D">
              <w:rPr>
                <w:rFonts w:ascii="Times New Roman" w:hAnsi="Times New Roman" w:cs="Times New Roman"/>
                <w:sz w:val="20"/>
                <w:szCs w:val="20"/>
              </w:rPr>
              <w:t>(8)</w:t>
            </w:r>
          </w:p>
          <w:p w14:paraId="37878886" w14:textId="77777777" w:rsidR="00E01344" w:rsidRPr="0042075D" w:rsidRDefault="00E01344" w:rsidP="00E01344">
            <w:pPr>
              <w:jc w:val="both"/>
              <w:rPr>
                <w:rFonts w:ascii="Times New Roman" w:hAnsi="Times New Roman" w:cs="Times New Roman"/>
                <w:sz w:val="20"/>
                <w:szCs w:val="20"/>
              </w:rPr>
            </w:pPr>
          </w:p>
          <w:p w14:paraId="61E278E6" w14:textId="658D45CF" w:rsidR="00E01344" w:rsidRPr="0042075D" w:rsidRDefault="00E01344" w:rsidP="00E01344">
            <w:pPr>
              <w:rPr>
                <w:rFonts w:ascii="Times New Roman" w:hAnsi="Times New Roman" w:cs="Times New Roman"/>
                <w:vanish/>
                <w:sz w:val="20"/>
                <w:szCs w:val="20"/>
              </w:rPr>
            </w:pPr>
            <w:r w:rsidRPr="0042075D">
              <w:rPr>
                <w:rFonts w:ascii="Times New Roman" w:hAnsi="Times New Roman" w:cs="Times New Roman"/>
                <w:sz w:val="20"/>
                <w:szCs w:val="20"/>
              </w:rPr>
              <w:t>Shtohet Shtojca IV, teksti i së cilës është përcaktuar në Shtojcën e kësaj Direktive.</w:t>
            </w:r>
          </w:p>
          <w:p w14:paraId="3A31154C" w14:textId="6A5680DE" w:rsidR="00E01344" w:rsidRPr="0042075D" w:rsidRDefault="00E01344" w:rsidP="00E01344">
            <w:pPr>
              <w:jc w:val="both"/>
              <w:rPr>
                <w:rFonts w:ascii="Times New Roman" w:eastAsia="Calibri" w:hAnsi="Times New Roman" w:cs="Times New Roman"/>
                <w:iCs/>
                <w:sz w:val="20"/>
                <w:szCs w:val="20"/>
              </w:rPr>
            </w:pPr>
          </w:p>
        </w:tc>
        <w:tc>
          <w:tcPr>
            <w:tcW w:w="540" w:type="dxa"/>
          </w:tcPr>
          <w:p w14:paraId="68273547" w14:textId="247DB5B5"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tcPr>
          <w:p w14:paraId="6E16AAE5" w14:textId="77777777" w:rsidR="00E01344" w:rsidRPr="002C4E0D" w:rsidRDefault="00E01344" w:rsidP="00E01344">
            <w:pPr>
              <w:jc w:val="center"/>
              <w:rPr>
                <w:rFonts w:ascii="Times New Roman" w:eastAsia="Calibri" w:hAnsi="Times New Roman" w:cs="Times New Roman"/>
                <w:sz w:val="20"/>
                <w:szCs w:val="20"/>
              </w:rPr>
            </w:pPr>
          </w:p>
          <w:p w14:paraId="217830CF" w14:textId="3C181EE0" w:rsidR="00E01344" w:rsidRPr="002C4E0D" w:rsidRDefault="00E01344" w:rsidP="00E01344">
            <w:pPr>
              <w:jc w:val="center"/>
              <w:rPr>
                <w:rFonts w:ascii="Times New Roman" w:eastAsia="Calibri" w:hAnsi="Times New Roman" w:cs="Times New Roman"/>
                <w:sz w:val="20"/>
                <w:szCs w:val="20"/>
              </w:rPr>
            </w:pPr>
          </w:p>
        </w:tc>
        <w:tc>
          <w:tcPr>
            <w:tcW w:w="4964" w:type="dxa"/>
            <w:tcBorders>
              <w:bottom w:val="dashed" w:sz="4" w:space="0" w:color="auto"/>
            </w:tcBorders>
          </w:tcPr>
          <w:p w14:paraId="34D0B446" w14:textId="77777777" w:rsidR="00E01344" w:rsidRPr="002C4E0D" w:rsidRDefault="00E01344" w:rsidP="00E01344">
            <w:pPr>
              <w:jc w:val="center"/>
              <w:rPr>
                <w:rFonts w:ascii="Times New Roman" w:eastAsia="Calibri" w:hAnsi="Times New Roman" w:cs="Times New Roman"/>
                <w:sz w:val="20"/>
                <w:szCs w:val="20"/>
              </w:rPr>
            </w:pPr>
          </w:p>
          <w:p w14:paraId="3EC1FFD4" w14:textId="77777777" w:rsidR="00E01344" w:rsidRPr="002C4E0D" w:rsidRDefault="00E01344" w:rsidP="00E01344">
            <w:pPr>
              <w:jc w:val="center"/>
              <w:rPr>
                <w:rFonts w:ascii="Times New Roman" w:eastAsia="Calibri" w:hAnsi="Times New Roman" w:cs="Times New Roman"/>
                <w:sz w:val="20"/>
                <w:szCs w:val="20"/>
              </w:rPr>
            </w:pPr>
          </w:p>
          <w:p w14:paraId="5C14AD17" w14:textId="77777777" w:rsidR="00E01344" w:rsidRPr="002C4E0D" w:rsidRDefault="00E01344" w:rsidP="00E01344">
            <w:pPr>
              <w:jc w:val="center"/>
              <w:rPr>
                <w:rFonts w:ascii="Times New Roman" w:eastAsia="Calibri" w:hAnsi="Times New Roman" w:cs="Times New Roman"/>
                <w:sz w:val="20"/>
                <w:szCs w:val="20"/>
              </w:rPr>
            </w:pPr>
          </w:p>
          <w:p w14:paraId="7EC0FAE2" w14:textId="77777777" w:rsidR="00E01344" w:rsidRPr="002C4E0D" w:rsidRDefault="00E01344" w:rsidP="00E01344">
            <w:pPr>
              <w:jc w:val="center"/>
              <w:rPr>
                <w:rFonts w:ascii="Times New Roman" w:eastAsia="Calibri" w:hAnsi="Times New Roman" w:cs="Times New Roman"/>
                <w:sz w:val="20"/>
                <w:szCs w:val="20"/>
              </w:rPr>
            </w:pPr>
          </w:p>
          <w:p w14:paraId="1AF536FD" w14:textId="204128A5" w:rsidR="00E01344" w:rsidRPr="002C4E0D" w:rsidRDefault="00E01344" w:rsidP="00E01344">
            <w:pPr>
              <w:jc w:val="center"/>
              <w:rPr>
                <w:rFonts w:ascii="Times New Roman" w:eastAsia="Calibri" w:hAnsi="Times New Roman" w:cs="Times New Roman"/>
                <w:sz w:val="20"/>
                <w:szCs w:val="20"/>
              </w:rPr>
            </w:pPr>
            <w:r w:rsidRPr="002C4E0D">
              <w:rPr>
                <w:rFonts w:ascii="Times New Roman" w:eastAsia="Calibri" w:hAnsi="Times New Roman" w:cs="Times New Roman"/>
                <w:sz w:val="20"/>
                <w:szCs w:val="20"/>
              </w:rPr>
              <w:t>N/A</w:t>
            </w:r>
          </w:p>
        </w:tc>
        <w:tc>
          <w:tcPr>
            <w:tcW w:w="720" w:type="dxa"/>
            <w:tcBorders>
              <w:bottom w:val="dashed" w:sz="4" w:space="0" w:color="auto"/>
            </w:tcBorders>
          </w:tcPr>
          <w:p w14:paraId="0573D259" w14:textId="77777777" w:rsidR="00E01344" w:rsidRPr="002C4E0D" w:rsidRDefault="00E01344" w:rsidP="00E01344">
            <w:pPr>
              <w:jc w:val="center"/>
              <w:rPr>
                <w:rFonts w:ascii="Times New Roman" w:eastAsia="Calibri" w:hAnsi="Times New Roman" w:cs="Times New Roman"/>
                <w:sz w:val="20"/>
                <w:szCs w:val="20"/>
                <w:lang w:val="en-US"/>
              </w:rPr>
            </w:pPr>
          </w:p>
          <w:p w14:paraId="4966D892" w14:textId="77777777" w:rsidR="00E01344" w:rsidRPr="002C4E0D" w:rsidRDefault="00E01344" w:rsidP="00E01344">
            <w:pPr>
              <w:jc w:val="center"/>
              <w:rPr>
                <w:rFonts w:ascii="Times New Roman" w:eastAsia="Calibri" w:hAnsi="Times New Roman" w:cs="Times New Roman"/>
                <w:sz w:val="20"/>
                <w:szCs w:val="20"/>
                <w:lang w:val="en-US"/>
              </w:rPr>
            </w:pPr>
          </w:p>
          <w:p w14:paraId="533B6EF5" w14:textId="77777777" w:rsidR="00E01344" w:rsidRPr="002C4E0D" w:rsidRDefault="00E01344" w:rsidP="00E01344">
            <w:pPr>
              <w:jc w:val="center"/>
              <w:rPr>
                <w:rFonts w:ascii="Times New Roman" w:eastAsia="Calibri" w:hAnsi="Times New Roman" w:cs="Times New Roman"/>
                <w:sz w:val="20"/>
                <w:szCs w:val="20"/>
                <w:lang w:val="en-US"/>
              </w:rPr>
            </w:pPr>
          </w:p>
          <w:p w14:paraId="46C6EF65" w14:textId="77777777" w:rsidR="00E01344" w:rsidRPr="002C4E0D" w:rsidRDefault="00E01344" w:rsidP="00E01344">
            <w:pPr>
              <w:jc w:val="center"/>
              <w:rPr>
                <w:rFonts w:ascii="Times New Roman" w:eastAsia="Calibri" w:hAnsi="Times New Roman" w:cs="Times New Roman"/>
                <w:sz w:val="20"/>
                <w:szCs w:val="20"/>
                <w:lang w:val="en-US"/>
              </w:rPr>
            </w:pPr>
          </w:p>
          <w:p w14:paraId="4C4B4DD1" w14:textId="5923A03B"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tcBorders>
              <w:bottom w:val="dashed" w:sz="4" w:space="0" w:color="auto"/>
            </w:tcBorders>
          </w:tcPr>
          <w:p w14:paraId="7FF536D2" w14:textId="47230D00" w:rsidR="00E01344" w:rsidRPr="0042075D" w:rsidRDefault="00E01344" w:rsidP="00E01344">
            <w:pPr>
              <w:rPr>
                <w:rFonts w:ascii="Times New Roman" w:eastAsia="Calibri" w:hAnsi="Times New Roman" w:cs="Times New Roman"/>
                <w:sz w:val="20"/>
                <w:szCs w:val="20"/>
                <w:lang w:val="en-US"/>
              </w:rPr>
            </w:pPr>
            <w:r w:rsidRPr="0042075D">
              <w:rPr>
                <w:rFonts w:ascii="Times New Roman" w:eastAsia="Times New Roman" w:hAnsi="Times New Roman" w:cs="Times New Roman"/>
                <w:sz w:val="20"/>
                <w:szCs w:val="20"/>
                <w:lang w:val="en-US"/>
              </w:rPr>
              <w:t>Neni 27 përcakton detyrimet e raportimit dhe vlerësimit në nivel të BE-së midis Shteteve Anëtare dhe Komisionit Evropian. Ai nuk vendos detyrime që kërkojnë transpozim të drejtpërdrejtë në ligjin kombëtar.</w:t>
            </w:r>
          </w:p>
        </w:tc>
      </w:tr>
      <w:tr w:rsidR="00E01344" w:rsidRPr="0042075D" w14:paraId="05E7A252" w14:textId="77777777" w:rsidTr="002C4E0D">
        <w:trPr>
          <w:trHeight w:val="870"/>
        </w:trPr>
        <w:tc>
          <w:tcPr>
            <w:tcW w:w="630" w:type="dxa"/>
          </w:tcPr>
          <w:p w14:paraId="56054E51" w14:textId="1549FBFD" w:rsidR="00E01344" w:rsidRPr="002C4E0D" w:rsidRDefault="00E01344" w:rsidP="00E01344">
            <w:pPr>
              <w:jc w:val="both"/>
              <w:rPr>
                <w:rFonts w:ascii="Times New Roman" w:eastAsia="Calibri" w:hAnsi="Times New Roman" w:cs="Times New Roman"/>
                <w:sz w:val="20"/>
                <w:szCs w:val="20"/>
                <w:lang w:val="en-US"/>
              </w:rPr>
            </w:pPr>
          </w:p>
        </w:tc>
        <w:tc>
          <w:tcPr>
            <w:tcW w:w="5310" w:type="dxa"/>
          </w:tcPr>
          <w:p w14:paraId="7CA0C0DA" w14:textId="77777777" w:rsidR="00E01344" w:rsidRPr="0042075D" w:rsidRDefault="00E01344" w:rsidP="00E01344">
            <w:pPr>
              <w:jc w:val="both"/>
              <w:rPr>
                <w:rFonts w:ascii="Times New Roman" w:eastAsia="Calibri" w:hAnsi="Times New Roman" w:cs="Times New Roman"/>
                <w:iCs/>
                <w:sz w:val="20"/>
                <w:szCs w:val="20"/>
                <w:lang w:val="en-US"/>
              </w:rPr>
            </w:pPr>
          </w:p>
          <w:p w14:paraId="1552BA9A"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Neni 2</w:t>
            </w:r>
          </w:p>
          <w:p w14:paraId="21CD5D78" w14:textId="77777777" w:rsidR="00E01344" w:rsidRPr="0042075D" w:rsidRDefault="00E01344" w:rsidP="00E01344">
            <w:pPr>
              <w:jc w:val="both"/>
              <w:rPr>
                <w:rFonts w:ascii="Times New Roman" w:eastAsia="Calibri" w:hAnsi="Times New Roman" w:cs="Times New Roman"/>
                <w:iCs/>
                <w:sz w:val="20"/>
                <w:szCs w:val="20"/>
                <w:lang w:val="en-US"/>
              </w:rPr>
            </w:pPr>
          </w:p>
          <w:p w14:paraId="5E878EEC"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1. Shtetet Anëtare miratojnë dhe publikojnë, jo më vonë se 31 dhjetor 2019, ligjet, rregulloret dhe dispozitat administrative të nevojshme për të përmbushur këtë Direktivë. Ato informojnë menjëherë Komisionin për këtë.</w:t>
            </w:r>
          </w:p>
          <w:p w14:paraId="1182D4C5" w14:textId="77777777" w:rsidR="00E01344" w:rsidRPr="0042075D" w:rsidRDefault="00E01344" w:rsidP="00E01344">
            <w:pPr>
              <w:jc w:val="both"/>
              <w:rPr>
                <w:rFonts w:ascii="Times New Roman" w:eastAsia="Calibri" w:hAnsi="Times New Roman" w:cs="Times New Roman"/>
                <w:iCs/>
                <w:sz w:val="20"/>
                <w:szCs w:val="20"/>
                <w:lang w:val="en-US"/>
              </w:rPr>
            </w:pPr>
          </w:p>
          <w:p w14:paraId="632945A8"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Ato do t'i zbatojnë këto dispozita nga 1 korriku 2020.</w:t>
            </w:r>
          </w:p>
          <w:p w14:paraId="416231CC" w14:textId="77777777" w:rsidR="00E01344" w:rsidRPr="0042075D" w:rsidRDefault="00E01344" w:rsidP="00E01344">
            <w:pPr>
              <w:jc w:val="both"/>
              <w:rPr>
                <w:rFonts w:ascii="Times New Roman" w:eastAsia="Calibri" w:hAnsi="Times New Roman" w:cs="Times New Roman"/>
                <w:iCs/>
                <w:sz w:val="20"/>
                <w:szCs w:val="20"/>
                <w:lang w:val="en-US"/>
              </w:rPr>
            </w:pPr>
          </w:p>
          <w:p w14:paraId="6F1D2AEF" w14:textId="77777777"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Kur Shtetet Anëtare miratojnë këto dispozita, ato duhet të përmbajnë një referencë për këtë Direktivë ose të shoqërohen nga një referencë e tillë në rastin e publikimit të tyre zyrtar. Shtetet Anëtare përcaktojnë se si duhet të bëhet një referencë e tillë.</w:t>
            </w:r>
          </w:p>
          <w:p w14:paraId="4D050C22" w14:textId="77777777" w:rsidR="00E01344" w:rsidRPr="0042075D" w:rsidRDefault="00E01344" w:rsidP="00E01344">
            <w:pPr>
              <w:jc w:val="both"/>
              <w:rPr>
                <w:rFonts w:ascii="Times New Roman" w:eastAsia="Calibri" w:hAnsi="Times New Roman" w:cs="Times New Roman"/>
                <w:iCs/>
                <w:sz w:val="20"/>
                <w:szCs w:val="20"/>
                <w:lang w:val="en-US"/>
              </w:rPr>
            </w:pPr>
          </w:p>
          <w:p w14:paraId="48156EC7" w14:textId="55AF5130" w:rsidR="00E01344" w:rsidRPr="0042075D" w:rsidRDefault="00E01344" w:rsidP="00E01344">
            <w:pPr>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2. Shtetet Anëtare i komunikojnë Komisionit tekstin e dispozitave kryesore të ligjit kombëtar që miratojnë në fushën e mbuluar nga kjo Direktivë.</w:t>
            </w:r>
          </w:p>
          <w:p w14:paraId="249A4F98" w14:textId="77BBFAD3" w:rsidR="00E01344" w:rsidRPr="0042075D" w:rsidRDefault="00E01344" w:rsidP="00E01344">
            <w:pPr>
              <w:jc w:val="both"/>
              <w:rPr>
                <w:rFonts w:ascii="Times New Roman" w:eastAsia="Calibri" w:hAnsi="Times New Roman" w:cs="Times New Roman"/>
                <w:iCs/>
                <w:sz w:val="20"/>
                <w:szCs w:val="20"/>
                <w:lang w:val="en-US"/>
              </w:rPr>
            </w:pPr>
          </w:p>
        </w:tc>
        <w:tc>
          <w:tcPr>
            <w:tcW w:w="540" w:type="dxa"/>
          </w:tcPr>
          <w:p w14:paraId="59B66D4C" w14:textId="05B0B86D"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tcPr>
          <w:p w14:paraId="5ABADC9F" w14:textId="2EE390F4"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 xml:space="preserve"> </w:t>
            </w:r>
          </w:p>
        </w:tc>
        <w:tc>
          <w:tcPr>
            <w:tcW w:w="4964" w:type="dxa"/>
          </w:tcPr>
          <w:p w14:paraId="50248BC3" w14:textId="55FA30BC" w:rsidR="00E01344" w:rsidRPr="002C4E0D" w:rsidRDefault="00E01344" w:rsidP="00E01344">
            <w:pPr>
              <w:jc w:val="both"/>
              <w:rPr>
                <w:rFonts w:ascii="Times New Roman" w:eastAsia="Calibri" w:hAnsi="Times New Roman" w:cs="Times New Roman"/>
                <w:sz w:val="20"/>
                <w:szCs w:val="20"/>
                <w:lang w:val="en-US"/>
              </w:rPr>
            </w:pPr>
            <w:r w:rsidRPr="002C4E0D">
              <w:rPr>
                <w:rFonts w:ascii="Times New Roman" w:hAnsi="Times New Roman" w:cs="Times New Roman"/>
                <w:sz w:val="20"/>
                <w:szCs w:val="20"/>
              </w:rPr>
              <w:br/>
            </w:r>
          </w:p>
          <w:p w14:paraId="4DAEA1FE" w14:textId="7D7763BC"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720" w:type="dxa"/>
          </w:tcPr>
          <w:p w14:paraId="3C0775ED" w14:textId="77777777" w:rsidR="00E01344" w:rsidRPr="002C4E0D" w:rsidRDefault="00E01344" w:rsidP="00E01344">
            <w:pPr>
              <w:jc w:val="center"/>
              <w:rPr>
                <w:rFonts w:ascii="Times New Roman" w:eastAsia="Calibri" w:hAnsi="Times New Roman" w:cs="Times New Roman"/>
                <w:sz w:val="20"/>
                <w:szCs w:val="20"/>
                <w:lang w:val="en-US"/>
              </w:rPr>
            </w:pPr>
          </w:p>
          <w:p w14:paraId="3F896C22" w14:textId="1EFBC6D4"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tcPr>
          <w:p w14:paraId="76BFEABA" w14:textId="4DC75375" w:rsidR="00E01344" w:rsidRPr="002C4E0D" w:rsidRDefault="00E01344" w:rsidP="00E01344">
            <w:pPr>
              <w:rPr>
                <w:rFonts w:ascii="Times New Roman" w:eastAsia="Calibri" w:hAnsi="Times New Roman" w:cs="Times New Roman"/>
                <w:iCs/>
                <w:sz w:val="20"/>
                <w:szCs w:val="20"/>
                <w:lang w:val="en-US"/>
              </w:rPr>
            </w:pPr>
          </w:p>
          <w:p w14:paraId="16062C8C" w14:textId="198C6B18" w:rsidR="00E01344" w:rsidRPr="002C4E0D" w:rsidRDefault="00E01344" w:rsidP="00E01344">
            <w:pP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Një klauzolë kombëtare për hyrjen në fuqi është përfshirë në Nenin 21 të Projektligjit.</w:t>
            </w:r>
          </w:p>
        </w:tc>
      </w:tr>
      <w:tr w:rsidR="00E01344" w:rsidRPr="0042075D" w14:paraId="241AEFFB" w14:textId="77777777" w:rsidTr="002C4E0D">
        <w:trPr>
          <w:trHeight w:val="260"/>
        </w:trPr>
        <w:tc>
          <w:tcPr>
            <w:tcW w:w="630" w:type="dxa"/>
            <w:shd w:val="clear" w:color="auto" w:fill="AEAAAA" w:themeFill="background2" w:themeFillShade="BF"/>
          </w:tcPr>
          <w:p w14:paraId="57369861" w14:textId="7ACDA199" w:rsidR="00E01344" w:rsidRPr="002C4E0D" w:rsidRDefault="00E01344" w:rsidP="00E01344">
            <w:pPr>
              <w:jc w:val="both"/>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1</w:t>
            </w:r>
          </w:p>
        </w:tc>
        <w:tc>
          <w:tcPr>
            <w:tcW w:w="5310" w:type="dxa"/>
            <w:shd w:val="clear" w:color="auto" w:fill="AEAAAA" w:themeFill="background2" w:themeFillShade="BF"/>
          </w:tcPr>
          <w:p w14:paraId="6480AC02" w14:textId="3DBD51FC" w:rsidR="00E01344" w:rsidRPr="0042075D" w:rsidRDefault="00E01344" w:rsidP="00E01344">
            <w:pPr>
              <w:jc w:val="center"/>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2</w:t>
            </w:r>
          </w:p>
        </w:tc>
        <w:tc>
          <w:tcPr>
            <w:tcW w:w="540" w:type="dxa"/>
            <w:shd w:val="clear" w:color="auto" w:fill="AEAAAA" w:themeFill="background2" w:themeFillShade="BF"/>
          </w:tcPr>
          <w:p w14:paraId="3753C2B6" w14:textId="2B920B59"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AEAAAA" w:themeFill="background2" w:themeFillShade="BF"/>
          </w:tcPr>
          <w:p w14:paraId="23618EDE" w14:textId="2B4FDFE2"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4</w:t>
            </w:r>
          </w:p>
        </w:tc>
        <w:tc>
          <w:tcPr>
            <w:tcW w:w="4964" w:type="dxa"/>
            <w:shd w:val="clear" w:color="auto" w:fill="AEAAAA" w:themeFill="background2" w:themeFillShade="BF"/>
          </w:tcPr>
          <w:p w14:paraId="70B2B0D0" w14:textId="324CA669" w:rsidR="00E01344" w:rsidRPr="002C4E0D" w:rsidRDefault="00E01344" w:rsidP="00E01344">
            <w:pPr>
              <w:jc w:val="center"/>
              <w:rPr>
                <w:rFonts w:ascii="Times New Roman" w:hAnsi="Times New Roman" w:cs="Times New Roman"/>
                <w:sz w:val="20"/>
                <w:szCs w:val="20"/>
              </w:rPr>
            </w:pPr>
            <w:r w:rsidRPr="002C4E0D">
              <w:rPr>
                <w:rFonts w:ascii="Times New Roman" w:hAnsi="Times New Roman" w:cs="Times New Roman"/>
                <w:sz w:val="20"/>
                <w:szCs w:val="20"/>
              </w:rPr>
              <w:t>5</w:t>
            </w:r>
          </w:p>
        </w:tc>
        <w:tc>
          <w:tcPr>
            <w:tcW w:w="720" w:type="dxa"/>
            <w:shd w:val="clear" w:color="auto" w:fill="AEAAAA" w:themeFill="background2" w:themeFillShade="BF"/>
          </w:tcPr>
          <w:p w14:paraId="1236176C" w14:textId="4198E4A8"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6</w:t>
            </w:r>
          </w:p>
        </w:tc>
        <w:tc>
          <w:tcPr>
            <w:tcW w:w="3406" w:type="dxa"/>
            <w:shd w:val="clear" w:color="auto" w:fill="AEAAAA" w:themeFill="background2" w:themeFillShade="BF"/>
          </w:tcPr>
          <w:p w14:paraId="402D4773" w14:textId="2188EB0F" w:rsidR="00E01344" w:rsidRPr="002C4E0D" w:rsidRDefault="00E01344" w:rsidP="00E01344">
            <w:pPr>
              <w:jc w:val="center"/>
              <w:rPr>
                <w:rFonts w:ascii="Times New Roman" w:eastAsia="Calibri" w:hAnsi="Times New Roman" w:cs="Times New Roman"/>
                <w:iCs/>
                <w:sz w:val="20"/>
                <w:szCs w:val="20"/>
                <w:lang w:val="en-US"/>
              </w:rPr>
            </w:pPr>
            <w:r w:rsidRPr="002C4E0D">
              <w:rPr>
                <w:rFonts w:ascii="Times New Roman" w:eastAsia="Calibri" w:hAnsi="Times New Roman" w:cs="Times New Roman"/>
                <w:iCs/>
                <w:sz w:val="20"/>
                <w:szCs w:val="20"/>
                <w:lang w:val="en-US"/>
              </w:rPr>
              <w:t>7</w:t>
            </w:r>
          </w:p>
        </w:tc>
      </w:tr>
      <w:tr w:rsidR="004B3981" w:rsidRPr="0042075D" w14:paraId="17901CF8" w14:textId="77777777" w:rsidTr="002C4E0D">
        <w:trPr>
          <w:trHeight w:val="629"/>
        </w:trPr>
        <w:tc>
          <w:tcPr>
            <w:tcW w:w="630" w:type="dxa"/>
            <w:shd w:val="clear" w:color="auto" w:fill="AEAAAA" w:themeFill="background2" w:themeFillShade="BF"/>
            <w:vAlign w:val="center"/>
          </w:tcPr>
          <w:p w14:paraId="28134D9B" w14:textId="116CB496" w:rsidR="004B3981" w:rsidRPr="002C4E0D" w:rsidRDefault="004B3981" w:rsidP="004B3981">
            <w:pPr>
              <w:rPr>
                <w:rFonts w:ascii="Times New Roman" w:eastAsia="Calibri" w:hAnsi="Times New Roman" w:cs="Times New Roman"/>
                <w:sz w:val="20"/>
                <w:szCs w:val="20"/>
                <w:lang w:val="en-US"/>
              </w:rPr>
            </w:pPr>
            <w:r w:rsidRPr="002C4E0D">
              <w:rPr>
                <w:rFonts w:ascii="Times New Roman" w:eastAsia="Times New Roman" w:hAnsi="Times New Roman" w:cs="Times New Roman"/>
                <w:sz w:val="20"/>
                <w:szCs w:val="20"/>
              </w:rPr>
              <w:t>Neni</w:t>
            </w:r>
          </w:p>
        </w:tc>
        <w:tc>
          <w:tcPr>
            <w:tcW w:w="5310" w:type="dxa"/>
            <w:shd w:val="clear" w:color="auto" w:fill="AEAAAA" w:themeFill="background2" w:themeFillShade="BF"/>
            <w:vAlign w:val="center"/>
          </w:tcPr>
          <w:p w14:paraId="472F2240" w14:textId="12588CA7" w:rsidR="004B3981" w:rsidRPr="0042075D" w:rsidRDefault="004B3981" w:rsidP="004B3981">
            <w:pPr>
              <w:jc w:val="center"/>
              <w:rPr>
                <w:rFonts w:ascii="Times New Roman" w:eastAsia="Calibri" w:hAnsi="Times New Roman" w:cs="Times New Roman"/>
                <w:iCs/>
                <w:sz w:val="20"/>
                <w:szCs w:val="20"/>
                <w:lang w:val="en-US"/>
              </w:rPr>
            </w:pPr>
            <w:r w:rsidRPr="002C4E0D">
              <w:rPr>
                <w:rFonts w:ascii="Times New Roman" w:eastAsia="Times New Roman" w:hAnsi="Times New Roman" w:cs="Times New Roman"/>
                <w:sz w:val="20"/>
                <w:szCs w:val="20"/>
              </w:rPr>
              <w:t>Teksti</w:t>
            </w:r>
          </w:p>
        </w:tc>
        <w:tc>
          <w:tcPr>
            <w:tcW w:w="540" w:type="dxa"/>
            <w:shd w:val="clear" w:color="auto" w:fill="AEAAAA" w:themeFill="background2" w:themeFillShade="BF"/>
            <w:vAlign w:val="center"/>
          </w:tcPr>
          <w:p w14:paraId="7641D6A0" w14:textId="6A1891F2" w:rsidR="004B3981" w:rsidRPr="002C4E0D" w:rsidRDefault="004B3981" w:rsidP="004B3981">
            <w:pPr>
              <w:jc w:val="both"/>
              <w:rPr>
                <w:rFonts w:ascii="Times New Roman" w:eastAsia="Calibri" w:hAnsi="Times New Roman" w:cs="Times New Roman"/>
                <w:sz w:val="20"/>
                <w:szCs w:val="20"/>
              </w:rPr>
            </w:pPr>
            <w:r w:rsidRPr="002C4E0D">
              <w:rPr>
                <w:rFonts w:ascii="Times New Roman" w:eastAsia="Times New Roman" w:hAnsi="Times New Roman" w:cs="Times New Roman"/>
                <w:sz w:val="20"/>
                <w:szCs w:val="20"/>
              </w:rPr>
              <w:t>Referenca</w:t>
            </w:r>
          </w:p>
        </w:tc>
        <w:tc>
          <w:tcPr>
            <w:tcW w:w="630" w:type="dxa"/>
            <w:shd w:val="clear" w:color="auto" w:fill="AEAAAA" w:themeFill="background2" w:themeFillShade="BF"/>
            <w:vAlign w:val="center"/>
          </w:tcPr>
          <w:p w14:paraId="56D3AF1C" w14:textId="4BA3E25B" w:rsidR="004B3981" w:rsidRPr="002C4E0D" w:rsidRDefault="004B3981" w:rsidP="004B3981">
            <w:pPr>
              <w:jc w:val="center"/>
              <w:rPr>
                <w:rFonts w:ascii="Times New Roman" w:eastAsia="Calibri" w:hAnsi="Times New Roman" w:cs="Times New Roman"/>
                <w:sz w:val="20"/>
                <w:szCs w:val="20"/>
                <w:lang w:val="en-US"/>
              </w:rPr>
            </w:pPr>
            <w:r w:rsidRPr="002C4E0D">
              <w:rPr>
                <w:rFonts w:ascii="Times New Roman" w:eastAsia="Times New Roman" w:hAnsi="Times New Roman" w:cs="Times New Roman"/>
                <w:sz w:val="20"/>
                <w:szCs w:val="20"/>
              </w:rPr>
              <w:t>Neni</w:t>
            </w:r>
          </w:p>
        </w:tc>
        <w:tc>
          <w:tcPr>
            <w:tcW w:w="4964" w:type="dxa"/>
            <w:shd w:val="clear" w:color="auto" w:fill="AEAAAA" w:themeFill="background2" w:themeFillShade="BF"/>
            <w:vAlign w:val="center"/>
          </w:tcPr>
          <w:p w14:paraId="11F1B019" w14:textId="692F970C" w:rsidR="004B3981" w:rsidRPr="002C4E0D" w:rsidRDefault="004B3981" w:rsidP="004B3981">
            <w:pPr>
              <w:jc w:val="center"/>
              <w:rPr>
                <w:rFonts w:ascii="Times New Roman" w:hAnsi="Times New Roman" w:cs="Times New Roman"/>
                <w:sz w:val="20"/>
                <w:szCs w:val="20"/>
              </w:rPr>
            </w:pPr>
            <w:r w:rsidRPr="002C4E0D">
              <w:rPr>
                <w:rFonts w:ascii="Times New Roman" w:eastAsia="Times New Roman" w:hAnsi="Times New Roman" w:cs="Times New Roman"/>
                <w:sz w:val="20"/>
                <w:szCs w:val="20"/>
              </w:rPr>
              <w:t>Teksti</w:t>
            </w:r>
          </w:p>
        </w:tc>
        <w:tc>
          <w:tcPr>
            <w:tcW w:w="720" w:type="dxa"/>
            <w:shd w:val="clear" w:color="auto" w:fill="AEAAAA" w:themeFill="background2" w:themeFillShade="BF"/>
            <w:vAlign w:val="center"/>
          </w:tcPr>
          <w:p w14:paraId="7FFD6A46" w14:textId="61C286F7" w:rsidR="004B3981" w:rsidRPr="002C4E0D" w:rsidRDefault="004B3981" w:rsidP="004B3981">
            <w:pPr>
              <w:jc w:val="center"/>
              <w:rPr>
                <w:rFonts w:ascii="Times New Roman" w:eastAsia="Calibri" w:hAnsi="Times New Roman" w:cs="Times New Roman"/>
                <w:sz w:val="20"/>
                <w:szCs w:val="20"/>
                <w:lang w:val="en-US"/>
              </w:rPr>
            </w:pPr>
            <w:r w:rsidRPr="002C4E0D">
              <w:rPr>
                <w:rFonts w:ascii="Times New Roman" w:eastAsia="Times New Roman" w:hAnsi="Times New Roman" w:cs="Times New Roman"/>
                <w:sz w:val="20"/>
                <w:szCs w:val="20"/>
              </w:rPr>
              <w:t>Përputhshmëria</w:t>
            </w:r>
          </w:p>
        </w:tc>
        <w:tc>
          <w:tcPr>
            <w:tcW w:w="3406" w:type="dxa"/>
            <w:shd w:val="clear" w:color="auto" w:fill="AEAAAA" w:themeFill="background2" w:themeFillShade="BF"/>
            <w:vAlign w:val="center"/>
          </w:tcPr>
          <w:p w14:paraId="37E2EC4D" w14:textId="7EC0A93D" w:rsidR="004B3981" w:rsidRPr="002C4E0D" w:rsidRDefault="004B3981" w:rsidP="004B3981">
            <w:pPr>
              <w:jc w:val="center"/>
              <w:rPr>
                <w:rFonts w:ascii="Times New Roman" w:eastAsia="Calibri" w:hAnsi="Times New Roman" w:cs="Times New Roman"/>
                <w:iCs/>
                <w:sz w:val="20"/>
                <w:szCs w:val="20"/>
                <w:lang w:val="en-US"/>
              </w:rPr>
            </w:pPr>
            <w:r w:rsidRPr="002C4E0D">
              <w:rPr>
                <w:rFonts w:ascii="Times New Roman" w:eastAsia="Times New Roman" w:hAnsi="Times New Roman" w:cs="Times New Roman"/>
                <w:sz w:val="20"/>
                <w:szCs w:val="20"/>
              </w:rPr>
              <w:t>Shënime</w:t>
            </w:r>
          </w:p>
        </w:tc>
      </w:tr>
      <w:tr w:rsidR="00E01344" w:rsidRPr="0042075D" w14:paraId="492CC293" w14:textId="77777777" w:rsidTr="002C4E0D">
        <w:trPr>
          <w:trHeight w:val="629"/>
        </w:trPr>
        <w:tc>
          <w:tcPr>
            <w:tcW w:w="630" w:type="dxa"/>
            <w:shd w:val="clear" w:color="auto" w:fill="FFFFFF" w:themeFill="background1"/>
          </w:tcPr>
          <w:p w14:paraId="20D56DDB" w14:textId="77777777" w:rsidR="00E01344" w:rsidRPr="002C4E0D" w:rsidRDefault="00E01344" w:rsidP="00E01344">
            <w:pPr>
              <w:jc w:val="both"/>
              <w:rPr>
                <w:rFonts w:ascii="Times New Roman" w:eastAsia="Calibri" w:hAnsi="Times New Roman" w:cs="Times New Roman"/>
                <w:sz w:val="20"/>
                <w:szCs w:val="20"/>
                <w:lang w:val="en-US"/>
              </w:rPr>
            </w:pPr>
          </w:p>
        </w:tc>
        <w:tc>
          <w:tcPr>
            <w:tcW w:w="5310" w:type="dxa"/>
            <w:shd w:val="clear" w:color="auto" w:fill="FFFFFF" w:themeFill="background1"/>
          </w:tcPr>
          <w:p w14:paraId="7106481D" w14:textId="77777777" w:rsidR="00E01344" w:rsidRPr="0042075D" w:rsidRDefault="00E01344" w:rsidP="00E01344">
            <w:pPr>
              <w:spacing w:line="276" w:lineRule="auto"/>
              <w:jc w:val="both"/>
              <w:rPr>
                <w:rFonts w:ascii="Times New Roman" w:eastAsia="Calibri" w:hAnsi="Times New Roman" w:cs="Times New Roman"/>
                <w:iCs/>
                <w:sz w:val="20"/>
                <w:szCs w:val="20"/>
                <w:lang w:val="en-US"/>
              </w:rPr>
            </w:pPr>
          </w:p>
          <w:p w14:paraId="580575BA" w14:textId="15FEF4E9" w:rsidR="00E01344" w:rsidRPr="0042075D" w:rsidRDefault="00E01344" w:rsidP="00E01344">
            <w:pPr>
              <w:spacing w:line="276" w:lineRule="auto"/>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t>Neni 3</w:t>
            </w:r>
          </w:p>
          <w:p w14:paraId="64823F34" w14:textId="77777777" w:rsidR="00E01344" w:rsidRPr="0042075D" w:rsidRDefault="00E01344" w:rsidP="00E01344">
            <w:pPr>
              <w:spacing w:line="276" w:lineRule="auto"/>
              <w:jc w:val="both"/>
              <w:rPr>
                <w:rFonts w:ascii="Times New Roman" w:eastAsia="Calibri" w:hAnsi="Times New Roman" w:cs="Times New Roman"/>
                <w:iCs/>
                <w:sz w:val="20"/>
                <w:szCs w:val="20"/>
                <w:lang w:val="en-US"/>
              </w:rPr>
            </w:pPr>
          </w:p>
          <w:p w14:paraId="6DF974B3" w14:textId="77777777" w:rsidR="00E01344" w:rsidRPr="0042075D" w:rsidRDefault="00E01344" w:rsidP="00E01344">
            <w:pPr>
              <w:spacing w:line="276" w:lineRule="auto"/>
              <w:jc w:val="both"/>
              <w:rPr>
                <w:rFonts w:ascii="Times New Roman" w:eastAsia="Calibri" w:hAnsi="Times New Roman" w:cs="Times New Roman"/>
                <w:iCs/>
                <w:sz w:val="20"/>
                <w:szCs w:val="20"/>
                <w:lang w:val="en-US"/>
              </w:rPr>
            </w:pPr>
            <w:r w:rsidRPr="0042075D">
              <w:rPr>
                <w:rFonts w:ascii="Times New Roman" w:eastAsia="Calibri" w:hAnsi="Times New Roman" w:cs="Times New Roman"/>
                <w:iCs/>
                <w:sz w:val="20"/>
                <w:szCs w:val="20"/>
                <w:lang w:val="en-US"/>
              </w:rPr>
              <w:lastRenderedPageBreak/>
              <w:t>Kjo Direktivë hyn në fuqi në ditën e njëzetë pas botimit të saj në Gazetën Zyrtare të Bashkimit Evropian.</w:t>
            </w:r>
          </w:p>
          <w:p w14:paraId="36E43304" w14:textId="18256752" w:rsidR="00E01344" w:rsidRPr="0042075D" w:rsidRDefault="00E01344" w:rsidP="00E01344">
            <w:pPr>
              <w:spacing w:line="276" w:lineRule="auto"/>
              <w:jc w:val="both"/>
              <w:rPr>
                <w:rFonts w:ascii="Times New Roman" w:eastAsia="Calibri" w:hAnsi="Times New Roman" w:cs="Times New Roman"/>
                <w:iCs/>
                <w:sz w:val="20"/>
                <w:szCs w:val="20"/>
                <w:lang w:val="en-US"/>
              </w:rPr>
            </w:pPr>
          </w:p>
        </w:tc>
        <w:tc>
          <w:tcPr>
            <w:tcW w:w="540" w:type="dxa"/>
            <w:shd w:val="clear" w:color="auto" w:fill="FFFFFF" w:themeFill="background1"/>
          </w:tcPr>
          <w:p w14:paraId="6B85ECBA" w14:textId="22BD9F4F"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0BD79854" w14:textId="77777777" w:rsidR="00E01344" w:rsidRPr="002C4E0D" w:rsidRDefault="00E01344" w:rsidP="00E01344">
            <w:pPr>
              <w:jc w:val="center"/>
              <w:rPr>
                <w:rFonts w:ascii="Times New Roman" w:eastAsia="Calibri" w:hAnsi="Times New Roman" w:cs="Times New Roman"/>
                <w:sz w:val="20"/>
                <w:szCs w:val="20"/>
                <w:lang w:val="en-US"/>
              </w:rPr>
            </w:pPr>
          </w:p>
        </w:tc>
        <w:tc>
          <w:tcPr>
            <w:tcW w:w="4964" w:type="dxa"/>
            <w:shd w:val="clear" w:color="auto" w:fill="FFFFFF" w:themeFill="background1"/>
          </w:tcPr>
          <w:p w14:paraId="5C7A94C3" w14:textId="72CACC27" w:rsidR="00E01344" w:rsidRPr="002C4E0D" w:rsidRDefault="00E01344" w:rsidP="00E01344">
            <w:pPr>
              <w:spacing w:line="300" w:lineRule="atLeast"/>
              <w:rPr>
                <w:rFonts w:ascii="Segoe UI" w:eastAsia="Times New Roman" w:hAnsi="Segoe UI" w:cs="Segoe UI"/>
                <w:sz w:val="20"/>
                <w:szCs w:val="20"/>
                <w:lang w:eastAsia="sq-AL"/>
              </w:rPr>
            </w:pPr>
          </w:p>
          <w:p w14:paraId="68FB92A0" w14:textId="53A735D5" w:rsidR="00E01344" w:rsidRPr="002C4E0D" w:rsidRDefault="00E01344" w:rsidP="00E01344">
            <w:pPr>
              <w:jc w:val="center"/>
              <w:rPr>
                <w:rFonts w:ascii="Times New Roman" w:hAnsi="Times New Roman" w:cs="Times New Roman"/>
                <w:sz w:val="20"/>
                <w:szCs w:val="20"/>
              </w:rPr>
            </w:pPr>
            <w:r w:rsidRPr="002C4E0D">
              <w:rPr>
                <w:rFonts w:ascii="Times New Roman" w:hAnsi="Times New Roman" w:cs="Times New Roman"/>
                <w:sz w:val="20"/>
                <w:szCs w:val="20"/>
              </w:rPr>
              <w:t>N/A</w:t>
            </w:r>
          </w:p>
        </w:tc>
        <w:tc>
          <w:tcPr>
            <w:tcW w:w="720" w:type="dxa"/>
            <w:shd w:val="clear" w:color="auto" w:fill="FFFFFF" w:themeFill="background1"/>
          </w:tcPr>
          <w:p w14:paraId="49683661" w14:textId="77777777" w:rsidR="00E01344" w:rsidRPr="002C4E0D" w:rsidRDefault="00E01344" w:rsidP="00E01344">
            <w:pPr>
              <w:jc w:val="center"/>
              <w:rPr>
                <w:rFonts w:ascii="Times New Roman" w:eastAsia="Calibri" w:hAnsi="Times New Roman" w:cs="Times New Roman"/>
                <w:sz w:val="20"/>
                <w:szCs w:val="20"/>
                <w:lang w:val="en-US"/>
              </w:rPr>
            </w:pPr>
          </w:p>
          <w:p w14:paraId="1634E23D" w14:textId="6BBB7404"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shd w:val="clear" w:color="auto" w:fill="FFFFFF" w:themeFill="background1"/>
          </w:tcPr>
          <w:p w14:paraId="05D7F709" w14:textId="4907AA25" w:rsidR="00E01344" w:rsidRPr="002C4E0D" w:rsidRDefault="00E01344" w:rsidP="00E01344">
            <w:pPr>
              <w:spacing w:line="300" w:lineRule="atLeast"/>
              <w:rPr>
                <w:rFonts w:ascii="Times New Roman" w:eastAsia="Calibri" w:hAnsi="Times New Roman" w:cs="Times New Roman"/>
                <w:iCs/>
                <w:sz w:val="20"/>
                <w:szCs w:val="20"/>
                <w:lang w:val="en-US"/>
              </w:rPr>
            </w:pPr>
            <w:r w:rsidRPr="002C4E0D">
              <w:rPr>
                <w:rFonts w:ascii="Times New Roman" w:eastAsia="Calibri" w:hAnsi="Times New Roman" w:cs="Times New Roman"/>
                <w:iCs/>
                <w:sz w:val="20"/>
                <w:szCs w:val="20"/>
                <w:lang w:val="en-US"/>
              </w:rPr>
              <w:t xml:space="preserve">Kjo dispozitë rregullon hyrjen në fuqi të Direktivës në nivel të BE-së dhe nuk përmban rregulla thelbësore që </w:t>
            </w:r>
            <w:r w:rsidRPr="002C4E0D">
              <w:rPr>
                <w:rFonts w:ascii="Times New Roman" w:eastAsia="Calibri" w:hAnsi="Times New Roman" w:cs="Times New Roman"/>
                <w:iCs/>
                <w:sz w:val="20"/>
                <w:szCs w:val="20"/>
                <w:lang w:val="en-US"/>
              </w:rPr>
              <w:lastRenderedPageBreak/>
              <w:t>kërkojnë transpozim në ligjin kombëtar.</w:t>
            </w:r>
          </w:p>
        </w:tc>
      </w:tr>
      <w:tr w:rsidR="00E01344" w:rsidRPr="0042075D" w14:paraId="547ED3E3" w14:textId="77777777" w:rsidTr="002C4E0D">
        <w:trPr>
          <w:trHeight w:val="1493"/>
        </w:trPr>
        <w:tc>
          <w:tcPr>
            <w:tcW w:w="630" w:type="dxa"/>
            <w:shd w:val="clear" w:color="auto" w:fill="FFFFFF" w:themeFill="background1"/>
          </w:tcPr>
          <w:p w14:paraId="6BBD1735" w14:textId="77777777" w:rsidR="00E01344" w:rsidRPr="002C4E0D" w:rsidRDefault="00E01344" w:rsidP="00E01344">
            <w:pPr>
              <w:jc w:val="both"/>
              <w:rPr>
                <w:rFonts w:ascii="Times New Roman" w:eastAsia="Calibri" w:hAnsi="Times New Roman" w:cs="Times New Roman"/>
                <w:sz w:val="20"/>
                <w:szCs w:val="20"/>
                <w:lang w:val="en-US"/>
              </w:rPr>
            </w:pPr>
          </w:p>
        </w:tc>
        <w:tc>
          <w:tcPr>
            <w:tcW w:w="5310" w:type="dxa"/>
            <w:shd w:val="clear" w:color="auto" w:fill="FFFFFF" w:themeFill="background1"/>
          </w:tcPr>
          <w:p w14:paraId="50304D0E" w14:textId="5F41CD4F" w:rsidR="00E01344" w:rsidRPr="0042075D" w:rsidRDefault="00E01344" w:rsidP="00E01344">
            <w:pPr>
              <w:rPr>
                <w:rFonts w:ascii="Times New Roman" w:eastAsia="Calibri" w:hAnsi="Times New Roman" w:cs="Times New Roman"/>
                <w:iCs/>
                <w:sz w:val="20"/>
                <w:szCs w:val="20"/>
              </w:rPr>
            </w:pPr>
          </w:p>
          <w:p w14:paraId="052572A4" w14:textId="77777777"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Neni 4</w:t>
            </w:r>
          </w:p>
          <w:p w14:paraId="08ABC12B" w14:textId="77777777" w:rsidR="00E01344" w:rsidRPr="0042075D" w:rsidRDefault="00E01344" w:rsidP="00E01344">
            <w:pPr>
              <w:rPr>
                <w:rFonts w:ascii="Times New Roman" w:eastAsia="Calibri" w:hAnsi="Times New Roman" w:cs="Times New Roman"/>
                <w:sz w:val="20"/>
                <w:szCs w:val="20"/>
              </w:rPr>
            </w:pPr>
          </w:p>
          <w:p w14:paraId="2964AFA0" w14:textId="401E3BF4"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Kjo Direktivë u drejtohet Shteteve Anëtare.</w:t>
            </w:r>
          </w:p>
        </w:tc>
        <w:tc>
          <w:tcPr>
            <w:tcW w:w="540" w:type="dxa"/>
            <w:shd w:val="clear" w:color="auto" w:fill="FFFFFF" w:themeFill="background1"/>
          </w:tcPr>
          <w:p w14:paraId="6808F537" w14:textId="5F9566A6"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3AB424BC"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7E79F253" w14:textId="77777777" w:rsidR="00E01344" w:rsidRPr="002C4E0D" w:rsidRDefault="00E01344" w:rsidP="00E01344">
            <w:pPr>
              <w:spacing w:line="300" w:lineRule="atLeast"/>
              <w:jc w:val="center"/>
              <w:rPr>
                <w:rFonts w:ascii="Times New Roman" w:hAnsi="Times New Roman" w:cs="Times New Roman"/>
                <w:sz w:val="20"/>
                <w:szCs w:val="20"/>
              </w:rPr>
            </w:pPr>
          </w:p>
          <w:p w14:paraId="2BF20D66" w14:textId="47A77680" w:rsidR="00E01344" w:rsidRPr="002C4E0D" w:rsidRDefault="00E01344" w:rsidP="00E01344">
            <w:pPr>
              <w:spacing w:line="300" w:lineRule="atLeast"/>
              <w:jc w:val="center"/>
              <w:rPr>
                <w:rFonts w:ascii="Times New Roman" w:hAnsi="Times New Roman" w:cs="Times New Roman"/>
                <w:sz w:val="20"/>
                <w:szCs w:val="20"/>
              </w:rPr>
            </w:pPr>
            <w:r w:rsidRPr="002C4E0D">
              <w:rPr>
                <w:rFonts w:ascii="Times New Roman" w:hAnsi="Times New Roman" w:cs="Times New Roman"/>
                <w:sz w:val="20"/>
                <w:szCs w:val="20"/>
              </w:rPr>
              <w:t>N/A</w:t>
            </w:r>
          </w:p>
        </w:tc>
        <w:tc>
          <w:tcPr>
            <w:tcW w:w="720" w:type="dxa"/>
            <w:shd w:val="clear" w:color="auto" w:fill="FFFFFF" w:themeFill="background1"/>
          </w:tcPr>
          <w:p w14:paraId="76786F9F" w14:textId="77777777" w:rsidR="00E01344" w:rsidRPr="002C4E0D" w:rsidRDefault="00E01344" w:rsidP="00E01344">
            <w:pPr>
              <w:jc w:val="center"/>
              <w:rPr>
                <w:rFonts w:ascii="Times New Roman" w:eastAsia="Calibri" w:hAnsi="Times New Roman" w:cs="Times New Roman"/>
                <w:sz w:val="20"/>
                <w:szCs w:val="20"/>
                <w:lang w:val="en-US"/>
              </w:rPr>
            </w:pPr>
          </w:p>
          <w:p w14:paraId="7FF8D85E" w14:textId="31BB38A2"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shd w:val="clear" w:color="auto" w:fill="FFFFFF" w:themeFill="background1"/>
          </w:tcPr>
          <w:p w14:paraId="089197F2" w14:textId="67361878" w:rsidR="00E01344" w:rsidRPr="002C4E0D" w:rsidRDefault="00E01344" w:rsidP="00E01344">
            <w:pPr>
              <w:spacing w:line="300" w:lineRule="atLeast"/>
              <w:rPr>
                <w:rFonts w:ascii="Times New Roman" w:eastAsia="Calibri" w:hAnsi="Times New Roman" w:cs="Times New Roman"/>
                <w:iCs/>
                <w:sz w:val="20"/>
                <w:szCs w:val="20"/>
                <w:lang w:val="en-US"/>
              </w:rPr>
            </w:pPr>
            <w:r w:rsidRPr="002C4E0D">
              <w:rPr>
                <w:rFonts w:ascii="Times New Roman" w:eastAsia="Calibri" w:hAnsi="Times New Roman" w:cs="Times New Roman"/>
                <w:iCs/>
                <w:sz w:val="20"/>
                <w:szCs w:val="20"/>
                <w:lang w:val="en-US"/>
              </w:rPr>
              <w:t>Dispozitë formale. Kjo dispozitë specifikon se Direktiva u drejtohet Shteteve Anëtare dhe nuk përmban rregulla thelbësore që kërkojnë transpozim në ligjin kombëtar.</w:t>
            </w:r>
          </w:p>
        </w:tc>
      </w:tr>
      <w:tr w:rsidR="00E01344" w:rsidRPr="0042075D" w14:paraId="15B85380" w14:textId="77777777" w:rsidTr="002C4E0D">
        <w:trPr>
          <w:trHeight w:val="1493"/>
        </w:trPr>
        <w:tc>
          <w:tcPr>
            <w:tcW w:w="630" w:type="dxa"/>
            <w:shd w:val="clear" w:color="auto" w:fill="FFFFFF" w:themeFill="background1"/>
          </w:tcPr>
          <w:p w14:paraId="3335DA14" w14:textId="77777777" w:rsidR="00E01344" w:rsidRPr="002C4E0D" w:rsidRDefault="00E01344" w:rsidP="00E01344">
            <w:pPr>
              <w:jc w:val="both"/>
              <w:rPr>
                <w:rFonts w:ascii="Times New Roman" w:eastAsia="Calibri" w:hAnsi="Times New Roman" w:cs="Times New Roman"/>
                <w:sz w:val="20"/>
                <w:szCs w:val="20"/>
                <w:lang w:val="en-US"/>
              </w:rPr>
            </w:pPr>
          </w:p>
        </w:tc>
        <w:tc>
          <w:tcPr>
            <w:tcW w:w="5310" w:type="dxa"/>
            <w:shd w:val="clear" w:color="auto" w:fill="FFFFFF" w:themeFill="background1"/>
          </w:tcPr>
          <w:p w14:paraId="55A13BCB" w14:textId="77777777" w:rsidR="00E01344" w:rsidRPr="0042075D" w:rsidRDefault="00E01344" w:rsidP="00E01344">
            <w:pPr>
              <w:jc w:val="center"/>
              <w:rPr>
                <w:rFonts w:ascii="Times New Roman" w:eastAsia="Calibri" w:hAnsi="Times New Roman" w:cs="Times New Roman"/>
                <w:iCs/>
                <w:sz w:val="20"/>
                <w:szCs w:val="20"/>
              </w:rPr>
            </w:pPr>
          </w:p>
          <w:p w14:paraId="33FBFE5E" w14:textId="62E3BB9C" w:rsidR="00E01344" w:rsidRPr="0042075D" w:rsidRDefault="00E01344" w:rsidP="00E01344">
            <w:pPr>
              <w:jc w:val="cente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N/A</w:t>
            </w:r>
          </w:p>
        </w:tc>
        <w:tc>
          <w:tcPr>
            <w:tcW w:w="540" w:type="dxa"/>
            <w:shd w:val="clear" w:color="auto" w:fill="FFFFFF" w:themeFill="background1"/>
          </w:tcPr>
          <w:p w14:paraId="655A3277" w14:textId="018FDD0E"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504EE2A9" w14:textId="421E59F1"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Neni 20</w:t>
            </w:r>
          </w:p>
        </w:tc>
        <w:tc>
          <w:tcPr>
            <w:tcW w:w="4964" w:type="dxa"/>
            <w:shd w:val="clear" w:color="auto" w:fill="FFFFFF" w:themeFill="background1"/>
          </w:tcPr>
          <w:p w14:paraId="268939B1" w14:textId="77777777" w:rsidR="00E01344" w:rsidRPr="002C4E0D" w:rsidRDefault="00E01344" w:rsidP="00E01344">
            <w:pPr>
              <w:spacing w:line="300" w:lineRule="atLeast"/>
              <w:jc w:val="center"/>
              <w:rPr>
                <w:rFonts w:ascii="Times New Roman" w:hAnsi="Times New Roman" w:cs="Times New Roman"/>
                <w:b/>
                <w:sz w:val="20"/>
                <w:szCs w:val="20"/>
              </w:rPr>
            </w:pPr>
            <w:r w:rsidRPr="002C4E0D">
              <w:rPr>
                <w:rFonts w:ascii="Times New Roman" w:hAnsi="Times New Roman" w:cs="Times New Roman"/>
                <w:b/>
                <w:sz w:val="20"/>
                <w:szCs w:val="20"/>
              </w:rPr>
              <w:t>Neni 20</w:t>
            </w:r>
          </w:p>
          <w:p w14:paraId="79770F24" w14:textId="77777777" w:rsidR="00E01344" w:rsidRPr="002C4E0D" w:rsidRDefault="00E01344" w:rsidP="00E01344">
            <w:pPr>
              <w:spacing w:line="300" w:lineRule="atLeast"/>
              <w:jc w:val="center"/>
              <w:rPr>
                <w:rFonts w:ascii="Times New Roman" w:hAnsi="Times New Roman" w:cs="Times New Roman"/>
                <w:b/>
                <w:sz w:val="20"/>
                <w:szCs w:val="20"/>
              </w:rPr>
            </w:pPr>
            <w:r w:rsidRPr="002C4E0D">
              <w:rPr>
                <w:rFonts w:ascii="Times New Roman" w:hAnsi="Times New Roman" w:cs="Times New Roman"/>
                <w:b/>
                <w:sz w:val="20"/>
                <w:szCs w:val="20"/>
              </w:rPr>
              <w:t>Aktet nënligjore dhe rregullat e zbatimit</w:t>
            </w:r>
          </w:p>
          <w:p w14:paraId="678CE218" w14:textId="77777777" w:rsidR="00E01344" w:rsidRPr="002C4E0D" w:rsidRDefault="00E01344" w:rsidP="00E01344">
            <w:pPr>
              <w:spacing w:line="300" w:lineRule="atLeast"/>
              <w:jc w:val="center"/>
              <w:rPr>
                <w:rFonts w:ascii="Times New Roman" w:hAnsi="Times New Roman" w:cs="Times New Roman"/>
                <w:sz w:val="20"/>
                <w:szCs w:val="20"/>
              </w:rPr>
            </w:pPr>
          </w:p>
          <w:p w14:paraId="7D5A48A7" w14:textId="2EEFB0D4" w:rsidR="00E01344" w:rsidRPr="002C4E0D" w:rsidRDefault="00E3553B" w:rsidP="002C4E0D">
            <w:pPr>
              <w:spacing w:line="300" w:lineRule="atLeast"/>
              <w:rPr>
                <w:rFonts w:ascii="Times New Roman" w:hAnsi="Times New Roman" w:cs="Times New Roman"/>
                <w:sz w:val="20"/>
                <w:szCs w:val="20"/>
              </w:rPr>
            </w:pPr>
            <w:r w:rsidRPr="002C4E0D">
              <w:rPr>
                <w:rFonts w:ascii="Times New Roman" w:hAnsi="Times New Roman" w:cs="Times New Roman"/>
                <w:sz w:val="20"/>
                <w:szCs w:val="20"/>
              </w:rPr>
              <w:t>Ngarkohet këshilli i ministrave të nxjerrë Vendim në zbatim të këtij ligji brenda 6 muajve nga hyrja e tij në fuqi.</w:t>
            </w:r>
          </w:p>
        </w:tc>
        <w:tc>
          <w:tcPr>
            <w:tcW w:w="720" w:type="dxa"/>
            <w:shd w:val="clear" w:color="auto" w:fill="FFFFFF" w:themeFill="background1"/>
          </w:tcPr>
          <w:p w14:paraId="0BA23804" w14:textId="2D3CAF39"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shd w:val="clear" w:color="auto" w:fill="FFFFFF" w:themeFill="background1"/>
          </w:tcPr>
          <w:p w14:paraId="694BA2FB" w14:textId="21FDD921" w:rsidR="00E01344" w:rsidRPr="002C4E0D" w:rsidRDefault="00E01344" w:rsidP="00E01344">
            <w:pPr>
              <w:spacing w:line="300" w:lineRule="atLeast"/>
              <w:rPr>
                <w:rFonts w:ascii="Times New Roman" w:eastAsia="Calibri" w:hAnsi="Times New Roman" w:cs="Times New Roman"/>
                <w:iCs/>
                <w:sz w:val="20"/>
                <w:szCs w:val="20"/>
                <w:lang w:val="en-US"/>
              </w:rPr>
            </w:pPr>
            <w:r w:rsidRPr="002C4E0D">
              <w:rPr>
                <w:rFonts w:ascii="Times New Roman" w:eastAsia="Calibri" w:hAnsi="Times New Roman" w:cs="Times New Roman"/>
                <w:iCs/>
                <w:sz w:val="20"/>
                <w:szCs w:val="20"/>
                <w:lang w:val="en-US"/>
              </w:rPr>
              <w:t>Dispozitë kombëtare që rregullon nxjerrjen e akteve nënligjore dhe organizimin e zbatimit të ligjit.</w:t>
            </w:r>
          </w:p>
        </w:tc>
      </w:tr>
      <w:tr w:rsidR="00E01344" w:rsidRPr="0042075D" w14:paraId="39688468" w14:textId="77777777" w:rsidTr="002C4E0D">
        <w:trPr>
          <w:trHeight w:val="1493"/>
        </w:trPr>
        <w:tc>
          <w:tcPr>
            <w:tcW w:w="630" w:type="dxa"/>
            <w:shd w:val="clear" w:color="auto" w:fill="FFFFFF" w:themeFill="background1"/>
          </w:tcPr>
          <w:p w14:paraId="24122223" w14:textId="77777777" w:rsidR="00E01344" w:rsidRPr="002C4E0D" w:rsidRDefault="00E01344" w:rsidP="00E01344">
            <w:pPr>
              <w:jc w:val="both"/>
              <w:rPr>
                <w:rFonts w:ascii="Times New Roman" w:eastAsia="Calibri" w:hAnsi="Times New Roman" w:cs="Times New Roman"/>
                <w:sz w:val="20"/>
                <w:szCs w:val="20"/>
                <w:lang w:val="en-US"/>
              </w:rPr>
            </w:pPr>
          </w:p>
        </w:tc>
        <w:tc>
          <w:tcPr>
            <w:tcW w:w="5310" w:type="dxa"/>
            <w:shd w:val="clear" w:color="auto" w:fill="FFFFFF" w:themeFill="background1"/>
          </w:tcPr>
          <w:p w14:paraId="66B44FEF" w14:textId="4D9AED8E" w:rsidR="00E01344" w:rsidRPr="0042075D" w:rsidRDefault="00E01344" w:rsidP="00E01344">
            <w:pPr>
              <w:jc w:val="cente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N/A</w:t>
            </w:r>
          </w:p>
        </w:tc>
        <w:tc>
          <w:tcPr>
            <w:tcW w:w="540" w:type="dxa"/>
            <w:shd w:val="clear" w:color="auto" w:fill="FFFFFF" w:themeFill="background1"/>
          </w:tcPr>
          <w:p w14:paraId="2E6B7F02" w14:textId="07200109"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6CF43AE1" w14:textId="16E33E2A"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Neni 21</w:t>
            </w:r>
          </w:p>
        </w:tc>
        <w:tc>
          <w:tcPr>
            <w:tcW w:w="4964" w:type="dxa"/>
            <w:shd w:val="clear" w:color="auto" w:fill="FFFFFF" w:themeFill="background1"/>
          </w:tcPr>
          <w:p w14:paraId="3F0E9F5D" w14:textId="77777777" w:rsidR="00E01344" w:rsidRPr="002C4E0D" w:rsidRDefault="00E01344" w:rsidP="00E01344">
            <w:pPr>
              <w:spacing w:line="300" w:lineRule="atLeast"/>
              <w:jc w:val="center"/>
              <w:rPr>
                <w:rFonts w:ascii="Times New Roman" w:hAnsi="Times New Roman" w:cs="Times New Roman"/>
                <w:b/>
                <w:sz w:val="20"/>
                <w:szCs w:val="20"/>
              </w:rPr>
            </w:pPr>
            <w:r w:rsidRPr="002C4E0D">
              <w:rPr>
                <w:rFonts w:ascii="Times New Roman" w:hAnsi="Times New Roman" w:cs="Times New Roman"/>
                <w:b/>
                <w:sz w:val="20"/>
                <w:szCs w:val="20"/>
              </w:rPr>
              <w:t>Neni 21</w:t>
            </w:r>
          </w:p>
          <w:p w14:paraId="2F049731" w14:textId="77777777" w:rsidR="00E01344" w:rsidRPr="002C4E0D" w:rsidRDefault="00E01344" w:rsidP="00E01344">
            <w:pPr>
              <w:spacing w:line="300" w:lineRule="atLeast"/>
              <w:jc w:val="center"/>
              <w:rPr>
                <w:rFonts w:ascii="Times New Roman" w:hAnsi="Times New Roman" w:cs="Times New Roman"/>
                <w:b/>
                <w:sz w:val="20"/>
                <w:szCs w:val="20"/>
              </w:rPr>
            </w:pPr>
            <w:r w:rsidRPr="002C4E0D">
              <w:rPr>
                <w:rFonts w:ascii="Times New Roman" w:hAnsi="Times New Roman" w:cs="Times New Roman"/>
                <w:b/>
                <w:sz w:val="20"/>
                <w:szCs w:val="20"/>
              </w:rPr>
              <w:t>Hyrja në fuqi</w:t>
            </w:r>
          </w:p>
          <w:p w14:paraId="5E28F58F" w14:textId="77777777" w:rsidR="00E01344" w:rsidRPr="002C4E0D" w:rsidRDefault="00E01344" w:rsidP="00E01344">
            <w:pPr>
              <w:spacing w:line="300" w:lineRule="atLeast"/>
              <w:rPr>
                <w:rFonts w:ascii="Times New Roman" w:hAnsi="Times New Roman" w:cs="Times New Roman"/>
                <w:sz w:val="20"/>
                <w:szCs w:val="20"/>
              </w:rPr>
            </w:pPr>
          </w:p>
          <w:p w14:paraId="64616915" w14:textId="77777777" w:rsidR="00E01344" w:rsidRPr="002C4E0D" w:rsidRDefault="00E01344" w:rsidP="00E01344">
            <w:pPr>
              <w:spacing w:line="300" w:lineRule="atLeast"/>
              <w:rPr>
                <w:rFonts w:ascii="Times New Roman" w:hAnsi="Times New Roman" w:cs="Times New Roman"/>
                <w:sz w:val="20"/>
                <w:szCs w:val="20"/>
              </w:rPr>
            </w:pPr>
            <w:r w:rsidRPr="002C4E0D">
              <w:rPr>
                <w:rFonts w:ascii="Times New Roman" w:hAnsi="Times New Roman" w:cs="Times New Roman"/>
                <w:sz w:val="20"/>
                <w:szCs w:val="20"/>
              </w:rPr>
              <w:t>1.</w:t>
            </w:r>
            <w:r w:rsidRPr="002C4E0D">
              <w:rPr>
                <w:rFonts w:ascii="Times New Roman" w:hAnsi="Times New Roman" w:cs="Times New Roman"/>
                <w:sz w:val="20"/>
                <w:szCs w:val="20"/>
              </w:rPr>
              <w:tab/>
              <w:t>Ky ligj hyn në fuqi 15 ditë pas botimit në Fletoren Zyrtare.</w:t>
            </w:r>
          </w:p>
          <w:p w14:paraId="7083AAB1" w14:textId="08092752" w:rsidR="00E01344" w:rsidRPr="002C4E0D" w:rsidRDefault="00E01344" w:rsidP="00E01344">
            <w:pPr>
              <w:spacing w:line="300" w:lineRule="atLeast"/>
              <w:rPr>
                <w:rFonts w:ascii="Times New Roman" w:hAnsi="Times New Roman" w:cs="Times New Roman"/>
                <w:b/>
                <w:sz w:val="20"/>
                <w:szCs w:val="20"/>
              </w:rPr>
            </w:pPr>
            <w:r w:rsidRPr="002C4E0D">
              <w:rPr>
                <w:rFonts w:ascii="Times New Roman" w:hAnsi="Times New Roman" w:cs="Times New Roman"/>
                <w:sz w:val="20"/>
                <w:szCs w:val="20"/>
              </w:rPr>
              <w:t>2.</w:t>
            </w:r>
            <w:r w:rsidRPr="002C4E0D">
              <w:rPr>
                <w:rFonts w:ascii="Times New Roman" w:hAnsi="Times New Roman" w:cs="Times New Roman"/>
                <w:sz w:val="20"/>
                <w:szCs w:val="20"/>
              </w:rPr>
              <w:tab/>
              <w:t>Efektet e këtij Ligji do të zbatohen në datën e anëtarësimit të Shqipërisë në Bashkimin Evropian, në përputhje me Traktatin e Anëtarësimit.</w:t>
            </w:r>
          </w:p>
        </w:tc>
        <w:tc>
          <w:tcPr>
            <w:tcW w:w="720" w:type="dxa"/>
            <w:shd w:val="clear" w:color="auto" w:fill="FFFFFF" w:themeFill="background1"/>
          </w:tcPr>
          <w:p w14:paraId="06384A4E" w14:textId="4F1499A6" w:rsidR="00E01344" w:rsidRPr="002C4E0D" w:rsidRDefault="00E01344" w:rsidP="00E01344">
            <w:pPr>
              <w:jc w:val="center"/>
              <w:rPr>
                <w:rFonts w:ascii="Times New Roman" w:eastAsia="Calibri" w:hAnsi="Times New Roman" w:cs="Times New Roman"/>
                <w:sz w:val="20"/>
                <w:szCs w:val="20"/>
                <w:lang w:val="en-US"/>
              </w:rPr>
            </w:pPr>
            <w:r w:rsidRPr="002C4E0D">
              <w:rPr>
                <w:rFonts w:ascii="Times New Roman" w:eastAsia="Calibri" w:hAnsi="Times New Roman" w:cs="Times New Roman"/>
                <w:sz w:val="20"/>
                <w:szCs w:val="20"/>
                <w:lang w:val="en-US"/>
              </w:rPr>
              <w:t>N/A</w:t>
            </w:r>
          </w:p>
        </w:tc>
        <w:tc>
          <w:tcPr>
            <w:tcW w:w="3406" w:type="dxa"/>
            <w:shd w:val="clear" w:color="auto" w:fill="FFFFFF" w:themeFill="background1"/>
          </w:tcPr>
          <w:p w14:paraId="38874B82" w14:textId="6E45A95E" w:rsidR="00E01344" w:rsidRPr="002C4E0D" w:rsidRDefault="00E01344" w:rsidP="00E01344">
            <w:pPr>
              <w:spacing w:line="300" w:lineRule="atLeast"/>
              <w:rPr>
                <w:rFonts w:ascii="Times New Roman" w:eastAsia="Calibri" w:hAnsi="Times New Roman" w:cs="Times New Roman"/>
                <w:iCs/>
                <w:sz w:val="20"/>
                <w:szCs w:val="20"/>
                <w:lang w:val="en-US"/>
              </w:rPr>
            </w:pPr>
            <w:r w:rsidRPr="002C4E0D">
              <w:rPr>
                <w:rFonts w:ascii="Times New Roman" w:eastAsia="Calibri" w:hAnsi="Times New Roman" w:cs="Times New Roman"/>
                <w:iCs/>
                <w:sz w:val="20"/>
                <w:szCs w:val="20"/>
                <w:lang w:val="en-US"/>
              </w:rPr>
              <w:t>Dispozitë kombëtare që rregullon hyrjen në fuqi dhe fillimin e zbatimit të ligjit.</w:t>
            </w:r>
          </w:p>
        </w:tc>
      </w:tr>
      <w:tr w:rsidR="00E01344" w:rsidRPr="0042075D" w14:paraId="2130DDEF" w14:textId="77777777" w:rsidTr="002C4E0D">
        <w:trPr>
          <w:trHeight w:val="2402"/>
        </w:trPr>
        <w:tc>
          <w:tcPr>
            <w:tcW w:w="630" w:type="dxa"/>
            <w:shd w:val="clear" w:color="auto" w:fill="FFFFFF" w:themeFill="background1"/>
          </w:tcPr>
          <w:p w14:paraId="65F187CB" w14:textId="77777777" w:rsidR="00E01344" w:rsidRPr="002C4E0D" w:rsidRDefault="00E01344" w:rsidP="00E01344">
            <w:pPr>
              <w:jc w:val="both"/>
              <w:rPr>
                <w:rFonts w:ascii="Times New Roman" w:eastAsia="Calibri" w:hAnsi="Times New Roman" w:cs="Times New Roman"/>
                <w:sz w:val="20"/>
                <w:szCs w:val="20"/>
                <w:lang w:val="en-US"/>
              </w:rPr>
            </w:pPr>
          </w:p>
        </w:tc>
        <w:tc>
          <w:tcPr>
            <w:tcW w:w="5310" w:type="dxa"/>
            <w:shd w:val="clear" w:color="auto" w:fill="FFFFFF" w:themeFill="background1"/>
          </w:tcPr>
          <w:p w14:paraId="7DF35C45" w14:textId="56A6E951" w:rsidR="00E01344" w:rsidRPr="002C4E0D" w:rsidRDefault="00E01344" w:rsidP="00E01344">
            <w:pPr>
              <w:rPr>
                <w:rFonts w:ascii="Times New Roman" w:eastAsia="Calibri" w:hAnsi="Times New Roman" w:cs="Times New Roman"/>
                <w:iCs/>
                <w:sz w:val="20"/>
                <w:szCs w:val="20"/>
              </w:rPr>
            </w:pPr>
          </w:p>
          <w:p w14:paraId="3D2BCBB0" w14:textId="035B79CB" w:rsidR="00E01344" w:rsidRPr="002C4E0D" w:rsidRDefault="00E01344" w:rsidP="00E01344">
            <w:pPr>
              <w:rPr>
                <w:rFonts w:ascii="Times New Roman" w:eastAsia="Calibri" w:hAnsi="Times New Roman" w:cs="Times New Roman"/>
                <w:sz w:val="20"/>
                <w:szCs w:val="20"/>
              </w:rPr>
            </w:pPr>
          </w:p>
          <w:p w14:paraId="2ED84E9E" w14:textId="381355E2"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SHTOJCA IV</w:t>
            </w:r>
          </w:p>
          <w:p w14:paraId="3B4CD67F" w14:textId="77777777" w:rsidR="00E01344" w:rsidRPr="0042075D" w:rsidRDefault="00E01344" w:rsidP="00E01344">
            <w:pPr>
              <w:rPr>
                <w:rFonts w:ascii="Times New Roman" w:eastAsia="Calibri" w:hAnsi="Times New Roman" w:cs="Times New Roman"/>
                <w:sz w:val="20"/>
                <w:szCs w:val="20"/>
              </w:rPr>
            </w:pPr>
          </w:p>
          <w:p w14:paraId="0DCD8A7A" w14:textId="77777777"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SHENJA VALUTORE</w:t>
            </w:r>
          </w:p>
          <w:p w14:paraId="2146109C" w14:textId="77777777" w:rsidR="00E01344" w:rsidRPr="0042075D" w:rsidRDefault="00E01344" w:rsidP="00E01344">
            <w:pPr>
              <w:rPr>
                <w:rFonts w:ascii="Times New Roman" w:eastAsia="Calibri" w:hAnsi="Times New Roman" w:cs="Times New Roman"/>
                <w:sz w:val="20"/>
                <w:szCs w:val="20"/>
              </w:rPr>
            </w:pPr>
          </w:p>
          <w:p w14:paraId="17F8038C" w14:textId="77777777"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Pjesa I. Testi i përfitimit kryesor</w:t>
            </w:r>
          </w:p>
          <w:p w14:paraId="20ACC14B" w14:textId="77777777" w:rsidR="00E01344" w:rsidRPr="0042075D" w:rsidRDefault="00E01344" w:rsidP="00E01344">
            <w:pPr>
              <w:rPr>
                <w:rFonts w:ascii="Times New Roman" w:eastAsia="Calibri" w:hAnsi="Times New Roman" w:cs="Times New Roman"/>
                <w:sz w:val="20"/>
                <w:szCs w:val="20"/>
              </w:rPr>
            </w:pPr>
          </w:p>
          <w:p w14:paraId="1E800CE6" w14:textId="77777777"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Shenjat dalluese të përgjithshme sipas kategorisë A dhe shenjat dalluese specifike sipas kategorisë B dhe sipas pikave (b)(i), (c) dhe (d) të paragrafit 1 të kategorisë C mund të merren parasysh vetëm kur ato plotësojnë "testin e përfitimit kryesor".</w:t>
            </w:r>
          </w:p>
          <w:p w14:paraId="317BA54D" w14:textId="77777777" w:rsidR="00E01344" w:rsidRPr="0042075D" w:rsidRDefault="00E01344" w:rsidP="00E01344">
            <w:pPr>
              <w:rPr>
                <w:rFonts w:ascii="Times New Roman" w:eastAsia="Calibri" w:hAnsi="Times New Roman" w:cs="Times New Roman"/>
                <w:sz w:val="20"/>
                <w:szCs w:val="20"/>
              </w:rPr>
            </w:pPr>
          </w:p>
          <w:p w14:paraId="6F815B54" w14:textId="77777777" w:rsidR="00E01344" w:rsidRPr="0042075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Ky test do të përmbushet nëse mund të përcaktohet se përfitimi kryesor ose një nga përfitimet kryesore që, duke pasur parasysh të gjitha faktet dhe rrethanat përkatëse, një person mund të presë në mënyrë të arsyeshme të nxjerrë nga një marrëveshje është marrja e një avantazhi tatimor.</w:t>
            </w:r>
          </w:p>
          <w:p w14:paraId="509995FB" w14:textId="77777777" w:rsidR="00E01344" w:rsidRPr="0042075D" w:rsidRDefault="00E01344" w:rsidP="00E01344">
            <w:pPr>
              <w:rPr>
                <w:rFonts w:ascii="Times New Roman" w:eastAsia="Calibri" w:hAnsi="Times New Roman" w:cs="Times New Roman"/>
                <w:sz w:val="20"/>
                <w:szCs w:val="20"/>
              </w:rPr>
            </w:pPr>
          </w:p>
          <w:p w14:paraId="5C519EF7" w14:textId="2F1BB0C0" w:rsidR="00E01344" w:rsidRPr="002C4E0D" w:rsidRDefault="00E01344" w:rsidP="00E01344">
            <w:pPr>
              <w:rPr>
                <w:rFonts w:ascii="Times New Roman" w:eastAsia="Calibri" w:hAnsi="Times New Roman" w:cs="Times New Roman"/>
                <w:sz w:val="20"/>
                <w:szCs w:val="20"/>
              </w:rPr>
            </w:pPr>
            <w:r w:rsidRPr="0042075D">
              <w:rPr>
                <w:rFonts w:ascii="Times New Roman" w:eastAsia="Calibri" w:hAnsi="Times New Roman" w:cs="Times New Roman"/>
                <w:sz w:val="20"/>
                <w:szCs w:val="20"/>
              </w:rPr>
              <w:t>Në kontekstin e markës tregtare sipas paragrafit 1 të kategorisë C, prania e kushteve të përcaktuara në pikat (b)(i), (c) ose (d) të paragrafit 1 të kategorisë C nuk mund të jetë vetëm një arsye për të arritur në përfundimin se një marrëveshje plotëson testin e përfitimit kryesor.</w:t>
            </w:r>
          </w:p>
        </w:tc>
        <w:tc>
          <w:tcPr>
            <w:tcW w:w="540" w:type="dxa"/>
            <w:shd w:val="clear" w:color="auto" w:fill="FFFFFF" w:themeFill="background1"/>
          </w:tcPr>
          <w:p w14:paraId="7C27C7FC" w14:textId="71D46A6B"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t>1</w:t>
            </w:r>
          </w:p>
        </w:tc>
        <w:tc>
          <w:tcPr>
            <w:tcW w:w="630" w:type="dxa"/>
            <w:shd w:val="clear" w:color="auto" w:fill="FFFFFF" w:themeFill="background1"/>
          </w:tcPr>
          <w:p w14:paraId="1D3017BE"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2E01605A"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SHTOJCA I</w:t>
            </w:r>
          </w:p>
          <w:p w14:paraId="05DA3963"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SHENJAT E VEÇANTA TË MEKANIZMAVE NDËRKUFITARE TË RAPORTUARA</w:t>
            </w:r>
          </w:p>
          <w:p w14:paraId="1FD83287" w14:textId="057E98BA" w:rsidR="00E01344" w:rsidRPr="002C4E0D" w:rsidRDefault="00E01344" w:rsidP="00E01344">
            <w:pPr>
              <w:rPr>
                <w:rFonts w:ascii="Times New Roman" w:hAnsi="Times New Roman" w:cs="Times New Roman"/>
                <w:sz w:val="20"/>
                <w:szCs w:val="20"/>
              </w:rPr>
            </w:pPr>
          </w:p>
          <w:p w14:paraId="44173B49"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Pjesa I</w:t>
            </w:r>
          </w:p>
          <w:p w14:paraId="4A4A3BFB"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Testi i përfitimit kryesor</w:t>
            </w:r>
          </w:p>
          <w:p w14:paraId="1CEBEB92"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Shenjat dalluese të përgjithshme sipas kategorisë A dhe shenjat dalluese specifike sipas kategorisë B dhe sipas pikave (b)( i ), (c) dhe (ç) të paragrafit 1 të kategorisë C mund të merren parasysh vetëm kur ato plotësojnë 'testin e përfitimit kryesor'.</w:t>
            </w:r>
          </w:p>
          <w:p w14:paraId="21B8FC49" w14:textId="77777777" w:rsidR="00E01344" w:rsidRPr="002C4E0D" w:rsidRDefault="00E01344" w:rsidP="00E01344">
            <w:pPr>
              <w:rPr>
                <w:rFonts w:ascii="Times New Roman" w:hAnsi="Times New Roman" w:cs="Times New Roman"/>
                <w:sz w:val="20"/>
                <w:szCs w:val="20"/>
              </w:rPr>
            </w:pPr>
            <w:r w:rsidRPr="002C4E0D">
              <w:rPr>
                <w:rFonts w:ascii="Times New Roman" w:hAnsi="Times New Roman" w:cs="Times New Roman"/>
                <w:sz w:val="20"/>
                <w:szCs w:val="20"/>
              </w:rPr>
              <w:t>Ky test do të konsiderohet i përmbushur nëse mund të përcaktohet se përfitimi kryesor ose një nga përfitimet kryesore që, duke pasur parasysh të gjitha faktet dhe rrethanat përkatëse, një person mund të presë në mënyrë të arsyeshme të nxjerrë nga një mekanizëm tatimor është marrja e një avantazhi tatimor.</w:t>
            </w:r>
          </w:p>
          <w:p w14:paraId="590B9DFA" w14:textId="50B3317E"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Në kontekstin e markës tregtare sipas paragrafit 1 të kategorisë C, prania e kushteve të përcaktuara në pikat (b) ( i ), (c) ose (ç) të saj nuk mund të jetë vetëm një arsye e mjaftueshme për të arritur në përfundimin se një mekanizëm plotëson testin e përfitimit kryesor.</w:t>
            </w:r>
          </w:p>
        </w:tc>
        <w:tc>
          <w:tcPr>
            <w:tcW w:w="720" w:type="dxa"/>
            <w:shd w:val="clear" w:color="auto" w:fill="FFFFFF" w:themeFill="background1"/>
          </w:tcPr>
          <w:p w14:paraId="2DB86460" w14:textId="7DCBB5CE"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t>F</w:t>
            </w:r>
          </w:p>
        </w:tc>
        <w:tc>
          <w:tcPr>
            <w:tcW w:w="3406" w:type="dxa"/>
            <w:shd w:val="clear" w:color="auto" w:fill="FFFFFF" w:themeFill="background1"/>
          </w:tcPr>
          <w:p w14:paraId="15EF8793" w14:textId="77777777" w:rsidR="00E01344" w:rsidRPr="002C4E0D" w:rsidRDefault="00E01344" w:rsidP="00E01344">
            <w:pPr>
              <w:jc w:val="center"/>
              <w:rPr>
                <w:rFonts w:ascii="Times New Roman" w:eastAsia="Calibri" w:hAnsi="Times New Roman" w:cs="Times New Roman"/>
                <w:iCs/>
                <w:sz w:val="20"/>
                <w:szCs w:val="20"/>
              </w:rPr>
            </w:pPr>
          </w:p>
        </w:tc>
      </w:tr>
      <w:tr w:rsidR="00E01344" w:rsidRPr="0042075D" w14:paraId="17D892B3" w14:textId="77777777" w:rsidTr="002C4E0D">
        <w:trPr>
          <w:trHeight w:val="2402"/>
        </w:trPr>
        <w:tc>
          <w:tcPr>
            <w:tcW w:w="630" w:type="dxa"/>
            <w:shd w:val="clear" w:color="auto" w:fill="FFFFFF" w:themeFill="background1"/>
          </w:tcPr>
          <w:p w14:paraId="11BA8DA4" w14:textId="58D285AF" w:rsidR="00E01344" w:rsidRPr="002C4E0D" w:rsidRDefault="00E01344" w:rsidP="00E01344">
            <w:pPr>
              <w:jc w:val="both"/>
              <w:rPr>
                <w:rFonts w:ascii="Times New Roman" w:eastAsia="Calibri" w:hAnsi="Times New Roman" w:cs="Times New Roman"/>
                <w:sz w:val="20"/>
                <w:szCs w:val="20"/>
              </w:rPr>
            </w:pPr>
          </w:p>
        </w:tc>
        <w:tc>
          <w:tcPr>
            <w:tcW w:w="5310" w:type="dxa"/>
            <w:shd w:val="clear" w:color="auto" w:fill="FFFFFF" w:themeFill="background1"/>
          </w:tcPr>
          <w:p w14:paraId="318EBF06" w14:textId="22537DC8" w:rsidR="00E01344" w:rsidRPr="002C4E0D" w:rsidRDefault="00E01344" w:rsidP="00E01344">
            <w:pPr>
              <w:rPr>
                <w:rFonts w:ascii="Times New Roman" w:eastAsia="Calibri" w:hAnsi="Times New Roman" w:cs="Times New Roman"/>
                <w:iCs/>
                <w:sz w:val="20"/>
                <w:szCs w:val="20"/>
              </w:rPr>
            </w:pPr>
          </w:p>
          <w:p w14:paraId="1FCD3A77"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Pjesa II. Kategoritë e markave dalluese</w:t>
            </w:r>
          </w:p>
          <w:p w14:paraId="1F48A2E0" w14:textId="77777777" w:rsidR="00E01344" w:rsidRPr="0042075D" w:rsidRDefault="00E01344" w:rsidP="00E01344">
            <w:pPr>
              <w:rPr>
                <w:rFonts w:ascii="Times New Roman" w:eastAsia="Calibri" w:hAnsi="Times New Roman" w:cs="Times New Roman"/>
                <w:iCs/>
                <w:sz w:val="20"/>
                <w:szCs w:val="20"/>
              </w:rPr>
            </w:pPr>
          </w:p>
          <w:p w14:paraId="409D3554"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A. Shenjat dalluese të përgjithshme të lidhura me testin e përfitimit kryesor</w:t>
            </w:r>
          </w:p>
          <w:p w14:paraId="6A13BC11" w14:textId="77777777" w:rsidR="00E01344" w:rsidRPr="0042075D" w:rsidRDefault="00E01344" w:rsidP="00E01344">
            <w:pPr>
              <w:rPr>
                <w:rFonts w:ascii="Times New Roman" w:eastAsia="Calibri" w:hAnsi="Times New Roman" w:cs="Times New Roman"/>
                <w:iCs/>
                <w:sz w:val="20"/>
                <w:szCs w:val="20"/>
              </w:rPr>
            </w:pPr>
          </w:p>
          <w:p w14:paraId="1222CF3D"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1.</w:t>
            </w:r>
          </w:p>
          <w:p w14:paraId="5C7522B0" w14:textId="77777777" w:rsidR="00E01344" w:rsidRPr="0042075D" w:rsidRDefault="00E01344" w:rsidP="00E01344">
            <w:pPr>
              <w:rPr>
                <w:rFonts w:ascii="Times New Roman" w:eastAsia="Calibri" w:hAnsi="Times New Roman" w:cs="Times New Roman"/>
                <w:iCs/>
                <w:sz w:val="20"/>
                <w:szCs w:val="20"/>
              </w:rPr>
            </w:pPr>
          </w:p>
          <w:p w14:paraId="14C09760"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 xml:space="preserve">Një marrëveshje ku tatimpaguesi përkatës ose një pjesëmarrës në marrëveshje merr përsipër të përmbushë një kusht konfidencialiteti që mund t'i kërkojë atyre të mos zbulojnë se si </w:t>
            </w:r>
            <w:r w:rsidRPr="0042075D">
              <w:rPr>
                <w:rFonts w:ascii="Times New Roman" w:eastAsia="Calibri" w:hAnsi="Times New Roman" w:cs="Times New Roman"/>
                <w:iCs/>
                <w:sz w:val="20"/>
                <w:szCs w:val="20"/>
              </w:rPr>
              <w:lastRenderedPageBreak/>
              <w:t>marrëveshja mund të sigurojë një avantazh tatimor kundrejt ndërmjetësve të tjerë ose autoriteteve tatimore.</w:t>
            </w:r>
          </w:p>
          <w:p w14:paraId="3B7C04C2"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2.</w:t>
            </w:r>
          </w:p>
          <w:p w14:paraId="1FCF59E0" w14:textId="77777777" w:rsidR="00E01344" w:rsidRPr="0042075D" w:rsidRDefault="00E01344" w:rsidP="00E01344">
            <w:pPr>
              <w:rPr>
                <w:rFonts w:ascii="Times New Roman" w:eastAsia="Calibri" w:hAnsi="Times New Roman" w:cs="Times New Roman"/>
                <w:iCs/>
                <w:sz w:val="20"/>
                <w:szCs w:val="20"/>
              </w:rPr>
            </w:pPr>
          </w:p>
          <w:p w14:paraId="70B7A038"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Një marrëveshje ku ndërmjetësi ka të drejtë të marrë një tarifë (ose interes, shpërblim për kostot financiare dhe tarifa të tjera) për marrëveshjen dhe kjo tarifë përcaktohet duke iu referuar:</w:t>
            </w:r>
          </w:p>
          <w:p w14:paraId="4F8A66E0"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(a)</w:t>
            </w:r>
          </w:p>
          <w:p w14:paraId="0B9973D3" w14:textId="77777777" w:rsidR="00E01344" w:rsidRPr="0042075D" w:rsidRDefault="00E01344" w:rsidP="00E01344">
            <w:pPr>
              <w:rPr>
                <w:rFonts w:ascii="Times New Roman" w:eastAsia="Calibri" w:hAnsi="Times New Roman" w:cs="Times New Roman"/>
                <w:iCs/>
                <w:sz w:val="20"/>
                <w:szCs w:val="20"/>
              </w:rPr>
            </w:pPr>
          </w:p>
          <w:p w14:paraId="18FD0DF7"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shumën e avantazhit tatimor që rrjedh nga marrëveshja; ose</w:t>
            </w:r>
          </w:p>
          <w:p w14:paraId="3F0D8BEE" w14:textId="77777777" w:rsidR="00E01344" w:rsidRPr="0042075D" w:rsidRDefault="00E01344" w:rsidP="00E01344">
            <w:pPr>
              <w:rPr>
                <w:rFonts w:ascii="Times New Roman" w:eastAsia="Calibri" w:hAnsi="Times New Roman" w:cs="Times New Roman"/>
                <w:iCs/>
                <w:sz w:val="20"/>
                <w:szCs w:val="20"/>
              </w:rPr>
            </w:pPr>
          </w:p>
          <w:p w14:paraId="05BE0314"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(b)</w:t>
            </w:r>
          </w:p>
          <w:p w14:paraId="6588D308" w14:textId="77777777" w:rsidR="00E01344" w:rsidRPr="0042075D" w:rsidRDefault="00E01344" w:rsidP="00E01344">
            <w:pPr>
              <w:rPr>
                <w:rFonts w:ascii="Times New Roman" w:eastAsia="Calibri" w:hAnsi="Times New Roman" w:cs="Times New Roman"/>
                <w:iCs/>
                <w:sz w:val="20"/>
                <w:szCs w:val="20"/>
              </w:rPr>
            </w:pPr>
          </w:p>
          <w:p w14:paraId="4D14BFA9"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nëse një avantazh tatimor rrjedh apo jo nga marrëveshja. Kjo do të përfshinte një detyrim për ndërmjetësin për të rimbursuar pjesërisht ose plotësisht tarifat kur avantazhi tatimor i synuar i rrjedhur nga marrëveshja nuk është arritur pjesërisht ose plotësisht.</w:t>
            </w:r>
          </w:p>
          <w:p w14:paraId="3009837F" w14:textId="77777777" w:rsidR="00E01344" w:rsidRPr="0042075D" w:rsidRDefault="00E01344" w:rsidP="00E01344">
            <w:pPr>
              <w:rPr>
                <w:rFonts w:ascii="Times New Roman" w:eastAsia="Calibri" w:hAnsi="Times New Roman" w:cs="Times New Roman"/>
                <w:iCs/>
                <w:sz w:val="20"/>
                <w:szCs w:val="20"/>
              </w:rPr>
            </w:pPr>
          </w:p>
          <w:p w14:paraId="78067573" w14:textId="77777777" w:rsidR="00E01344" w:rsidRPr="0042075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3.</w:t>
            </w:r>
          </w:p>
          <w:p w14:paraId="2AD4C692" w14:textId="77777777" w:rsidR="00E01344" w:rsidRPr="0042075D" w:rsidRDefault="00E01344" w:rsidP="00E01344">
            <w:pPr>
              <w:rPr>
                <w:rFonts w:ascii="Times New Roman" w:eastAsia="Calibri" w:hAnsi="Times New Roman" w:cs="Times New Roman"/>
                <w:iCs/>
                <w:sz w:val="20"/>
                <w:szCs w:val="20"/>
              </w:rPr>
            </w:pPr>
          </w:p>
          <w:p w14:paraId="3CD893FC" w14:textId="3FD2AA61" w:rsidR="00E01344" w:rsidRPr="002C4E0D" w:rsidRDefault="00E01344" w:rsidP="00E01344">
            <w:pPr>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Një marrëveshje që ka dokumentacion dhe/ose strukturë në thelb të standardizuar dhe është në dispozicion të më shumë se një tatimpaguesi përkatës pa pasur nevojë të përshtatet në mënyrë të konsiderueshme për zbatim.</w:t>
            </w:r>
          </w:p>
        </w:tc>
        <w:tc>
          <w:tcPr>
            <w:tcW w:w="540" w:type="dxa"/>
            <w:shd w:val="clear" w:color="auto" w:fill="FFFFFF" w:themeFill="background1"/>
          </w:tcPr>
          <w:p w14:paraId="5BB2085B" w14:textId="7D038065"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57F774C8"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3F221F35"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Pjesa II</w:t>
            </w:r>
          </w:p>
          <w:p w14:paraId="1B141C55"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Kategoritë e markave dalluese</w:t>
            </w:r>
          </w:p>
          <w:p w14:paraId="6D8FA7D1"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Kategoria A</w:t>
            </w:r>
          </w:p>
          <w:p w14:paraId="3B25ECF2"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Shenjat dalluese të përgjithshme të lidhura me testin e përfitimit kryesor</w:t>
            </w:r>
          </w:p>
          <w:p w14:paraId="38FFC8AC"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1.</w:t>
            </w:r>
            <w:r w:rsidRPr="002C4E0D">
              <w:rPr>
                <w:rFonts w:ascii="Times New Roman" w:hAnsi="Times New Roman" w:cs="Times New Roman"/>
                <w:sz w:val="20"/>
                <w:szCs w:val="20"/>
              </w:rPr>
              <w:tab/>
              <w:t xml:space="preserve">Një mekanizëm  ku tatimpaguesi përkatës ose një pjesëmarrës në mekanizëm merr përsipër të përmbushë një kusht konfidencialiteti që mund t'i kërkojë atyre të mos zbulojnë se si mekanizmi mund të sigurojë një avantazh </w:t>
            </w:r>
            <w:r w:rsidRPr="002C4E0D">
              <w:rPr>
                <w:rFonts w:ascii="Times New Roman" w:hAnsi="Times New Roman" w:cs="Times New Roman"/>
                <w:sz w:val="20"/>
                <w:szCs w:val="20"/>
              </w:rPr>
              <w:lastRenderedPageBreak/>
              <w:t>tatimor kundrejt ndërmjetësve të tjerë ose autoriteteve tatimore.</w:t>
            </w:r>
          </w:p>
          <w:p w14:paraId="47C23045"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2.</w:t>
            </w:r>
            <w:r w:rsidRPr="002C4E0D">
              <w:rPr>
                <w:rFonts w:ascii="Times New Roman" w:hAnsi="Times New Roman" w:cs="Times New Roman"/>
                <w:sz w:val="20"/>
                <w:szCs w:val="20"/>
              </w:rPr>
              <w:tab/>
              <w:t>Një mekanizëm ku ndërmjetësi ka të drejtë të marrë një tarifë, interes ose shpërblim për kostot financiare dhe tarifat e tjera, dhe kjo tarifë përcaktohet duke iu referuar:</w:t>
            </w:r>
          </w:p>
          <w:p w14:paraId="7FC2B356"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a) shumën e avantazhit tatimor të nxjerrë nga marrëveshja; ose</w:t>
            </w:r>
          </w:p>
          <w:p w14:paraId="6B66D623" w14:textId="77777777" w:rsidR="00E01344" w:rsidRPr="002C4E0D" w:rsidRDefault="00E01344" w:rsidP="00E01344">
            <w:pPr>
              <w:spacing w:line="276" w:lineRule="auto"/>
              <w:rPr>
                <w:rFonts w:ascii="Times New Roman" w:hAnsi="Times New Roman" w:cs="Times New Roman"/>
                <w:sz w:val="20"/>
                <w:szCs w:val="20"/>
              </w:rPr>
            </w:pPr>
            <w:r w:rsidRPr="002C4E0D">
              <w:rPr>
                <w:rFonts w:ascii="Times New Roman" w:hAnsi="Times New Roman" w:cs="Times New Roman"/>
                <w:sz w:val="20"/>
                <w:szCs w:val="20"/>
              </w:rPr>
              <w:t>b) nëse një avantazh tatimor rrjedh apo jo nga marrëveshja. Kjo do të përfshinte një detyrim për ndërmjetësin për të rimbursuar pjesërisht ose plotësisht tarifat nëse avantazhi tatimor i synuar nuk arrihet.</w:t>
            </w:r>
          </w:p>
          <w:p w14:paraId="4B4801CF" w14:textId="6331EC22"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3.</w:t>
            </w:r>
            <w:r w:rsidRPr="002C4E0D">
              <w:rPr>
                <w:rFonts w:ascii="Times New Roman" w:hAnsi="Times New Roman" w:cs="Times New Roman"/>
                <w:sz w:val="20"/>
                <w:szCs w:val="20"/>
              </w:rPr>
              <w:tab/>
              <w:t xml:space="preserve">Një mekanizëm që ka dokumentacion ose strukturë në thelb të standardizuar dhe u vihet në dispozicion më shumë se një tatimpaguesi përkatës pa pasur nevojë të personalizohet në mënyrë të konsiderueshme për zbatimin.   </w:t>
            </w:r>
          </w:p>
        </w:tc>
        <w:tc>
          <w:tcPr>
            <w:tcW w:w="720" w:type="dxa"/>
            <w:shd w:val="clear" w:color="auto" w:fill="FFFFFF" w:themeFill="background1"/>
          </w:tcPr>
          <w:p w14:paraId="247A4448" w14:textId="0B0AA3A3"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019A4F15" w14:textId="77777777" w:rsidR="00E01344" w:rsidRPr="002C4E0D" w:rsidRDefault="00E01344" w:rsidP="00E01344">
            <w:pPr>
              <w:jc w:val="center"/>
              <w:rPr>
                <w:rFonts w:ascii="Times New Roman" w:eastAsia="Calibri" w:hAnsi="Times New Roman" w:cs="Times New Roman"/>
                <w:iCs/>
                <w:sz w:val="20"/>
                <w:szCs w:val="20"/>
              </w:rPr>
            </w:pPr>
          </w:p>
        </w:tc>
      </w:tr>
      <w:tr w:rsidR="00E01344" w:rsidRPr="0042075D" w14:paraId="0049B474" w14:textId="77777777" w:rsidTr="002C4E0D">
        <w:trPr>
          <w:trHeight w:val="2402"/>
        </w:trPr>
        <w:tc>
          <w:tcPr>
            <w:tcW w:w="630" w:type="dxa"/>
            <w:shd w:val="clear" w:color="auto" w:fill="FFFFFF" w:themeFill="background1"/>
          </w:tcPr>
          <w:p w14:paraId="06EE7016" w14:textId="77777777" w:rsidR="00E01344" w:rsidRPr="002C4E0D" w:rsidRDefault="00E01344" w:rsidP="00E01344">
            <w:pPr>
              <w:jc w:val="both"/>
              <w:rPr>
                <w:rFonts w:ascii="Times New Roman" w:eastAsia="Calibri" w:hAnsi="Times New Roman" w:cs="Times New Roman"/>
                <w:sz w:val="20"/>
                <w:szCs w:val="20"/>
              </w:rPr>
            </w:pPr>
          </w:p>
        </w:tc>
        <w:tc>
          <w:tcPr>
            <w:tcW w:w="5310" w:type="dxa"/>
            <w:shd w:val="clear" w:color="auto" w:fill="FFFFFF" w:themeFill="background1"/>
          </w:tcPr>
          <w:p w14:paraId="73ECF14B"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B. Karakteristikat dalluese specifike të lidhura me testin e përfitimit kryesor</w:t>
            </w:r>
          </w:p>
          <w:p w14:paraId="63F1C07B" w14:textId="77777777" w:rsidR="00E01344" w:rsidRPr="0042075D" w:rsidRDefault="00E01344" w:rsidP="00E01344">
            <w:pPr>
              <w:spacing w:line="276" w:lineRule="auto"/>
              <w:jc w:val="both"/>
              <w:rPr>
                <w:rFonts w:ascii="Times New Roman" w:eastAsia="Calibri" w:hAnsi="Times New Roman" w:cs="Times New Roman"/>
                <w:iCs/>
                <w:sz w:val="20"/>
                <w:szCs w:val="20"/>
              </w:rPr>
            </w:pPr>
          </w:p>
          <w:p w14:paraId="4C7220CD"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1.</w:t>
            </w:r>
          </w:p>
          <w:p w14:paraId="51612473" w14:textId="77777777" w:rsidR="00E01344" w:rsidRPr="0042075D" w:rsidRDefault="00E01344" w:rsidP="00E01344">
            <w:pPr>
              <w:spacing w:line="276" w:lineRule="auto"/>
              <w:jc w:val="both"/>
              <w:rPr>
                <w:rFonts w:ascii="Times New Roman" w:eastAsia="Calibri" w:hAnsi="Times New Roman" w:cs="Times New Roman"/>
                <w:iCs/>
                <w:sz w:val="20"/>
                <w:szCs w:val="20"/>
              </w:rPr>
            </w:pPr>
          </w:p>
          <w:p w14:paraId="16C030AA"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 xml:space="preserve">Një marrëveshje me anë të së cilës një pjesëmarrës në marrëveshje ndërmerr hapa të sajuar që konsistojnë në blerjen e një kompanie me humbje, ndërprerjen e aktivitetit kryesor të një kompanie të tillë dhe përdorimin e humbjeve të saj me qëllim </w:t>
            </w:r>
            <w:r w:rsidRPr="0042075D">
              <w:rPr>
                <w:rFonts w:ascii="Times New Roman" w:eastAsia="Calibri" w:hAnsi="Times New Roman" w:cs="Times New Roman"/>
                <w:iCs/>
                <w:sz w:val="20"/>
                <w:szCs w:val="20"/>
              </w:rPr>
              <w:lastRenderedPageBreak/>
              <w:t>uljen e detyrimit të saj tatimor, duke përfshirë edhe transferimin e këtyre humbjeve në një juridiksion tjetër ose përshpejtimin e përdorimit të këtyre humbjeve.</w:t>
            </w:r>
          </w:p>
          <w:p w14:paraId="661797E9"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2.</w:t>
            </w:r>
          </w:p>
          <w:p w14:paraId="322BC1A7" w14:textId="77777777" w:rsidR="00E01344" w:rsidRPr="0042075D" w:rsidRDefault="00E01344" w:rsidP="00E01344">
            <w:pPr>
              <w:spacing w:line="276" w:lineRule="auto"/>
              <w:jc w:val="both"/>
              <w:rPr>
                <w:rFonts w:ascii="Times New Roman" w:eastAsia="Calibri" w:hAnsi="Times New Roman" w:cs="Times New Roman"/>
                <w:iCs/>
                <w:sz w:val="20"/>
                <w:szCs w:val="20"/>
              </w:rPr>
            </w:pPr>
          </w:p>
          <w:p w14:paraId="53B0EEBF"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Një marrëveshje që ka efektin e konvertimit të të ardhurave në kapital, dhurata ose kategori të tjera të të ardhurave të cilat tatohen në një nivel më të ulët ose përjashtohen nga taksat.</w:t>
            </w:r>
          </w:p>
          <w:p w14:paraId="45C3EF60" w14:textId="77777777" w:rsidR="00E01344" w:rsidRPr="0042075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3.</w:t>
            </w:r>
          </w:p>
          <w:p w14:paraId="08C3157D" w14:textId="77777777" w:rsidR="00E01344" w:rsidRPr="0042075D" w:rsidRDefault="00E01344" w:rsidP="00E01344">
            <w:pPr>
              <w:spacing w:line="276" w:lineRule="auto"/>
              <w:jc w:val="both"/>
              <w:rPr>
                <w:rFonts w:ascii="Times New Roman" w:eastAsia="Calibri" w:hAnsi="Times New Roman" w:cs="Times New Roman"/>
                <w:iCs/>
                <w:sz w:val="20"/>
                <w:szCs w:val="20"/>
              </w:rPr>
            </w:pPr>
          </w:p>
          <w:p w14:paraId="044EA8E1" w14:textId="3F1C0732" w:rsidR="00E01344" w:rsidRPr="002C4E0D" w:rsidRDefault="00E01344" w:rsidP="00E01344">
            <w:pPr>
              <w:spacing w:line="276" w:lineRule="auto"/>
              <w:jc w:val="both"/>
              <w:rPr>
                <w:rFonts w:ascii="Times New Roman" w:eastAsia="Calibri" w:hAnsi="Times New Roman" w:cs="Times New Roman"/>
                <w:iCs/>
                <w:sz w:val="20"/>
                <w:szCs w:val="20"/>
              </w:rPr>
            </w:pPr>
            <w:r w:rsidRPr="0042075D">
              <w:rPr>
                <w:rFonts w:ascii="Times New Roman" w:eastAsia="Calibri" w:hAnsi="Times New Roman" w:cs="Times New Roman"/>
                <w:iCs/>
                <w:sz w:val="20"/>
                <w:szCs w:val="20"/>
              </w:rPr>
              <w:t>Një marrëveshje që përfshin transaksione rrethore që rezultojnë në qarkullimin vajtje-ardhje të fondeve, përkatësisht përmes përfshirjes së subjekteve të ndërmjetme pa funksion tjetër parësor tregtar ose transaksioneve që kompensojnë ose anulojnë njëra-tjetrën ose që kanë karakteristika të tjera të ngjashme.</w:t>
            </w:r>
          </w:p>
        </w:tc>
        <w:tc>
          <w:tcPr>
            <w:tcW w:w="540" w:type="dxa"/>
            <w:shd w:val="clear" w:color="auto" w:fill="FFFFFF" w:themeFill="background1"/>
          </w:tcPr>
          <w:p w14:paraId="58B16BA5" w14:textId="0A618C1E"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297B83B7"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6881418F"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Kategoria B</w:t>
            </w:r>
          </w:p>
          <w:p w14:paraId="41BCED7B"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Karakteristikat dalluese specifike të lidhura me testin e përfitimit kryesor</w:t>
            </w:r>
          </w:p>
          <w:p w14:paraId="07EF5C0E"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1.</w:t>
            </w:r>
            <w:r w:rsidRPr="0042075D">
              <w:rPr>
                <w:rFonts w:ascii="Times New Roman" w:hAnsi="Times New Roman" w:cs="Times New Roman"/>
                <w:sz w:val="20"/>
                <w:szCs w:val="20"/>
              </w:rPr>
              <w:tab/>
              <w:t xml:space="preserve">Një marrëveshje me anë të së cilës një pjesëmarrës në marrëveshje ndërmerr hapa të sajuar që konsistojnë në blerjen e një kompanie me humbje, ndërprerjen e aktivitetit kryesor të një kompanie të tillë dhe përdorimin e humbjeve të saj me qëllim uljen e detyrimit tatimor, duke përfshirë </w:t>
            </w:r>
            <w:r w:rsidRPr="0042075D">
              <w:rPr>
                <w:rFonts w:ascii="Times New Roman" w:hAnsi="Times New Roman" w:cs="Times New Roman"/>
                <w:sz w:val="20"/>
                <w:szCs w:val="20"/>
              </w:rPr>
              <w:lastRenderedPageBreak/>
              <w:t>edhe transferimin e këtyre humbjeve në një juridiksion tjetër ose përshpejtimin e përdorimit të këtyre humbjeve.</w:t>
            </w:r>
          </w:p>
          <w:p w14:paraId="04AB4CCC"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2.</w:t>
            </w:r>
            <w:r w:rsidRPr="0042075D">
              <w:rPr>
                <w:rFonts w:ascii="Times New Roman" w:hAnsi="Times New Roman" w:cs="Times New Roman"/>
                <w:sz w:val="20"/>
                <w:szCs w:val="20"/>
              </w:rPr>
              <w:tab/>
              <w:t>Një marrëveshje që ka efektin e konvertimit të të ardhurave në kapital, dhurata ose kategori të tjera të të ardhurave të cilat tatohen në një nivel më të ulët ose përjashtohen nga taksat.</w:t>
            </w:r>
          </w:p>
          <w:p w14:paraId="0278D71B" w14:textId="3AADDB11"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3.</w:t>
            </w:r>
            <w:r w:rsidRPr="0042075D">
              <w:rPr>
                <w:rFonts w:ascii="Times New Roman" w:hAnsi="Times New Roman" w:cs="Times New Roman"/>
                <w:sz w:val="20"/>
                <w:szCs w:val="20"/>
              </w:rPr>
              <w:tab/>
              <w:t xml:space="preserve">Një marrëveshje që përfshin transaksione rrethore që rezultojnë në qarkullimin vajtje-ardhje të fondeve, duke përfshirë edhe përmes subjekteve të ndërmjetme pa funksion tjetër parësor tregtar ose transaksioneve që kompensojnë ose anulojnë njëra-tjetrën ose që kanë karakteristika të tjera të ngjashme.  </w:t>
            </w:r>
          </w:p>
        </w:tc>
        <w:tc>
          <w:tcPr>
            <w:tcW w:w="720" w:type="dxa"/>
            <w:shd w:val="clear" w:color="auto" w:fill="FFFFFF" w:themeFill="background1"/>
          </w:tcPr>
          <w:p w14:paraId="70E0CF31" w14:textId="32346B2C"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7B798755" w14:textId="77777777" w:rsidR="00E01344" w:rsidRPr="002C4E0D" w:rsidRDefault="00E01344" w:rsidP="00E01344">
            <w:pPr>
              <w:jc w:val="center"/>
              <w:rPr>
                <w:rFonts w:ascii="Times New Roman" w:eastAsia="Calibri" w:hAnsi="Times New Roman" w:cs="Times New Roman"/>
                <w:iCs/>
                <w:sz w:val="20"/>
                <w:szCs w:val="20"/>
              </w:rPr>
            </w:pPr>
          </w:p>
        </w:tc>
      </w:tr>
      <w:tr w:rsidR="00E01344" w:rsidRPr="0042075D" w14:paraId="49D238D9" w14:textId="77777777" w:rsidTr="002C4E0D">
        <w:trPr>
          <w:trHeight w:val="674"/>
        </w:trPr>
        <w:tc>
          <w:tcPr>
            <w:tcW w:w="630" w:type="dxa"/>
            <w:shd w:val="clear" w:color="auto" w:fill="FFFFFF" w:themeFill="background1"/>
          </w:tcPr>
          <w:p w14:paraId="3F6F6A8A" w14:textId="77777777" w:rsidR="00E01344" w:rsidRPr="002C4E0D" w:rsidRDefault="00E01344" w:rsidP="00E01344">
            <w:pPr>
              <w:jc w:val="both"/>
              <w:rPr>
                <w:rFonts w:ascii="Times New Roman" w:eastAsia="Calibri" w:hAnsi="Times New Roman" w:cs="Times New Roman"/>
                <w:sz w:val="20"/>
                <w:szCs w:val="20"/>
              </w:rPr>
            </w:pPr>
          </w:p>
        </w:tc>
        <w:tc>
          <w:tcPr>
            <w:tcW w:w="5310" w:type="dxa"/>
            <w:shd w:val="clear" w:color="auto" w:fill="FFFFFF" w:themeFill="background1"/>
          </w:tcPr>
          <w:p w14:paraId="6D90DD36"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C. Shenjat dalluese specifike që lidhen me transaksionet ndërkufitare</w:t>
            </w:r>
          </w:p>
          <w:p w14:paraId="69835402" w14:textId="77777777" w:rsidR="00E01344" w:rsidRPr="002C4E0D" w:rsidRDefault="00E01344" w:rsidP="00E01344">
            <w:pPr>
              <w:rPr>
                <w:rFonts w:ascii="Times New Roman" w:eastAsia="Calibri" w:hAnsi="Times New Roman" w:cs="Times New Roman"/>
                <w:iCs/>
                <w:sz w:val="20"/>
                <w:szCs w:val="20"/>
              </w:rPr>
            </w:pPr>
          </w:p>
          <w:p w14:paraId="6E3AB727"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1.</w:t>
            </w:r>
          </w:p>
          <w:p w14:paraId="5D91389F" w14:textId="77777777" w:rsidR="00E01344" w:rsidRPr="002C4E0D" w:rsidRDefault="00E01344" w:rsidP="00E01344">
            <w:pPr>
              <w:rPr>
                <w:rFonts w:ascii="Times New Roman" w:eastAsia="Calibri" w:hAnsi="Times New Roman" w:cs="Times New Roman"/>
                <w:iCs/>
                <w:sz w:val="20"/>
                <w:szCs w:val="20"/>
              </w:rPr>
            </w:pPr>
          </w:p>
          <w:p w14:paraId="27360381"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përfshin pagesa ndërkufitare të zbritshme të bëra midis dy ose më shumë ndërmarrjeve të lidhura, kur plotësohet të paktën një nga kushtet e mëposhtme:</w:t>
            </w:r>
          </w:p>
          <w:p w14:paraId="5E313A3D"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(a)</w:t>
            </w:r>
          </w:p>
          <w:p w14:paraId="21940FDA" w14:textId="77777777" w:rsidR="00E01344" w:rsidRPr="002C4E0D" w:rsidRDefault="00E01344" w:rsidP="00E01344">
            <w:pPr>
              <w:rPr>
                <w:rFonts w:ascii="Times New Roman" w:eastAsia="Calibri" w:hAnsi="Times New Roman" w:cs="Times New Roman"/>
                <w:iCs/>
                <w:sz w:val="20"/>
                <w:szCs w:val="20"/>
              </w:rPr>
            </w:pPr>
          </w:p>
          <w:p w14:paraId="4830E1EE"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marrësi nuk është rezident për qëllime tatimore në asnjë juridiksion tatimor;</w:t>
            </w:r>
          </w:p>
          <w:p w14:paraId="16584918" w14:textId="77777777" w:rsidR="00E01344" w:rsidRPr="002C4E0D" w:rsidRDefault="00E01344" w:rsidP="00E01344">
            <w:pPr>
              <w:rPr>
                <w:rFonts w:ascii="Times New Roman" w:eastAsia="Calibri" w:hAnsi="Times New Roman" w:cs="Times New Roman"/>
                <w:iCs/>
                <w:sz w:val="20"/>
                <w:szCs w:val="20"/>
              </w:rPr>
            </w:pPr>
          </w:p>
          <w:p w14:paraId="53F8EB32"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(b)</w:t>
            </w:r>
          </w:p>
          <w:p w14:paraId="0F63AFF7" w14:textId="77777777" w:rsidR="00E01344" w:rsidRPr="002C4E0D" w:rsidRDefault="00E01344" w:rsidP="00E01344">
            <w:pPr>
              <w:rPr>
                <w:rFonts w:ascii="Times New Roman" w:eastAsia="Calibri" w:hAnsi="Times New Roman" w:cs="Times New Roman"/>
                <w:iCs/>
                <w:sz w:val="20"/>
                <w:szCs w:val="20"/>
              </w:rPr>
            </w:pPr>
          </w:p>
          <w:p w14:paraId="7E623F30"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Edhe pse marrësi është rezident për qëllime tatimore në një juridiksion, ai juridiksion ose:</w:t>
            </w:r>
          </w:p>
          <w:p w14:paraId="1A1F17F0" w14:textId="77777777" w:rsidR="00E01344" w:rsidRPr="002C4E0D" w:rsidRDefault="00E01344" w:rsidP="00E01344">
            <w:pPr>
              <w:rPr>
                <w:rFonts w:ascii="Times New Roman" w:eastAsia="Calibri" w:hAnsi="Times New Roman" w:cs="Times New Roman"/>
                <w:iCs/>
                <w:sz w:val="20"/>
                <w:szCs w:val="20"/>
              </w:rPr>
            </w:pPr>
          </w:p>
          <w:p w14:paraId="35E623A3"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lastRenderedPageBreak/>
              <w:t>(i)</w:t>
            </w:r>
          </w:p>
          <w:p w14:paraId="58F1E8B3" w14:textId="77777777" w:rsidR="00E01344" w:rsidRPr="002C4E0D" w:rsidRDefault="00E01344" w:rsidP="00E01344">
            <w:pPr>
              <w:rPr>
                <w:rFonts w:ascii="Times New Roman" w:eastAsia="Calibri" w:hAnsi="Times New Roman" w:cs="Times New Roman"/>
                <w:iCs/>
                <w:sz w:val="20"/>
                <w:szCs w:val="20"/>
              </w:rPr>
            </w:pPr>
          </w:p>
          <w:p w14:paraId="5378F59D"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nuk vendos asnjë taksë mbi korporatat ose vendos taksë mbi korporatat me normë zero ose pothuajse zero; ose</w:t>
            </w:r>
          </w:p>
          <w:p w14:paraId="62737906" w14:textId="77777777" w:rsidR="00E01344" w:rsidRPr="002C4E0D" w:rsidRDefault="00E01344" w:rsidP="00E01344">
            <w:pPr>
              <w:rPr>
                <w:rFonts w:ascii="Times New Roman" w:eastAsia="Calibri" w:hAnsi="Times New Roman" w:cs="Times New Roman"/>
                <w:iCs/>
                <w:sz w:val="20"/>
                <w:szCs w:val="20"/>
              </w:rPr>
            </w:pPr>
          </w:p>
          <w:p w14:paraId="02F6D817"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(ii)</w:t>
            </w:r>
          </w:p>
          <w:p w14:paraId="52CC95F7" w14:textId="77777777" w:rsidR="00E01344" w:rsidRPr="002C4E0D" w:rsidRDefault="00E01344" w:rsidP="00E01344">
            <w:pPr>
              <w:rPr>
                <w:rFonts w:ascii="Times New Roman" w:eastAsia="Calibri" w:hAnsi="Times New Roman" w:cs="Times New Roman"/>
                <w:iCs/>
                <w:sz w:val="20"/>
                <w:szCs w:val="20"/>
              </w:rPr>
            </w:pPr>
          </w:p>
          <w:p w14:paraId="0DA1F3A3"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është përfshirë në një listë të juridiksioneve të vendeve të treta të cilat janë vlerësuar nga Shtetet Anëtare kolektivisht ose brenda kuadrit të OECD-së si jo-bashkëpunuese;</w:t>
            </w:r>
          </w:p>
          <w:p w14:paraId="190C6299" w14:textId="77777777" w:rsidR="00E01344" w:rsidRPr="002C4E0D" w:rsidRDefault="00E01344" w:rsidP="00E01344">
            <w:pPr>
              <w:rPr>
                <w:rFonts w:ascii="Times New Roman" w:eastAsia="Calibri" w:hAnsi="Times New Roman" w:cs="Times New Roman"/>
                <w:iCs/>
                <w:sz w:val="20"/>
                <w:szCs w:val="20"/>
              </w:rPr>
            </w:pPr>
          </w:p>
          <w:p w14:paraId="0B2F4BC5"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(c)</w:t>
            </w:r>
          </w:p>
          <w:p w14:paraId="307A8348" w14:textId="77777777" w:rsidR="00E01344" w:rsidRPr="002C4E0D" w:rsidRDefault="00E01344" w:rsidP="00E01344">
            <w:pPr>
              <w:rPr>
                <w:rFonts w:ascii="Times New Roman" w:eastAsia="Calibri" w:hAnsi="Times New Roman" w:cs="Times New Roman"/>
                <w:iCs/>
                <w:sz w:val="20"/>
                <w:szCs w:val="20"/>
              </w:rPr>
            </w:pPr>
          </w:p>
          <w:p w14:paraId="670B3C4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pagesa përfiton nga një përjashtim i plotë nga taksat në juridiksionin ku përfituesi është rezident për qëllime tatimore;</w:t>
            </w:r>
          </w:p>
          <w:p w14:paraId="3513F81C" w14:textId="77777777" w:rsidR="00E01344" w:rsidRPr="002C4E0D" w:rsidRDefault="00E01344" w:rsidP="00E01344">
            <w:pPr>
              <w:rPr>
                <w:rFonts w:ascii="Times New Roman" w:eastAsia="Calibri" w:hAnsi="Times New Roman" w:cs="Times New Roman"/>
                <w:iCs/>
                <w:sz w:val="20"/>
                <w:szCs w:val="20"/>
              </w:rPr>
            </w:pPr>
          </w:p>
          <w:p w14:paraId="5A222A3B"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(d)</w:t>
            </w:r>
          </w:p>
          <w:p w14:paraId="6BBAEE06" w14:textId="77777777" w:rsidR="00E01344" w:rsidRPr="002C4E0D" w:rsidRDefault="00E01344" w:rsidP="00E01344">
            <w:pPr>
              <w:rPr>
                <w:rFonts w:ascii="Times New Roman" w:eastAsia="Calibri" w:hAnsi="Times New Roman" w:cs="Times New Roman"/>
                <w:iCs/>
                <w:sz w:val="20"/>
                <w:szCs w:val="20"/>
              </w:rPr>
            </w:pPr>
          </w:p>
          <w:p w14:paraId="7D4A5F27"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pagesa përfiton nga një regjim tatimor preferencial në juridiksionin ku përfituesi është rezident për qëllime tatimore;</w:t>
            </w:r>
          </w:p>
          <w:p w14:paraId="2931487D" w14:textId="77777777" w:rsidR="00E01344" w:rsidRPr="002C4E0D" w:rsidRDefault="00E01344" w:rsidP="00E01344">
            <w:pPr>
              <w:rPr>
                <w:rFonts w:ascii="Times New Roman" w:eastAsia="Calibri" w:hAnsi="Times New Roman" w:cs="Times New Roman"/>
                <w:iCs/>
                <w:sz w:val="20"/>
                <w:szCs w:val="20"/>
              </w:rPr>
            </w:pPr>
          </w:p>
          <w:p w14:paraId="62B6BDD9"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2.</w:t>
            </w:r>
          </w:p>
          <w:p w14:paraId="179E10E4" w14:textId="77777777" w:rsidR="00E01344" w:rsidRPr="002C4E0D" w:rsidRDefault="00E01344" w:rsidP="00E01344">
            <w:pPr>
              <w:rPr>
                <w:rFonts w:ascii="Times New Roman" w:eastAsia="Calibri" w:hAnsi="Times New Roman" w:cs="Times New Roman"/>
                <w:iCs/>
                <w:sz w:val="20"/>
                <w:szCs w:val="20"/>
              </w:rPr>
            </w:pPr>
          </w:p>
          <w:p w14:paraId="25FAB340"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Zbritjet për të njëjtin amortizim të asetit kërkohen në më shumë se një juridiksion.</w:t>
            </w:r>
          </w:p>
          <w:p w14:paraId="1DBB6F7A"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3.</w:t>
            </w:r>
          </w:p>
          <w:p w14:paraId="3AB04AE7" w14:textId="77777777" w:rsidR="00E01344" w:rsidRPr="002C4E0D" w:rsidRDefault="00E01344" w:rsidP="00E01344">
            <w:pPr>
              <w:rPr>
                <w:rFonts w:ascii="Times New Roman" w:eastAsia="Calibri" w:hAnsi="Times New Roman" w:cs="Times New Roman"/>
                <w:iCs/>
                <w:sz w:val="20"/>
                <w:szCs w:val="20"/>
              </w:rPr>
            </w:pPr>
          </w:p>
          <w:p w14:paraId="18364082"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Lehtësimi nga taksimi i dyfishtë në lidhje me të njëjtin zë të të ardhurave ose kapitalit kërkohet në më shumë se një juridiksion.</w:t>
            </w:r>
          </w:p>
          <w:p w14:paraId="745584BA"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4.</w:t>
            </w:r>
          </w:p>
          <w:p w14:paraId="0FD1DB0B" w14:textId="77777777" w:rsidR="00E01344" w:rsidRPr="002C4E0D" w:rsidRDefault="00E01344" w:rsidP="00E01344">
            <w:pPr>
              <w:rPr>
                <w:rFonts w:ascii="Times New Roman" w:eastAsia="Calibri" w:hAnsi="Times New Roman" w:cs="Times New Roman"/>
                <w:iCs/>
                <w:sz w:val="20"/>
                <w:szCs w:val="20"/>
              </w:rPr>
            </w:pPr>
          </w:p>
          <w:p w14:paraId="3056FDFC" w14:textId="00CCF810"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 xml:space="preserve">Ekziston një marrëveshje që përfshin transferimet e aseteve dhe ku ka një ndryshim material në shumën që trajtohet si e </w:t>
            </w:r>
            <w:r w:rsidRPr="002C4E0D">
              <w:rPr>
                <w:rFonts w:ascii="Times New Roman" w:eastAsia="Calibri" w:hAnsi="Times New Roman" w:cs="Times New Roman"/>
                <w:iCs/>
                <w:sz w:val="20"/>
                <w:szCs w:val="20"/>
              </w:rPr>
              <w:lastRenderedPageBreak/>
              <w:t>pagueshme në konsideratë për asetet në ato juridiksione të përfshira.</w:t>
            </w:r>
          </w:p>
        </w:tc>
        <w:tc>
          <w:tcPr>
            <w:tcW w:w="540" w:type="dxa"/>
            <w:shd w:val="clear" w:color="auto" w:fill="FFFFFF" w:themeFill="background1"/>
          </w:tcPr>
          <w:p w14:paraId="145A7BD3" w14:textId="5B492440"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6E4D07DE"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43030B48"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Kategoria C</w:t>
            </w:r>
          </w:p>
          <w:p w14:paraId="66D498BA"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Shenjat dalluese specifike që lidhen me transaksionet ndërkufitare</w:t>
            </w:r>
          </w:p>
          <w:p w14:paraId="04F41408"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1.</w:t>
            </w:r>
            <w:r w:rsidRPr="0042075D">
              <w:rPr>
                <w:rFonts w:ascii="Times New Roman" w:hAnsi="Times New Roman" w:cs="Times New Roman"/>
                <w:sz w:val="20"/>
                <w:szCs w:val="20"/>
              </w:rPr>
              <w:tab/>
              <w:t>Një marrëveshje që përfshin pagesa ndërkufitare të zbritshme të bëra midis dy ose më shumë ndërmarrjeve të lidhura, kur plotësohet të paktën një nga kushtet e mëposhtme:</w:t>
            </w:r>
          </w:p>
          <w:p w14:paraId="22B11F12"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a) marrësi nuk është rezident për qëllime tatimore në asnjë juridiksion;</w:t>
            </w:r>
          </w:p>
          <w:p w14:paraId="0001B6CE"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b) megjithëse përfituesi është rezident për qëllime tatimore në një juridiksion, ky juridiksion ose:</w:t>
            </w:r>
          </w:p>
          <w:p w14:paraId="5CCEB854"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 i ) nuk vendos asnjë taksë mbi korporatat ose vendos taksë mbi korporatat me shkallë zero ose pothuajse zero; ose</w:t>
            </w:r>
          </w:p>
          <w:p w14:paraId="018250E7"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lastRenderedPageBreak/>
              <w:t xml:space="preserve"> (ii) është përfshirë në listën e juridiksioneve jo-bashkëpunuese për qëllime tatimore, të miratuar nga Këshilli i Bashkimit Evropian.c) pagesa përfiton nga një përjashtim i plotë nga taksat në juridiksionin ku përfituesi është rezident për qëllime tatimore;</w:t>
            </w:r>
          </w:p>
          <w:p w14:paraId="7F665BD8"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ç) pagesa përfiton nga një regjim tatimor preferencial në juridiksionin ku përfituesi është rezident për qëllime tatimore.</w:t>
            </w:r>
          </w:p>
          <w:p w14:paraId="14DE7AF0"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2.</w:t>
            </w:r>
            <w:r w:rsidRPr="0042075D">
              <w:rPr>
                <w:rFonts w:ascii="Times New Roman" w:hAnsi="Times New Roman" w:cs="Times New Roman"/>
                <w:sz w:val="20"/>
                <w:szCs w:val="20"/>
              </w:rPr>
              <w:tab/>
              <w:t>Zbritjet për të njëjtin amortizim të asetit kërkohen në më shumë se një juridiksion.</w:t>
            </w:r>
          </w:p>
          <w:p w14:paraId="361F05CE" w14:textId="77777777" w:rsidR="00E01344" w:rsidRPr="0042075D" w:rsidRDefault="00E01344" w:rsidP="00E01344">
            <w:pPr>
              <w:spacing w:line="276" w:lineRule="auto"/>
              <w:rPr>
                <w:rFonts w:ascii="Times New Roman" w:hAnsi="Times New Roman" w:cs="Times New Roman"/>
                <w:sz w:val="20"/>
                <w:szCs w:val="20"/>
              </w:rPr>
            </w:pPr>
            <w:r w:rsidRPr="0042075D">
              <w:rPr>
                <w:rFonts w:ascii="Times New Roman" w:hAnsi="Times New Roman" w:cs="Times New Roman"/>
                <w:sz w:val="20"/>
                <w:szCs w:val="20"/>
              </w:rPr>
              <w:t>3.</w:t>
            </w:r>
            <w:r w:rsidRPr="0042075D">
              <w:rPr>
                <w:rFonts w:ascii="Times New Roman" w:hAnsi="Times New Roman" w:cs="Times New Roman"/>
                <w:sz w:val="20"/>
                <w:szCs w:val="20"/>
              </w:rPr>
              <w:tab/>
              <w:t>Lehtësimi nga taksimi i dyfishtë në lidhje me të njëjtin zë të të ardhurave ose kapitalit kërkohet në më shumë se një juridiksion.</w:t>
            </w:r>
          </w:p>
          <w:p w14:paraId="1C33D506" w14:textId="5F2E87A6"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4.</w:t>
            </w:r>
            <w:r w:rsidRPr="0042075D">
              <w:rPr>
                <w:rFonts w:ascii="Times New Roman" w:hAnsi="Times New Roman" w:cs="Times New Roman"/>
                <w:sz w:val="20"/>
                <w:szCs w:val="20"/>
              </w:rPr>
              <w:tab/>
              <w:t>Ekziston një marrëveshje që përfshin transferimet e aseteve dhe ku ka një ndryshim material në shumën që trajtohet si e pagueshme në konsideratë për asetet në ato juridiksione të përfshira.</w:t>
            </w:r>
          </w:p>
        </w:tc>
        <w:tc>
          <w:tcPr>
            <w:tcW w:w="720" w:type="dxa"/>
            <w:shd w:val="clear" w:color="auto" w:fill="FFFFFF" w:themeFill="background1"/>
          </w:tcPr>
          <w:p w14:paraId="0B8006F2" w14:textId="2000515A"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49973B7E" w14:textId="77777777" w:rsidR="00E01344" w:rsidRPr="002C4E0D" w:rsidRDefault="00E01344" w:rsidP="00E01344">
            <w:pPr>
              <w:jc w:val="center"/>
              <w:rPr>
                <w:rFonts w:ascii="Times New Roman" w:eastAsia="Calibri" w:hAnsi="Times New Roman" w:cs="Times New Roman"/>
                <w:iCs/>
                <w:sz w:val="20"/>
                <w:szCs w:val="20"/>
              </w:rPr>
            </w:pPr>
          </w:p>
        </w:tc>
      </w:tr>
      <w:tr w:rsidR="00E01344" w:rsidRPr="0042075D" w14:paraId="2EF09E39" w14:textId="77777777" w:rsidTr="002C4E0D">
        <w:trPr>
          <w:trHeight w:val="674"/>
        </w:trPr>
        <w:tc>
          <w:tcPr>
            <w:tcW w:w="630" w:type="dxa"/>
            <w:shd w:val="clear" w:color="auto" w:fill="FFFFFF" w:themeFill="background1"/>
          </w:tcPr>
          <w:p w14:paraId="5CB8C328" w14:textId="77777777" w:rsidR="00E01344" w:rsidRPr="002C4E0D" w:rsidRDefault="00E01344" w:rsidP="00E01344">
            <w:pPr>
              <w:jc w:val="both"/>
              <w:rPr>
                <w:rFonts w:ascii="Times New Roman" w:eastAsia="Calibri" w:hAnsi="Times New Roman" w:cs="Times New Roman"/>
                <w:sz w:val="20"/>
                <w:szCs w:val="20"/>
              </w:rPr>
            </w:pPr>
          </w:p>
        </w:tc>
        <w:tc>
          <w:tcPr>
            <w:tcW w:w="5310" w:type="dxa"/>
            <w:shd w:val="clear" w:color="auto" w:fill="FFFFFF" w:themeFill="background1"/>
          </w:tcPr>
          <w:p w14:paraId="3F33027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D. Shenjat dalluese specifike në lidhje me shkëmbimin automatik të informacionit dhe pronësinë përfituese</w:t>
            </w:r>
          </w:p>
          <w:p w14:paraId="22F1FEC0" w14:textId="77777777" w:rsidR="00E01344" w:rsidRPr="002C4E0D" w:rsidRDefault="00E01344" w:rsidP="00E01344">
            <w:pPr>
              <w:rPr>
                <w:rFonts w:ascii="Times New Roman" w:eastAsia="Calibri" w:hAnsi="Times New Roman" w:cs="Times New Roman"/>
                <w:iCs/>
                <w:sz w:val="20"/>
                <w:szCs w:val="20"/>
              </w:rPr>
            </w:pPr>
          </w:p>
          <w:p w14:paraId="38C6C0BA"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1.</w:t>
            </w:r>
          </w:p>
          <w:p w14:paraId="3BDC6328" w14:textId="77777777" w:rsidR="00E01344" w:rsidRPr="002C4E0D" w:rsidRDefault="00E01344" w:rsidP="00E01344">
            <w:pPr>
              <w:rPr>
                <w:rFonts w:ascii="Times New Roman" w:eastAsia="Calibri" w:hAnsi="Times New Roman" w:cs="Times New Roman"/>
                <w:iCs/>
                <w:sz w:val="20"/>
                <w:szCs w:val="20"/>
              </w:rPr>
            </w:pPr>
          </w:p>
          <w:p w14:paraId="10D4C93B"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mund të ketë efektin e minimit të detyrimit të raportimit sipas ligjeve që zbatojnë legjislacionin e Bashkimit ose çdo marrëveshjeje ekuivalente mbi shkëmbimin automatik të informacionit të Llogarive Financiare, duke përfshirë marrëveshjet me vendet e treta, ose që shfrytëzon mungesën e një legjislacioni ose marrëveshjesh të tilla. Marrëveshje të tilla përfshijnë të paktën sa vijon:</w:t>
            </w:r>
          </w:p>
          <w:p w14:paraId="4E388BCA"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(a)</w:t>
            </w:r>
          </w:p>
          <w:p w14:paraId="6A57966D" w14:textId="77777777" w:rsidR="00E01344" w:rsidRPr="002C4E0D" w:rsidRDefault="00E01344" w:rsidP="00E01344">
            <w:pPr>
              <w:rPr>
                <w:rFonts w:ascii="Times New Roman" w:eastAsia="Calibri" w:hAnsi="Times New Roman" w:cs="Times New Roman"/>
                <w:iCs/>
                <w:sz w:val="20"/>
                <w:szCs w:val="20"/>
              </w:rPr>
            </w:pPr>
          </w:p>
          <w:p w14:paraId="3D32CFD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përdorimi i një llogarie, produkti ose investimi që nuk është, ose pretendon të mos jetë, një Llogari Financiare, por ka karakteristika që janë në thelb të ngjashme me ato të një Llogarie Financiare;</w:t>
            </w:r>
          </w:p>
          <w:p w14:paraId="615BD7FF" w14:textId="77777777" w:rsidR="00E01344" w:rsidRPr="002C4E0D" w:rsidRDefault="00E01344" w:rsidP="00E01344">
            <w:pPr>
              <w:rPr>
                <w:rFonts w:ascii="Times New Roman" w:eastAsia="Calibri" w:hAnsi="Times New Roman" w:cs="Times New Roman"/>
                <w:iCs/>
                <w:sz w:val="20"/>
                <w:szCs w:val="20"/>
              </w:rPr>
            </w:pPr>
          </w:p>
          <w:p w14:paraId="1B7A45A1"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(b)</w:t>
            </w:r>
          </w:p>
          <w:p w14:paraId="3CCDEBDC" w14:textId="77777777" w:rsidR="00E01344" w:rsidRPr="002C4E0D" w:rsidRDefault="00E01344" w:rsidP="00E01344">
            <w:pPr>
              <w:rPr>
                <w:rFonts w:ascii="Times New Roman" w:eastAsia="Calibri" w:hAnsi="Times New Roman" w:cs="Times New Roman"/>
                <w:iCs/>
                <w:sz w:val="20"/>
                <w:szCs w:val="20"/>
              </w:rPr>
            </w:pPr>
          </w:p>
          <w:p w14:paraId="42DE1D81"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transferimi i Llogarive Financiare ose aseteve në, ose përdorimi i juridiksioneve që nuk janë të lidhura nga shkëmbimi automatik i informacionit të Llogarisë Financiare me Shtetin e rezidencës së tatimpaguesit përkatës;</w:t>
            </w:r>
          </w:p>
          <w:p w14:paraId="5E1EBBBF" w14:textId="77777777" w:rsidR="00E01344" w:rsidRPr="002C4E0D" w:rsidRDefault="00E01344" w:rsidP="00E01344">
            <w:pPr>
              <w:rPr>
                <w:rFonts w:ascii="Times New Roman" w:eastAsia="Calibri" w:hAnsi="Times New Roman" w:cs="Times New Roman"/>
                <w:iCs/>
                <w:sz w:val="20"/>
                <w:szCs w:val="20"/>
              </w:rPr>
            </w:pPr>
          </w:p>
          <w:p w14:paraId="5C157F1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(c)</w:t>
            </w:r>
          </w:p>
          <w:p w14:paraId="3FB9034C" w14:textId="77777777" w:rsidR="00E01344" w:rsidRPr="002C4E0D" w:rsidRDefault="00E01344" w:rsidP="00E01344">
            <w:pPr>
              <w:rPr>
                <w:rFonts w:ascii="Times New Roman" w:eastAsia="Calibri" w:hAnsi="Times New Roman" w:cs="Times New Roman"/>
                <w:iCs/>
                <w:sz w:val="20"/>
                <w:szCs w:val="20"/>
              </w:rPr>
            </w:pPr>
          </w:p>
          <w:p w14:paraId="37C05D11"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riklasifikimi i të ardhurave dhe kapitalit në produkte ose pagesa që nuk i nënshtrohen shkëmbimit automatik të informacionit të Llogarisë Financiare;</w:t>
            </w:r>
          </w:p>
          <w:p w14:paraId="69BF2293" w14:textId="77777777" w:rsidR="00E01344" w:rsidRPr="002C4E0D" w:rsidRDefault="00E01344" w:rsidP="00E01344">
            <w:pPr>
              <w:rPr>
                <w:rFonts w:ascii="Times New Roman" w:eastAsia="Calibri" w:hAnsi="Times New Roman" w:cs="Times New Roman"/>
                <w:iCs/>
                <w:sz w:val="20"/>
                <w:szCs w:val="20"/>
              </w:rPr>
            </w:pPr>
          </w:p>
          <w:p w14:paraId="649E5397"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lastRenderedPageBreak/>
              <w:t>(d)</w:t>
            </w:r>
          </w:p>
          <w:p w14:paraId="28F9C12B" w14:textId="77777777" w:rsidR="00E01344" w:rsidRPr="002C4E0D" w:rsidRDefault="00E01344" w:rsidP="00E01344">
            <w:pPr>
              <w:rPr>
                <w:rFonts w:ascii="Times New Roman" w:eastAsia="Calibri" w:hAnsi="Times New Roman" w:cs="Times New Roman"/>
                <w:iCs/>
                <w:sz w:val="20"/>
                <w:szCs w:val="20"/>
              </w:rPr>
            </w:pPr>
          </w:p>
          <w:p w14:paraId="10744506"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transferimi ose konvertimi i një Institucioni Financiar ose një Llogarie Financiare ose i aseteve në të në një Institucion Financiar ose një Llogari Financiare ose asete që nuk i nënshtrohen raportimit sipas shkëmbimit automatik të informacionit të Llogarisë Financiare;</w:t>
            </w:r>
          </w:p>
          <w:p w14:paraId="5788A5B6" w14:textId="77777777" w:rsidR="00E01344" w:rsidRPr="002C4E0D" w:rsidRDefault="00E01344" w:rsidP="00E01344">
            <w:pPr>
              <w:rPr>
                <w:rFonts w:ascii="Times New Roman" w:eastAsia="Calibri" w:hAnsi="Times New Roman" w:cs="Times New Roman"/>
                <w:iCs/>
                <w:sz w:val="20"/>
                <w:szCs w:val="20"/>
              </w:rPr>
            </w:pPr>
          </w:p>
          <w:p w14:paraId="304A093D"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(e)</w:t>
            </w:r>
          </w:p>
          <w:p w14:paraId="23514600" w14:textId="77777777" w:rsidR="00E01344" w:rsidRPr="002C4E0D" w:rsidRDefault="00E01344" w:rsidP="00E01344">
            <w:pPr>
              <w:rPr>
                <w:rFonts w:ascii="Times New Roman" w:eastAsia="Calibri" w:hAnsi="Times New Roman" w:cs="Times New Roman"/>
                <w:iCs/>
                <w:sz w:val="20"/>
                <w:szCs w:val="20"/>
              </w:rPr>
            </w:pPr>
          </w:p>
          <w:p w14:paraId="7FF7237F"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përdorimi i personave juridikë, marrëveshjeve ose strukturave që eliminojnë ose synojnë të eliminojnë raportimin e një ose më shumë Mbajtësve të Llogarive ose Personave Kontrollues sipas shkëmbimit automatik të informacionit të Llogarisë Financiare;</w:t>
            </w:r>
          </w:p>
          <w:p w14:paraId="4719B380" w14:textId="77777777" w:rsidR="00E01344" w:rsidRPr="002C4E0D" w:rsidRDefault="00E01344" w:rsidP="00E01344">
            <w:pPr>
              <w:rPr>
                <w:rFonts w:ascii="Times New Roman" w:eastAsia="Calibri" w:hAnsi="Times New Roman" w:cs="Times New Roman"/>
                <w:iCs/>
                <w:sz w:val="20"/>
                <w:szCs w:val="20"/>
              </w:rPr>
            </w:pPr>
          </w:p>
          <w:p w14:paraId="400812C9"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(f)</w:t>
            </w:r>
          </w:p>
          <w:p w14:paraId="10C58855" w14:textId="77777777" w:rsidR="00E01344" w:rsidRPr="002C4E0D" w:rsidRDefault="00E01344" w:rsidP="00E01344">
            <w:pPr>
              <w:rPr>
                <w:rFonts w:ascii="Times New Roman" w:eastAsia="Calibri" w:hAnsi="Times New Roman" w:cs="Times New Roman"/>
                <w:iCs/>
                <w:sz w:val="20"/>
                <w:szCs w:val="20"/>
              </w:rPr>
            </w:pPr>
          </w:p>
          <w:p w14:paraId="050BDA28"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marrëveshje që dëmtojnë ose shfrytëzojnë dobësitë në procedurat e kujdesit të duhur të përdorura nga Institucionet Financiare për të përmbushur detyrimet e tyre për të raportuar informacionin e Llogarisë Financiare, duke përfshirë përdorimin e juridiksioneve me regjime të pamjaftueshme ose të dobëta të zbatimit të legjislacionit kundër pastrimit të parave ose me kërkesa të dobëta transparence për personat juridikë ose marrëveshjet ligjore.</w:t>
            </w:r>
          </w:p>
          <w:p w14:paraId="32BCE9A1" w14:textId="77777777" w:rsidR="00E01344" w:rsidRPr="002C4E0D" w:rsidRDefault="00E01344" w:rsidP="00E01344">
            <w:pPr>
              <w:rPr>
                <w:rFonts w:ascii="Times New Roman" w:eastAsia="Calibri" w:hAnsi="Times New Roman" w:cs="Times New Roman"/>
                <w:iCs/>
                <w:sz w:val="20"/>
                <w:szCs w:val="20"/>
              </w:rPr>
            </w:pPr>
          </w:p>
          <w:p w14:paraId="145B88B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2.</w:t>
            </w:r>
          </w:p>
          <w:p w14:paraId="1698123F" w14:textId="77777777" w:rsidR="00E01344" w:rsidRPr="002C4E0D" w:rsidRDefault="00E01344" w:rsidP="00E01344">
            <w:pPr>
              <w:rPr>
                <w:rFonts w:ascii="Times New Roman" w:eastAsia="Calibri" w:hAnsi="Times New Roman" w:cs="Times New Roman"/>
                <w:iCs/>
                <w:sz w:val="20"/>
                <w:szCs w:val="20"/>
              </w:rPr>
            </w:pPr>
          </w:p>
          <w:p w14:paraId="6300BED8"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përfshin një zinxhir jotransparent të pronësisë ligjore ose përfituese me përdorimin e personave, marrëveshjeve ligjore ose strukturave:</w:t>
            </w:r>
          </w:p>
          <w:p w14:paraId="2EA65B02"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(a)</w:t>
            </w:r>
          </w:p>
          <w:p w14:paraId="3EFE1CD7" w14:textId="77777777" w:rsidR="00E01344" w:rsidRPr="002C4E0D" w:rsidRDefault="00E01344" w:rsidP="00E01344">
            <w:pPr>
              <w:rPr>
                <w:rFonts w:ascii="Times New Roman" w:eastAsia="Calibri" w:hAnsi="Times New Roman" w:cs="Times New Roman"/>
                <w:iCs/>
                <w:sz w:val="20"/>
                <w:szCs w:val="20"/>
              </w:rPr>
            </w:pPr>
          </w:p>
          <w:p w14:paraId="35A53807"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lastRenderedPageBreak/>
              <w:t>që nuk ushtrojnë një aktivitet ekonomik substancial të mbështetur nga staf, pajisje, asete dhe ambiente të mjaftueshme; dhe</w:t>
            </w:r>
          </w:p>
          <w:p w14:paraId="1E6328CE" w14:textId="77777777" w:rsidR="00E01344" w:rsidRPr="002C4E0D" w:rsidRDefault="00E01344" w:rsidP="00E01344">
            <w:pPr>
              <w:rPr>
                <w:rFonts w:ascii="Times New Roman" w:eastAsia="Calibri" w:hAnsi="Times New Roman" w:cs="Times New Roman"/>
                <w:iCs/>
                <w:sz w:val="20"/>
                <w:szCs w:val="20"/>
              </w:rPr>
            </w:pPr>
          </w:p>
          <w:p w14:paraId="5D212C85"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(b)</w:t>
            </w:r>
          </w:p>
          <w:p w14:paraId="5CB5C14F" w14:textId="77777777" w:rsidR="00E01344" w:rsidRPr="002C4E0D" w:rsidRDefault="00E01344" w:rsidP="00E01344">
            <w:pPr>
              <w:rPr>
                <w:rFonts w:ascii="Times New Roman" w:eastAsia="Calibri" w:hAnsi="Times New Roman" w:cs="Times New Roman"/>
                <w:iCs/>
                <w:sz w:val="20"/>
                <w:szCs w:val="20"/>
              </w:rPr>
            </w:pPr>
          </w:p>
          <w:p w14:paraId="43C5C91E"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që janë të inkorporuara, të menaxhuara, të banuara, të kontrolluara ose të themeluara në çdo juridiksion tjetër përveç juridiksionit të rezidencës së një ose më shumë pronarëve përfitues të aseteve të mbajtura nga persona, marrëveshje ligjore ose struktura të tilla; dhe</w:t>
            </w:r>
          </w:p>
          <w:p w14:paraId="15C16070" w14:textId="77777777" w:rsidR="00E01344" w:rsidRPr="002C4E0D" w:rsidRDefault="00E01344" w:rsidP="00E01344">
            <w:pPr>
              <w:rPr>
                <w:rFonts w:ascii="Times New Roman" w:eastAsia="Calibri" w:hAnsi="Times New Roman" w:cs="Times New Roman"/>
                <w:iCs/>
                <w:sz w:val="20"/>
                <w:szCs w:val="20"/>
              </w:rPr>
            </w:pPr>
          </w:p>
          <w:p w14:paraId="369D68AD"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(c)</w:t>
            </w:r>
          </w:p>
          <w:p w14:paraId="4FC59355" w14:textId="77777777" w:rsidR="00E01344" w:rsidRPr="002C4E0D" w:rsidRDefault="00E01344" w:rsidP="00E01344">
            <w:pPr>
              <w:rPr>
                <w:rFonts w:ascii="Times New Roman" w:eastAsia="Calibri" w:hAnsi="Times New Roman" w:cs="Times New Roman"/>
                <w:iCs/>
                <w:sz w:val="20"/>
                <w:szCs w:val="20"/>
              </w:rPr>
            </w:pPr>
          </w:p>
          <w:p w14:paraId="3723AA47" w14:textId="69B1FF9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kur pronarët përfitues të personave, marrëveshjeve ligjore ose strukturave të tilla, siç përcaktohen në Direktivën (BE) 2015/849, bëhen të paidentifikueshëm.</w:t>
            </w:r>
          </w:p>
        </w:tc>
        <w:tc>
          <w:tcPr>
            <w:tcW w:w="540" w:type="dxa"/>
            <w:shd w:val="clear" w:color="auto" w:fill="FFFFFF" w:themeFill="background1"/>
          </w:tcPr>
          <w:p w14:paraId="6E4829FA" w14:textId="2000A4C9"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617F40E6"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07BF8EE3"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Kategoria D</w:t>
            </w:r>
          </w:p>
          <w:p w14:paraId="5AD93FA1"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Shenjat dalluese specifike në lidhje me shkëmbimin automatik të informacionit dhe pronësinë përfituese</w:t>
            </w:r>
          </w:p>
          <w:p w14:paraId="5B6AE0EC" w14:textId="77777777" w:rsidR="00E01344" w:rsidRPr="002C4E0D" w:rsidRDefault="00E01344" w:rsidP="00E01344">
            <w:pPr>
              <w:spacing w:line="276" w:lineRule="auto"/>
              <w:jc w:val="both"/>
              <w:rPr>
                <w:rFonts w:ascii="Times New Roman" w:hAnsi="Times New Roman" w:cs="Times New Roman"/>
                <w:sz w:val="20"/>
                <w:szCs w:val="20"/>
              </w:rPr>
            </w:pPr>
          </w:p>
          <w:p w14:paraId="2E43AAFB"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1. Një mekanizëm që mund të ketë efektin e minimizimit të detyrimit të raportimit sipas legjislacionit që zbaton shkëmbimin automatik të informacionit të Llogarive Financiare, ose që shfrytëzon mungesën e një legjislacioni ose marrëveshjesh të tilla.</w:t>
            </w:r>
          </w:p>
          <w:p w14:paraId="75033293" w14:textId="77777777" w:rsidR="00E01344" w:rsidRPr="002C4E0D" w:rsidRDefault="00E01344" w:rsidP="00E01344">
            <w:pPr>
              <w:spacing w:line="276" w:lineRule="auto"/>
              <w:jc w:val="both"/>
              <w:rPr>
                <w:rFonts w:ascii="Times New Roman" w:hAnsi="Times New Roman" w:cs="Times New Roman"/>
                <w:sz w:val="20"/>
                <w:szCs w:val="20"/>
              </w:rPr>
            </w:pPr>
          </w:p>
          <w:p w14:paraId="16B837FA"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Marrëveshje të tilla përfshijnë të paktën sa vijon:</w:t>
            </w:r>
          </w:p>
          <w:p w14:paraId="34482DFD" w14:textId="77777777" w:rsidR="00E01344" w:rsidRPr="002C4E0D" w:rsidRDefault="00E01344" w:rsidP="00E01344">
            <w:pPr>
              <w:spacing w:line="276" w:lineRule="auto"/>
              <w:jc w:val="both"/>
              <w:rPr>
                <w:rFonts w:ascii="Times New Roman" w:hAnsi="Times New Roman" w:cs="Times New Roman"/>
                <w:sz w:val="20"/>
                <w:szCs w:val="20"/>
              </w:rPr>
            </w:pPr>
          </w:p>
          <w:p w14:paraId="50191747"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a) përdorimi i një llogarie, produkti ose investimi që nuk është, ose pretendon të mos jetë, një Llogari Financiare, por ka karakteristika që janë në thelb të ngjashme me ato të një Llogarie Financiare;</w:t>
            </w:r>
          </w:p>
          <w:p w14:paraId="6D9EECDC" w14:textId="77777777" w:rsidR="00E01344" w:rsidRPr="002C4E0D" w:rsidRDefault="00E01344" w:rsidP="00E01344">
            <w:pPr>
              <w:spacing w:line="276" w:lineRule="auto"/>
              <w:jc w:val="both"/>
              <w:rPr>
                <w:rFonts w:ascii="Times New Roman" w:hAnsi="Times New Roman" w:cs="Times New Roman"/>
                <w:sz w:val="20"/>
                <w:szCs w:val="20"/>
              </w:rPr>
            </w:pPr>
          </w:p>
          <w:p w14:paraId="04F1AD9C"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b) transferimi i Llogarive Financiare ose aseteve në juridiksione që nuk zbatojnë shkëmbimin automatik të informacionit;</w:t>
            </w:r>
          </w:p>
          <w:p w14:paraId="469DEC8C" w14:textId="77777777" w:rsidR="00E01344" w:rsidRPr="002C4E0D" w:rsidRDefault="00E01344" w:rsidP="00E01344">
            <w:pPr>
              <w:spacing w:line="276" w:lineRule="auto"/>
              <w:jc w:val="both"/>
              <w:rPr>
                <w:rFonts w:ascii="Times New Roman" w:hAnsi="Times New Roman" w:cs="Times New Roman"/>
                <w:sz w:val="20"/>
                <w:szCs w:val="20"/>
              </w:rPr>
            </w:pPr>
          </w:p>
          <w:p w14:paraId="33889D83"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c) riklasifikimi i të ardhurave dhe kapitalit në produkte ose pagesa që nuk i nënshtrohen raportimit;</w:t>
            </w:r>
          </w:p>
          <w:p w14:paraId="1B0F7E96" w14:textId="77777777" w:rsidR="00E01344" w:rsidRPr="002C4E0D" w:rsidRDefault="00E01344" w:rsidP="00E01344">
            <w:pPr>
              <w:spacing w:line="276" w:lineRule="auto"/>
              <w:jc w:val="both"/>
              <w:rPr>
                <w:rFonts w:ascii="Times New Roman" w:hAnsi="Times New Roman" w:cs="Times New Roman"/>
                <w:sz w:val="20"/>
                <w:szCs w:val="20"/>
              </w:rPr>
            </w:pPr>
          </w:p>
          <w:p w14:paraId="3C780BB9"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ç) transferimi ose konvertimi i një institucioni financiar ose i një llogarie financiare ose asetet në një institucion ose llogari ose asetet që nuk i nënshtrohet raportimit;</w:t>
            </w:r>
          </w:p>
          <w:p w14:paraId="646679C4" w14:textId="77777777" w:rsidR="00E01344" w:rsidRPr="002C4E0D" w:rsidRDefault="00E01344" w:rsidP="00E01344">
            <w:pPr>
              <w:spacing w:line="276" w:lineRule="auto"/>
              <w:jc w:val="both"/>
              <w:rPr>
                <w:rFonts w:ascii="Times New Roman" w:hAnsi="Times New Roman" w:cs="Times New Roman"/>
                <w:sz w:val="20"/>
                <w:szCs w:val="20"/>
              </w:rPr>
            </w:pPr>
          </w:p>
          <w:p w14:paraId="4A5A51EF"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lastRenderedPageBreak/>
              <w:t>d) përdorimi i subjekteve juridike, marrëveshjeve ose strukturave që eliminojnë ose synojnë të eliminojnë raportimin e një ose më shumë Mbajtësve të Llogarive ose Personave Kontrollues në kuadër të shkëmbimit automatik të informacionit për llogaritë financiare;</w:t>
            </w:r>
          </w:p>
          <w:p w14:paraId="06060FBA"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dh) marrëveshje që shfrytëzojnë dobësitë në procedurat e kujdesit të duhur, përfshirë ato të përdorura nga institucionet financiare për përmbushjen e detyrimeve të tyre për raportimin e informacionit mbi llogaritë financiare, duke përfshirë përdorimin e juridiksioneve me regjime të pamjaftueshme ose të dobëta të zbatimit të legjislacionit kundër pastrimit të parave ose me kërkesa të dobëta për transparencën e personave juridikë ose të marrëveshjeve ligjore.</w:t>
            </w:r>
          </w:p>
          <w:p w14:paraId="3195F424" w14:textId="77777777" w:rsidR="00E01344" w:rsidRPr="002C4E0D" w:rsidRDefault="00E01344" w:rsidP="00E01344">
            <w:pPr>
              <w:spacing w:line="276" w:lineRule="auto"/>
              <w:jc w:val="both"/>
              <w:rPr>
                <w:rFonts w:ascii="Times New Roman" w:hAnsi="Times New Roman" w:cs="Times New Roman"/>
                <w:sz w:val="20"/>
                <w:szCs w:val="20"/>
              </w:rPr>
            </w:pPr>
          </w:p>
          <w:p w14:paraId="60C3CAF0"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2.</w:t>
            </w:r>
            <w:r w:rsidRPr="002C4E0D">
              <w:rPr>
                <w:rFonts w:ascii="Times New Roman" w:hAnsi="Times New Roman" w:cs="Times New Roman"/>
                <w:sz w:val="20"/>
                <w:szCs w:val="20"/>
              </w:rPr>
              <w:tab/>
              <w:t>Një mekanizëm që përfshin një zinxhir jotransparent të pronësisë ligjore ose përfituese me përdorimin e personave, marrëveshjeve ligjore ose strukturave:</w:t>
            </w:r>
          </w:p>
          <w:p w14:paraId="524D4C6D"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a) që nuk ushtrojnë një aktivitet ekonomik substancial të mbështetur nga personel, pajisje, asete dhe ambiente të mjaftueshme;</w:t>
            </w:r>
          </w:p>
          <w:p w14:paraId="7A79D95F" w14:textId="77777777"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b) që janë të inkorporuara, të menaxhuara, të vendosura ose të kontrolluara në çdo juridiksion tjetër nga ai i rezidencës së një ose më shumë pronarëve përfitues të aseteve të mbajtura nga persona, marrëveshje ose struktura të tilla;</w:t>
            </w:r>
          </w:p>
          <w:p w14:paraId="69E992BD" w14:textId="2F95014E" w:rsidR="00E01344" w:rsidRPr="002C4E0D" w:rsidRDefault="00E01344" w:rsidP="00E01344">
            <w:pPr>
              <w:spacing w:line="276" w:lineRule="auto"/>
              <w:jc w:val="both"/>
              <w:rPr>
                <w:rFonts w:ascii="Times New Roman" w:hAnsi="Times New Roman" w:cs="Times New Roman"/>
                <w:sz w:val="20"/>
                <w:szCs w:val="20"/>
              </w:rPr>
            </w:pPr>
            <w:r w:rsidRPr="002C4E0D">
              <w:rPr>
                <w:rFonts w:ascii="Times New Roman" w:hAnsi="Times New Roman" w:cs="Times New Roman"/>
                <w:sz w:val="20"/>
                <w:szCs w:val="20"/>
              </w:rPr>
              <w:t>c) kur pronarët përfitues  sipas kuptimit të përcaktuar në legjislacionin në fuqi për parandalimin e pastrimit të parave dhe financimit të terrorizmit, bëhen të paidentifikueshëm.</w:t>
            </w:r>
          </w:p>
        </w:tc>
        <w:tc>
          <w:tcPr>
            <w:tcW w:w="720" w:type="dxa"/>
            <w:shd w:val="clear" w:color="auto" w:fill="FFFFFF" w:themeFill="background1"/>
          </w:tcPr>
          <w:p w14:paraId="40AF5F09" w14:textId="473D9F6B"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22DDB835" w14:textId="77777777" w:rsidR="00E01344" w:rsidRPr="002C4E0D" w:rsidRDefault="00E01344" w:rsidP="00E01344">
            <w:pPr>
              <w:jc w:val="center"/>
              <w:rPr>
                <w:rFonts w:ascii="Times New Roman" w:eastAsia="Calibri" w:hAnsi="Times New Roman" w:cs="Times New Roman"/>
                <w:iCs/>
                <w:sz w:val="20"/>
                <w:szCs w:val="20"/>
              </w:rPr>
            </w:pPr>
          </w:p>
        </w:tc>
      </w:tr>
      <w:tr w:rsidR="00E01344" w:rsidRPr="0042075D" w14:paraId="1F1FE184" w14:textId="77777777" w:rsidTr="002C4E0D">
        <w:trPr>
          <w:trHeight w:val="674"/>
        </w:trPr>
        <w:tc>
          <w:tcPr>
            <w:tcW w:w="630" w:type="dxa"/>
            <w:shd w:val="clear" w:color="auto" w:fill="FFFFFF" w:themeFill="background1"/>
          </w:tcPr>
          <w:p w14:paraId="61FB6497" w14:textId="77777777" w:rsidR="00E01344" w:rsidRPr="002C4E0D" w:rsidRDefault="00E01344" w:rsidP="00E01344">
            <w:pPr>
              <w:jc w:val="both"/>
              <w:rPr>
                <w:rFonts w:ascii="Times New Roman" w:eastAsia="Calibri" w:hAnsi="Times New Roman" w:cs="Times New Roman"/>
                <w:sz w:val="20"/>
                <w:szCs w:val="20"/>
              </w:rPr>
            </w:pPr>
          </w:p>
        </w:tc>
        <w:tc>
          <w:tcPr>
            <w:tcW w:w="5310" w:type="dxa"/>
            <w:shd w:val="clear" w:color="auto" w:fill="FFFFFF" w:themeFill="background1"/>
          </w:tcPr>
          <w:p w14:paraId="27A23CB5"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E. Karakteristikat dalluese specifike në lidhje me transferimin e çmimeve</w:t>
            </w:r>
          </w:p>
          <w:p w14:paraId="15FFC2C0" w14:textId="77777777" w:rsidR="00E01344" w:rsidRPr="002C4E0D" w:rsidRDefault="00E01344" w:rsidP="00E01344">
            <w:pPr>
              <w:rPr>
                <w:rFonts w:ascii="Times New Roman" w:eastAsia="Calibri" w:hAnsi="Times New Roman" w:cs="Times New Roman"/>
                <w:iCs/>
                <w:sz w:val="20"/>
                <w:szCs w:val="20"/>
              </w:rPr>
            </w:pPr>
          </w:p>
          <w:p w14:paraId="0FDEEECF"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1.</w:t>
            </w:r>
          </w:p>
          <w:p w14:paraId="767C315F" w14:textId="77777777" w:rsidR="00E01344" w:rsidRPr="002C4E0D" w:rsidRDefault="00E01344" w:rsidP="00E01344">
            <w:pPr>
              <w:rPr>
                <w:rFonts w:ascii="Times New Roman" w:eastAsia="Calibri" w:hAnsi="Times New Roman" w:cs="Times New Roman"/>
                <w:iCs/>
                <w:sz w:val="20"/>
                <w:szCs w:val="20"/>
              </w:rPr>
            </w:pPr>
          </w:p>
          <w:p w14:paraId="157EEFDE"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përfshin përdorimin e rregullave të njëanshme të portit të sigurt.</w:t>
            </w:r>
          </w:p>
          <w:p w14:paraId="41C4CFEB"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2.</w:t>
            </w:r>
          </w:p>
          <w:p w14:paraId="36695405" w14:textId="77777777" w:rsidR="00E01344" w:rsidRPr="002C4E0D" w:rsidRDefault="00E01344" w:rsidP="00E01344">
            <w:pPr>
              <w:rPr>
                <w:rFonts w:ascii="Times New Roman" w:eastAsia="Calibri" w:hAnsi="Times New Roman" w:cs="Times New Roman"/>
                <w:iCs/>
                <w:sz w:val="20"/>
                <w:szCs w:val="20"/>
              </w:rPr>
            </w:pPr>
          </w:p>
          <w:p w14:paraId="01C92201"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përfshin transferimin e pasurive të paprekshme me vlerë të vështirë. Termi "pasuri të paprekshme me vlerë të vështirë" mbulon pasuritë e paprekshme ose të drejtat në pasuri të paprekshme për të cilat, në kohën e transferimit të tyre midis ndërmarrjeve të lidhura:</w:t>
            </w:r>
          </w:p>
          <w:p w14:paraId="1C2A403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(a)</w:t>
            </w:r>
          </w:p>
          <w:p w14:paraId="1BEDDB72" w14:textId="77777777" w:rsidR="00E01344" w:rsidRPr="002C4E0D" w:rsidRDefault="00E01344" w:rsidP="00E01344">
            <w:pPr>
              <w:rPr>
                <w:rFonts w:ascii="Times New Roman" w:eastAsia="Calibri" w:hAnsi="Times New Roman" w:cs="Times New Roman"/>
                <w:iCs/>
                <w:sz w:val="20"/>
                <w:szCs w:val="20"/>
              </w:rPr>
            </w:pPr>
          </w:p>
          <w:p w14:paraId="0F0852A6"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nuk ekzistojnë krahasime të besueshme; dhe</w:t>
            </w:r>
          </w:p>
          <w:p w14:paraId="4D57608D" w14:textId="77777777" w:rsidR="00E01344" w:rsidRPr="002C4E0D" w:rsidRDefault="00E01344" w:rsidP="00E01344">
            <w:pPr>
              <w:rPr>
                <w:rFonts w:ascii="Times New Roman" w:eastAsia="Calibri" w:hAnsi="Times New Roman" w:cs="Times New Roman"/>
                <w:iCs/>
                <w:sz w:val="20"/>
                <w:szCs w:val="20"/>
              </w:rPr>
            </w:pPr>
          </w:p>
          <w:p w14:paraId="2C1FEE8B"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lastRenderedPageBreak/>
              <w:t>(b)</w:t>
            </w:r>
          </w:p>
          <w:p w14:paraId="600F24DC" w14:textId="77777777" w:rsidR="00E01344" w:rsidRPr="002C4E0D" w:rsidRDefault="00E01344" w:rsidP="00E01344">
            <w:pPr>
              <w:rPr>
                <w:rFonts w:ascii="Times New Roman" w:eastAsia="Calibri" w:hAnsi="Times New Roman" w:cs="Times New Roman"/>
                <w:iCs/>
                <w:sz w:val="20"/>
                <w:szCs w:val="20"/>
              </w:rPr>
            </w:pPr>
          </w:p>
          <w:p w14:paraId="4005E802"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Në kohën kur është kryer transaksioni, parashikimet e flukseve të ardhshme të parave ose të ardhurave që pritet të rrjedhin nga pasuria jo-materiale e transferuar, ose supozimet e përdorura në vlerësimin e pasurisë jo-materiale janë shumë të pasigurta, duke e bërë të vështirë parashikimin e nivelit të suksesit përfundimtar të pasurisë jo-materiale në kohën e transferimit.</w:t>
            </w:r>
          </w:p>
          <w:p w14:paraId="3DA277A2" w14:textId="77777777" w:rsidR="00E01344" w:rsidRPr="002C4E0D" w:rsidRDefault="00E01344" w:rsidP="00E01344">
            <w:pPr>
              <w:rPr>
                <w:rFonts w:ascii="Times New Roman" w:eastAsia="Calibri" w:hAnsi="Times New Roman" w:cs="Times New Roman"/>
                <w:iCs/>
                <w:sz w:val="20"/>
                <w:szCs w:val="20"/>
              </w:rPr>
            </w:pPr>
          </w:p>
          <w:p w14:paraId="1CD452B4" w14:textId="7777777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3.</w:t>
            </w:r>
          </w:p>
          <w:p w14:paraId="1875767F" w14:textId="77777777" w:rsidR="00E01344" w:rsidRPr="002C4E0D" w:rsidRDefault="00E01344" w:rsidP="00E01344">
            <w:pPr>
              <w:rPr>
                <w:rFonts w:ascii="Times New Roman" w:eastAsia="Calibri" w:hAnsi="Times New Roman" w:cs="Times New Roman"/>
                <w:iCs/>
                <w:sz w:val="20"/>
                <w:szCs w:val="20"/>
              </w:rPr>
            </w:pPr>
          </w:p>
          <w:p w14:paraId="044ED37E" w14:textId="6D4F94F7" w:rsidR="00E01344" w:rsidRPr="002C4E0D" w:rsidRDefault="00E01344" w:rsidP="00E01344">
            <w:pPr>
              <w:rPr>
                <w:rFonts w:ascii="Times New Roman" w:eastAsia="Calibri" w:hAnsi="Times New Roman" w:cs="Times New Roman"/>
                <w:iCs/>
                <w:sz w:val="20"/>
                <w:szCs w:val="20"/>
              </w:rPr>
            </w:pPr>
            <w:r w:rsidRPr="002C4E0D">
              <w:rPr>
                <w:rFonts w:ascii="Times New Roman" w:eastAsia="Calibri" w:hAnsi="Times New Roman" w:cs="Times New Roman"/>
                <w:iCs/>
                <w:sz w:val="20"/>
                <w:szCs w:val="20"/>
              </w:rPr>
              <w:t>Një marrëveshje që përfshin një transferim ndërkufitar brenda grupit të funksioneve dhe/ose rreziqeve dhe/ose aseteve, nëse fitimet vjetore të parashikuara para interesave dhe taksave (EBIT), gjatë periudhës tre-vjeçare pas transferimit, të transferuesit ose transferuesve, janë më pak se 50% e EBIT-së vjetore të parashikuar të transferuesit ose transferuesve të tillë nëse transferimi nuk do të ishte bërë.</w:t>
            </w:r>
          </w:p>
        </w:tc>
        <w:tc>
          <w:tcPr>
            <w:tcW w:w="540" w:type="dxa"/>
            <w:shd w:val="clear" w:color="auto" w:fill="FFFFFF" w:themeFill="background1"/>
          </w:tcPr>
          <w:p w14:paraId="5F144C0F" w14:textId="53BE7E52" w:rsidR="00E01344" w:rsidRPr="002C4E0D" w:rsidRDefault="00E01344" w:rsidP="00E01344">
            <w:pPr>
              <w:jc w:val="both"/>
              <w:rPr>
                <w:rFonts w:ascii="Times New Roman" w:eastAsia="Calibri" w:hAnsi="Times New Roman" w:cs="Times New Roman"/>
                <w:sz w:val="20"/>
                <w:szCs w:val="20"/>
              </w:rPr>
            </w:pPr>
            <w:r w:rsidRPr="002C4E0D">
              <w:rPr>
                <w:rFonts w:ascii="Times New Roman" w:eastAsia="Calibri" w:hAnsi="Times New Roman" w:cs="Times New Roman"/>
                <w:sz w:val="20"/>
                <w:szCs w:val="20"/>
              </w:rPr>
              <w:lastRenderedPageBreak/>
              <w:t>1</w:t>
            </w:r>
          </w:p>
        </w:tc>
        <w:tc>
          <w:tcPr>
            <w:tcW w:w="630" w:type="dxa"/>
            <w:shd w:val="clear" w:color="auto" w:fill="FFFFFF" w:themeFill="background1"/>
          </w:tcPr>
          <w:p w14:paraId="28B6B9A3" w14:textId="77777777" w:rsidR="00E01344" w:rsidRPr="002C4E0D" w:rsidRDefault="00E01344" w:rsidP="00E01344">
            <w:pPr>
              <w:jc w:val="center"/>
              <w:rPr>
                <w:rFonts w:ascii="Times New Roman" w:eastAsia="Calibri" w:hAnsi="Times New Roman" w:cs="Times New Roman"/>
                <w:sz w:val="20"/>
                <w:szCs w:val="20"/>
              </w:rPr>
            </w:pPr>
          </w:p>
        </w:tc>
        <w:tc>
          <w:tcPr>
            <w:tcW w:w="4964" w:type="dxa"/>
            <w:shd w:val="clear" w:color="auto" w:fill="FFFFFF" w:themeFill="background1"/>
          </w:tcPr>
          <w:p w14:paraId="349BE2D1"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Kategoria E</w:t>
            </w:r>
          </w:p>
          <w:p w14:paraId="5B592FE2"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Karakteristikat dalluese specifike në lidhje me transferimin e çmimeve</w:t>
            </w:r>
          </w:p>
          <w:p w14:paraId="078EE7A4"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1.</w:t>
            </w:r>
            <w:r w:rsidRPr="0042075D">
              <w:rPr>
                <w:rFonts w:ascii="Times New Roman" w:hAnsi="Times New Roman" w:cs="Times New Roman"/>
                <w:sz w:val="20"/>
                <w:szCs w:val="20"/>
              </w:rPr>
              <w:tab/>
              <w:t>Një mekanizëm që përfshin përdorimin e rregullave të njëanshme lehtësuese tatimore (safe harbour rule).</w:t>
            </w:r>
          </w:p>
          <w:p w14:paraId="10593FB2"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2.</w:t>
            </w:r>
            <w:r w:rsidRPr="0042075D">
              <w:rPr>
                <w:rFonts w:ascii="Times New Roman" w:hAnsi="Times New Roman" w:cs="Times New Roman"/>
                <w:sz w:val="20"/>
                <w:szCs w:val="20"/>
              </w:rPr>
              <w:tab/>
              <w:t>Një mekanizëm që përfshin transferimin e pasurive të paprekshme që vështirë se mund të vlerësohen.</w:t>
            </w:r>
          </w:p>
          <w:p w14:paraId="4AED3D38"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Termi "pasuri të paprekshme të vështira për t'u vlerësuar" mbulon pasuritë e paprekshme ose të drejtat në pasuri të paprekshme për të cilat, në kohën e transferimit të tyre midis ndërmarrjeve të lidhura:</w:t>
            </w:r>
          </w:p>
          <w:p w14:paraId="0A5277F8"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 a) nuk ekzistojnë krahasime të besueshme; dhe</w:t>
            </w:r>
          </w:p>
          <w:p w14:paraId="18D12AC8"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 xml:space="preserve"> b) në momentin e transferimit, parashikimet e flukseve të ardhshme të parasë ose të të ardhurave të pritshme që rrjedhin nga aktivi i transferuar, ose supozimet e përdorura </w:t>
            </w:r>
            <w:r w:rsidRPr="0042075D">
              <w:rPr>
                <w:rFonts w:ascii="Times New Roman" w:hAnsi="Times New Roman" w:cs="Times New Roman"/>
                <w:sz w:val="20"/>
                <w:szCs w:val="20"/>
              </w:rPr>
              <w:lastRenderedPageBreak/>
              <w:t>në vlerësimin e tij, janë shumë të pasigurta, duke e bërë të vështirë parashikimin e suksesit të tij në atë kohë.</w:t>
            </w:r>
          </w:p>
          <w:p w14:paraId="2B62EB49"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3.</w:t>
            </w:r>
            <w:r w:rsidRPr="0042075D">
              <w:rPr>
                <w:rFonts w:ascii="Times New Roman" w:hAnsi="Times New Roman" w:cs="Times New Roman"/>
                <w:sz w:val="20"/>
                <w:szCs w:val="20"/>
              </w:rPr>
              <w:tab/>
              <w:t>Një mekanizëm që përfshin një transferim ndërkufitar brenda grupit të funksioneve, rreziqeve ose aseteve, ku fitimet vjetore të parashikuara të transferuesit, gjatë periudhës tre-vjeçare pas transferimit, janë më pak se 50% e EBIT-it vjetor të parashikuar nëse transferimi nuk do të ishte bërë.</w:t>
            </w:r>
          </w:p>
          <w:p w14:paraId="0CE924F1" w14:textId="77777777" w:rsidR="00E01344" w:rsidRPr="0042075D" w:rsidRDefault="00E01344" w:rsidP="00E01344">
            <w:pPr>
              <w:spacing w:line="276" w:lineRule="auto"/>
              <w:jc w:val="both"/>
              <w:rPr>
                <w:rFonts w:ascii="Times New Roman" w:hAnsi="Times New Roman" w:cs="Times New Roman"/>
                <w:sz w:val="20"/>
                <w:szCs w:val="20"/>
              </w:rPr>
            </w:pPr>
          </w:p>
          <w:p w14:paraId="673AE7B9" w14:textId="77777777"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Dispozitë interpretuese</w:t>
            </w:r>
          </w:p>
          <w:p w14:paraId="59D88A8F" w14:textId="77777777" w:rsidR="00E01344" w:rsidRPr="0042075D" w:rsidRDefault="00E01344" w:rsidP="00E01344">
            <w:pPr>
              <w:spacing w:line="276" w:lineRule="auto"/>
              <w:jc w:val="both"/>
              <w:rPr>
                <w:rFonts w:ascii="Times New Roman" w:hAnsi="Times New Roman" w:cs="Times New Roman"/>
                <w:sz w:val="20"/>
                <w:szCs w:val="20"/>
              </w:rPr>
            </w:pPr>
          </w:p>
          <w:p w14:paraId="04FC620F" w14:textId="63486E6F" w:rsidR="00E01344" w:rsidRPr="0042075D" w:rsidRDefault="00E01344" w:rsidP="00E01344">
            <w:pPr>
              <w:spacing w:line="276" w:lineRule="auto"/>
              <w:jc w:val="both"/>
              <w:rPr>
                <w:rFonts w:ascii="Times New Roman" w:hAnsi="Times New Roman" w:cs="Times New Roman"/>
                <w:sz w:val="20"/>
                <w:szCs w:val="20"/>
              </w:rPr>
            </w:pPr>
            <w:r w:rsidRPr="0042075D">
              <w:rPr>
                <w:rFonts w:ascii="Times New Roman" w:hAnsi="Times New Roman" w:cs="Times New Roman"/>
                <w:sz w:val="20"/>
                <w:szCs w:val="20"/>
              </w:rPr>
              <w:t>Shenjat dalluese të këtij Aneksi interpretohen në përputhje me qëllimin e këtij Ligji dhe me praktikën interpretuese të Bashkimit Evropian në fushën e bashkëpunimit administrativ tatimor.</w:t>
            </w:r>
          </w:p>
        </w:tc>
        <w:tc>
          <w:tcPr>
            <w:tcW w:w="720" w:type="dxa"/>
            <w:shd w:val="clear" w:color="auto" w:fill="FFFFFF" w:themeFill="background1"/>
          </w:tcPr>
          <w:p w14:paraId="614A83A2" w14:textId="2219AEC7" w:rsidR="00E01344" w:rsidRPr="002C4E0D" w:rsidRDefault="00A2639D" w:rsidP="00E01344">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F</w:t>
            </w:r>
          </w:p>
        </w:tc>
        <w:tc>
          <w:tcPr>
            <w:tcW w:w="3406" w:type="dxa"/>
            <w:shd w:val="clear" w:color="auto" w:fill="FFFFFF" w:themeFill="background1"/>
          </w:tcPr>
          <w:p w14:paraId="02A8C1CF" w14:textId="77777777" w:rsidR="00E01344" w:rsidRPr="002C4E0D" w:rsidRDefault="00E01344" w:rsidP="00E01344">
            <w:pPr>
              <w:jc w:val="center"/>
              <w:rPr>
                <w:rFonts w:ascii="Times New Roman" w:eastAsia="Calibri" w:hAnsi="Times New Roman" w:cs="Times New Roman"/>
                <w:iCs/>
                <w:sz w:val="20"/>
                <w:szCs w:val="20"/>
              </w:rPr>
            </w:pPr>
          </w:p>
        </w:tc>
      </w:tr>
    </w:tbl>
    <w:p w14:paraId="4E2D4073" w14:textId="77777777" w:rsidR="009A20F7" w:rsidRPr="00F83FEC" w:rsidRDefault="009A20F7" w:rsidP="00E172D2">
      <w:pPr>
        <w:spacing w:line="240" w:lineRule="auto"/>
        <w:rPr>
          <w:rFonts w:ascii="Times New Roman" w:hAnsi="Times New Roman" w:cs="Times New Roman"/>
          <w:sz w:val="18"/>
          <w:szCs w:val="18"/>
        </w:rPr>
      </w:pPr>
    </w:p>
    <w:sectPr w:rsidR="009A20F7" w:rsidRPr="00F83FEC"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4721" w14:textId="77777777" w:rsidR="00745095" w:rsidRDefault="00745095" w:rsidP="00922FEB">
      <w:pPr>
        <w:spacing w:after="0" w:line="240" w:lineRule="auto"/>
      </w:pPr>
      <w:r>
        <w:separator/>
      </w:r>
    </w:p>
  </w:endnote>
  <w:endnote w:type="continuationSeparator" w:id="0">
    <w:p w14:paraId="5A9950FF" w14:textId="77777777" w:rsidR="00745095" w:rsidRDefault="00745095"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020A13AF" w:rsidR="0013523E" w:rsidRDefault="0013523E">
    <w:pPr>
      <w:pStyle w:val="Foo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E587" w14:textId="77777777" w:rsidR="00745095" w:rsidRDefault="00745095" w:rsidP="00922FEB">
      <w:pPr>
        <w:spacing w:after="0" w:line="240" w:lineRule="auto"/>
      </w:pPr>
      <w:r>
        <w:separator/>
      </w:r>
    </w:p>
  </w:footnote>
  <w:footnote w:type="continuationSeparator" w:id="0">
    <w:p w14:paraId="60242953" w14:textId="77777777" w:rsidR="00745095" w:rsidRDefault="00745095"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DE"/>
    <w:multiLevelType w:val="multilevel"/>
    <w:tmpl w:val="205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07770C"/>
    <w:multiLevelType w:val="multilevel"/>
    <w:tmpl w:val="976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851"/>
    <w:multiLevelType w:val="hybridMultilevel"/>
    <w:tmpl w:val="4A309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B4341"/>
    <w:multiLevelType w:val="multilevel"/>
    <w:tmpl w:val="AA8EB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627B8"/>
    <w:multiLevelType w:val="multilevel"/>
    <w:tmpl w:val="E0D25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C4DF1"/>
    <w:multiLevelType w:val="hybridMultilevel"/>
    <w:tmpl w:val="2148252C"/>
    <w:lvl w:ilvl="0" w:tplc="9A72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10AE9"/>
    <w:multiLevelType w:val="hybridMultilevel"/>
    <w:tmpl w:val="76FE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37726"/>
    <w:multiLevelType w:val="hybridMultilevel"/>
    <w:tmpl w:val="BB7C3B9A"/>
    <w:lvl w:ilvl="0" w:tplc="1048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29A00D1"/>
    <w:multiLevelType w:val="multilevel"/>
    <w:tmpl w:val="ED8A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DF13A7"/>
    <w:multiLevelType w:val="hybridMultilevel"/>
    <w:tmpl w:val="CC60094E"/>
    <w:lvl w:ilvl="0" w:tplc="E836E3C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652D6"/>
    <w:multiLevelType w:val="hybridMultilevel"/>
    <w:tmpl w:val="E7C86058"/>
    <w:lvl w:ilvl="0" w:tplc="5AF83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737BA"/>
    <w:multiLevelType w:val="hybridMultilevel"/>
    <w:tmpl w:val="99921C8C"/>
    <w:lvl w:ilvl="0" w:tplc="4BA09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6C04AA1"/>
    <w:multiLevelType w:val="hybridMultilevel"/>
    <w:tmpl w:val="E998FFBA"/>
    <w:lvl w:ilvl="0" w:tplc="F0AE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7E5137"/>
    <w:multiLevelType w:val="multilevel"/>
    <w:tmpl w:val="F20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1227F"/>
    <w:multiLevelType w:val="hybridMultilevel"/>
    <w:tmpl w:val="ABE0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1C34921"/>
    <w:multiLevelType w:val="multilevel"/>
    <w:tmpl w:val="72A82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B4B48"/>
    <w:multiLevelType w:val="hybridMultilevel"/>
    <w:tmpl w:val="1A9C5262"/>
    <w:lvl w:ilvl="0" w:tplc="2766D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660CB"/>
    <w:multiLevelType w:val="multilevel"/>
    <w:tmpl w:val="2F0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E1F7F"/>
    <w:multiLevelType w:val="hybridMultilevel"/>
    <w:tmpl w:val="57C827EE"/>
    <w:lvl w:ilvl="0" w:tplc="5A222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70610B7D"/>
    <w:multiLevelType w:val="hybridMultilevel"/>
    <w:tmpl w:val="F676D7CC"/>
    <w:lvl w:ilvl="0" w:tplc="C7DCC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F91119"/>
    <w:multiLevelType w:val="multilevel"/>
    <w:tmpl w:val="223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2053F3"/>
    <w:multiLevelType w:val="multilevel"/>
    <w:tmpl w:val="B490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FD5997"/>
    <w:multiLevelType w:val="hybridMultilevel"/>
    <w:tmpl w:val="5A2267F2"/>
    <w:lvl w:ilvl="0" w:tplc="25081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336189">
    <w:abstractNumId w:val="35"/>
  </w:num>
  <w:num w:numId="2" w16cid:durableId="848180819">
    <w:abstractNumId w:val="3"/>
  </w:num>
  <w:num w:numId="3" w16cid:durableId="1991472671">
    <w:abstractNumId w:val="34"/>
  </w:num>
  <w:num w:numId="4" w16cid:durableId="1789540925">
    <w:abstractNumId w:val="6"/>
  </w:num>
  <w:num w:numId="5" w16cid:durableId="873536882">
    <w:abstractNumId w:val="28"/>
  </w:num>
  <w:num w:numId="6" w16cid:durableId="1024207714">
    <w:abstractNumId w:val="14"/>
  </w:num>
  <w:num w:numId="7" w16cid:durableId="1625503628">
    <w:abstractNumId w:val="18"/>
  </w:num>
  <w:num w:numId="8" w16cid:durableId="163978412">
    <w:abstractNumId w:val="40"/>
  </w:num>
  <w:num w:numId="9" w16cid:durableId="1362366166">
    <w:abstractNumId w:val="12"/>
  </w:num>
  <w:num w:numId="10" w16cid:durableId="2061859345">
    <w:abstractNumId w:val="37"/>
  </w:num>
  <w:num w:numId="11" w16cid:durableId="1595632195">
    <w:abstractNumId w:val="33"/>
  </w:num>
  <w:num w:numId="12" w16cid:durableId="2126656838">
    <w:abstractNumId w:val="4"/>
  </w:num>
  <w:num w:numId="13" w16cid:durableId="1712460661">
    <w:abstractNumId w:val="32"/>
  </w:num>
  <w:num w:numId="14" w16cid:durableId="3478077">
    <w:abstractNumId w:val="20"/>
  </w:num>
  <w:num w:numId="15" w16cid:durableId="2140806158">
    <w:abstractNumId w:val="43"/>
  </w:num>
  <w:num w:numId="16" w16cid:durableId="988828418">
    <w:abstractNumId w:val="5"/>
  </w:num>
  <w:num w:numId="17" w16cid:durableId="1385182267">
    <w:abstractNumId w:val="23"/>
  </w:num>
  <w:num w:numId="18" w16cid:durableId="2102529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3385939">
    <w:abstractNumId w:val="38"/>
  </w:num>
  <w:num w:numId="20" w16cid:durableId="15326503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635073">
    <w:abstractNumId w:val="41"/>
  </w:num>
  <w:num w:numId="22" w16cid:durableId="206914830">
    <w:abstractNumId w:val="1"/>
  </w:num>
  <w:num w:numId="23" w16cid:durableId="429392116">
    <w:abstractNumId w:val="45"/>
  </w:num>
  <w:num w:numId="24" w16cid:durableId="2046562228">
    <w:abstractNumId w:val="25"/>
  </w:num>
  <w:num w:numId="25" w16cid:durableId="1874995692">
    <w:abstractNumId w:val="0"/>
  </w:num>
  <w:num w:numId="26" w16cid:durableId="61099887">
    <w:abstractNumId w:val="7"/>
  </w:num>
  <w:num w:numId="27" w16cid:durableId="148832932">
    <w:abstractNumId w:val="8"/>
  </w:num>
  <w:num w:numId="28" w16cid:durableId="691686857">
    <w:abstractNumId w:val="44"/>
  </w:num>
  <w:num w:numId="29" w16cid:durableId="799998744">
    <w:abstractNumId w:val="21"/>
  </w:num>
  <w:num w:numId="30" w16cid:durableId="474181816">
    <w:abstractNumId w:val="27"/>
  </w:num>
  <w:num w:numId="31" w16cid:durableId="831262174">
    <w:abstractNumId w:val="2"/>
  </w:num>
  <w:num w:numId="32" w16cid:durableId="1214778538">
    <w:abstractNumId w:val="46"/>
  </w:num>
  <w:num w:numId="33" w16cid:durableId="523054209">
    <w:abstractNumId w:val="15"/>
  </w:num>
  <w:num w:numId="34" w16cid:durableId="2104953815">
    <w:abstractNumId w:val="36"/>
  </w:num>
  <w:num w:numId="35" w16cid:durableId="1813791428">
    <w:abstractNumId w:val="16"/>
  </w:num>
  <w:num w:numId="36" w16cid:durableId="1892693365">
    <w:abstractNumId w:val="11"/>
  </w:num>
  <w:num w:numId="37" w16cid:durableId="992175998">
    <w:abstractNumId w:val="9"/>
  </w:num>
  <w:num w:numId="38" w16cid:durableId="2077043897">
    <w:abstractNumId w:val="39"/>
  </w:num>
  <w:num w:numId="39" w16cid:durableId="703560415">
    <w:abstractNumId w:val="22"/>
  </w:num>
  <w:num w:numId="40" w16cid:durableId="2045279518">
    <w:abstractNumId w:val="19"/>
  </w:num>
  <w:num w:numId="41" w16cid:durableId="1741437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2817103">
    <w:abstractNumId w:val="24"/>
  </w:num>
  <w:num w:numId="43" w16cid:durableId="762842578">
    <w:abstractNumId w:val="31"/>
  </w:num>
  <w:num w:numId="44" w16cid:durableId="193008196">
    <w:abstractNumId w:val="29"/>
  </w:num>
  <w:num w:numId="45" w16cid:durableId="1190948666">
    <w:abstractNumId w:val="13"/>
  </w:num>
  <w:num w:numId="46" w16cid:durableId="1359508295">
    <w:abstractNumId w:val="47"/>
  </w:num>
  <w:num w:numId="47" w16cid:durableId="1294478862">
    <w:abstractNumId w:val="30"/>
  </w:num>
  <w:num w:numId="48" w16cid:durableId="80401000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06CAE"/>
    <w:rsid w:val="00010A4D"/>
    <w:rsid w:val="000144FB"/>
    <w:rsid w:val="00015086"/>
    <w:rsid w:val="000150BB"/>
    <w:rsid w:val="00016C4D"/>
    <w:rsid w:val="00017CC1"/>
    <w:rsid w:val="00020AE3"/>
    <w:rsid w:val="00026CC0"/>
    <w:rsid w:val="000339C8"/>
    <w:rsid w:val="00034129"/>
    <w:rsid w:val="00036F88"/>
    <w:rsid w:val="000417EA"/>
    <w:rsid w:val="00052607"/>
    <w:rsid w:val="00052664"/>
    <w:rsid w:val="00053923"/>
    <w:rsid w:val="00053BD3"/>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9CF"/>
    <w:rsid w:val="000C227B"/>
    <w:rsid w:val="000C4C00"/>
    <w:rsid w:val="000D0E76"/>
    <w:rsid w:val="000D4CD0"/>
    <w:rsid w:val="000D6E38"/>
    <w:rsid w:val="000D77FB"/>
    <w:rsid w:val="000D7CA4"/>
    <w:rsid w:val="000D7DCD"/>
    <w:rsid w:val="000E0147"/>
    <w:rsid w:val="000E09F3"/>
    <w:rsid w:val="000E1010"/>
    <w:rsid w:val="000E16D8"/>
    <w:rsid w:val="000E2BC3"/>
    <w:rsid w:val="000E4DE0"/>
    <w:rsid w:val="000E5AC4"/>
    <w:rsid w:val="000E668E"/>
    <w:rsid w:val="000F1623"/>
    <w:rsid w:val="000F2FB0"/>
    <w:rsid w:val="00101EF4"/>
    <w:rsid w:val="001024E6"/>
    <w:rsid w:val="00103497"/>
    <w:rsid w:val="00106912"/>
    <w:rsid w:val="0010722F"/>
    <w:rsid w:val="0010735E"/>
    <w:rsid w:val="001123ED"/>
    <w:rsid w:val="001207DE"/>
    <w:rsid w:val="00121010"/>
    <w:rsid w:val="00125EE3"/>
    <w:rsid w:val="0013523E"/>
    <w:rsid w:val="00140D96"/>
    <w:rsid w:val="00142D73"/>
    <w:rsid w:val="00147A54"/>
    <w:rsid w:val="001520C0"/>
    <w:rsid w:val="0015399E"/>
    <w:rsid w:val="00153CCC"/>
    <w:rsid w:val="00154981"/>
    <w:rsid w:val="001552C4"/>
    <w:rsid w:val="0015599D"/>
    <w:rsid w:val="00160121"/>
    <w:rsid w:val="001619E7"/>
    <w:rsid w:val="00164173"/>
    <w:rsid w:val="00170836"/>
    <w:rsid w:val="00171AE3"/>
    <w:rsid w:val="001775D3"/>
    <w:rsid w:val="00185FF3"/>
    <w:rsid w:val="00190654"/>
    <w:rsid w:val="00190EF9"/>
    <w:rsid w:val="00191477"/>
    <w:rsid w:val="0019465F"/>
    <w:rsid w:val="001A03B3"/>
    <w:rsid w:val="001A054E"/>
    <w:rsid w:val="001A1CC0"/>
    <w:rsid w:val="001A1DCF"/>
    <w:rsid w:val="001A223E"/>
    <w:rsid w:val="001A240D"/>
    <w:rsid w:val="001B46A8"/>
    <w:rsid w:val="001B4AFB"/>
    <w:rsid w:val="001B4F3F"/>
    <w:rsid w:val="001C029C"/>
    <w:rsid w:val="001C2405"/>
    <w:rsid w:val="001C7741"/>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6694"/>
    <w:rsid w:val="00207E2E"/>
    <w:rsid w:val="00212234"/>
    <w:rsid w:val="00216CB5"/>
    <w:rsid w:val="00217FFD"/>
    <w:rsid w:val="00220DD6"/>
    <w:rsid w:val="002234E1"/>
    <w:rsid w:val="00226B07"/>
    <w:rsid w:val="00226B95"/>
    <w:rsid w:val="002351EE"/>
    <w:rsid w:val="00236C1E"/>
    <w:rsid w:val="00237085"/>
    <w:rsid w:val="00241058"/>
    <w:rsid w:val="00241DAE"/>
    <w:rsid w:val="00242D3A"/>
    <w:rsid w:val="00243A1A"/>
    <w:rsid w:val="0024728F"/>
    <w:rsid w:val="00247573"/>
    <w:rsid w:val="00250974"/>
    <w:rsid w:val="00250B34"/>
    <w:rsid w:val="002511E0"/>
    <w:rsid w:val="00253F5A"/>
    <w:rsid w:val="00256570"/>
    <w:rsid w:val="00260632"/>
    <w:rsid w:val="00261EE3"/>
    <w:rsid w:val="00262E99"/>
    <w:rsid w:val="002652D5"/>
    <w:rsid w:val="00265C53"/>
    <w:rsid w:val="00266B43"/>
    <w:rsid w:val="002675D8"/>
    <w:rsid w:val="00267F32"/>
    <w:rsid w:val="00271F5B"/>
    <w:rsid w:val="00273323"/>
    <w:rsid w:val="0027774B"/>
    <w:rsid w:val="00277A8F"/>
    <w:rsid w:val="002826E4"/>
    <w:rsid w:val="00282FA2"/>
    <w:rsid w:val="002852DA"/>
    <w:rsid w:val="00287B86"/>
    <w:rsid w:val="00292825"/>
    <w:rsid w:val="002973DE"/>
    <w:rsid w:val="002A2DF8"/>
    <w:rsid w:val="002A59EF"/>
    <w:rsid w:val="002B02E4"/>
    <w:rsid w:val="002B3D21"/>
    <w:rsid w:val="002B44A1"/>
    <w:rsid w:val="002B4C9F"/>
    <w:rsid w:val="002B731D"/>
    <w:rsid w:val="002C1FF8"/>
    <w:rsid w:val="002C2CDD"/>
    <w:rsid w:val="002C4843"/>
    <w:rsid w:val="002C4E0D"/>
    <w:rsid w:val="002C569C"/>
    <w:rsid w:val="002C6E4F"/>
    <w:rsid w:val="002C733F"/>
    <w:rsid w:val="002C7F03"/>
    <w:rsid w:val="002D0742"/>
    <w:rsid w:val="002D2221"/>
    <w:rsid w:val="002D529D"/>
    <w:rsid w:val="002D574D"/>
    <w:rsid w:val="002D7485"/>
    <w:rsid w:val="002E6526"/>
    <w:rsid w:val="002F76DE"/>
    <w:rsid w:val="00301958"/>
    <w:rsid w:val="0030526E"/>
    <w:rsid w:val="00310B3D"/>
    <w:rsid w:val="0031114B"/>
    <w:rsid w:val="003116B5"/>
    <w:rsid w:val="0031566F"/>
    <w:rsid w:val="00317005"/>
    <w:rsid w:val="00322C4F"/>
    <w:rsid w:val="00332366"/>
    <w:rsid w:val="00335C48"/>
    <w:rsid w:val="00344587"/>
    <w:rsid w:val="00345085"/>
    <w:rsid w:val="0035145A"/>
    <w:rsid w:val="003518E4"/>
    <w:rsid w:val="003541B4"/>
    <w:rsid w:val="00357D61"/>
    <w:rsid w:val="00361C42"/>
    <w:rsid w:val="00364559"/>
    <w:rsid w:val="00365D68"/>
    <w:rsid w:val="00372ECB"/>
    <w:rsid w:val="0037327C"/>
    <w:rsid w:val="00374572"/>
    <w:rsid w:val="00381019"/>
    <w:rsid w:val="00391383"/>
    <w:rsid w:val="00393FD0"/>
    <w:rsid w:val="00395E2E"/>
    <w:rsid w:val="003A75B8"/>
    <w:rsid w:val="003B191B"/>
    <w:rsid w:val="003B1CE7"/>
    <w:rsid w:val="003B7C4A"/>
    <w:rsid w:val="003C045B"/>
    <w:rsid w:val="003C1E87"/>
    <w:rsid w:val="003C2EAB"/>
    <w:rsid w:val="003C4AC6"/>
    <w:rsid w:val="003C63BE"/>
    <w:rsid w:val="003C79E1"/>
    <w:rsid w:val="003D4694"/>
    <w:rsid w:val="003D4F83"/>
    <w:rsid w:val="003E2711"/>
    <w:rsid w:val="003F12A2"/>
    <w:rsid w:val="003F6A79"/>
    <w:rsid w:val="003F6C69"/>
    <w:rsid w:val="004003B3"/>
    <w:rsid w:val="00400C6E"/>
    <w:rsid w:val="004020E6"/>
    <w:rsid w:val="0040246D"/>
    <w:rsid w:val="004024D0"/>
    <w:rsid w:val="00405A74"/>
    <w:rsid w:val="00410A88"/>
    <w:rsid w:val="00410D62"/>
    <w:rsid w:val="00411E80"/>
    <w:rsid w:val="00415BDC"/>
    <w:rsid w:val="00415C9E"/>
    <w:rsid w:val="004164B2"/>
    <w:rsid w:val="00416E2E"/>
    <w:rsid w:val="0042075D"/>
    <w:rsid w:val="004224EA"/>
    <w:rsid w:val="00424D4A"/>
    <w:rsid w:val="0042577F"/>
    <w:rsid w:val="00426104"/>
    <w:rsid w:val="00427624"/>
    <w:rsid w:val="00427E4C"/>
    <w:rsid w:val="00427EE2"/>
    <w:rsid w:val="0043228D"/>
    <w:rsid w:val="00433DB0"/>
    <w:rsid w:val="004457A1"/>
    <w:rsid w:val="00450C23"/>
    <w:rsid w:val="00451218"/>
    <w:rsid w:val="00451313"/>
    <w:rsid w:val="004570E7"/>
    <w:rsid w:val="00462F38"/>
    <w:rsid w:val="00463860"/>
    <w:rsid w:val="00463D26"/>
    <w:rsid w:val="0047211B"/>
    <w:rsid w:val="00472C5C"/>
    <w:rsid w:val="004738EE"/>
    <w:rsid w:val="004745E6"/>
    <w:rsid w:val="00476A5C"/>
    <w:rsid w:val="004812F5"/>
    <w:rsid w:val="004816E5"/>
    <w:rsid w:val="004833A3"/>
    <w:rsid w:val="004857FB"/>
    <w:rsid w:val="0049241B"/>
    <w:rsid w:val="004933C1"/>
    <w:rsid w:val="00497724"/>
    <w:rsid w:val="004A1713"/>
    <w:rsid w:val="004A2394"/>
    <w:rsid w:val="004A3603"/>
    <w:rsid w:val="004A36CD"/>
    <w:rsid w:val="004A4B29"/>
    <w:rsid w:val="004B3981"/>
    <w:rsid w:val="004B7E97"/>
    <w:rsid w:val="004B7F04"/>
    <w:rsid w:val="004C296D"/>
    <w:rsid w:val="004C2EE7"/>
    <w:rsid w:val="004D0576"/>
    <w:rsid w:val="004D36D7"/>
    <w:rsid w:val="004D3792"/>
    <w:rsid w:val="004D4A5A"/>
    <w:rsid w:val="004E0D2B"/>
    <w:rsid w:val="004E2956"/>
    <w:rsid w:val="004E30E5"/>
    <w:rsid w:val="004E4138"/>
    <w:rsid w:val="004F0084"/>
    <w:rsid w:val="004F0109"/>
    <w:rsid w:val="004F0CC3"/>
    <w:rsid w:val="004F2266"/>
    <w:rsid w:val="004F2511"/>
    <w:rsid w:val="004F27D1"/>
    <w:rsid w:val="004F5B78"/>
    <w:rsid w:val="004F619A"/>
    <w:rsid w:val="004F637B"/>
    <w:rsid w:val="004F7895"/>
    <w:rsid w:val="005002A2"/>
    <w:rsid w:val="005007CA"/>
    <w:rsid w:val="0050266C"/>
    <w:rsid w:val="00502F25"/>
    <w:rsid w:val="0050578D"/>
    <w:rsid w:val="00510FD6"/>
    <w:rsid w:val="00512FA3"/>
    <w:rsid w:val="005178FC"/>
    <w:rsid w:val="005222ED"/>
    <w:rsid w:val="00523BD5"/>
    <w:rsid w:val="00532F36"/>
    <w:rsid w:val="00534507"/>
    <w:rsid w:val="00536BD1"/>
    <w:rsid w:val="00536F48"/>
    <w:rsid w:val="005373C7"/>
    <w:rsid w:val="00542046"/>
    <w:rsid w:val="00542B90"/>
    <w:rsid w:val="00544726"/>
    <w:rsid w:val="00545293"/>
    <w:rsid w:val="0054653E"/>
    <w:rsid w:val="00555B0E"/>
    <w:rsid w:val="00561970"/>
    <w:rsid w:val="00562EF5"/>
    <w:rsid w:val="0056390B"/>
    <w:rsid w:val="00566FBF"/>
    <w:rsid w:val="00571B6B"/>
    <w:rsid w:val="005721F0"/>
    <w:rsid w:val="005739CF"/>
    <w:rsid w:val="005740C8"/>
    <w:rsid w:val="0058092D"/>
    <w:rsid w:val="00581189"/>
    <w:rsid w:val="005828C1"/>
    <w:rsid w:val="00591261"/>
    <w:rsid w:val="00591577"/>
    <w:rsid w:val="0059538D"/>
    <w:rsid w:val="005A3A0B"/>
    <w:rsid w:val="005A7288"/>
    <w:rsid w:val="005B425E"/>
    <w:rsid w:val="005B5F21"/>
    <w:rsid w:val="005B76CF"/>
    <w:rsid w:val="005C0732"/>
    <w:rsid w:val="005C2C12"/>
    <w:rsid w:val="005C4E8B"/>
    <w:rsid w:val="005C5778"/>
    <w:rsid w:val="005D1762"/>
    <w:rsid w:val="005D2CA7"/>
    <w:rsid w:val="005D6115"/>
    <w:rsid w:val="005D7747"/>
    <w:rsid w:val="005E10BC"/>
    <w:rsid w:val="005E5DCC"/>
    <w:rsid w:val="005E65A8"/>
    <w:rsid w:val="005E6AA8"/>
    <w:rsid w:val="005F1B9C"/>
    <w:rsid w:val="005F434C"/>
    <w:rsid w:val="005F57EB"/>
    <w:rsid w:val="005F7D54"/>
    <w:rsid w:val="0060204E"/>
    <w:rsid w:val="00611D97"/>
    <w:rsid w:val="0061684B"/>
    <w:rsid w:val="00617362"/>
    <w:rsid w:val="00623590"/>
    <w:rsid w:val="00627580"/>
    <w:rsid w:val="0063030D"/>
    <w:rsid w:val="006310DD"/>
    <w:rsid w:val="00632923"/>
    <w:rsid w:val="00635147"/>
    <w:rsid w:val="0064231D"/>
    <w:rsid w:val="006444CD"/>
    <w:rsid w:val="00651851"/>
    <w:rsid w:val="00654FB9"/>
    <w:rsid w:val="006566CD"/>
    <w:rsid w:val="00657867"/>
    <w:rsid w:val="0066027E"/>
    <w:rsid w:val="006618BF"/>
    <w:rsid w:val="0066667D"/>
    <w:rsid w:val="00666B47"/>
    <w:rsid w:val="0067247A"/>
    <w:rsid w:val="006726C3"/>
    <w:rsid w:val="00672C4E"/>
    <w:rsid w:val="00676111"/>
    <w:rsid w:val="0067730A"/>
    <w:rsid w:val="006774B8"/>
    <w:rsid w:val="00683F40"/>
    <w:rsid w:val="00687ED7"/>
    <w:rsid w:val="00695317"/>
    <w:rsid w:val="006953D8"/>
    <w:rsid w:val="006A09C7"/>
    <w:rsid w:val="006A2D4D"/>
    <w:rsid w:val="006B06FB"/>
    <w:rsid w:val="006B0D0A"/>
    <w:rsid w:val="006B323C"/>
    <w:rsid w:val="006B7ABD"/>
    <w:rsid w:val="006C1477"/>
    <w:rsid w:val="006C1526"/>
    <w:rsid w:val="006C1BCA"/>
    <w:rsid w:val="006C4222"/>
    <w:rsid w:val="006C741D"/>
    <w:rsid w:val="006C7B60"/>
    <w:rsid w:val="006D6109"/>
    <w:rsid w:val="006D648E"/>
    <w:rsid w:val="006D70D0"/>
    <w:rsid w:val="006E3A8B"/>
    <w:rsid w:val="006E7F7A"/>
    <w:rsid w:val="006E7FA1"/>
    <w:rsid w:val="006F2527"/>
    <w:rsid w:val="006F2C45"/>
    <w:rsid w:val="006F2F12"/>
    <w:rsid w:val="006F674A"/>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46D5"/>
    <w:rsid w:val="007251FA"/>
    <w:rsid w:val="007277B4"/>
    <w:rsid w:val="00732339"/>
    <w:rsid w:val="00733950"/>
    <w:rsid w:val="00736441"/>
    <w:rsid w:val="00745095"/>
    <w:rsid w:val="00745147"/>
    <w:rsid w:val="007462E6"/>
    <w:rsid w:val="00746656"/>
    <w:rsid w:val="00746F5E"/>
    <w:rsid w:val="007526FA"/>
    <w:rsid w:val="00754C23"/>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777E8"/>
    <w:rsid w:val="00780F53"/>
    <w:rsid w:val="00794E58"/>
    <w:rsid w:val="007A1CE1"/>
    <w:rsid w:val="007A24BB"/>
    <w:rsid w:val="007A64BB"/>
    <w:rsid w:val="007B00C7"/>
    <w:rsid w:val="007B312A"/>
    <w:rsid w:val="007B31F6"/>
    <w:rsid w:val="007C025E"/>
    <w:rsid w:val="007C217F"/>
    <w:rsid w:val="007C23D6"/>
    <w:rsid w:val="007C3F0C"/>
    <w:rsid w:val="007C5223"/>
    <w:rsid w:val="007C78D2"/>
    <w:rsid w:val="007D6215"/>
    <w:rsid w:val="007D6CB1"/>
    <w:rsid w:val="007E346B"/>
    <w:rsid w:val="007E431F"/>
    <w:rsid w:val="007E488D"/>
    <w:rsid w:val="007F0768"/>
    <w:rsid w:val="007F323E"/>
    <w:rsid w:val="007F3CF1"/>
    <w:rsid w:val="007F518E"/>
    <w:rsid w:val="007F5D33"/>
    <w:rsid w:val="008018C3"/>
    <w:rsid w:val="008036D5"/>
    <w:rsid w:val="0080541B"/>
    <w:rsid w:val="00830C7D"/>
    <w:rsid w:val="00835CD6"/>
    <w:rsid w:val="008363D3"/>
    <w:rsid w:val="00837AC5"/>
    <w:rsid w:val="00840BC8"/>
    <w:rsid w:val="0084519E"/>
    <w:rsid w:val="0085013E"/>
    <w:rsid w:val="00854007"/>
    <w:rsid w:val="0085501A"/>
    <w:rsid w:val="00857138"/>
    <w:rsid w:val="00861003"/>
    <w:rsid w:val="00865C4F"/>
    <w:rsid w:val="008714DE"/>
    <w:rsid w:val="008723DD"/>
    <w:rsid w:val="00873538"/>
    <w:rsid w:val="00873B84"/>
    <w:rsid w:val="00874BD7"/>
    <w:rsid w:val="00876F48"/>
    <w:rsid w:val="00877039"/>
    <w:rsid w:val="00880C14"/>
    <w:rsid w:val="00881798"/>
    <w:rsid w:val="008829C8"/>
    <w:rsid w:val="00883E0C"/>
    <w:rsid w:val="00886049"/>
    <w:rsid w:val="00886459"/>
    <w:rsid w:val="0088678D"/>
    <w:rsid w:val="008876A4"/>
    <w:rsid w:val="0089224E"/>
    <w:rsid w:val="00895D36"/>
    <w:rsid w:val="008A066A"/>
    <w:rsid w:val="008A3696"/>
    <w:rsid w:val="008A5926"/>
    <w:rsid w:val="008B055C"/>
    <w:rsid w:val="008B39B5"/>
    <w:rsid w:val="008B5730"/>
    <w:rsid w:val="008B6E7F"/>
    <w:rsid w:val="008C06D1"/>
    <w:rsid w:val="008C4F82"/>
    <w:rsid w:val="008C6992"/>
    <w:rsid w:val="008C7CE9"/>
    <w:rsid w:val="008D5CE4"/>
    <w:rsid w:val="008D5DD4"/>
    <w:rsid w:val="008E1B7B"/>
    <w:rsid w:val="008E267F"/>
    <w:rsid w:val="008E382D"/>
    <w:rsid w:val="008E5E6C"/>
    <w:rsid w:val="008F0B14"/>
    <w:rsid w:val="008F7A0F"/>
    <w:rsid w:val="00900733"/>
    <w:rsid w:val="00900CDD"/>
    <w:rsid w:val="00902500"/>
    <w:rsid w:val="0090345E"/>
    <w:rsid w:val="00903483"/>
    <w:rsid w:val="00905100"/>
    <w:rsid w:val="0091018F"/>
    <w:rsid w:val="009116FC"/>
    <w:rsid w:val="00912A81"/>
    <w:rsid w:val="00914927"/>
    <w:rsid w:val="00916618"/>
    <w:rsid w:val="00922FEB"/>
    <w:rsid w:val="0093106A"/>
    <w:rsid w:val="00937073"/>
    <w:rsid w:val="0093777F"/>
    <w:rsid w:val="00940397"/>
    <w:rsid w:val="0094134A"/>
    <w:rsid w:val="00943DF9"/>
    <w:rsid w:val="00946891"/>
    <w:rsid w:val="00947346"/>
    <w:rsid w:val="0094762D"/>
    <w:rsid w:val="00950BE7"/>
    <w:rsid w:val="0095143E"/>
    <w:rsid w:val="00954EFF"/>
    <w:rsid w:val="00956D2D"/>
    <w:rsid w:val="00961CE2"/>
    <w:rsid w:val="009669F8"/>
    <w:rsid w:val="009724AD"/>
    <w:rsid w:val="00973DF3"/>
    <w:rsid w:val="009740A1"/>
    <w:rsid w:val="009770D2"/>
    <w:rsid w:val="009837C8"/>
    <w:rsid w:val="00984729"/>
    <w:rsid w:val="00986E09"/>
    <w:rsid w:val="00990A3C"/>
    <w:rsid w:val="00991E9A"/>
    <w:rsid w:val="009930BD"/>
    <w:rsid w:val="0099499F"/>
    <w:rsid w:val="00996667"/>
    <w:rsid w:val="009A01F4"/>
    <w:rsid w:val="009A05BF"/>
    <w:rsid w:val="009A0775"/>
    <w:rsid w:val="009A20F7"/>
    <w:rsid w:val="009B2315"/>
    <w:rsid w:val="009B514E"/>
    <w:rsid w:val="009B5674"/>
    <w:rsid w:val="009B7826"/>
    <w:rsid w:val="009C4544"/>
    <w:rsid w:val="009C4AB8"/>
    <w:rsid w:val="009C6155"/>
    <w:rsid w:val="009C71E4"/>
    <w:rsid w:val="009D0B38"/>
    <w:rsid w:val="009D14DE"/>
    <w:rsid w:val="009D26C0"/>
    <w:rsid w:val="009D64A3"/>
    <w:rsid w:val="009D7B8C"/>
    <w:rsid w:val="009E06AE"/>
    <w:rsid w:val="009E08DD"/>
    <w:rsid w:val="009E0C89"/>
    <w:rsid w:val="009E29DA"/>
    <w:rsid w:val="009E4A2F"/>
    <w:rsid w:val="009E54B6"/>
    <w:rsid w:val="009E6BD3"/>
    <w:rsid w:val="009F0018"/>
    <w:rsid w:val="009F018B"/>
    <w:rsid w:val="009F025E"/>
    <w:rsid w:val="009F0E45"/>
    <w:rsid w:val="009F2891"/>
    <w:rsid w:val="009F2990"/>
    <w:rsid w:val="009F4771"/>
    <w:rsid w:val="009F55C3"/>
    <w:rsid w:val="00A03335"/>
    <w:rsid w:val="00A106AB"/>
    <w:rsid w:val="00A10ABB"/>
    <w:rsid w:val="00A11922"/>
    <w:rsid w:val="00A12F75"/>
    <w:rsid w:val="00A22CD6"/>
    <w:rsid w:val="00A231BF"/>
    <w:rsid w:val="00A235BE"/>
    <w:rsid w:val="00A23CE3"/>
    <w:rsid w:val="00A25B73"/>
    <w:rsid w:val="00A25D4A"/>
    <w:rsid w:val="00A2639D"/>
    <w:rsid w:val="00A26FC2"/>
    <w:rsid w:val="00A30993"/>
    <w:rsid w:val="00A330DE"/>
    <w:rsid w:val="00A34557"/>
    <w:rsid w:val="00A345DE"/>
    <w:rsid w:val="00A3756C"/>
    <w:rsid w:val="00A40F57"/>
    <w:rsid w:val="00A43694"/>
    <w:rsid w:val="00A43EA9"/>
    <w:rsid w:val="00A45944"/>
    <w:rsid w:val="00A4752A"/>
    <w:rsid w:val="00A50A43"/>
    <w:rsid w:val="00A554A7"/>
    <w:rsid w:val="00A57D3C"/>
    <w:rsid w:val="00A61AEB"/>
    <w:rsid w:val="00A625F8"/>
    <w:rsid w:val="00A64D34"/>
    <w:rsid w:val="00A7637A"/>
    <w:rsid w:val="00A7784E"/>
    <w:rsid w:val="00A8172F"/>
    <w:rsid w:val="00A835CB"/>
    <w:rsid w:val="00A8449D"/>
    <w:rsid w:val="00A8589A"/>
    <w:rsid w:val="00A9181F"/>
    <w:rsid w:val="00A93747"/>
    <w:rsid w:val="00A96A0F"/>
    <w:rsid w:val="00A96B7A"/>
    <w:rsid w:val="00A96FAA"/>
    <w:rsid w:val="00A97512"/>
    <w:rsid w:val="00AA1B31"/>
    <w:rsid w:val="00AA2A3A"/>
    <w:rsid w:val="00AA68CF"/>
    <w:rsid w:val="00AA72C3"/>
    <w:rsid w:val="00AB0BE6"/>
    <w:rsid w:val="00AB296B"/>
    <w:rsid w:val="00AB4788"/>
    <w:rsid w:val="00AB6BA4"/>
    <w:rsid w:val="00AC3A97"/>
    <w:rsid w:val="00AC3DAE"/>
    <w:rsid w:val="00AC4CF3"/>
    <w:rsid w:val="00AC5123"/>
    <w:rsid w:val="00AC59BE"/>
    <w:rsid w:val="00AD0ED0"/>
    <w:rsid w:val="00AD0F34"/>
    <w:rsid w:val="00AD597C"/>
    <w:rsid w:val="00AD5C20"/>
    <w:rsid w:val="00AD6055"/>
    <w:rsid w:val="00AD61E7"/>
    <w:rsid w:val="00AD7342"/>
    <w:rsid w:val="00AD7C53"/>
    <w:rsid w:val="00AE3E8F"/>
    <w:rsid w:val="00AE5216"/>
    <w:rsid w:val="00AF0520"/>
    <w:rsid w:val="00AF1AA4"/>
    <w:rsid w:val="00AF1DCF"/>
    <w:rsid w:val="00AF2598"/>
    <w:rsid w:val="00AF3271"/>
    <w:rsid w:val="00AF6E05"/>
    <w:rsid w:val="00AF7139"/>
    <w:rsid w:val="00B02FF5"/>
    <w:rsid w:val="00B03A2F"/>
    <w:rsid w:val="00B058FC"/>
    <w:rsid w:val="00B114DB"/>
    <w:rsid w:val="00B13469"/>
    <w:rsid w:val="00B15547"/>
    <w:rsid w:val="00B1652A"/>
    <w:rsid w:val="00B167C6"/>
    <w:rsid w:val="00B16F37"/>
    <w:rsid w:val="00B17414"/>
    <w:rsid w:val="00B20DD9"/>
    <w:rsid w:val="00B21860"/>
    <w:rsid w:val="00B22234"/>
    <w:rsid w:val="00B25191"/>
    <w:rsid w:val="00B255FB"/>
    <w:rsid w:val="00B259CE"/>
    <w:rsid w:val="00B306D3"/>
    <w:rsid w:val="00B353DE"/>
    <w:rsid w:val="00B37AA1"/>
    <w:rsid w:val="00B418E2"/>
    <w:rsid w:val="00B46145"/>
    <w:rsid w:val="00B503DF"/>
    <w:rsid w:val="00B51CCB"/>
    <w:rsid w:val="00B5370F"/>
    <w:rsid w:val="00B54657"/>
    <w:rsid w:val="00B55371"/>
    <w:rsid w:val="00B63161"/>
    <w:rsid w:val="00B6607B"/>
    <w:rsid w:val="00B6709E"/>
    <w:rsid w:val="00B70DBE"/>
    <w:rsid w:val="00B72C75"/>
    <w:rsid w:val="00B76DBB"/>
    <w:rsid w:val="00B84C5E"/>
    <w:rsid w:val="00B909DA"/>
    <w:rsid w:val="00B9571F"/>
    <w:rsid w:val="00B96DD0"/>
    <w:rsid w:val="00BA2EF6"/>
    <w:rsid w:val="00BA5747"/>
    <w:rsid w:val="00BA7CDB"/>
    <w:rsid w:val="00BA7D26"/>
    <w:rsid w:val="00BB2ED5"/>
    <w:rsid w:val="00BB6DD9"/>
    <w:rsid w:val="00BC01AB"/>
    <w:rsid w:val="00BC3517"/>
    <w:rsid w:val="00BC4268"/>
    <w:rsid w:val="00BC5DCD"/>
    <w:rsid w:val="00BD1B8F"/>
    <w:rsid w:val="00BD3625"/>
    <w:rsid w:val="00BD7236"/>
    <w:rsid w:val="00BE2ADC"/>
    <w:rsid w:val="00BE44C9"/>
    <w:rsid w:val="00BE6AC7"/>
    <w:rsid w:val="00BE7055"/>
    <w:rsid w:val="00BF173E"/>
    <w:rsid w:val="00BF18F7"/>
    <w:rsid w:val="00BF3F3D"/>
    <w:rsid w:val="00BF5500"/>
    <w:rsid w:val="00BF76F8"/>
    <w:rsid w:val="00C0015B"/>
    <w:rsid w:val="00C04EE6"/>
    <w:rsid w:val="00C04FDF"/>
    <w:rsid w:val="00C0516B"/>
    <w:rsid w:val="00C11ACA"/>
    <w:rsid w:val="00C155F2"/>
    <w:rsid w:val="00C23FE6"/>
    <w:rsid w:val="00C32352"/>
    <w:rsid w:val="00C327BA"/>
    <w:rsid w:val="00C34A80"/>
    <w:rsid w:val="00C355B7"/>
    <w:rsid w:val="00C378C4"/>
    <w:rsid w:val="00C428A1"/>
    <w:rsid w:val="00C428C9"/>
    <w:rsid w:val="00C45CE8"/>
    <w:rsid w:val="00C46328"/>
    <w:rsid w:val="00C46499"/>
    <w:rsid w:val="00C51548"/>
    <w:rsid w:val="00C52639"/>
    <w:rsid w:val="00C52BF2"/>
    <w:rsid w:val="00C54DF6"/>
    <w:rsid w:val="00C557D2"/>
    <w:rsid w:val="00C569B0"/>
    <w:rsid w:val="00C60A86"/>
    <w:rsid w:val="00C63F93"/>
    <w:rsid w:val="00C64C7A"/>
    <w:rsid w:val="00C66519"/>
    <w:rsid w:val="00C714C9"/>
    <w:rsid w:val="00C7263F"/>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2F97"/>
    <w:rsid w:val="00CA5A58"/>
    <w:rsid w:val="00CA76DC"/>
    <w:rsid w:val="00CA7D24"/>
    <w:rsid w:val="00CB0400"/>
    <w:rsid w:val="00CB373B"/>
    <w:rsid w:val="00CB4834"/>
    <w:rsid w:val="00CB6827"/>
    <w:rsid w:val="00CB7E55"/>
    <w:rsid w:val="00CC0BDE"/>
    <w:rsid w:val="00CC146E"/>
    <w:rsid w:val="00CC583E"/>
    <w:rsid w:val="00CD074A"/>
    <w:rsid w:val="00CD0902"/>
    <w:rsid w:val="00CD260C"/>
    <w:rsid w:val="00CD3FEC"/>
    <w:rsid w:val="00CD42B9"/>
    <w:rsid w:val="00CD4E43"/>
    <w:rsid w:val="00CD6E0B"/>
    <w:rsid w:val="00CE37E5"/>
    <w:rsid w:val="00CE58C1"/>
    <w:rsid w:val="00CE6B7A"/>
    <w:rsid w:val="00CE707E"/>
    <w:rsid w:val="00D00AE0"/>
    <w:rsid w:val="00D02465"/>
    <w:rsid w:val="00D026D5"/>
    <w:rsid w:val="00D0274A"/>
    <w:rsid w:val="00D0501F"/>
    <w:rsid w:val="00D1104B"/>
    <w:rsid w:val="00D15D65"/>
    <w:rsid w:val="00D17890"/>
    <w:rsid w:val="00D23644"/>
    <w:rsid w:val="00D23DA5"/>
    <w:rsid w:val="00D24257"/>
    <w:rsid w:val="00D24852"/>
    <w:rsid w:val="00D27C06"/>
    <w:rsid w:val="00D35297"/>
    <w:rsid w:val="00D35B3D"/>
    <w:rsid w:val="00D36C58"/>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33E0"/>
    <w:rsid w:val="00D751DD"/>
    <w:rsid w:val="00D759D9"/>
    <w:rsid w:val="00D76C5B"/>
    <w:rsid w:val="00D779F7"/>
    <w:rsid w:val="00D827AD"/>
    <w:rsid w:val="00D82EC3"/>
    <w:rsid w:val="00D838DF"/>
    <w:rsid w:val="00D83F54"/>
    <w:rsid w:val="00D84EF8"/>
    <w:rsid w:val="00D8530B"/>
    <w:rsid w:val="00D87421"/>
    <w:rsid w:val="00D902E9"/>
    <w:rsid w:val="00D94863"/>
    <w:rsid w:val="00DA047A"/>
    <w:rsid w:val="00DA2762"/>
    <w:rsid w:val="00DA36BF"/>
    <w:rsid w:val="00DA6234"/>
    <w:rsid w:val="00DA6DDA"/>
    <w:rsid w:val="00DB0BB8"/>
    <w:rsid w:val="00DB377A"/>
    <w:rsid w:val="00DB7D40"/>
    <w:rsid w:val="00DC032B"/>
    <w:rsid w:val="00DC1794"/>
    <w:rsid w:val="00DC1EF3"/>
    <w:rsid w:val="00DC43ED"/>
    <w:rsid w:val="00DD0E9B"/>
    <w:rsid w:val="00DD36A7"/>
    <w:rsid w:val="00DD3DDA"/>
    <w:rsid w:val="00DD48A5"/>
    <w:rsid w:val="00DD54E0"/>
    <w:rsid w:val="00DE0020"/>
    <w:rsid w:val="00DE4307"/>
    <w:rsid w:val="00DE4DCE"/>
    <w:rsid w:val="00DE6956"/>
    <w:rsid w:val="00DF3533"/>
    <w:rsid w:val="00DF42C2"/>
    <w:rsid w:val="00DF520A"/>
    <w:rsid w:val="00DF55CE"/>
    <w:rsid w:val="00DF5D9D"/>
    <w:rsid w:val="00E01344"/>
    <w:rsid w:val="00E0142F"/>
    <w:rsid w:val="00E0229B"/>
    <w:rsid w:val="00E0351F"/>
    <w:rsid w:val="00E036DD"/>
    <w:rsid w:val="00E04699"/>
    <w:rsid w:val="00E10775"/>
    <w:rsid w:val="00E12826"/>
    <w:rsid w:val="00E16BA5"/>
    <w:rsid w:val="00E17299"/>
    <w:rsid w:val="00E172D2"/>
    <w:rsid w:val="00E17D54"/>
    <w:rsid w:val="00E17EDB"/>
    <w:rsid w:val="00E24383"/>
    <w:rsid w:val="00E260AB"/>
    <w:rsid w:val="00E27D40"/>
    <w:rsid w:val="00E316B8"/>
    <w:rsid w:val="00E336AC"/>
    <w:rsid w:val="00E3553B"/>
    <w:rsid w:val="00E37B3A"/>
    <w:rsid w:val="00E4179D"/>
    <w:rsid w:val="00E43433"/>
    <w:rsid w:val="00E43EC9"/>
    <w:rsid w:val="00E44329"/>
    <w:rsid w:val="00E519B9"/>
    <w:rsid w:val="00E540A1"/>
    <w:rsid w:val="00E55097"/>
    <w:rsid w:val="00E55E51"/>
    <w:rsid w:val="00E560C7"/>
    <w:rsid w:val="00E571EA"/>
    <w:rsid w:val="00E6089F"/>
    <w:rsid w:val="00E609B5"/>
    <w:rsid w:val="00E60B27"/>
    <w:rsid w:val="00E65DD8"/>
    <w:rsid w:val="00E669C9"/>
    <w:rsid w:val="00E67446"/>
    <w:rsid w:val="00E706E1"/>
    <w:rsid w:val="00E7431C"/>
    <w:rsid w:val="00E80D7B"/>
    <w:rsid w:val="00E83899"/>
    <w:rsid w:val="00E8462D"/>
    <w:rsid w:val="00E847A2"/>
    <w:rsid w:val="00E87546"/>
    <w:rsid w:val="00E9084B"/>
    <w:rsid w:val="00E95C28"/>
    <w:rsid w:val="00E960C8"/>
    <w:rsid w:val="00E96B23"/>
    <w:rsid w:val="00EA5226"/>
    <w:rsid w:val="00EB212D"/>
    <w:rsid w:val="00EB2C6A"/>
    <w:rsid w:val="00EB64E9"/>
    <w:rsid w:val="00EB7E72"/>
    <w:rsid w:val="00EC3FD8"/>
    <w:rsid w:val="00EC4617"/>
    <w:rsid w:val="00EC4D26"/>
    <w:rsid w:val="00EC5EDE"/>
    <w:rsid w:val="00EC6441"/>
    <w:rsid w:val="00ED0068"/>
    <w:rsid w:val="00ED4F81"/>
    <w:rsid w:val="00EE0155"/>
    <w:rsid w:val="00EE46E6"/>
    <w:rsid w:val="00EE66CC"/>
    <w:rsid w:val="00EF0022"/>
    <w:rsid w:val="00EF06F3"/>
    <w:rsid w:val="00EF287B"/>
    <w:rsid w:val="00EF4510"/>
    <w:rsid w:val="00EF5C3B"/>
    <w:rsid w:val="00EF6681"/>
    <w:rsid w:val="00F024B2"/>
    <w:rsid w:val="00F04225"/>
    <w:rsid w:val="00F04D6F"/>
    <w:rsid w:val="00F103E1"/>
    <w:rsid w:val="00F112FA"/>
    <w:rsid w:val="00F11DDC"/>
    <w:rsid w:val="00F1494A"/>
    <w:rsid w:val="00F20FBB"/>
    <w:rsid w:val="00F24589"/>
    <w:rsid w:val="00F248C7"/>
    <w:rsid w:val="00F25125"/>
    <w:rsid w:val="00F2605A"/>
    <w:rsid w:val="00F320F0"/>
    <w:rsid w:val="00F33B15"/>
    <w:rsid w:val="00F4007B"/>
    <w:rsid w:val="00F45D2D"/>
    <w:rsid w:val="00F46524"/>
    <w:rsid w:val="00F52149"/>
    <w:rsid w:val="00F52F64"/>
    <w:rsid w:val="00F55A38"/>
    <w:rsid w:val="00F56840"/>
    <w:rsid w:val="00F60585"/>
    <w:rsid w:val="00F630CA"/>
    <w:rsid w:val="00F6440D"/>
    <w:rsid w:val="00F714DD"/>
    <w:rsid w:val="00F72A00"/>
    <w:rsid w:val="00F74957"/>
    <w:rsid w:val="00F763F5"/>
    <w:rsid w:val="00F82F30"/>
    <w:rsid w:val="00F83FEC"/>
    <w:rsid w:val="00F85F25"/>
    <w:rsid w:val="00F91685"/>
    <w:rsid w:val="00F9184B"/>
    <w:rsid w:val="00F9205E"/>
    <w:rsid w:val="00F92708"/>
    <w:rsid w:val="00F9523D"/>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5C64"/>
    <w:rsid w:val="00FD6B7D"/>
    <w:rsid w:val="00FD6CD0"/>
    <w:rsid w:val="00FD7583"/>
    <w:rsid w:val="00FD7F71"/>
    <w:rsid w:val="00FE067A"/>
    <w:rsid w:val="00FE09EE"/>
    <w:rsid w:val="00FE45A5"/>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BE76CB99-5151-44B9-9BAD-39B65BF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D0"/>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1051474">
      <w:bodyDiv w:val="1"/>
      <w:marLeft w:val="0"/>
      <w:marRight w:val="0"/>
      <w:marTop w:val="0"/>
      <w:marBottom w:val="0"/>
      <w:divBdr>
        <w:top w:val="none" w:sz="0" w:space="0" w:color="auto"/>
        <w:left w:val="none" w:sz="0" w:space="0" w:color="auto"/>
        <w:bottom w:val="none" w:sz="0" w:space="0" w:color="auto"/>
        <w:right w:val="none" w:sz="0" w:space="0" w:color="auto"/>
      </w:divBdr>
      <w:divsChild>
        <w:div w:id="875309546">
          <w:marLeft w:val="0"/>
          <w:marRight w:val="0"/>
          <w:marTop w:val="0"/>
          <w:marBottom w:val="0"/>
          <w:divBdr>
            <w:top w:val="none" w:sz="0" w:space="0" w:color="auto"/>
            <w:left w:val="none" w:sz="0" w:space="0" w:color="auto"/>
            <w:bottom w:val="none" w:sz="0" w:space="0" w:color="auto"/>
            <w:right w:val="none" w:sz="0" w:space="0" w:color="auto"/>
          </w:divBdr>
        </w:div>
      </w:divsChild>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99180801">
      <w:bodyDiv w:val="1"/>
      <w:marLeft w:val="0"/>
      <w:marRight w:val="0"/>
      <w:marTop w:val="0"/>
      <w:marBottom w:val="0"/>
      <w:divBdr>
        <w:top w:val="none" w:sz="0" w:space="0" w:color="auto"/>
        <w:left w:val="none" w:sz="0" w:space="0" w:color="auto"/>
        <w:bottom w:val="none" w:sz="0" w:space="0" w:color="auto"/>
        <w:right w:val="none" w:sz="0" w:space="0" w:color="auto"/>
      </w:divBdr>
      <w:divsChild>
        <w:div w:id="99298901">
          <w:marLeft w:val="0"/>
          <w:marRight w:val="0"/>
          <w:marTop w:val="0"/>
          <w:marBottom w:val="0"/>
          <w:divBdr>
            <w:top w:val="none" w:sz="0" w:space="0" w:color="auto"/>
            <w:left w:val="none" w:sz="0" w:space="0" w:color="auto"/>
            <w:bottom w:val="none" w:sz="0" w:space="0" w:color="auto"/>
            <w:right w:val="none" w:sz="0" w:space="0" w:color="auto"/>
          </w:divBdr>
        </w:div>
      </w:divsChild>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6823937">
      <w:bodyDiv w:val="1"/>
      <w:marLeft w:val="0"/>
      <w:marRight w:val="0"/>
      <w:marTop w:val="0"/>
      <w:marBottom w:val="0"/>
      <w:divBdr>
        <w:top w:val="none" w:sz="0" w:space="0" w:color="auto"/>
        <w:left w:val="none" w:sz="0" w:space="0" w:color="auto"/>
        <w:bottom w:val="none" w:sz="0" w:space="0" w:color="auto"/>
        <w:right w:val="none" w:sz="0" w:space="0" w:color="auto"/>
      </w:divBdr>
      <w:divsChild>
        <w:div w:id="1319185451">
          <w:marLeft w:val="0"/>
          <w:marRight w:val="0"/>
          <w:marTop w:val="0"/>
          <w:marBottom w:val="0"/>
          <w:divBdr>
            <w:top w:val="none" w:sz="0" w:space="0" w:color="auto"/>
            <w:left w:val="none" w:sz="0" w:space="0" w:color="auto"/>
            <w:bottom w:val="none" w:sz="0" w:space="0" w:color="auto"/>
            <w:right w:val="none" w:sz="0" w:space="0" w:color="auto"/>
          </w:divBdr>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197744658">
      <w:bodyDiv w:val="1"/>
      <w:marLeft w:val="0"/>
      <w:marRight w:val="0"/>
      <w:marTop w:val="0"/>
      <w:marBottom w:val="0"/>
      <w:divBdr>
        <w:top w:val="none" w:sz="0" w:space="0" w:color="auto"/>
        <w:left w:val="none" w:sz="0" w:space="0" w:color="auto"/>
        <w:bottom w:val="none" w:sz="0" w:space="0" w:color="auto"/>
        <w:right w:val="none" w:sz="0" w:space="0" w:color="auto"/>
      </w:divBdr>
      <w:divsChild>
        <w:div w:id="824004724">
          <w:marLeft w:val="0"/>
          <w:marRight w:val="0"/>
          <w:marTop w:val="0"/>
          <w:marBottom w:val="0"/>
          <w:divBdr>
            <w:top w:val="none" w:sz="0" w:space="0" w:color="auto"/>
            <w:left w:val="none" w:sz="0" w:space="0" w:color="auto"/>
            <w:bottom w:val="none" w:sz="0" w:space="0" w:color="auto"/>
            <w:right w:val="none" w:sz="0" w:space="0" w:color="auto"/>
          </w:divBdr>
        </w:div>
      </w:divsChild>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53363157">
      <w:bodyDiv w:val="1"/>
      <w:marLeft w:val="0"/>
      <w:marRight w:val="0"/>
      <w:marTop w:val="0"/>
      <w:marBottom w:val="0"/>
      <w:divBdr>
        <w:top w:val="none" w:sz="0" w:space="0" w:color="auto"/>
        <w:left w:val="none" w:sz="0" w:space="0" w:color="auto"/>
        <w:bottom w:val="none" w:sz="0" w:space="0" w:color="auto"/>
        <w:right w:val="none" w:sz="0" w:space="0" w:color="auto"/>
      </w:divBdr>
      <w:divsChild>
        <w:div w:id="1789354778">
          <w:marLeft w:val="0"/>
          <w:marRight w:val="0"/>
          <w:marTop w:val="0"/>
          <w:marBottom w:val="0"/>
          <w:divBdr>
            <w:top w:val="none" w:sz="0" w:space="0" w:color="auto"/>
            <w:left w:val="none" w:sz="0" w:space="0" w:color="auto"/>
            <w:bottom w:val="none" w:sz="0" w:space="0" w:color="auto"/>
            <w:right w:val="none" w:sz="0" w:space="0" w:color="auto"/>
          </w:divBdr>
        </w:div>
      </w:divsChild>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51538661">
      <w:bodyDiv w:val="1"/>
      <w:marLeft w:val="0"/>
      <w:marRight w:val="0"/>
      <w:marTop w:val="0"/>
      <w:marBottom w:val="0"/>
      <w:divBdr>
        <w:top w:val="none" w:sz="0" w:space="0" w:color="auto"/>
        <w:left w:val="none" w:sz="0" w:space="0" w:color="auto"/>
        <w:bottom w:val="none" w:sz="0" w:space="0" w:color="auto"/>
        <w:right w:val="none" w:sz="0" w:space="0" w:color="auto"/>
      </w:divBdr>
      <w:divsChild>
        <w:div w:id="1800219538">
          <w:marLeft w:val="0"/>
          <w:marRight w:val="0"/>
          <w:marTop w:val="0"/>
          <w:marBottom w:val="0"/>
          <w:divBdr>
            <w:top w:val="none" w:sz="0" w:space="0" w:color="auto"/>
            <w:left w:val="none" w:sz="0" w:space="0" w:color="auto"/>
            <w:bottom w:val="none" w:sz="0" w:space="0" w:color="auto"/>
            <w:right w:val="none" w:sz="0" w:space="0" w:color="auto"/>
          </w:divBdr>
        </w:div>
      </w:divsChild>
    </w:div>
    <w:div w:id="373651388">
      <w:bodyDiv w:val="1"/>
      <w:marLeft w:val="0"/>
      <w:marRight w:val="0"/>
      <w:marTop w:val="0"/>
      <w:marBottom w:val="0"/>
      <w:divBdr>
        <w:top w:val="none" w:sz="0" w:space="0" w:color="auto"/>
        <w:left w:val="none" w:sz="0" w:space="0" w:color="auto"/>
        <w:bottom w:val="none" w:sz="0" w:space="0" w:color="auto"/>
        <w:right w:val="none" w:sz="0" w:space="0" w:color="auto"/>
      </w:divBdr>
      <w:divsChild>
        <w:div w:id="1559784496">
          <w:marLeft w:val="0"/>
          <w:marRight w:val="0"/>
          <w:marTop w:val="0"/>
          <w:marBottom w:val="0"/>
          <w:divBdr>
            <w:top w:val="none" w:sz="0" w:space="0" w:color="auto"/>
            <w:left w:val="none" w:sz="0" w:space="0" w:color="auto"/>
            <w:bottom w:val="none" w:sz="0" w:space="0" w:color="auto"/>
            <w:right w:val="none" w:sz="0" w:space="0" w:color="auto"/>
          </w:divBdr>
        </w:div>
      </w:divsChild>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93969">
      <w:bodyDiv w:val="1"/>
      <w:marLeft w:val="0"/>
      <w:marRight w:val="0"/>
      <w:marTop w:val="0"/>
      <w:marBottom w:val="0"/>
      <w:divBdr>
        <w:top w:val="none" w:sz="0" w:space="0" w:color="auto"/>
        <w:left w:val="none" w:sz="0" w:space="0" w:color="auto"/>
        <w:bottom w:val="none" w:sz="0" w:space="0" w:color="auto"/>
        <w:right w:val="none" w:sz="0" w:space="0" w:color="auto"/>
      </w:divBdr>
      <w:divsChild>
        <w:div w:id="1735152977">
          <w:marLeft w:val="0"/>
          <w:marRight w:val="0"/>
          <w:marTop w:val="0"/>
          <w:marBottom w:val="0"/>
          <w:divBdr>
            <w:top w:val="none" w:sz="0" w:space="0" w:color="auto"/>
            <w:left w:val="none" w:sz="0" w:space="0" w:color="auto"/>
            <w:bottom w:val="none" w:sz="0" w:space="0" w:color="auto"/>
            <w:right w:val="none" w:sz="0" w:space="0" w:color="auto"/>
          </w:divBdr>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369655">
      <w:bodyDiv w:val="1"/>
      <w:marLeft w:val="0"/>
      <w:marRight w:val="0"/>
      <w:marTop w:val="0"/>
      <w:marBottom w:val="0"/>
      <w:divBdr>
        <w:top w:val="none" w:sz="0" w:space="0" w:color="auto"/>
        <w:left w:val="none" w:sz="0" w:space="0" w:color="auto"/>
        <w:bottom w:val="none" w:sz="0" w:space="0" w:color="auto"/>
        <w:right w:val="none" w:sz="0" w:space="0" w:color="auto"/>
      </w:divBdr>
      <w:divsChild>
        <w:div w:id="402216587">
          <w:marLeft w:val="0"/>
          <w:marRight w:val="0"/>
          <w:marTop w:val="0"/>
          <w:marBottom w:val="0"/>
          <w:divBdr>
            <w:top w:val="none" w:sz="0" w:space="0" w:color="auto"/>
            <w:left w:val="none" w:sz="0" w:space="0" w:color="auto"/>
            <w:bottom w:val="none" w:sz="0" w:space="0" w:color="auto"/>
            <w:right w:val="none" w:sz="0" w:space="0" w:color="auto"/>
          </w:divBdr>
        </w:div>
      </w:divsChild>
    </w:div>
    <w:div w:id="564686841">
      <w:bodyDiv w:val="1"/>
      <w:marLeft w:val="0"/>
      <w:marRight w:val="0"/>
      <w:marTop w:val="0"/>
      <w:marBottom w:val="0"/>
      <w:divBdr>
        <w:top w:val="none" w:sz="0" w:space="0" w:color="auto"/>
        <w:left w:val="none" w:sz="0" w:space="0" w:color="auto"/>
        <w:bottom w:val="none" w:sz="0" w:space="0" w:color="auto"/>
        <w:right w:val="none" w:sz="0" w:space="0" w:color="auto"/>
      </w:divBdr>
      <w:divsChild>
        <w:div w:id="826481380">
          <w:marLeft w:val="0"/>
          <w:marRight w:val="0"/>
          <w:marTop w:val="0"/>
          <w:marBottom w:val="0"/>
          <w:divBdr>
            <w:top w:val="none" w:sz="0" w:space="0" w:color="auto"/>
            <w:left w:val="none" w:sz="0" w:space="0" w:color="auto"/>
            <w:bottom w:val="none" w:sz="0" w:space="0" w:color="auto"/>
            <w:right w:val="none" w:sz="0" w:space="0" w:color="auto"/>
          </w:divBdr>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621765434">
      <w:bodyDiv w:val="1"/>
      <w:marLeft w:val="0"/>
      <w:marRight w:val="0"/>
      <w:marTop w:val="0"/>
      <w:marBottom w:val="0"/>
      <w:divBdr>
        <w:top w:val="none" w:sz="0" w:space="0" w:color="auto"/>
        <w:left w:val="none" w:sz="0" w:space="0" w:color="auto"/>
        <w:bottom w:val="none" w:sz="0" w:space="0" w:color="auto"/>
        <w:right w:val="none" w:sz="0" w:space="0" w:color="auto"/>
      </w:divBdr>
      <w:divsChild>
        <w:div w:id="1059327104">
          <w:marLeft w:val="0"/>
          <w:marRight w:val="0"/>
          <w:marTop w:val="0"/>
          <w:marBottom w:val="0"/>
          <w:divBdr>
            <w:top w:val="none" w:sz="0" w:space="0" w:color="auto"/>
            <w:left w:val="none" w:sz="0" w:space="0" w:color="auto"/>
            <w:bottom w:val="none" w:sz="0" w:space="0" w:color="auto"/>
            <w:right w:val="none" w:sz="0" w:space="0" w:color="auto"/>
          </w:divBdr>
        </w:div>
      </w:divsChild>
    </w:div>
    <w:div w:id="710879036">
      <w:bodyDiv w:val="1"/>
      <w:marLeft w:val="0"/>
      <w:marRight w:val="0"/>
      <w:marTop w:val="0"/>
      <w:marBottom w:val="0"/>
      <w:divBdr>
        <w:top w:val="none" w:sz="0" w:space="0" w:color="auto"/>
        <w:left w:val="none" w:sz="0" w:space="0" w:color="auto"/>
        <w:bottom w:val="none" w:sz="0" w:space="0" w:color="auto"/>
        <w:right w:val="none" w:sz="0" w:space="0" w:color="auto"/>
      </w:divBdr>
      <w:divsChild>
        <w:div w:id="2096395800">
          <w:marLeft w:val="0"/>
          <w:marRight w:val="0"/>
          <w:marTop w:val="0"/>
          <w:marBottom w:val="0"/>
          <w:divBdr>
            <w:top w:val="none" w:sz="0" w:space="0" w:color="auto"/>
            <w:left w:val="none" w:sz="0" w:space="0" w:color="auto"/>
            <w:bottom w:val="none" w:sz="0" w:space="0" w:color="auto"/>
            <w:right w:val="none" w:sz="0" w:space="0" w:color="auto"/>
          </w:divBdr>
        </w:div>
      </w:divsChild>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751196519">
      <w:bodyDiv w:val="1"/>
      <w:marLeft w:val="0"/>
      <w:marRight w:val="0"/>
      <w:marTop w:val="0"/>
      <w:marBottom w:val="0"/>
      <w:divBdr>
        <w:top w:val="none" w:sz="0" w:space="0" w:color="auto"/>
        <w:left w:val="none" w:sz="0" w:space="0" w:color="auto"/>
        <w:bottom w:val="none" w:sz="0" w:space="0" w:color="auto"/>
        <w:right w:val="none" w:sz="0" w:space="0" w:color="auto"/>
      </w:divBdr>
      <w:divsChild>
        <w:div w:id="1478646491">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69030184">
      <w:bodyDiv w:val="1"/>
      <w:marLeft w:val="0"/>
      <w:marRight w:val="0"/>
      <w:marTop w:val="0"/>
      <w:marBottom w:val="0"/>
      <w:divBdr>
        <w:top w:val="none" w:sz="0" w:space="0" w:color="auto"/>
        <w:left w:val="none" w:sz="0" w:space="0" w:color="auto"/>
        <w:bottom w:val="none" w:sz="0" w:space="0" w:color="auto"/>
        <w:right w:val="none" w:sz="0" w:space="0" w:color="auto"/>
      </w:divBdr>
      <w:divsChild>
        <w:div w:id="1452281802">
          <w:marLeft w:val="0"/>
          <w:marRight w:val="0"/>
          <w:marTop w:val="0"/>
          <w:marBottom w:val="0"/>
          <w:divBdr>
            <w:top w:val="none" w:sz="0" w:space="0" w:color="auto"/>
            <w:left w:val="none" w:sz="0" w:space="0" w:color="auto"/>
            <w:bottom w:val="none" w:sz="0" w:space="0" w:color="auto"/>
            <w:right w:val="none" w:sz="0" w:space="0" w:color="auto"/>
          </w:divBdr>
        </w:div>
      </w:divsChild>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19677650">
      <w:bodyDiv w:val="1"/>
      <w:marLeft w:val="0"/>
      <w:marRight w:val="0"/>
      <w:marTop w:val="0"/>
      <w:marBottom w:val="0"/>
      <w:divBdr>
        <w:top w:val="none" w:sz="0" w:space="0" w:color="auto"/>
        <w:left w:val="none" w:sz="0" w:space="0" w:color="auto"/>
        <w:bottom w:val="none" w:sz="0" w:space="0" w:color="auto"/>
        <w:right w:val="none" w:sz="0" w:space="0" w:color="auto"/>
      </w:divBdr>
      <w:divsChild>
        <w:div w:id="3636541">
          <w:marLeft w:val="0"/>
          <w:marRight w:val="0"/>
          <w:marTop w:val="0"/>
          <w:marBottom w:val="0"/>
          <w:divBdr>
            <w:top w:val="none" w:sz="0" w:space="0" w:color="auto"/>
            <w:left w:val="none" w:sz="0" w:space="0" w:color="auto"/>
            <w:bottom w:val="none" w:sz="0" w:space="0" w:color="auto"/>
            <w:right w:val="none" w:sz="0" w:space="0" w:color="auto"/>
          </w:divBdr>
        </w:div>
      </w:divsChild>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4567547">
      <w:bodyDiv w:val="1"/>
      <w:marLeft w:val="0"/>
      <w:marRight w:val="0"/>
      <w:marTop w:val="0"/>
      <w:marBottom w:val="0"/>
      <w:divBdr>
        <w:top w:val="none" w:sz="0" w:space="0" w:color="auto"/>
        <w:left w:val="none" w:sz="0" w:space="0" w:color="auto"/>
        <w:bottom w:val="none" w:sz="0" w:space="0" w:color="auto"/>
        <w:right w:val="none" w:sz="0" w:space="0" w:color="auto"/>
      </w:divBdr>
      <w:divsChild>
        <w:div w:id="395903985">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1826380">
      <w:bodyDiv w:val="1"/>
      <w:marLeft w:val="0"/>
      <w:marRight w:val="0"/>
      <w:marTop w:val="0"/>
      <w:marBottom w:val="0"/>
      <w:divBdr>
        <w:top w:val="none" w:sz="0" w:space="0" w:color="auto"/>
        <w:left w:val="none" w:sz="0" w:space="0" w:color="auto"/>
        <w:bottom w:val="none" w:sz="0" w:space="0" w:color="auto"/>
        <w:right w:val="none" w:sz="0" w:space="0" w:color="auto"/>
      </w:divBdr>
      <w:divsChild>
        <w:div w:id="369845006">
          <w:marLeft w:val="0"/>
          <w:marRight w:val="0"/>
          <w:marTop w:val="0"/>
          <w:marBottom w:val="0"/>
          <w:divBdr>
            <w:top w:val="none" w:sz="0" w:space="0" w:color="auto"/>
            <w:left w:val="none" w:sz="0" w:space="0" w:color="auto"/>
            <w:bottom w:val="none" w:sz="0" w:space="0" w:color="auto"/>
            <w:right w:val="none" w:sz="0" w:space="0" w:color="auto"/>
          </w:divBdr>
        </w:div>
      </w:divsChild>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1733345">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45271705">
      <w:bodyDiv w:val="1"/>
      <w:marLeft w:val="0"/>
      <w:marRight w:val="0"/>
      <w:marTop w:val="0"/>
      <w:marBottom w:val="0"/>
      <w:divBdr>
        <w:top w:val="none" w:sz="0" w:space="0" w:color="auto"/>
        <w:left w:val="none" w:sz="0" w:space="0" w:color="auto"/>
        <w:bottom w:val="none" w:sz="0" w:space="0" w:color="auto"/>
        <w:right w:val="none" w:sz="0" w:space="0" w:color="auto"/>
      </w:divBdr>
      <w:divsChild>
        <w:div w:id="1413433094">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15585258">
      <w:bodyDiv w:val="1"/>
      <w:marLeft w:val="0"/>
      <w:marRight w:val="0"/>
      <w:marTop w:val="0"/>
      <w:marBottom w:val="0"/>
      <w:divBdr>
        <w:top w:val="none" w:sz="0" w:space="0" w:color="auto"/>
        <w:left w:val="none" w:sz="0" w:space="0" w:color="auto"/>
        <w:bottom w:val="none" w:sz="0" w:space="0" w:color="auto"/>
        <w:right w:val="none" w:sz="0" w:space="0" w:color="auto"/>
      </w:divBdr>
      <w:divsChild>
        <w:div w:id="511187518">
          <w:marLeft w:val="0"/>
          <w:marRight w:val="0"/>
          <w:marTop w:val="0"/>
          <w:marBottom w:val="0"/>
          <w:divBdr>
            <w:top w:val="none" w:sz="0" w:space="0" w:color="auto"/>
            <w:left w:val="none" w:sz="0" w:space="0" w:color="auto"/>
            <w:bottom w:val="none" w:sz="0" w:space="0" w:color="auto"/>
            <w:right w:val="none" w:sz="0" w:space="0" w:color="auto"/>
          </w:divBdr>
        </w:div>
      </w:divsChild>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8509228">
      <w:bodyDiv w:val="1"/>
      <w:marLeft w:val="0"/>
      <w:marRight w:val="0"/>
      <w:marTop w:val="0"/>
      <w:marBottom w:val="0"/>
      <w:divBdr>
        <w:top w:val="none" w:sz="0" w:space="0" w:color="auto"/>
        <w:left w:val="none" w:sz="0" w:space="0" w:color="auto"/>
        <w:bottom w:val="none" w:sz="0" w:space="0" w:color="auto"/>
        <w:right w:val="none" w:sz="0" w:space="0" w:color="auto"/>
      </w:divBdr>
      <w:divsChild>
        <w:div w:id="1444113407">
          <w:marLeft w:val="0"/>
          <w:marRight w:val="0"/>
          <w:marTop w:val="0"/>
          <w:marBottom w:val="0"/>
          <w:divBdr>
            <w:top w:val="none" w:sz="0" w:space="0" w:color="auto"/>
            <w:left w:val="none" w:sz="0" w:space="0" w:color="auto"/>
            <w:bottom w:val="none" w:sz="0" w:space="0" w:color="auto"/>
            <w:right w:val="none" w:sz="0" w:space="0" w:color="auto"/>
          </w:divBdr>
        </w:div>
      </w:divsChild>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3190203">
      <w:bodyDiv w:val="1"/>
      <w:marLeft w:val="0"/>
      <w:marRight w:val="0"/>
      <w:marTop w:val="0"/>
      <w:marBottom w:val="0"/>
      <w:divBdr>
        <w:top w:val="none" w:sz="0" w:space="0" w:color="auto"/>
        <w:left w:val="none" w:sz="0" w:space="0" w:color="auto"/>
        <w:bottom w:val="none" w:sz="0" w:space="0" w:color="auto"/>
        <w:right w:val="none" w:sz="0" w:space="0" w:color="auto"/>
      </w:divBdr>
      <w:divsChild>
        <w:div w:id="2109496138">
          <w:marLeft w:val="0"/>
          <w:marRight w:val="0"/>
          <w:marTop w:val="0"/>
          <w:marBottom w:val="0"/>
          <w:divBdr>
            <w:top w:val="none" w:sz="0" w:space="0" w:color="auto"/>
            <w:left w:val="none" w:sz="0" w:space="0" w:color="auto"/>
            <w:bottom w:val="none" w:sz="0" w:space="0" w:color="auto"/>
            <w:right w:val="none" w:sz="0" w:space="0" w:color="auto"/>
          </w:divBdr>
        </w:div>
      </w:divsChild>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06487377">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3161487">
      <w:bodyDiv w:val="1"/>
      <w:marLeft w:val="0"/>
      <w:marRight w:val="0"/>
      <w:marTop w:val="0"/>
      <w:marBottom w:val="0"/>
      <w:divBdr>
        <w:top w:val="none" w:sz="0" w:space="0" w:color="auto"/>
        <w:left w:val="none" w:sz="0" w:space="0" w:color="auto"/>
        <w:bottom w:val="none" w:sz="0" w:space="0" w:color="auto"/>
        <w:right w:val="none" w:sz="0" w:space="0" w:color="auto"/>
      </w:divBdr>
      <w:divsChild>
        <w:div w:id="239799749">
          <w:marLeft w:val="0"/>
          <w:marRight w:val="0"/>
          <w:marTop w:val="0"/>
          <w:marBottom w:val="0"/>
          <w:divBdr>
            <w:top w:val="none" w:sz="0" w:space="0" w:color="auto"/>
            <w:left w:val="none" w:sz="0" w:space="0" w:color="auto"/>
            <w:bottom w:val="none" w:sz="0" w:space="0" w:color="auto"/>
            <w:right w:val="none" w:sz="0" w:space="0" w:color="auto"/>
          </w:divBdr>
        </w:div>
      </w:divsChild>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2148816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7">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41306092">
      <w:bodyDiv w:val="1"/>
      <w:marLeft w:val="0"/>
      <w:marRight w:val="0"/>
      <w:marTop w:val="0"/>
      <w:marBottom w:val="0"/>
      <w:divBdr>
        <w:top w:val="none" w:sz="0" w:space="0" w:color="auto"/>
        <w:left w:val="none" w:sz="0" w:space="0" w:color="auto"/>
        <w:bottom w:val="none" w:sz="0" w:space="0" w:color="auto"/>
        <w:right w:val="none" w:sz="0" w:space="0" w:color="auto"/>
      </w:divBdr>
      <w:divsChild>
        <w:div w:id="1753509481">
          <w:marLeft w:val="0"/>
          <w:marRight w:val="0"/>
          <w:marTop w:val="0"/>
          <w:marBottom w:val="0"/>
          <w:divBdr>
            <w:top w:val="none" w:sz="0" w:space="0" w:color="auto"/>
            <w:left w:val="none" w:sz="0" w:space="0" w:color="auto"/>
            <w:bottom w:val="none" w:sz="0" w:space="0" w:color="auto"/>
            <w:right w:val="none" w:sz="0" w:space="0" w:color="auto"/>
          </w:divBdr>
        </w:div>
      </w:divsChild>
    </w:div>
    <w:div w:id="1648700782">
      <w:bodyDiv w:val="1"/>
      <w:marLeft w:val="0"/>
      <w:marRight w:val="0"/>
      <w:marTop w:val="0"/>
      <w:marBottom w:val="0"/>
      <w:divBdr>
        <w:top w:val="none" w:sz="0" w:space="0" w:color="auto"/>
        <w:left w:val="none" w:sz="0" w:space="0" w:color="auto"/>
        <w:bottom w:val="none" w:sz="0" w:space="0" w:color="auto"/>
        <w:right w:val="none" w:sz="0" w:space="0" w:color="auto"/>
      </w:divBdr>
      <w:divsChild>
        <w:div w:id="295722113">
          <w:marLeft w:val="0"/>
          <w:marRight w:val="0"/>
          <w:marTop w:val="0"/>
          <w:marBottom w:val="0"/>
          <w:divBdr>
            <w:top w:val="none" w:sz="0" w:space="0" w:color="auto"/>
            <w:left w:val="none" w:sz="0" w:space="0" w:color="auto"/>
            <w:bottom w:val="none" w:sz="0" w:space="0" w:color="auto"/>
            <w:right w:val="none" w:sz="0" w:space="0" w:color="auto"/>
          </w:divBdr>
        </w:div>
      </w:divsChild>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67262482">
      <w:bodyDiv w:val="1"/>
      <w:marLeft w:val="0"/>
      <w:marRight w:val="0"/>
      <w:marTop w:val="0"/>
      <w:marBottom w:val="0"/>
      <w:divBdr>
        <w:top w:val="none" w:sz="0" w:space="0" w:color="auto"/>
        <w:left w:val="none" w:sz="0" w:space="0" w:color="auto"/>
        <w:bottom w:val="none" w:sz="0" w:space="0" w:color="auto"/>
        <w:right w:val="none" w:sz="0" w:space="0" w:color="auto"/>
      </w:divBdr>
      <w:divsChild>
        <w:div w:id="607389149">
          <w:marLeft w:val="0"/>
          <w:marRight w:val="0"/>
          <w:marTop w:val="0"/>
          <w:marBottom w:val="0"/>
          <w:divBdr>
            <w:top w:val="none" w:sz="0" w:space="0" w:color="auto"/>
            <w:left w:val="none" w:sz="0" w:space="0" w:color="auto"/>
            <w:bottom w:val="none" w:sz="0" w:space="0" w:color="auto"/>
            <w:right w:val="none" w:sz="0" w:space="0" w:color="auto"/>
          </w:divBdr>
        </w:div>
      </w:divsChild>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04220576">
      <w:bodyDiv w:val="1"/>
      <w:marLeft w:val="0"/>
      <w:marRight w:val="0"/>
      <w:marTop w:val="0"/>
      <w:marBottom w:val="0"/>
      <w:divBdr>
        <w:top w:val="none" w:sz="0" w:space="0" w:color="auto"/>
        <w:left w:val="none" w:sz="0" w:space="0" w:color="auto"/>
        <w:bottom w:val="none" w:sz="0" w:space="0" w:color="auto"/>
        <w:right w:val="none" w:sz="0" w:space="0" w:color="auto"/>
      </w:divBdr>
      <w:divsChild>
        <w:div w:id="1297297040">
          <w:marLeft w:val="0"/>
          <w:marRight w:val="0"/>
          <w:marTop w:val="0"/>
          <w:marBottom w:val="0"/>
          <w:divBdr>
            <w:top w:val="none" w:sz="0" w:space="0" w:color="auto"/>
            <w:left w:val="none" w:sz="0" w:space="0" w:color="auto"/>
            <w:bottom w:val="none" w:sz="0" w:space="0" w:color="auto"/>
            <w:right w:val="none" w:sz="0" w:space="0" w:color="auto"/>
          </w:divBdr>
        </w:div>
      </w:divsChild>
    </w:div>
    <w:div w:id="1910192093">
      <w:bodyDiv w:val="1"/>
      <w:marLeft w:val="0"/>
      <w:marRight w:val="0"/>
      <w:marTop w:val="0"/>
      <w:marBottom w:val="0"/>
      <w:divBdr>
        <w:top w:val="none" w:sz="0" w:space="0" w:color="auto"/>
        <w:left w:val="none" w:sz="0" w:space="0" w:color="auto"/>
        <w:bottom w:val="none" w:sz="0" w:space="0" w:color="auto"/>
        <w:right w:val="none" w:sz="0" w:space="0" w:color="auto"/>
      </w:divBdr>
      <w:divsChild>
        <w:div w:id="994533989">
          <w:marLeft w:val="0"/>
          <w:marRight w:val="0"/>
          <w:marTop w:val="0"/>
          <w:marBottom w:val="0"/>
          <w:divBdr>
            <w:top w:val="none" w:sz="0" w:space="0" w:color="auto"/>
            <w:left w:val="none" w:sz="0" w:space="0" w:color="auto"/>
            <w:bottom w:val="none" w:sz="0" w:space="0" w:color="auto"/>
            <w:right w:val="none" w:sz="0" w:space="0" w:color="auto"/>
          </w:divBdr>
        </w:div>
      </w:divsChild>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4.xml><?xml version="1.0" encoding="utf-8"?>
<ds:datastoreItem xmlns:ds="http://schemas.openxmlformats.org/officeDocument/2006/customXml" ds:itemID="{D854B03E-8A0D-408A-A937-976F2D5A1A3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33</Pages>
  <Words>9363</Words>
  <Characters>53373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67</cp:revision>
  <cp:lastPrinted>2026-06-23T14:37:00Z</cp:lastPrinted>
  <dcterms:created xsi:type="dcterms:W3CDTF">2026-06-16T17:24:00Z</dcterms:created>
  <dcterms:modified xsi:type="dcterms:W3CDTF">2026-06-23T14:49:00Z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