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26C77" w14:textId="61CA6638" w:rsidR="004A60B9" w:rsidRPr="00CE4BE0" w:rsidRDefault="004A60B9" w:rsidP="004A60B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FEEA11C" wp14:editId="30228300">
            <wp:simplePos x="0" y="0"/>
            <wp:positionH relativeFrom="margin">
              <wp:posOffset>-619125</wp:posOffset>
            </wp:positionH>
            <wp:positionV relativeFrom="paragraph">
              <wp:posOffset>-800100</wp:posOffset>
            </wp:positionV>
            <wp:extent cx="7181850" cy="1076325"/>
            <wp:effectExtent l="0" t="0" r="0" b="9525"/>
            <wp:wrapNone/>
            <wp:docPr id="1" name="Picture 1" descr="F:\botime model\letra me koke specifikimi zyr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botime model\letra me koke specifikimi zyrta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117"/>
                    <a:stretch/>
                  </pic:blipFill>
                  <pic:spPr bwMode="auto">
                    <a:xfrm>
                      <a:off x="0" y="0"/>
                      <a:ext cx="7181850" cy="1076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95F9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regjim</w:t>
      </w:r>
      <w:proofErr w:type="spellEnd"/>
    </w:p>
    <w:p w14:paraId="16D84071" w14:textId="77777777" w:rsidR="004A60B9" w:rsidRPr="00CE4BE0" w:rsidRDefault="004A60B9" w:rsidP="004A60B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012CECB9" w14:textId="6D3411E6" w:rsidR="004A60B9" w:rsidRPr="00CE4BE0" w:rsidRDefault="004A60B9" w:rsidP="004A60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b/>
          <w:sz w:val="24"/>
          <w:szCs w:val="24"/>
          <w:lang w:val="en-GB"/>
        </w:rPr>
        <w:t>REPUBLI</w:t>
      </w:r>
      <w:r w:rsidR="003A33A4">
        <w:rPr>
          <w:rFonts w:ascii="Times New Roman" w:hAnsi="Times New Roman" w:cs="Times New Roman"/>
          <w:b/>
          <w:sz w:val="24"/>
          <w:szCs w:val="24"/>
          <w:lang w:val="en-GB"/>
        </w:rPr>
        <w:t>KA E SHQIPËRISË</w:t>
      </w:r>
    </w:p>
    <w:p w14:paraId="36D6C751" w14:textId="22DD26CD" w:rsidR="004A60B9" w:rsidRPr="00CE4BE0" w:rsidRDefault="003A33A4" w:rsidP="005A6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KUVENDI</w:t>
      </w:r>
    </w:p>
    <w:p w14:paraId="68A9363E" w14:textId="77777777" w:rsidR="004A60B9" w:rsidRPr="00CE4BE0" w:rsidRDefault="004A60B9" w:rsidP="004A60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E92D984" w14:textId="0ED5942E" w:rsidR="004A60B9" w:rsidRPr="00CE4BE0" w:rsidRDefault="003A33A4" w:rsidP="004A60B9">
      <w:pPr>
        <w:pStyle w:val="NormalWeb"/>
        <w:spacing w:before="0" w:beforeAutospacing="0" w:after="0" w:afterAutospacing="0" w:line="276" w:lineRule="auto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>PROJEKTLIGJ</w:t>
      </w:r>
    </w:p>
    <w:p w14:paraId="0DF0A454" w14:textId="77777777" w:rsidR="009D6646" w:rsidRPr="00CE4BE0" w:rsidRDefault="009D6646" w:rsidP="004A60B9">
      <w:pPr>
        <w:pStyle w:val="NormalWeb"/>
        <w:spacing w:before="0" w:beforeAutospacing="0" w:after="0" w:afterAutospacing="0" w:line="276" w:lineRule="auto"/>
        <w:jc w:val="center"/>
        <w:rPr>
          <w:lang w:val="en-GB"/>
        </w:rPr>
      </w:pPr>
    </w:p>
    <w:p w14:paraId="22AF737F" w14:textId="641E7A43" w:rsidR="004A60B9" w:rsidRPr="00CE4BE0" w:rsidRDefault="004A60B9" w:rsidP="004A60B9">
      <w:pPr>
        <w:pStyle w:val="NormalWeb"/>
        <w:spacing w:before="0" w:beforeAutospacing="0" w:after="0" w:afterAutospacing="0" w:line="276" w:lineRule="auto"/>
        <w:jc w:val="center"/>
        <w:rPr>
          <w:b/>
          <w:bCs/>
          <w:lang w:val="en-GB"/>
        </w:rPr>
      </w:pPr>
      <w:proofErr w:type="gramStart"/>
      <w:r w:rsidRPr="00CE4BE0">
        <w:rPr>
          <w:b/>
          <w:bCs/>
          <w:lang w:val="en-GB"/>
        </w:rPr>
        <w:t>N</w:t>
      </w:r>
      <w:r w:rsidR="003A33A4">
        <w:rPr>
          <w:b/>
          <w:bCs/>
          <w:lang w:val="en-GB"/>
        </w:rPr>
        <w:t>r</w:t>
      </w:r>
      <w:r w:rsidRPr="00CE4BE0">
        <w:rPr>
          <w:b/>
          <w:bCs/>
          <w:lang w:val="en-GB"/>
        </w:rPr>
        <w:t>._</w:t>
      </w:r>
      <w:proofErr w:type="gramEnd"/>
      <w:r w:rsidRPr="00CE4BE0">
        <w:rPr>
          <w:b/>
          <w:bCs/>
          <w:lang w:val="en-GB"/>
        </w:rPr>
        <w:t xml:space="preserve">____, </w:t>
      </w:r>
      <w:proofErr w:type="spellStart"/>
      <w:r w:rsidRPr="00CE4BE0">
        <w:rPr>
          <w:b/>
          <w:bCs/>
          <w:lang w:val="en-GB"/>
        </w:rPr>
        <w:t>dat</w:t>
      </w:r>
      <w:r w:rsidR="003A33A4">
        <w:rPr>
          <w:b/>
          <w:bCs/>
          <w:lang w:val="en-GB"/>
        </w:rPr>
        <w:t>ë</w:t>
      </w:r>
      <w:proofErr w:type="spellEnd"/>
      <w:r w:rsidRPr="00CE4BE0">
        <w:rPr>
          <w:b/>
          <w:bCs/>
          <w:lang w:val="en-GB"/>
        </w:rPr>
        <w:t xml:space="preserve"> __</w:t>
      </w:r>
      <w:proofErr w:type="gramStart"/>
      <w:r w:rsidRPr="00CE4BE0">
        <w:rPr>
          <w:b/>
          <w:bCs/>
          <w:lang w:val="en-GB"/>
        </w:rPr>
        <w:t>_._</w:t>
      </w:r>
      <w:proofErr w:type="gramEnd"/>
      <w:r w:rsidRPr="00CE4BE0">
        <w:rPr>
          <w:b/>
          <w:bCs/>
          <w:lang w:val="en-GB"/>
        </w:rPr>
        <w:t>__.</w:t>
      </w:r>
      <w:r w:rsidR="00C677F9">
        <w:rPr>
          <w:b/>
          <w:bCs/>
          <w:lang w:val="en-GB"/>
        </w:rPr>
        <w:t>2026</w:t>
      </w:r>
    </w:p>
    <w:p w14:paraId="689869F8" w14:textId="77777777" w:rsidR="004A60B9" w:rsidRPr="00CE4BE0" w:rsidRDefault="004A60B9" w:rsidP="004A60B9">
      <w:pPr>
        <w:pStyle w:val="NormalWeb"/>
        <w:spacing w:before="0" w:beforeAutospacing="0" w:after="0" w:afterAutospacing="0" w:line="276" w:lineRule="auto"/>
        <w:jc w:val="center"/>
        <w:rPr>
          <w:lang w:val="en-GB"/>
        </w:rPr>
      </w:pPr>
    </w:p>
    <w:p w14:paraId="07D67BC4" w14:textId="67014EA5" w:rsidR="002B0B4A" w:rsidRPr="00CE4BE0" w:rsidRDefault="00D31DFC" w:rsidP="004A60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0" w:name="_Hlk229738987"/>
      <w:r w:rsidRPr="00D31DF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PËR </w:t>
      </w:r>
      <w:r w:rsidR="00AA5EBD">
        <w:rPr>
          <w:rFonts w:ascii="Times New Roman" w:hAnsi="Times New Roman" w:cs="Times New Roman"/>
          <w:b/>
          <w:bCs/>
          <w:sz w:val="24"/>
          <w:szCs w:val="24"/>
          <w:lang w:val="en-GB"/>
        </w:rPr>
        <w:t>SIGURIMIN</w:t>
      </w:r>
      <w:r w:rsidRPr="00D31DF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 </w:t>
      </w:r>
      <w:r w:rsidR="00AA5EBD">
        <w:rPr>
          <w:rFonts w:ascii="Times New Roman" w:hAnsi="Times New Roman" w:cs="Times New Roman"/>
          <w:b/>
          <w:bCs/>
          <w:sz w:val="24"/>
          <w:szCs w:val="24"/>
          <w:lang w:val="en-GB"/>
        </w:rPr>
        <w:t>NJ</w:t>
      </w:r>
      <w:r w:rsidR="00C156AA">
        <w:rPr>
          <w:rFonts w:ascii="Times New Roman" w:hAnsi="Times New Roman" w:cs="Times New Roman"/>
          <w:b/>
          <w:bCs/>
          <w:sz w:val="24"/>
          <w:szCs w:val="24"/>
          <w:lang w:val="en-GB"/>
        </w:rPr>
        <w:t>Ë</w:t>
      </w:r>
      <w:r w:rsidR="00AA5EB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NIVELI </w:t>
      </w:r>
      <w:r w:rsidR="00C14650" w:rsidRPr="00D31DF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MINIMAL GLOBAL </w:t>
      </w:r>
      <w:r w:rsidR="00AA5EBD">
        <w:rPr>
          <w:rFonts w:ascii="Times New Roman" w:hAnsi="Times New Roman" w:cs="Times New Roman"/>
          <w:b/>
          <w:bCs/>
          <w:sz w:val="24"/>
          <w:szCs w:val="24"/>
          <w:lang w:val="en-GB"/>
        </w:rPr>
        <w:t>T</w:t>
      </w:r>
      <w:r w:rsidR="00C156AA">
        <w:rPr>
          <w:rFonts w:ascii="Times New Roman" w:hAnsi="Times New Roman" w:cs="Times New Roman"/>
          <w:b/>
          <w:bCs/>
          <w:sz w:val="24"/>
          <w:szCs w:val="24"/>
          <w:lang w:val="en-GB"/>
        </w:rPr>
        <w:t>Ë</w:t>
      </w:r>
      <w:r w:rsidR="00AA5EB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D31DF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TATIMIT PËR GRUPET E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SHOQËRIVE</w:t>
      </w:r>
      <w:r w:rsidRPr="00D31DF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SHUMËKOMBËSHE DHE </w:t>
      </w:r>
      <w:r w:rsidRPr="004D009D">
        <w:rPr>
          <w:rFonts w:ascii="Times New Roman" w:hAnsi="Times New Roman" w:cs="Times New Roman"/>
          <w:b/>
          <w:bCs/>
          <w:sz w:val="24"/>
          <w:szCs w:val="24"/>
          <w:lang w:val="en-GB"/>
        </w:rPr>
        <w:t>GRUPET</w:t>
      </w:r>
      <w:r w:rsidR="00E912B9" w:rsidRPr="004D009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 MËDHA</w:t>
      </w:r>
      <w:r w:rsidRPr="004D009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VEND</w:t>
      </w:r>
      <w:r w:rsidR="00E912B9" w:rsidRPr="004D009D">
        <w:rPr>
          <w:rFonts w:ascii="Times New Roman" w:hAnsi="Times New Roman" w:cs="Times New Roman"/>
          <w:b/>
          <w:bCs/>
          <w:sz w:val="24"/>
          <w:szCs w:val="24"/>
          <w:lang w:val="en-GB"/>
        </w:rPr>
        <w:t>ASE</w:t>
      </w:r>
      <w:r w:rsidRPr="004D009D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  <w:r w:rsidR="00DD2EBE" w:rsidRPr="004D009D">
        <w:rPr>
          <w:rStyle w:val="FootnoteReference"/>
          <w:rFonts w:ascii="Times New Roman" w:hAnsi="Times New Roman" w:cs="Times New Roman"/>
          <w:b/>
          <w:bCs/>
          <w:sz w:val="24"/>
          <w:szCs w:val="24"/>
          <w:lang w:val="en-GB"/>
        </w:rPr>
        <w:footnoteReference w:id="1"/>
      </w:r>
    </w:p>
    <w:bookmarkEnd w:id="0"/>
    <w:p w14:paraId="452EFD3D" w14:textId="77777777" w:rsidR="00A82693" w:rsidRDefault="00A82693" w:rsidP="004A60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53E89CF" w14:textId="77777777" w:rsidR="00145A84" w:rsidRPr="00091A2C" w:rsidRDefault="00145A84" w:rsidP="00145A84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91A2C">
        <w:rPr>
          <w:rFonts w:ascii="Times New Roman" w:hAnsi="Times New Roman" w:cs="Times New Roman"/>
          <w:sz w:val="24"/>
          <w:szCs w:val="24"/>
          <w:lang w:val="sq-AL"/>
        </w:rPr>
        <w:t>Në mbështetje të neneve 78, 81 dhe 83, pika 1, të Kushtetutës, me propozimin e Këshillit të Ministrave, Kuvendi i Republikës së Shqipërisë,</w:t>
      </w:r>
    </w:p>
    <w:p w14:paraId="7510649D" w14:textId="77777777" w:rsidR="00145A84" w:rsidRPr="00091A2C" w:rsidRDefault="00145A84" w:rsidP="005A6CD4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6C84A25D" w14:textId="192657B3" w:rsidR="004A60B9" w:rsidRDefault="00145A84" w:rsidP="005A6CD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091A2C">
        <w:rPr>
          <w:rFonts w:ascii="Times New Roman" w:hAnsi="Times New Roman" w:cs="Times New Roman"/>
          <w:sz w:val="24"/>
          <w:szCs w:val="24"/>
          <w:lang w:val="sq-AL"/>
        </w:rPr>
        <w:t>VENDOSI:</w:t>
      </w:r>
    </w:p>
    <w:p w14:paraId="4C1FAA42" w14:textId="77777777" w:rsidR="005A6CD4" w:rsidRPr="005A6CD4" w:rsidRDefault="005A6CD4" w:rsidP="005A6CD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542DED1" w14:textId="5D267E84" w:rsidR="004A60B9" w:rsidRPr="00CE4BE0" w:rsidRDefault="00687CAD" w:rsidP="004A60B9">
      <w:pPr>
        <w:pStyle w:val="NormalWeb"/>
        <w:spacing w:before="0" w:beforeAutospacing="0" w:after="0" w:afterAutospacing="0" w:line="276" w:lineRule="auto"/>
        <w:jc w:val="center"/>
        <w:rPr>
          <w:lang w:val="en-GB"/>
        </w:rPr>
      </w:pPr>
      <w:r>
        <w:rPr>
          <w:lang w:val="en-GB"/>
        </w:rPr>
        <w:t>KAPITULLI</w:t>
      </w:r>
      <w:r w:rsidR="00120B1B" w:rsidRPr="00CE4BE0">
        <w:rPr>
          <w:lang w:val="en-GB"/>
        </w:rPr>
        <w:t xml:space="preserve"> I</w:t>
      </w:r>
    </w:p>
    <w:p w14:paraId="4A56D456" w14:textId="1CAA57E7" w:rsidR="002B0B4A" w:rsidRPr="00CE4BE0" w:rsidRDefault="00687CAD" w:rsidP="004A60B9">
      <w:pPr>
        <w:pStyle w:val="NormalWeb"/>
        <w:spacing w:before="0" w:beforeAutospacing="0" w:after="0" w:afterAutospacing="0" w:line="276" w:lineRule="auto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>DISPOZITA TË PËRGJITHSHME</w:t>
      </w:r>
    </w:p>
    <w:p w14:paraId="5979E3D3" w14:textId="77777777" w:rsidR="004A60B9" w:rsidRPr="00CE4BE0" w:rsidRDefault="004A60B9" w:rsidP="005A6CD4">
      <w:pPr>
        <w:pStyle w:val="NormalWeb"/>
        <w:spacing w:before="0" w:beforeAutospacing="0" w:after="0" w:afterAutospacing="0" w:line="276" w:lineRule="auto"/>
        <w:rPr>
          <w:lang w:val="en-GB"/>
        </w:rPr>
      </w:pPr>
    </w:p>
    <w:p w14:paraId="001CC1AF" w14:textId="604D9C49" w:rsidR="002B0B4A" w:rsidRDefault="00E912B9" w:rsidP="00E912B9">
      <w:pPr>
        <w:pStyle w:val="Heading3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GB"/>
        </w:rPr>
        <w:t>Neni</w:t>
      </w:r>
      <w:r w:rsidR="00120B1B" w:rsidRPr="00CE4BE0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GB"/>
        </w:rPr>
        <w:t xml:space="preserve"> 1</w:t>
      </w:r>
      <w:r w:rsidR="00120B1B" w:rsidRPr="00CE4BE0">
        <w:rPr>
          <w:rFonts w:ascii="Times New Roman" w:hAnsi="Times New Roman" w:cs="Times New Roman"/>
          <w:color w:val="auto"/>
          <w:sz w:val="24"/>
          <w:szCs w:val="24"/>
          <w:lang w:val="en-GB"/>
        </w:rPr>
        <w:br/>
      </w:r>
      <w:proofErr w:type="spellStart"/>
      <w:r w:rsidR="007C68CB" w:rsidRPr="00CE4BE0">
        <w:rPr>
          <w:rFonts w:ascii="Times New Roman" w:hAnsi="Times New Roman" w:cs="Times New Roman"/>
          <w:color w:val="auto"/>
          <w:sz w:val="24"/>
          <w:szCs w:val="24"/>
          <w:lang w:val="en-GB"/>
        </w:rPr>
        <w:t>Obje</w:t>
      </w:r>
      <w:r>
        <w:rPr>
          <w:rFonts w:ascii="Times New Roman" w:hAnsi="Times New Roman" w:cs="Times New Roman"/>
          <w:color w:val="auto"/>
          <w:sz w:val="24"/>
          <w:szCs w:val="24"/>
          <w:lang w:val="en-GB"/>
        </w:rPr>
        <w:t>kti</w:t>
      </w:r>
      <w:proofErr w:type="spellEnd"/>
    </w:p>
    <w:p w14:paraId="4ACE0D36" w14:textId="77777777" w:rsidR="00763178" w:rsidRPr="00011032" w:rsidRDefault="00763178" w:rsidP="00011032">
      <w:pPr>
        <w:spacing w:after="0"/>
        <w:rPr>
          <w:lang w:val="en-GB"/>
        </w:rPr>
      </w:pPr>
    </w:p>
    <w:p w14:paraId="6A05B230" w14:textId="7A53E2EE" w:rsidR="00A330F3" w:rsidRPr="00A330F3" w:rsidRDefault="000750EF" w:rsidP="00A330F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Ky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0750EF">
        <w:rPr>
          <w:rFonts w:ascii="Times New Roman" w:hAnsi="Times New Roman" w:cs="Times New Roman"/>
          <w:sz w:val="24"/>
          <w:szCs w:val="24"/>
          <w:lang w:val="en-GB"/>
        </w:rPr>
        <w:t>igj</w:t>
      </w:r>
      <w:proofErr w:type="spellEnd"/>
      <w:r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750EF">
        <w:rPr>
          <w:rFonts w:ascii="Times New Roman" w:hAnsi="Times New Roman" w:cs="Times New Roman"/>
          <w:sz w:val="24"/>
          <w:szCs w:val="24"/>
          <w:lang w:val="en-GB"/>
        </w:rPr>
        <w:t>përcakton</w:t>
      </w:r>
      <w:proofErr w:type="spellEnd"/>
      <w:r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750EF">
        <w:rPr>
          <w:rFonts w:ascii="Times New Roman" w:hAnsi="Times New Roman" w:cs="Times New Roman"/>
          <w:sz w:val="24"/>
          <w:szCs w:val="24"/>
          <w:lang w:val="en-GB"/>
        </w:rPr>
        <w:t>kuadrin</w:t>
      </w:r>
      <w:proofErr w:type="spellEnd"/>
      <w:r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750EF">
        <w:rPr>
          <w:rFonts w:ascii="Times New Roman" w:hAnsi="Times New Roman" w:cs="Times New Roman"/>
          <w:sz w:val="24"/>
          <w:szCs w:val="24"/>
          <w:lang w:val="en-GB"/>
        </w:rPr>
        <w:t>ligjor</w:t>
      </w:r>
      <w:proofErr w:type="spellEnd"/>
      <w:r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750EF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750EF">
        <w:rPr>
          <w:rFonts w:ascii="Times New Roman" w:hAnsi="Times New Roman" w:cs="Times New Roman"/>
          <w:sz w:val="24"/>
          <w:szCs w:val="24"/>
          <w:lang w:val="en-GB"/>
        </w:rPr>
        <w:t>sigurimin</w:t>
      </w:r>
      <w:proofErr w:type="spellEnd"/>
      <w:r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0750E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750EF">
        <w:rPr>
          <w:rFonts w:ascii="Times New Roman" w:hAnsi="Times New Roman" w:cs="Times New Roman"/>
          <w:sz w:val="24"/>
          <w:szCs w:val="24"/>
          <w:lang w:val="en-GB"/>
        </w:rPr>
        <w:t>niveli</w:t>
      </w:r>
      <w:proofErr w:type="spellEnd"/>
      <w:r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minimal </w:t>
      </w:r>
      <w:proofErr w:type="spellStart"/>
      <w:r w:rsidRPr="000750EF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="0005510A" w:rsidRPr="0005510A">
        <w:t xml:space="preserve"> </w:t>
      </w:r>
      <w:proofErr w:type="spellStart"/>
      <w:r w:rsidR="0005510A" w:rsidRPr="0005510A">
        <w:rPr>
          <w:rFonts w:ascii="Times New Roman" w:hAnsi="Times New Roman" w:cs="Times New Roman"/>
          <w:sz w:val="24"/>
          <w:szCs w:val="24"/>
          <w:lang w:val="en-GB"/>
        </w:rPr>
        <w:t>efektiv</w:t>
      </w:r>
      <w:proofErr w:type="spellEnd"/>
      <w:r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750EF">
        <w:rPr>
          <w:rFonts w:ascii="Times New Roman" w:hAnsi="Times New Roman" w:cs="Times New Roman"/>
          <w:sz w:val="24"/>
          <w:szCs w:val="24"/>
          <w:lang w:val="en-GB"/>
        </w:rPr>
        <w:t>prej</w:t>
      </w:r>
      <w:proofErr w:type="spellEnd"/>
      <w:r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15% </w:t>
      </w:r>
      <w:proofErr w:type="spellStart"/>
      <w:r w:rsidRPr="000750EF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750EF">
        <w:rPr>
          <w:rFonts w:ascii="Times New Roman" w:hAnsi="Times New Roman" w:cs="Times New Roman"/>
          <w:sz w:val="24"/>
          <w:szCs w:val="24"/>
          <w:lang w:val="en-GB"/>
        </w:rPr>
        <w:t>grupet</w:t>
      </w:r>
      <w:proofErr w:type="spellEnd"/>
      <w:r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shoqërive</w:t>
      </w:r>
      <w:proofErr w:type="spellEnd"/>
      <w:r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750EF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750EF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667C0">
        <w:rPr>
          <w:rFonts w:ascii="Times New Roman" w:hAnsi="Times New Roman" w:cs="Times New Roman"/>
          <w:sz w:val="24"/>
          <w:szCs w:val="24"/>
          <w:lang w:val="en-GB"/>
        </w:rPr>
        <w:t>grupet</w:t>
      </w:r>
      <w:proofErr w:type="spellEnd"/>
      <w:r w:rsidRPr="002667C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2667C0">
        <w:rPr>
          <w:rFonts w:ascii="Times New Roman" w:hAnsi="Times New Roman" w:cs="Times New Roman"/>
          <w:sz w:val="24"/>
          <w:szCs w:val="24"/>
          <w:lang w:val="en-GB"/>
        </w:rPr>
        <w:t>mëdha</w:t>
      </w:r>
      <w:proofErr w:type="spellEnd"/>
      <w:r w:rsidRPr="002667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667C0">
        <w:rPr>
          <w:rFonts w:ascii="Times New Roman" w:hAnsi="Times New Roman" w:cs="Times New Roman"/>
          <w:sz w:val="24"/>
          <w:szCs w:val="24"/>
          <w:lang w:val="en-GB"/>
        </w:rPr>
        <w:t>vendase</w:t>
      </w:r>
      <w:proofErr w:type="spellEnd"/>
      <w:r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750EF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750EF">
        <w:rPr>
          <w:rFonts w:ascii="Times New Roman" w:hAnsi="Times New Roman" w:cs="Times New Roman"/>
          <w:sz w:val="24"/>
          <w:szCs w:val="24"/>
          <w:lang w:val="en-GB"/>
        </w:rPr>
        <w:t>operojnë</w:t>
      </w:r>
      <w:proofErr w:type="spellEnd"/>
      <w:r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750E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750EF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0750EF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750EF">
        <w:rPr>
          <w:rFonts w:ascii="Times New Roman" w:hAnsi="Times New Roman" w:cs="Times New Roman"/>
          <w:sz w:val="24"/>
          <w:szCs w:val="24"/>
          <w:lang w:val="en-GB"/>
        </w:rPr>
        <w:t>nëpërmjet</w:t>
      </w:r>
      <w:proofErr w:type="spellEnd"/>
      <w:r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750EF">
        <w:rPr>
          <w:rFonts w:ascii="Times New Roman" w:hAnsi="Times New Roman" w:cs="Times New Roman"/>
          <w:sz w:val="24"/>
          <w:szCs w:val="24"/>
          <w:lang w:val="en-GB"/>
        </w:rPr>
        <w:t>rregullave</w:t>
      </w:r>
      <w:proofErr w:type="spellEnd"/>
      <w:r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750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750EF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Pr="000750EF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791C588" w14:textId="77777777" w:rsidR="00A330F3" w:rsidRPr="00A330F3" w:rsidRDefault="00A330F3" w:rsidP="00A330F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E53FA67" w14:textId="2FC0BB08" w:rsidR="00A330F3" w:rsidRPr="00A330F3" w:rsidRDefault="00A330F3" w:rsidP="00A330F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330F3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="00BD50CB" w:rsidRPr="00BD50C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BD50CB" w:rsidRPr="00BD50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D50CB" w:rsidRPr="00BD50CB">
        <w:rPr>
          <w:rFonts w:ascii="Times New Roman" w:hAnsi="Times New Roman" w:cs="Times New Roman"/>
          <w:sz w:val="24"/>
          <w:szCs w:val="24"/>
          <w:lang w:val="en-GB"/>
        </w:rPr>
        <w:t>rregull</w:t>
      </w:r>
      <w:proofErr w:type="spellEnd"/>
      <w:r w:rsidR="00BD50CB" w:rsidRPr="00BD50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D50CB" w:rsidRPr="00BD50CB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BD50CB" w:rsidRPr="00BD50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D50CB" w:rsidRPr="00BD50CB">
        <w:rPr>
          <w:rFonts w:ascii="Times New Roman" w:hAnsi="Times New Roman" w:cs="Times New Roman"/>
          <w:sz w:val="24"/>
          <w:szCs w:val="24"/>
          <w:lang w:val="en-GB"/>
        </w:rPr>
        <w:t>përfshirjes</w:t>
      </w:r>
      <w:proofErr w:type="spellEnd"/>
      <w:r w:rsidR="00BD50CB" w:rsidRPr="00BD50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D50CB" w:rsidRPr="00BD50CB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BD50CB" w:rsidRPr="00BD50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D50CB" w:rsidRPr="00BD50C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BD50CB" w:rsidRPr="00BD50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D50CB" w:rsidRPr="00BD50CB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BD50CB" w:rsidRPr="00BD50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2667C0">
        <w:rPr>
          <w:rFonts w:ascii="Times New Roman" w:hAnsi="Times New Roman" w:cs="Times New Roman"/>
          <w:sz w:val="24"/>
          <w:szCs w:val="24"/>
          <w:lang w:val="en-GB"/>
        </w:rPr>
        <w:t>RPA</w:t>
      </w:r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proofErr w:type="spellStart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>cilit</w:t>
      </w:r>
      <w:proofErr w:type="spellEnd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D50C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BD50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D50CB">
        <w:rPr>
          <w:rFonts w:ascii="Times New Roman" w:hAnsi="Times New Roman" w:cs="Times New Roman"/>
          <w:sz w:val="24"/>
          <w:szCs w:val="24"/>
          <w:lang w:val="en-GB"/>
        </w:rPr>
        <w:t>shoqëri</w:t>
      </w:r>
      <w:r w:rsidR="00A34E11">
        <w:rPr>
          <w:rFonts w:ascii="Times New Roman" w:hAnsi="Times New Roman" w:cs="Times New Roman"/>
          <w:sz w:val="24"/>
          <w:szCs w:val="24"/>
          <w:lang w:val="en-GB"/>
        </w:rPr>
        <w:t>e</w:t>
      </w:r>
      <w:proofErr w:type="spellEnd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F527F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="00FF52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F527F">
        <w:rPr>
          <w:rFonts w:ascii="Times New Roman" w:hAnsi="Times New Roman" w:cs="Times New Roman"/>
          <w:sz w:val="24"/>
          <w:szCs w:val="24"/>
          <w:lang w:val="en-GB"/>
        </w:rPr>
        <w:t>vëndas</w:t>
      </w:r>
      <w:proofErr w:type="spellEnd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D50CB">
        <w:rPr>
          <w:rFonts w:ascii="Times New Roman" w:hAnsi="Times New Roman" w:cs="Times New Roman"/>
          <w:sz w:val="24"/>
          <w:szCs w:val="24"/>
          <w:lang w:val="en-GB"/>
        </w:rPr>
        <w:t>duhet</w:t>
      </w:r>
      <w:proofErr w:type="spellEnd"/>
      <w:r w:rsidR="00BD50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D50C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BD50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>llogari</w:t>
      </w:r>
      <w:r w:rsidR="00BD50CB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D50C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BD50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>pagua</w:t>
      </w:r>
      <w:r w:rsidR="00BD50CB">
        <w:rPr>
          <w:rFonts w:ascii="Times New Roman" w:hAnsi="Times New Roman" w:cs="Times New Roman"/>
          <w:sz w:val="24"/>
          <w:szCs w:val="24"/>
          <w:lang w:val="en-GB"/>
        </w:rPr>
        <w:t>jë</w:t>
      </w:r>
      <w:proofErr w:type="spellEnd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>pjesën</w:t>
      </w:r>
      <w:proofErr w:type="spellEnd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D50C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BD50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>lidh</w:t>
      </w:r>
      <w:r w:rsidR="00BD50CB">
        <w:rPr>
          <w:rFonts w:ascii="Times New Roman" w:hAnsi="Times New Roman" w:cs="Times New Roman"/>
          <w:sz w:val="24"/>
          <w:szCs w:val="24"/>
          <w:lang w:val="en-GB"/>
        </w:rPr>
        <w:t>je</w:t>
      </w:r>
      <w:proofErr w:type="spellEnd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="000750EF" w:rsidRPr="00075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D50CB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BD50CB" w:rsidRPr="00BD50CB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BD50CB" w:rsidRPr="00BD50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D50CB" w:rsidRPr="00BD50CB">
        <w:rPr>
          <w:rFonts w:ascii="Times New Roman" w:hAnsi="Times New Roman" w:cs="Times New Roman"/>
          <w:sz w:val="24"/>
          <w:szCs w:val="24"/>
          <w:lang w:val="en-GB"/>
        </w:rPr>
        <w:t>cilat</w:t>
      </w:r>
      <w:proofErr w:type="spellEnd"/>
      <w:r w:rsidR="00BD50CB" w:rsidRPr="00BD50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D50CB" w:rsidRPr="00BD50CB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BD50CB" w:rsidRPr="00BD50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D50CB" w:rsidRPr="00BD50CB">
        <w:rPr>
          <w:rFonts w:ascii="Times New Roman" w:hAnsi="Times New Roman" w:cs="Times New Roman"/>
          <w:sz w:val="24"/>
          <w:szCs w:val="24"/>
          <w:lang w:val="en-GB"/>
        </w:rPr>
        <w:t>nënshtrohen</w:t>
      </w:r>
      <w:proofErr w:type="spellEnd"/>
      <w:r w:rsidR="00BD50CB" w:rsidRPr="00BD50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D50CB" w:rsidRPr="00BD50C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BD50CB" w:rsidRPr="00BD50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D50CB" w:rsidRPr="00BD50CB">
        <w:rPr>
          <w:rFonts w:ascii="Times New Roman" w:hAnsi="Times New Roman" w:cs="Times New Roman"/>
          <w:sz w:val="24"/>
          <w:szCs w:val="24"/>
          <w:lang w:val="en-GB"/>
        </w:rPr>
        <w:t>niveli</w:t>
      </w:r>
      <w:proofErr w:type="spellEnd"/>
      <w:r w:rsidR="00BD50CB" w:rsidRPr="00BD50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D50CB" w:rsidRPr="00BD50C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BD50CB" w:rsidRPr="00BD50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D50CB" w:rsidRPr="00BD50CB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="00BD50CB" w:rsidRPr="00BD50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D50CB" w:rsidRPr="00BD50CB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="00BD50CB" w:rsidRPr="00BD50C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ADD19DD" w14:textId="0C35B194" w:rsidR="00A330F3" w:rsidRPr="00A330F3" w:rsidRDefault="00A330F3" w:rsidP="00A330F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330F3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="00BD50CB">
        <w:rPr>
          <w:rFonts w:ascii="Times New Roman" w:hAnsi="Times New Roman" w:cs="Times New Roman"/>
          <w:sz w:val="24"/>
          <w:szCs w:val="24"/>
          <w:lang w:val="en-GB"/>
        </w:rPr>
        <w:t>nj</w:t>
      </w:r>
      <w:r w:rsidR="00A34E11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BD50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16EE1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regull</w:t>
      </w:r>
      <w:r w:rsidR="00B16EE1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BD50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fitimin</w:t>
      </w:r>
      <w:proofErr w:type="spellEnd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nëntat</w:t>
      </w:r>
      <w:r w:rsidR="00FF527F">
        <w:rPr>
          <w:rFonts w:ascii="Times New Roman" w:hAnsi="Times New Roman" w:cs="Times New Roman"/>
          <w:sz w:val="24"/>
          <w:szCs w:val="24"/>
          <w:lang w:val="en-GB"/>
        </w:rPr>
        <w:t>uar</w:t>
      </w:r>
      <w:proofErr w:type="spellEnd"/>
      <w:r w:rsidR="00FF527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FF527F" w:rsidRPr="006F3EC4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6F3EC4" w:rsidRPr="006F3EC4">
        <w:rPr>
          <w:rFonts w:ascii="Times New Roman" w:hAnsi="Times New Roman" w:cs="Times New Roman"/>
          <w:sz w:val="24"/>
          <w:szCs w:val="24"/>
          <w:lang w:val="en-GB"/>
        </w:rPr>
        <w:t>RFN</w:t>
      </w:r>
      <w:r w:rsidR="00FF527F" w:rsidRPr="006F3EC4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FF52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cilit</w:t>
      </w:r>
      <w:proofErr w:type="spellEnd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BD50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F527F">
        <w:rPr>
          <w:rFonts w:ascii="Times New Roman" w:hAnsi="Times New Roman" w:cs="Times New Roman"/>
          <w:sz w:val="24"/>
          <w:szCs w:val="24"/>
          <w:lang w:val="en-GB"/>
        </w:rPr>
        <w:t>shoqëri</w:t>
      </w:r>
      <w:r w:rsidR="00A34E11">
        <w:rPr>
          <w:rFonts w:ascii="Times New Roman" w:hAnsi="Times New Roman" w:cs="Times New Roman"/>
          <w:sz w:val="24"/>
          <w:szCs w:val="24"/>
          <w:lang w:val="en-GB"/>
        </w:rPr>
        <w:t>e</w:t>
      </w:r>
      <w:proofErr w:type="spellEnd"/>
      <w:r w:rsidR="00A34E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shpenzimi</w:t>
      </w:r>
      <w:proofErr w:type="spellEnd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 xml:space="preserve"> para, </w:t>
      </w:r>
      <w:proofErr w:type="spellStart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pjesën</w:t>
      </w:r>
      <w:proofErr w:type="spellEnd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rregullit</w:t>
      </w:r>
      <w:proofErr w:type="spellEnd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667C0">
        <w:rPr>
          <w:rFonts w:ascii="Times New Roman" w:hAnsi="Times New Roman" w:cs="Times New Roman"/>
          <w:sz w:val="24"/>
          <w:szCs w:val="24"/>
          <w:lang w:val="en-GB"/>
        </w:rPr>
        <w:t>RPA</w:t>
      </w:r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4E11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tat</w:t>
      </w:r>
      <w:r w:rsidR="00A34E11">
        <w:rPr>
          <w:rFonts w:ascii="Times New Roman" w:hAnsi="Times New Roman" w:cs="Times New Roman"/>
          <w:sz w:val="24"/>
          <w:szCs w:val="24"/>
          <w:lang w:val="en-GB"/>
        </w:rPr>
        <w:t>uara</w:t>
      </w:r>
      <w:proofErr w:type="spellEnd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normë</w:t>
      </w:r>
      <w:proofErr w:type="spellEnd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="00FF527F" w:rsidRPr="00FF527F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4303BD22" w14:textId="0FD0BF93" w:rsidR="00A330F3" w:rsidRPr="00CE4BE0" w:rsidRDefault="00A330F3" w:rsidP="00A330F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330F3">
        <w:rPr>
          <w:rFonts w:ascii="Times New Roman" w:hAnsi="Times New Roman" w:cs="Times New Roman"/>
          <w:sz w:val="24"/>
          <w:szCs w:val="24"/>
          <w:lang w:val="en-GB"/>
        </w:rPr>
        <w:t xml:space="preserve">c) </w:t>
      </w:r>
      <w:proofErr w:type="spellStart"/>
      <w:r w:rsidR="00A34E11">
        <w:rPr>
          <w:rFonts w:ascii="Times New Roman" w:hAnsi="Times New Roman" w:cs="Times New Roman"/>
          <w:sz w:val="24"/>
          <w:szCs w:val="24"/>
          <w:lang w:val="en-GB"/>
        </w:rPr>
        <w:t>nj</w:t>
      </w:r>
      <w:r w:rsidR="00605215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A34E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16EE1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>atim</w:t>
      </w:r>
      <w:proofErr w:type="spellEnd"/>
      <w:r w:rsid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4E11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B16E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16EE1">
        <w:rPr>
          <w:rFonts w:ascii="Times New Roman" w:hAnsi="Times New Roman" w:cs="Times New Roman"/>
          <w:sz w:val="24"/>
          <w:szCs w:val="24"/>
          <w:lang w:val="en-GB"/>
        </w:rPr>
        <w:t>brendsh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B16EE1">
        <w:rPr>
          <w:rFonts w:ascii="Times New Roman" w:hAnsi="Times New Roman" w:cs="Times New Roman"/>
          <w:sz w:val="24"/>
          <w:szCs w:val="24"/>
          <w:lang w:val="en-GB"/>
        </w:rPr>
        <w:t>m</w:t>
      </w:r>
      <w:proofErr w:type="spellEnd"/>
      <w:r w:rsidR="00B16E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4E11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5C43A3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810905" w:rsidRPr="00B16EE1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End"/>
      <w:r w:rsidR="00B16EE1" w:rsidRPr="00A75618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365808" w:rsidRPr="00A75618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B16EE1" w:rsidRPr="00A75618">
        <w:rPr>
          <w:rFonts w:ascii="Times New Roman" w:hAnsi="Times New Roman" w:cs="Times New Roman"/>
          <w:sz w:val="24"/>
          <w:szCs w:val="24"/>
          <w:lang w:val="en-GB"/>
        </w:rPr>
        <w:t>BK</w:t>
      </w:r>
      <w:r w:rsidR="007757DE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B16EE1" w:rsidRPr="00A75618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6052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>cilit</w:t>
      </w:r>
      <w:proofErr w:type="spellEnd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>llogaritet</w:t>
      </w:r>
      <w:proofErr w:type="spellEnd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>paguhet</w:t>
      </w:r>
      <w:proofErr w:type="spellEnd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0521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6052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>tatim</w:t>
      </w:r>
      <w:proofErr w:type="spellEnd"/>
      <w:r w:rsidR="006052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>fitimet</w:t>
      </w:r>
      <w:proofErr w:type="spellEnd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>tepërta</w:t>
      </w:r>
      <w:proofErr w:type="spellEnd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0521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052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05215">
        <w:rPr>
          <w:rFonts w:ascii="Times New Roman" w:hAnsi="Times New Roman" w:cs="Times New Roman"/>
          <w:sz w:val="24"/>
          <w:szCs w:val="24"/>
          <w:lang w:val="en-GB"/>
        </w:rPr>
        <w:t>tatuara</w:t>
      </w:r>
      <w:proofErr w:type="spellEnd"/>
      <w:r w:rsidR="00605215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605215">
        <w:rPr>
          <w:rFonts w:ascii="Times New Roman" w:hAnsi="Times New Roman" w:cs="Times New Roman"/>
          <w:sz w:val="24"/>
          <w:szCs w:val="24"/>
          <w:lang w:val="en-GB"/>
        </w:rPr>
        <w:t>normë</w:t>
      </w:r>
      <w:proofErr w:type="spellEnd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>ndodhen</w:t>
      </w:r>
      <w:proofErr w:type="spellEnd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>ligj</w:t>
      </w:r>
      <w:proofErr w:type="spellEnd"/>
      <w:r w:rsidR="00810905" w:rsidRPr="0081090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8109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6A3F1344" w14:textId="651A3560" w:rsidR="002B0B4A" w:rsidRPr="00CE4BE0" w:rsidRDefault="002B0B4A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0D2F67E" w14:textId="72D83E01" w:rsidR="002B0B4A" w:rsidRPr="00CE4BE0" w:rsidRDefault="00687CAD" w:rsidP="009D6646">
      <w:pPr>
        <w:pStyle w:val="Heading3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GB"/>
        </w:rPr>
        <w:t>Neni</w:t>
      </w:r>
      <w:r w:rsidR="00120B1B" w:rsidRPr="00CE4BE0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GB"/>
        </w:rPr>
        <w:t xml:space="preserve"> 2</w:t>
      </w:r>
      <w:r w:rsidR="00120B1B" w:rsidRPr="00CE4BE0">
        <w:rPr>
          <w:rFonts w:ascii="Times New Roman" w:hAnsi="Times New Roman" w:cs="Times New Roman"/>
          <w:color w:val="auto"/>
          <w:sz w:val="24"/>
          <w:szCs w:val="24"/>
          <w:lang w:val="en-GB"/>
        </w:rPr>
        <w:br/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GB"/>
        </w:rPr>
        <w:t>Qëllimi</w:t>
      </w:r>
      <w:proofErr w:type="spellEnd"/>
    </w:p>
    <w:p w14:paraId="10B94981" w14:textId="77777777" w:rsidR="00763178" w:rsidRDefault="00763178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B323F41" w14:textId="1BAEE2CD" w:rsidR="00A82693" w:rsidRDefault="00120B1B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1. </w:t>
      </w:r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Ky </w:t>
      </w:r>
      <w:proofErr w:type="spellStart"/>
      <w:r w:rsidR="00687CAD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igj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zbatohet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pjesë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>
        <w:rPr>
          <w:rFonts w:ascii="Times New Roman" w:hAnsi="Times New Roman" w:cs="Times New Roman"/>
          <w:sz w:val="24"/>
          <w:szCs w:val="24"/>
          <w:lang w:val="en-GB"/>
        </w:rPr>
        <w:t>shoqërie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cili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ardhura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vjetore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prej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750.000.000 euro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, duke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përfshirë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përjashtuar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referuar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3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pasqyrat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konsoliduara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paktën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dy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katër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vitet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fiskale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paraprijnë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testuar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C26DF6A" w14:textId="77777777" w:rsidR="001D6C10" w:rsidRPr="00CE4BE0" w:rsidRDefault="001D6C10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1AFFFC4" w14:textId="60E6C848" w:rsidR="00A82693" w:rsidRPr="00CE4BE0" w:rsidRDefault="00120B1B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2.</w:t>
      </w:r>
      <w:r w:rsid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Kur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katër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vitet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fiskale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referuara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1</w:t>
      </w:r>
      <w:r w:rsidR="00687CA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687CA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gjatë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shkurtër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dymbëdhjetë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(12)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muaj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pragu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rregullohet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mënyrë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proporcionale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secilin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prej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këtyre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viteve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fiskale</w:t>
      </w:r>
      <w:proofErr w:type="spellEnd"/>
      <w:r w:rsidR="009A71E7" w:rsidRPr="009A71E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B83DC81" w14:textId="77777777" w:rsidR="001D6C10" w:rsidRDefault="001D6C10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179239D" w14:textId="013594CD" w:rsidR="009A71E7" w:rsidRDefault="00120B1B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3. </w:t>
      </w:r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Ky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ligj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zbatohet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(“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përjashtuara</w:t>
      </w:r>
      <w:proofErr w:type="spellEnd"/>
      <w:r w:rsidR="00687CAD" w:rsidRPr="00687CAD">
        <w:rPr>
          <w:rFonts w:ascii="Times New Roman" w:hAnsi="Times New Roman" w:cs="Times New Roman"/>
          <w:sz w:val="24"/>
          <w:szCs w:val="24"/>
          <w:lang w:val="en-GB"/>
        </w:rPr>
        <w:t>”):</w:t>
      </w:r>
    </w:p>
    <w:p w14:paraId="3B0243A7" w14:textId="77777777" w:rsidR="001D6C10" w:rsidRDefault="001D6C10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5EC45AB" w14:textId="55906DC4" w:rsidR="009A71E7" w:rsidRPr="009A71E7" w:rsidRDefault="009A71E7" w:rsidP="009A71E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A71E7">
        <w:rPr>
          <w:rFonts w:ascii="Times New Roman" w:hAnsi="Times New Roman" w:cs="Times New Roman"/>
          <w:sz w:val="24"/>
          <w:szCs w:val="24"/>
          <w:lang w:val="en-GB"/>
        </w:rPr>
        <w:t>a)</w:t>
      </w:r>
      <w:r w:rsidR="008B2899" w:rsidRPr="008B2899"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qeveritar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organizatë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ndërkombëtare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organizatë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jofitimprurëse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fond pensioni,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fond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investimi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mjet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investimi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pasuri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paluajtshme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9A71E7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4398831" w14:textId="05886E49" w:rsidR="009A71E7" w:rsidRPr="009A71E7" w:rsidRDefault="009A71E7" w:rsidP="009A71E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A71E7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paktën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95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qind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vlerës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zotërohet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drejtpërdrejt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përmes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përjashtuara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entitete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referuara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shkronjën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“a”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paragrafi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përveç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shërbimeve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pensioneve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9A71E7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E2A75D2" w14:textId="3A9004A8" w:rsidR="009A71E7" w:rsidRPr="009A71E7" w:rsidRDefault="009A71E7" w:rsidP="009A71E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A71E7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r w:rsidRPr="009A71E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9A71E7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8B2899" w:rsidRPr="008B2899"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vepron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ekskluzivisht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pothuajse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ekskluzivisht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mbajtur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aktive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investuar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fonde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dobi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këtyre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</w:p>
    <w:p w14:paraId="3DF6F811" w14:textId="7BB95BC3" w:rsidR="009A71E7" w:rsidRPr="009A71E7" w:rsidRDefault="009A71E7" w:rsidP="009A71E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A71E7">
        <w:rPr>
          <w:rFonts w:ascii="Times New Roman" w:hAnsi="Times New Roman" w:cs="Times New Roman"/>
          <w:sz w:val="24"/>
          <w:szCs w:val="24"/>
          <w:lang w:val="en-GB"/>
        </w:rPr>
        <w:t xml:space="preserve">(ii)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kryen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vetëm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veprimtari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ndihmëse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ndaj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atyre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ushtrohen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këto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entitete</w:t>
      </w:r>
      <w:proofErr w:type="spellEnd"/>
      <w:r w:rsidR="008B2899" w:rsidRPr="008B289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840B573" w14:textId="19C15BE9" w:rsidR="00A82693" w:rsidRPr="00CE4BE0" w:rsidRDefault="009A71E7" w:rsidP="0001103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A71E7">
        <w:rPr>
          <w:rFonts w:ascii="Times New Roman" w:hAnsi="Times New Roman" w:cs="Times New Roman"/>
          <w:sz w:val="24"/>
          <w:szCs w:val="24"/>
          <w:lang w:val="en-GB"/>
        </w:rPr>
        <w:t xml:space="preserve">c)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paktën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85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qind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vlerës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zotërohet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drejtpërdrejt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përmes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përjashtuara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entitete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referuara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shkronjën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“a”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paragrafi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përveç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shërbimeve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pensioneve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kusht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pjesa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dërrmuese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rrjedhë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dividen</w:t>
      </w:r>
      <w:r w:rsidR="00CB24C6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ët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fitimet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apo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humbjet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kapitali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përjashtohen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llogaritja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me</w:t>
      </w:r>
      <w:r w:rsidR="0025367E" w:rsidRPr="0025367E">
        <w:t xml:space="preserve"> </w:t>
      </w:r>
      <w:r w:rsidR="0025367E" w:rsidRPr="0025367E">
        <w:rPr>
          <w:rFonts w:ascii="Times New Roman" w:hAnsi="Times New Roman" w:cs="Times New Roman"/>
          <w:sz w:val="24"/>
          <w:szCs w:val="24"/>
          <w:lang w:val="en-GB"/>
        </w:rPr>
        <w:t>"</w:t>
      </w:r>
      <w:proofErr w:type="spellStart"/>
      <w:r w:rsidR="0025367E" w:rsidRPr="0025367E">
        <w:rPr>
          <w:rFonts w:ascii="Times New Roman" w:hAnsi="Times New Roman" w:cs="Times New Roman"/>
          <w:sz w:val="24"/>
          <w:szCs w:val="24"/>
          <w:lang w:val="en-GB"/>
        </w:rPr>
        <w:t>shkronjat</w:t>
      </w:r>
      <w:proofErr w:type="spellEnd"/>
      <w:r w:rsidR="0025367E" w:rsidRPr="0025367E">
        <w:rPr>
          <w:rFonts w:ascii="Times New Roman" w:hAnsi="Times New Roman" w:cs="Times New Roman"/>
          <w:sz w:val="24"/>
          <w:szCs w:val="24"/>
          <w:lang w:val="en-GB"/>
        </w:rPr>
        <w:t xml:space="preserve"> ‘b’ </w:t>
      </w:r>
      <w:proofErr w:type="spellStart"/>
      <w:r w:rsidR="0025367E" w:rsidRPr="0025367E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25367E" w:rsidRPr="0025367E">
        <w:rPr>
          <w:rFonts w:ascii="Times New Roman" w:hAnsi="Times New Roman" w:cs="Times New Roman"/>
          <w:sz w:val="24"/>
          <w:szCs w:val="24"/>
          <w:lang w:val="en-GB"/>
        </w:rPr>
        <w:t xml:space="preserve"> ‘c’ </w:t>
      </w:r>
      <w:proofErr w:type="spellStart"/>
      <w:r w:rsidR="0025367E" w:rsidRPr="0025367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5367E" w:rsidRPr="002536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5367E" w:rsidRPr="0025367E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="0025367E" w:rsidRPr="0025367E">
        <w:rPr>
          <w:rFonts w:ascii="Times New Roman" w:hAnsi="Times New Roman" w:cs="Times New Roman"/>
          <w:sz w:val="24"/>
          <w:szCs w:val="24"/>
          <w:lang w:val="en-GB"/>
        </w:rPr>
        <w:t xml:space="preserve"> 1</w:t>
      </w:r>
      <w:r w:rsidR="0025367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5367E" w:rsidRPr="0025367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536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neni</w:t>
      </w:r>
      <w:r w:rsidR="0025367E">
        <w:rPr>
          <w:rFonts w:ascii="Times New Roman" w:hAnsi="Times New Roman" w:cs="Times New Roman"/>
          <w:sz w:val="24"/>
          <w:szCs w:val="24"/>
          <w:lang w:val="en-GB"/>
        </w:rPr>
        <w:t>t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15</w:t>
      </w:r>
      <w:r w:rsidR="006574E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574E3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="00CB24C6" w:rsidRPr="00CB24C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04AFBB5" w14:textId="77777777" w:rsidR="001D6C10" w:rsidRDefault="001D6C10" w:rsidP="004D76A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846F906" w14:textId="63309BCD" w:rsidR="002B0B4A" w:rsidRPr="00CE4BE0" w:rsidRDefault="00120B1B" w:rsidP="004D76A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4.</w:t>
      </w:r>
      <w:r w:rsidR="00CB2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 xml:space="preserve">Me </w:t>
      </w:r>
      <w:proofErr w:type="spellStart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>përjashtim</w:t>
      </w:r>
      <w:proofErr w:type="spellEnd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 xml:space="preserve"> 3, </w:t>
      </w:r>
      <w:proofErr w:type="spellStart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>dorëzon</w:t>
      </w:r>
      <w:proofErr w:type="spellEnd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>deklaratën</w:t>
      </w:r>
      <w:proofErr w:type="spellEnd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>mund</w:t>
      </w:r>
      <w:proofErr w:type="spellEnd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>zgjedhë</w:t>
      </w:r>
      <w:proofErr w:type="spellEnd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 xml:space="preserve"> 1, </w:t>
      </w:r>
      <w:proofErr w:type="spellStart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 xml:space="preserve"> 55 </w:t>
      </w:r>
      <w:proofErr w:type="spellStart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>mos</w:t>
      </w:r>
      <w:proofErr w:type="spellEnd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>trajtojë</w:t>
      </w:r>
      <w:proofErr w:type="spellEnd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>referuar</w:t>
      </w:r>
      <w:proofErr w:type="spellEnd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>shkronjat</w:t>
      </w:r>
      <w:proofErr w:type="spellEnd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 xml:space="preserve"> “b” </w:t>
      </w:r>
      <w:proofErr w:type="spellStart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 xml:space="preserve"> “c” </w:t>
      </w:r>
      <w:proofErr w:type="spellStart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 xml:space="preserve"> 3, </w:t>
      </w:r>
      <w:proofErr w:type="spellStart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>përjashtuar</w:t>
      </w:r>
      <w:proofErr w:type="spellEnd"/>
      <w:r w:rsidR="00C26938" w:rsidRPr="00C2693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2BDF18B" w14:textId="77777777" w:rsidR="00A82693" w:rsidRPr="00CE4BE0" w:rsidRDefault="00A82693" w:rsidP="00A8269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BE3185A" w14:textId="4AE51726" w:rsidR="0045377F" w:rsidRPr="00CE4BE0" w:rsidRDefault="005931B0" w:rsidP="00A8269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Neni</w:t>
      </w:r>
      <w:r w:rsidR="00C6492F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 3</w:t>
      </w:r>
    </w:p>
    <w:p w14:paraId="1FD2D925" w14:textId="08A98DE1" w:rsidR="00A82693" w:rsidRDefault="00FB6A6C" w:rsidP="00A8269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CE4BE0">
        <w:rPr>
          <w:rFonts w:ascii="Times New Roman" w:hAnsi="Times New Roman" w:cs="Times New Roman"/>
          <w:b/>
          <w:bCs/>
          <w:sz w:val="24"/>
          <w:szCs w:val="24"/>
          <w:lang w:val="en-GB"/>
        </w:rPr>
        <w:t>M</w:t>
      </w:r>
      <w:r w:rsidR="005931B0">
        <w:rPr>
          <w:rFonts w:ascii="Times New Roman" w:hAnsi="Times New Roman" w:cs="Times New Roman"/>
          <w:b/>
          <w:bCs/>
          <w:sz w:val="24"/>
          <w:szCs w:val="24"/>
          <w:lang w:val="en-GB"/>
        </w:rPr>
        <w:t>asat</w:t>
      </w:r>
      <w:proofErr w:type="spellEnd"/>
      <w:r w:rsidR="005931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5931B0">
        <w:rPr>
          <w:rFonts w:ascii="Times New Roman" w:hAnsi="Times New Roman" w:cs="Times New Roman"/>
          <w:b/>
          <w:bCs/>
          <w:sz w:val="24"/>
          <w:szCs w:val="24"/>
          <w:lang w:val="en-GB"/>
        </w:rPr>
        <w:t>që</w:t>
      </w:r>
      <w:proofErr w:type="spellEnd"/>
      <w:r w:rsidR="005931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5931B0">
        <w:rPr>
          <w:rFonts w:ascii="Times New Roman" w:hAnsi="Times New Roman" w:cs="Times New Roman"/>
          <w:b/>
          <w:bCs/>
          <w:sz w:val="24"/>
          <w:szCs w:val="24"/>
          <w:lang w:val="en-GB"/>
        </w:rPr>
        <w:t>sigurojnë</w:t>
      </w:r>
      <w:proofErr w:type="spellEnd"/>
      <w:r w:rsidR="005931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5931B0">
        <w:rPr>
          <w:rFonts w:ascii="Times New Roman" w:hAnsi="Times New Roman" w:cs="Times New Roman"/>
          <w:b/>
          <w:bCs/>
          <w:sz w:val="24"/>
          <w:szCs w:val="24"/>
          <w:lang w:val="en-GB"/>
        </w:rPr>
        <w:t>tatimin</w:t>
      </w:r>
      <w:proofErr w:type="spellEnd"/>
      <w:r w:rsidR="005931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minimal</w:t>
      </w:r>
    </w:p>
    <w:p w14:paraId="562D98D3" w14:textId="77777777" w:rsidR="005931B0" w:rsidRPr="00CE4BE0" w:rsidRDefault="005931B0" w:rsidP="00A8269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19720E3" w14:textId="232AABD4" w:rsidR="0016699B" w:rsidRPr="0016699B" w:rsidRDefault="005931B0" w:rsidP="0016699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931B0">
        <w:rPr>
          <w:rFonts w:ascii="Times New Roman" w:hAnsi="Times New Roman" w:cs="Times New Roman"/>
          <w:sz w:val="24"/>
          <w:szCs w:val="24"/>
          <w:lang w:val="en-GB"/>
        </w:rPr>
        <w:lastRenderedPageBreak/>
        <w:t>Masat</w:t>
      </w:r>
      <w:proofErr w:type="spellEnd"/>
      <w:r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931B0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31B0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31B0">
        <w:rPr>
          <w:rFonts w:ascii="Times New Roman" w:hAnsi="Times New Roman" w:cs="Times New Roman"/>
          <w:sz w:val="24"/>
          <w:szCs w:val="24"/>
          <w:lang w:val="en-GB"/>
        </w:rPr>
        <w:t>detyrimet</w:t>
      </w:r>
      <w:proofErr w:type="spellEnd"/>
      <w:r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31B0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31B0">
        <w:rPr>
          <w:rFonts w:ascii="Times New Roman" w:hAnsi="Times New Roman" w:cs="Times New Roman"/>
          <w:sz w:val="24"/>
          <w:szCs w:val="24"/>
          <w:lang w:val="en-GB"/>
        </w:rPr>
        <w:t>përkatëse</w:t>
      </w:r>
      <w:proofErr w:type="spellEnd"/>
      <w:r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31B0">
        <w:rPr>
          <w:rFonts w:ascii="Times New Roman" w:hAnsi="Times New Roman" w:cs="Times New Roman"/>
          <w:sz w:val="24"/>
          <w:szCs w:val="24"/>
          <w:lang w:val="en-GB"/>
        </w:rPr>
        <w:t>zbatohen</w:t>
      </w:r>
      <w:proofErr w:type="spellEnd"/>
      <w:r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31B0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31B0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31B0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31B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31B0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31B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31B0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931B0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31B0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31B0">
        <w:rPr>
          <w:rFonts w:ascii="Times New Roman" w:hAnsi="Times New Roman" w:cs="Times New Roman"/>
          <w:sz w:val="24"/>
          <w:szCs w:val="24"/>
          <w:lang w:val="en-GB"/>
        </w:rPr>
        <w:t>përfshihen</w:t>
      </w:r>
      <w:proofErr w:type="spellEnd"/>
      <w:r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31B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31B0">
        <w:rPr>
          <w:rFonts w:ascii="Times New Roman" w:hAnsi="Times New Roman" w:cs="Times New Roman"/>
          <w:sz w:val="24"/>
          <w:szCs w:val="24"/>
          <w:lang w:val="en-GB"/>
        </w:rPr>
        <w:t>fushën</w:t>
      </w:r>
      <w:proofErr w:type="spellEnd"/>
      <w:r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931B0">
        <w:rPr>
          <w:rFonts w:ascii="Times New Roman" w:hAnsi="Times New Roman" w:cs="Times New Roman"/>
          <w:sz w:val="24"/>
          <w:szCs w:val="24"/>
          <w:lang w:val="en-GB"/>
        </w:rPr>
        <w:t>zbatimit</w:t>
      </w:r>
      <w:proofErr w:type="spellEnd"/>
      <w:r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31B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31B0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A4CA2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5931B0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5931B0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DD58DBD" w14:textId="77777777" w:rsidR="0016699B" w:rsidRPr="0016699B" w:rsidRDefault="0016699B" w:rsidP="0016699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4AB6D72" w14:textId="6481722B" w:rsidR="0016699B" w:rsidRPr="0016699B" w:rsidRDefault="0016699B" w:rsidP="0016699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6699B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="00C82E32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="00C82E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57D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051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132A">
        <w:rPr>
          <w:rFonts w:ascii="Times New Roman" w:hAnsi="Times New Roman" w:cs="Times New Roman"/>
          <w:sz w:val="24"/>
          <w:szCs w:val="24"/>
          <w:lang w:val="en-GB"/>
        </w:rPr>
        <w:t>brendsh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05132A">
        <w:rPr>
          <w:rFonts w:ascii="Times New Roman" w:hAnsi="Times New Roman" w:cs="Times New Roman"/>
          <w:sz w:val="24"/>
          <w:szCs w:val="24"/>
          <w:lang w:val="en-GB"/>
        </w:rPr>
        <w:t>m</w:t>
      </w:r>
      <w:proofErr w:type="spellEnd"/>
      <w:r w:rsidR="00051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2E32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051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7757D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57DE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931B0" w:rsidRPr="0005132A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05132A" w:rsidRPr="0005132A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05132A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05132A" w:rsidRPr="0005132A">
        <w:rPr>
          <w:rFonts w:ascii="Times New Roman" w:hAnsi="Times New Roman" w:cs="Times New Roman"/>
          <w:sz w:val="24"/>
          <w:szCs w:val="24"/>
          <w:lang w:val="en-GB"/>
        </w:rPr>
        <w:t>BK</w:t>
      </w:r>
      <w:r w:rsidR="007757DE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5931B0" w:rsidRPr="0005132A">
        <w:rPr>
          <w:rFonts w:ascii="Times New Roman" w:hAnsi="Times New Roman" w:cs="Times New Roman"/>
          <w:sz w:val="24"/>
          <w:szCs w:val="24"/>
          <w:lang w:val="en-GB"/>
        </w:rPr>
        <w:t>),</w:t>
      </w:r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>cilit</w:t>
      </w:r>
      <w:proofErr w:type="spellEnd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2E32" w:rsidRPr="00C82E3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82E32" w:rsidRPr="00C82E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2E32" w:rsidRPr="00C82E32">
        <w:rPr>
          <w:rFonts w:ascii="Times New Roman" w:hAnsi="Times New Roman" w:cs="Times New Roman"/>
          <w:sz w:val="24"/>
          <w:szCs w:val="24"/>
          <w:lang w:val="en-GB"/>
        </w:rPr>
        <w:t>tatueshme</w:t>
      </w:r>
      <w:proofErr w:type="spellEnd"/>
      <w:r w:rsidR="00C82E32" w:rsidRPr="00C82E32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C82E32" w:rsidRPr="00C82E32">
        <w:rPr>
          <w:rFonts w:ascii="Times New Roman" w:hAnsi="Times New Roman" w:cs="Times New Roman"/>
          <w:sz w:val="24"/>
          <w:szCs w:val="24"/>
          <w:lang w:val="en-GB"/>
        </w:rPr>
        <w:t>normë</w:t>
      </w:r>
      <w:proofErr w:type="spellEnd"/>
      <w:r w:rsidR="00C82E32" w:rsidRPr="00C82E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2E32" w:rsidRPr="00C82E3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82E32" w:rsidRPr="00C82E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2E32" w:rsidRPr="00C82E32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="00C82E3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>përfshihen</w:t>
      </w:r>
      <w:proofErr w:type="spellEnd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>fushën</w:t>
      </w:r>
      <w:proofErr w:type="spellEnd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>zbatimit</w:t>
      </w:r>
      <w:proofErr w:type="spellEnd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>llogarisin</w:t>
      </w:r>
      <w:proofErr w:type="spellEnd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>paguajnë</w:t>
      </w:r>
      <w:proofErr w:type="spellEnd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2E3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82E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2E32">
        <w:rPr>
          <w:rFonts w:ascii="Times New Roman" w:hAnsi="Times New Roman" w:cs="Times New Roman"/>
          <w:sz w:val="24"/>
          <w:szCs w:val="24"/>
          <w:lang w:val="en-GB"/>
        </w:rPr>
        <w:t>brendshëm</w:t>
      </w:r>
      <w:proofErr w:type="spellEnd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>fitimet</w:t>
      </w:r>
      <w:proofErr w:type="spellEnd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e tyre </w:t>
      </w:r>
      <w:proofErr w:type="spellStart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>tepërta</w:t>
      </w:r>
      <w:proofErr w:type="spellEnd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>dispozitat</w:t>
      </w:r>
      <w:proofErr w:type="spellEnd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e Kreut VIII </w:t>
      </w:r>
      <w:proofErr w:type="spellStart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="005931B0" w:rsidRPr="005931B0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F926377" w14:textId="6456A79D" w:rsidR="0016699B" w:rsidRPr="0016699B" w:rsidRDefault="0016699B" w:rsidP="0016699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6699B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rregull</w:t>
      </w:r>
      <w:r w:rsidR="0005132A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përfshirjen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667C0" w:rsidRPr="002667C0">
        <w:rPr>
          <w:rFonts w:ascii="Times New Roman" w:hAnsi="Times New Roman" w:cs="Times New Roman"/>
          <w:sz w:val="24"/>
          <w:szCs w:val="24"/>
          <w:lang w:val="en-GB"/>
        </w:rPr>
        <w:t>RPA</w:t>
      </w:r>
      <w:r w:rsidR="00385A7F" w:rsidRPr="002667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cilit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përfshihet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fushën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zbatimit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llogarit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paguan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pjesën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alokueshme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tatohen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normë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dispozitat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e Kreut II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="00385A7F" w:rsidRPr="00385A7F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E6A041B" w14:textId="02A29962" w:rsidR="0045377F" w:rsidRPr="00CE4BE0" w:rsidRDefault="0016699B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6699B">
        <w:rPr>
          <w:rFonts w:ascii="Times New Roman" w:hAnsi="Times New Roman" w:cs="Times New Roman"/>
          <w:sz w:val="24"/>
          <w:szCs w:val="24"/>
          <w:lang w:val="en-GB"/>
        </w:rPr>
        <w:t xml:space="preserve">c)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rregull</w:t>
      </w:r>
      <w:r w:rsidR="0005132A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fitimin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nëntat</w:t>
      </w:r>
      <w:r w:rsidR="00D87055">
        <w:rPr>
          <w:rFonts w:ascii="Times New Roman" w:hAnsi="Times New Roman" w:cs="Times New Roman"/>
          <w:sz w:val="24"/>
          <w:szCs w:val="24"/>
          <w:lang w:val="en-GB"/>
        </w:rPr>
        <w:t>uar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87055" w:rsidRPr="006F3EC4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6F3EC4" w:rsidRPr="006F3EC4">
        <w:rPr>
          <w:rFonts w:ascii="Times New Roman" w:hAnsi="Times New Roman" w:cs="Times New Roman"/>
          <w:sz w:val="24"/>
          <w:szCs w:val="24"/>
          <w:lang w:val="en-GB"/>
        </w:rPr>
        <w:t>RFN</w:t>
      </w:r>
      <w:r w:rsidR="00D87055" w:rsidRPr="006F3EC4">
        <w:rPr>
          <w:rFonts w:ascii="Times New Roman" w:hAnsi="Times New Roman" w:cs="Times New Roman"/>
          <w:sz w:val="24"/>
          <w:szCs w:val="24"/>
          <w:lang w:val="en-GB"/>
        </w:rPr>
        <w:t>),</w:t>
      </w:r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cilit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përfshihet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fushën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zbatimit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shpenzimi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para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gatshme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pjesën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rregullit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667C0">
        <w:rPr>
          <w:rFonts w:ascii="Times New Roman" w:hAnsi="Times New Roman" w:cs="Times New Roman"/>
          <w:sz w:val="24"/>
          <w:szCs w:val="24"/>
          <w:lang w:val="en-GB"/>
        </w:rPr>
        <w:t>RPA</w:t>
      </w:r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tatohen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normë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dispozitat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e Kreut II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50DE172" w14:textId="77777777" w:rsidR="0045377F" w:rsidRPr="00CE4BE0" w:rsidRDefault="0045377F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5CC05F7" w14:textId="05CC455E" w:rsidR="002B0B4A" w:rsidRPr="00CE4BE0" w:rsidRDefault="00D87055" w:rsidP="00B91D68">
      <w:pPr>
        <w:pStyle w:val="Heading3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GB"/>
        </w:rPr>
        <w:t>Neni</w:t>
      </w:r>
      <w:r w:rsidR="00120B1B" w:rsidRPr="00CE4BE0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GB"/>
        </w:rPr>
        <w:t xml:space="preserve"> </w:t>
      </w:r>
      <w:r w:rsidR="00C6492F" w:rsidRPr="00CE4BE0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GB"/>
        </w:rPr>
        <w:t>4</w:t>
      </w:r>
      <w:r w:rsidR="00120B1B" w:rsidRPr="00CE4BE0">
        <w:rPr>
          <w:rFonts w:ascii="Times New Roman" w:hAnsi="Times New Roman" w:cs="Times New Roman"/>
          <w:color w:val="auto"/>
          <w:sz w:val="24"/>
          <w:szCs w:val="24"/>
          <w:lang w:val="en-GB"/>
        </w:rPr>
        <w:br/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GB"/>
        </w:rPr>
        <w:t>Përkufizime</w:t>
      </w:r>
      <w:proofErr w:type="spellEnd"/>
    </w:p>
    <w:p w14:paraId="3B1249C8" w14:textId="77777777" w:rsidR="006E73A8" w:rsidRPr="00CE4BE0" w:rsidRDefault="006E73A8" w:rsidP="006E73A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0BB0879" w14:textId="7C3E6043" w:rsidR="00E91EA9" w:rsidRDefault="00D87055" w:rsidP="006E73A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87055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055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D87055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055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87055">
        <w:rPr>
          <w:rFonts w:ascii="Times New Roman" w:hAnsi="Times New Roman" w:cs="Times New Roman"/>
          <w:sz w:val="24"/>
          <w:szCs w:val="24"/>
          <w:lang w:val="en-GB"/>
        </w:rPr>
        <w:t>termat</w:t>
      </w:r>
      <w:proofErr w:type="spellEnd"/>
      <w:r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D87055">
        <w:rPr>
          <w:rFonts w:ascii="Times New Roman" w:hAnsi="Times New Roman" w:cs="Times New Roman"/>
          <w:sz w:val="24"/>
          <w:szCs w:val="24"/>
          <w:lang w:val="en-GB"/>
        </w:rPr>
        <w:t>mëposhtëm</w:t>
      </w:r>
      <w:proofErr w:type="spellEnd"/>
      <w:r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055">
        <w:rPr>
          <w:rFonts w:ascii="Times New Roman" w:hAnsi="Times New Roman" w:cs="Times New Roman"/>
          <w:sz w:val="24"/>
          <w:szCs w:val="24"/>
          <w:lang w:val="en-GB"/>
        </w:rPr>
        <w:t>kanë</w:t>
      </w:r>
      <w:proofErr w:type="spellEnd"/>
      <w:r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055">
        <w:rPr>
          <w:rFonts w:ascii="Times New Roman" w:hAnsi="Times New Roman" w:cs="Times New Roman"/>
          <w:sz w:val="24"/>
          <w:szCs w:val="24"/>
          <w:lang w:val="en-GB"/>
        </w:rPr>
        <w:t>kuptimet</w:t>
      </w:r>
      <w:proofErr w:type="spellEnd"/>
      <w:r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D87055">
        <w:rPr>
          <w:rFonts w:ascii="Times New Roman" w:hAnsi="Times New Roman" w:cs="Times New Roman"/>
          <w:sz w:val="24"/>
          <w:szCs w:val="24"/>
          <w:lang w:val="en-GB"/>
        </w:rPr>
        <w:t>përcaktuara</w:t>
      </w:r>
      <w:proofErr w:type="spellEnd"/>
      <w:r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055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055">
        <w:rPr>
          <w:rFonts w:ascii="Times New Roman" w:hAnsi="Times New Roman" w:cs="Times New Roman"/>
          <w:sz w:val="24"/>
          <w:szCs w:val="24"/>
          <w:lang w:val="en-GB"/>
        </w:rPr>
        <w:t>poshtë</w:t>
      </w:r>
      <w:proofErr w:type="spellEnd"/>
      <w:r w:rsidRPr="00D87055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3AD7A254" w14:textId="315913A6" w:rsidR="00B046F4" w:rsidRPr="00CE4BE0" w:rsidRDefault="00120B1B" w:rsidP="006E73A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br/>
      </w:r>
      <w:r w:rsidR="003909FF" w:rsidRPr="00CE4BE0">
        <w:rPr>
          <w:rFonts w:ascii="Times New Roman" w:hAnsi="Times New Roman" w:cs="Times New Roman"/>
          <w:sz w:val="24"/>
          <w:szCs w:val="24"/>
          <w:lang w:val="en-GB"/>
        </w:rPr>
        <w:t>1</w:t>
      </w: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r w:rsidR="00B41F14">
        <w:rPr>
          <w:rFonts w:ascii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 w:rsidR="00B41F1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B41F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1F14">
        <w:rPr>
          <w:rFonts w:ascii="Times New Roman" w:hAnsi="Times New Roman" w:cs="Times New Roman"/>
          <w:sz w:val="24"/>
          <w:szCs w:val="24"/>
          <w:lang w:val="en-GB"/>
        </w:rPr>
        <w:t>thotë</w:t>
      </w:r>
      <w:proofErr w:type="spellEnd"/>
      <w:r w:rsidR="00B41F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person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juridik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marrëveshje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juridike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përgatit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pasqyra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veçanta</w:t>
      </w:r>
      <w:proofErr w:type="spellEnd"/>
      <w:r w:rsidR="006B5A8B" w:rsidRPr="006B5A8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018F30B" w14:textId="77777777" w:rsidR="00E91EA9" w:rsidRDefault="00E91EA9" w:rsidP="006E73A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F9FF839" w14:textId="5EBBCCBD" w:rsidR="00B046F4" w:rsidRPr="00CE4BE0" w:rsidRDefault="003909FF" w:rsidP="00D87055">
      <w:pPr>
        <w:shd w:val="clear" w:color="auto" w:fill="FFFFFF"/>
        <w:tabs>
          <w:tab w:val="left" w:pos="180"/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120B1B" w:rsidRPr="00CE4BE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“Entitet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r w:rsidR="00F32950">
        <w:rPr>
          <w:rFonts w:ascii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 w:rsidR="00F3295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329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32950">
        <w:rPr>
          <w:rFonts w:ascii="Times New Roman" w:hAnsi="Times New Roman" w:cs="Times New Roman"/>
          <w:sz w:val="24"/>
          <w:szCs w:val="24"/>
          <w:lang w:val="en-GB"/>
        </w:rPr>
        <w:t>thotë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pjesë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>
        <w:rPr>
          <w:rFonts w:ascii="Times New Roman" w:hAnsi="Times New Roman" w:cs="Times New Roman"/>
          <w:sz w:val="24"/>
          <w:szCs w:val="24"/>
          <w:lang w:val="en-GB"/>
        </w:rPr>
        <w:t>shoqërie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32950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4D009D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D87055" w:rsidRPr="004D00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4D009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87055" w:rsidRPr="004D00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4D009D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="00D87055" w:rsidRPr="004D00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4D009D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, duke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përfshirë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seli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D87055" w:rsidRPr="00D8705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F5DA4E4" w14:textId="77777777" w:rsidR="00E91EA9" w:rsidRDefault="00E91EA9" w:rsidP="004A60B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1AE2D68" w14:textId="303A67D6" w:rsidR="00393C3F" w:rsidRDefault="00120B1B" w:rsidP="004A60B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3. </w:t>
      </w:r>
      <w:r w:rsidR="00330920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="00393C3F" w:rsidRPr="00CE4BE0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="00330920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="00393C3F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F5A40">
        <w:rPr>
          <w:rFonts w:ascii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 w:rsidR="008F5A4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>
        <w:rPr>
          <w:rFonts w:ascii="Times New Roman" w:hAnsi="Times New Roman" w:cs="Times New Roman"/>
          <w:sz w:val="24"/>
          <w:szCs w:val="24"/>
          <w:lang w:val="en-GB"/>
        </w:rPr>
        <w:t>thotë</w:t>
      </w:r>
      <w:proofErr w:type="spellEnd"/>
      <w:r w:rsidR="00393C3F" w:rsidRPr="00CE4BE0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0BC583AA" w14:textId="77777777" w:rsidR="00C86323" w:rsidRPr="00CE4BE0" w:rsidRDefault="00C86323" w:rsidP="004A60B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0F7A2E2" w14:textId="59E81D2D" w:rsidR="00A31A0A" w:rsidRPr="00A31A0A" w:rsidRDefault="00A31A0A" w:rsidP="00A31A0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31A0A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koleksion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entitetesh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lidhura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përmes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pronësisë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kontrollit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siç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përcaktohet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standardi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pranueshëm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kontabilitetit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financiar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përgatitjen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pasqyrave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konsoliduara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, duke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përfshirë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mund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jetë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përjashtuar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pasqyrat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konsoliduara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vetëm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shkak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>
        <w:rPr>
          <w:rFonts w:ascii="Times New Roman" w:hAnsi="Times New Roman" w:cs="Times New Roman"/>
          <w:sz w:val="24"/>
          <w:szCs w:val="24"/>
          <w:lang w:val="en-GB"/>
        </w:rPr>
        <w:t>përmasës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vogël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arsye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materialiteti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shkak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mbahet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shitje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</w:p>
    <w:p w14:paraId="1BDD255D" w14:textId="11396EA5" w:rsidR="00B046F4" w:rsidRPr="00CE4BE0" w:rsidRDefault="00A31A0A" w:rsidP="004A60B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31A0A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seli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kusht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mos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jetë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pjesë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tjetër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siç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përcaktohet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shkronjën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“a”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paragrafi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7033AE6" w14:textId="77777777" w:rsidR="00E91EA9" w:rsidRDefault="00E91EA9" w:rsidP="004A60B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B0B1BEE" w14:textId="08E4167B" w:rsidR="00B046F4" w:rsidRPr="00CE4BE0" w:rsidRDefault="00120B1B" w:rsidP="004A60B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4. </w:t>
      </w:r>
      <w:r w:rsidR="008F5A40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>
        <w:rPr>
          <w:rFonts w:ascii="Times New Roman" w:hAnsi="Times New Roman" w:cs="Times New Roman"/>
          <w:sz w:val="24"/>
          <w:szCs w:val="24"/>
          <w:lang w:val="en-GB"/>
        </w:rPr>
        <w:t>shoqërie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r w:rsidR="008F5A40">
        <w:rPr>
          <w:rFonts w:ascii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 w:rsidR="008F5A4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>
        <w:rPr>
          <w:rFonts w:ascii="Times New Roman" w:hAnsi="Times New Roman" w:cs="Times New Roman"/>
          <w:sz w:val="24"/>
          <w:szCs w:val="24"/>
          <w:lang w:val="en-GB"/>
        </w:rPr>
        <w:t>thotë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përfshin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paktën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seli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ndodhet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8F5A4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FCF3315" w14:textId="77777777" w:rsidR="00E91EA9" w:rsidRDefault="00E91EA9" w:rsidP="004A60B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9826231" w14:textId="36E145DE" w:rsidR="00B4534F" w:rsidRDefault="00120B1B" w:rsidP="004A60B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5. </w:t>
      </w:r>
      <w:r w:rsidR="00330920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="008F5A40" w:rsidRPr="004D009D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="008F5A40" w:rsidRPr="004D00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4D009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8F5A40" w:rsidRPr="004D00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4D009D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="008F5A40" w:rsidRPr="004D00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4D009D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="00330920" w:rsidRPr="004D009D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="00C33E21" w:rsidRPr="00C33E2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F5A40">
        <w:rPr>
          <w:rFonts w:ascii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 w:rsidR="008F5A4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>
        <w:rPr>
          <w:rFonts w:ascii="Times New Roman" w:hAnsi="Times New Roman" w:cs="Times New Roman"/>
          <w:sz w:val="24"/>
          <w:szCs w:val="24"/>
          <w:lang w:val="en-GB"/>
        </w:rPr>
        <w:t>thotë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="008F5A40" w:rsidRPr="008F5A4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10560EC" w14:textId="77777777" w:rsidR="00D655C5" w:rsidRPr="00CE4BE0" w:rsidRDefault="00D655C5" w:rsidP="004A60B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70F584B" w14:textId="7DEAF439" w:rsidR="00C33E21" w:rsidRDefault="00BF7542" w:rsidP="00BF754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6. </w:t>
      </w:r>
      <w:r w:rsidR="00330920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Pasqyra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konsoliduara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r w:rsidR="00F97687">
        <w:rPr>
          <w:rFonts w:ascii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 w:rsidR="00F9768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>
        <w:rPr>
          <w:rFonts w:ascii="Times New Roman" w:hAnsi="Times New Roman" w:cs="Times New Roman"/>
          <w:sz w:val="24"/>
          <w:szCs w:val="24"/>
          <w:lang w:val="en-GB"/>
        </w:rPr>
        <w:t>thotë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F97687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</w:p>
    <w:p w14:paraId="2959A9EF" w14:textId="01E1E5EA" w:rsidR="00BF7542" w:rsidRPr="00CE4BE0" w:rsidRDefault="00BF7542" w:rsidP="00BF754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82254C2" w14:textId="5314AFCC" w:rsidR="00C33E21" w:rsidRPr="00C33E21" w:rsidRDefault="00C33E21" w:rsidP="00C33E21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33E21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pasqyrat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përgatitura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standard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pranueshëm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kontabilitetit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financiar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cilat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aktivet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detyrimet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shpenzimet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flukset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monetare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atij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ai ka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interes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kontrollues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paraqiten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ato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njësie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vetme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ekonomike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81A5051" w14:textId="42EAB0F6" w:rsidR="00C33E21" w:rsidRPr="00C33E21" w:rsidRDefault="00C33E21" w:rsidP="00C33E21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33E21">
        <w:rPr>
          <w:rFonts w:ascii="Times New Roman" w:hAnsi="Times New Roman" w:cs="Times New Roman"/>
          <w:sz w:val="24"/>
          <w:szCs w:val="24"/>
          <w:lang w:val="en-GB"/>
        </w:rPr>
        <w:t>b)</w:t>
      </w:r>
      <w:r w:rsid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grupet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përcaktuara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shkronjën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“b”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3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pasqyrat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përgatitura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standard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pranueshëm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kontabilitetit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financiar</w:t>
      </w:r>
      <w:proofErr w:type="spellEnd"/>
      <w:r w:rsidRPr="00C33E2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4883C52" w14:textId="37484DCC" w:rsidR="00C33E21" w:rsidRPr="00C33E21" w:rsidRDefault="00C33E21" w:rsidP="00C33E21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33E21">
        <w:rPr>
          <w:rFonts w:ascii="Times New Roman" w:hAnsi="Times New Roman" w:cs="Times New Roman"/>
          <w:sz w:val="24"/>
          <w:szCs w:val="24"/>
          <w:lang w:val="en-GB"/>
        </w:rPr>
        <w:t xml:space="preserve">c)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pasqyrat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përgatitur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standard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pranueshëm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kontabilitetit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financiar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rregulluar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pas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parandaluar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5618" w:rsidRPr="009B2DB7">
        <w:rPr>
          <w:rFonts w:ascii="Times New Roman" w:hAnsi="Times New Roman" w:cs="Times New Roman"/>
          <w:sz w:val="24"/>
          <w:szCs w:val="24"/>
          <w:lang w:val="en-GB"/>
        </w:rPr>
        <w:t>dëmtim</w:t>
      </w:r>
      <w:proofErr w:type="spellEnd"/>
      <w:r w:rsidR="00F97687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90D17" w:rsidRPr="009B2DB7">
        <w:rPr>
          <w:rFonts w:ascii="Times New Roman" w:hAnsi="Times New Roman" w:cs="Times New Roman"/>
          <w:sz w:val="24"/>
          <w:szCs w:val="24"/>
          <w:lang w:val="en-GB"/>
        </w:rPr>
        <w:t>material</w:t>
      </w:r>
      <w:r w:rsidR="00A75618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5618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75618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9B2DB7">
        <w:rPr>
          <w:rFonts w:ascii="Times New Roman" w:hAnsi="Times New Roman" w:cs="Times New Roman"/>
          <w:sz w:val="24"/>
          <w:szCs w:val="24"/>
          <w:lang w:val="en-GB"/>
        </w:rPr>
        <w:t>konkurrencës</w:t>
      </w:r>
      <w:proofErr w:type="spellEnd"/>
      <w:r w:rsidR="00F97687" w:rsidRPr="009B2DB7">
        <w:rPr>
          <w:rFonts w:ascii="Times New Roman" w:hAnsi="Times New Roman" w:cs="Times New Roman"/>
          <w:sz w:val="24"/>
          <w:szCs w:val="24"/>
          <w:lang w:val="en-GB"/>
        </w:rPr>
        <w:t>;</w:t>
      </w:r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7687" w:rsidRPr="00F97687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197EEA3C" w14:textId="40939F90" w:rsidR="00C33E21" w:rsidRPr="00C33E21" w:rsidRDefault="00C33E21" w:rsidP="00C33E21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33E21">
        <w:rPr>
          <w:rFonts w:ascii="Times New Roman" w:hAnsi="Times New Roman" w:cs="Times New Roman"/>
          <w:sz w:val="24"/>
          <w:szCs w:val="24"/>
          <w:lang w:val="en-GB"/>
        </w:rPr>
        <w:t xml:space="preserve">d)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përgatit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pasqyra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siç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përcaktohet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shkronjat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“a”, “b”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“c”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paragrafi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pasqyrat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ishin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përgatitur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ishte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detyruar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t’i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përgatiste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ato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me:</w:t>
      </w:r>
    </w:p>
    <w:p w14:paraId="34ECCE79" w14:textId="5A8EAEEF" w:rsidR="00C33E21" w:rsidRPr="00C33E21" w:rsidRDefault="00C33E21" w:rsidP="00C33E21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33E21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C33E21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standard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pranueshëm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kontabilitetit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financiar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</w:p>
    <w:p w14:paraId="5CD58658" w14:textId="3857571B" w:rsidR="00B046F4" w:rsidRPr="00CE4BE0" w:rsidRDefault="00C33E21" w:rsidP="00BF754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33E21">
        <w:rPr>
          <w:rFonts w:ascii="Times New Roman" w:hAnsi="Times New Roman" w:cs="Times New Roman"/>
          <w:sz w:val="24"/>
          <w:szCs w:val="24"/>
          <w:lang w:val="en-GB"/>
        </w:rPr>
        <w:t>ii)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standard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tjetër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kontabilitetit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financiar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kusht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këto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pasqyra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jenë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rregulluar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parandaluar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D17" w:rsidRPr="00E90D17">
        <w:rPr>
          <w:rFonts w:ascii="Times New Roman" w:hAnsi="Times New Roman" w:cs="Times New Roman"/>
          <w:sz w:val="24"/>
          <w:szCs w:val="24"/>
          <w:lang w:val="en-GB"/>
        </w:rPr>
        <w:t>dëmtim</w:t>
      </w:r>
      <w:proofErr w:type="spellEnd"/>
      <w:r w:rsidR="00E90D17" w:rsidRPr="00E90D17">
        <w:rPr>
          <w:rFonts w:ascii="Times New Roman" w:hAnsi="Times New Roman" w:cs="Times New Roman"/>
          <w:sz w:val="24"/>
          <w:szCs w:val="24"/>
          <w:lang w:val="en-GB"/>
        </w:rPr>
        <w:t xml:space="preserve"> material</w:t>
      </w:r>
      <w:r w:rsidR="00C408B5" w:rsidRPr="00E90D1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D009D" w:rsidRPr="00E90D17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 w:rsidRPr="00E90D17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4D009D" w:rsidRPr="00E90D1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E90D17">
        <w:rPr>
          <w:rFonts w:ascii="Times New Roman" w:hAnsi="Times New Roman" w:cs="Times New Roman"/>
          <w:sz w:val="24"/>
          <w:szCs w:val="24"/>
          <w:lang w:val="en-GB"/>
        </w:rPr>
        <w:t>konkurrencës</w:t>
      </w:r>
      <w:proofErr w:type="spellEnd"/>
      <w:r w:rsidR="00C408B5" w:rsidRPr="00E90D1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CF9A868" w14:textId="77777777" w:rsidR="00021C3A" w:rsidRDefault="00021C3A" w:rsidP="004A60B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DB974AC" w14:textId="792E1C36" w:rsidR="00503FEE" w:rsidRPr="00CE4BE0" w:rsidRDefault="00120B1B" w:rsidP="004A60B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7. </w:t>
      </w:r>
      <w:r w:rsidR="00330920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Vit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r w:rsidR="00C408B5">
        <w:rPr>
          <w:rFonts w:ascii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 w:rsidR="00C408B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>
        <w:rPr>
          <w:rFonts w:ascii="Times New Roman" w:hAnsi="Times New Roman" w:cs="Times New Roman"/>
          <w:sz w:val="24"/>
          <w:szCs w:val="24"/>
          <w:lang w:val="en-GB"/>
        </w:rPr>
        <w:t>thotë</w:t>
      </w:r>
      <w:proofErr w:type="spellEnd"/>
      <w:r w:rsid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periudh</w:t>
      </w:r>
      <w:r w:rsidR="00C408B5">
        <w:rPr>
          <w:rFonts w:ascii="Times New Roman" w:hAnsi="Times New Roman" w:cs="Times New Roman"/>
          <w:sz w:val="24"/>
          <w:szCs w:val="24"/>
          <w:lang w:val="en-GB"/>
        </w:rPr>
        <w:t>ën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cilën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>
        <w:rPr>
          <w:rFonts w:ascii="Times New Roman" w:hAnsi="Times New Roman" w:cs="Times New Roman"/>
          <w:sz w:val="24"/>
          <w:szCs w:val="24"/>
          <w:lang w:val="en-GB"/>
        </w:rPr>
        <w:t>shoqërie</w:t>
      </w:r>
      <w:proofErr w:type="spellEnd"/>
      <w:r w:rsid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përgatit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pasqyrat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konsoliduara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përgatit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pasqyra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konsoliduara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kalendarik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DA672CC" w14:textId="77777777" w:rsidR="00021C3A" w:rsidRDefault="00021C3A" w:rsidP="004A60B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42193C0" w14:textId="699EA9D5" w:rsidR="00B4534F" w:rsidRPr="00CE4BE0" w:rsidRDefault="00120B1B" w:rsidP="004A60B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8. </w:t>
      </w:r>
      <w:r w:rsidR="00330920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dorëzon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9E62B7">
        <w:rPr>
          <w:rFonts w:ascii="Times New Roman" w:hAnsi="Times New Roman" w:cs="Times New Roman"/>
          <w:sz w:val="24"/>
          <w:szCs w:val="24"/>
          <w:lang w:val="en-GB"/>
        </w:rPr>
        <w:t>deklar</w:t>
      </w:r>
      <w:r w:rsidR="009E62B7" w:rsidRPr="009E62B7">
        <w:rPr>
          <w:rFonts w:ascii="Times New Roman" w:hAnsi="Times New Roman" w:cs="Times New Roman"/>
          <w:sz w:val="24"/>
          <w:szCs w:val="24"/>
          <w:lang w:val="en-GB"/>
        </w:rPr>
        <w:t>atën</w:t>
      </w:r>
      <w:proofErr w:type="spellEnd"/>
      <w:r w:rsidR="00C408B5" w:rsidRPr="009E62B7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408B5">
        <w:rPr>
          <w:rFonts w:ascii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 w:rsidR="00C408B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>
        <w:rPr>
          <w:rFonts w:ascii="Times New Roman" w:hAnsi="Times New Roman" w:cs="Times New Roman"/>
          <w:sz w:val="24"/>
          <w:szCs w:val="24"/>
          <w:lang w:val="en-GB"/>
        </w:rPr>
        <w:t>thotë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paraqet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deklaratë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informacioni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nenin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54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="00C408B5" w:rsidRPr="00C408B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E48D9B4" w14:textId="77777777" w:rsidR="00021C3A" w:rsidRDefault="00021C3A" w:rsidP="005162A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4E61570" w14:textId="3EDF3D4B" w:rsidR="005D7460" w:rsidRDefault="00120B1B" w:rsidP="005162A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9. </w:t>
      </w:r>
      <w:r w:rsidR="00330920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qeveritar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” do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thotë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plotëson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kriteret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16972902" w14:textId="7E3CDCA7" w:rsidR="005162A4" w:rsidRPr="00CE4BE0" w:rsidRDefault="005162A4" w:rsidP="005162A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88350CF" w14:textId="17196EA0" w:rsidR="005D7460" w:rsidRPr="005D7460" w:rsidRDefault="005D7460" w:rsidP="005D746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7460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pjesë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qeverie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zotërohet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tërësisht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prej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saj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, duke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përfshirë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nënndarje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politike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autoritet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pushtetit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vendor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saj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0BFE226" w14:textId="0F0563EE" w:rsidR="005D7460" w:rsidRPr="005D7460" w:rsidRDefault="005D7460" w:rsidP="005D746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7460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ushtron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veprimtari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tregtare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biznesi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qëllim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kryesor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6C53BA8C" w14:textId="4AF43018" w:rsidR="005D7460" w:rsidRPr="005D7460" w:rsidRDefault="005D7460" w:rsidP="005D746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D746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5D7460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përmbushjen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funksioni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qeveritar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</w:p>
    <w:p w14:paraId="63287888" w14:textId="27517031" w:rsidR="005D7460" w:rsidRPr="005D7460" w:rsidRDefault="005D7460" w:rsidP="005D746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7460">
        <w:rPr>
          <w:rFonts w:ascii="Times New Roman" w:hAnsi="Times New Roman" w:cs="Times New Roman"/>
          <w:sz w:val="24"/>
          <w:szCs w:val="24"/>
          <w:lang w:val="en-GB"/>
        </w:rPr>
        <w:t xml:space="preserve">ii)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administrimin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investimin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aktiveve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asaj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qeverie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juridiksioni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nëpërmjet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kryerjes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mbajtjes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investimeve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administrimit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aktiveve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veprimtarive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lidhura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investimet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llogari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aktiveve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asaj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qeverie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juridiksioni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2A4D3FF" w14:textId="27E14F6D" w:rsidR="005D7460" w:rsidRPr="005D7460" w:rsidRDefault="005D7460" w:rsidP="005D746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7460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c)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përgjegjës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përpara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qeverisë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performancën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përgjithshme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paraqet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asaj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raporte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vjetore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informuese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121FEAD7" w14:textId="1B5487B9" w:rsidR="00503FEE" w:rsidRDefault="005D7460" w:rsidP="005162A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7460">
        <w:rPr>
          <w:rFonts w:ascii="Times New Roman" w:hAnsi="Times New Roman" w:cs="Times New Roman"/>
          <w:sz w:val="24"/>
          <w:szCs w:val="24"/>
          <w:lang w:val="en-GB"/>
        </w:rPr>
        <w:t xml:space="preserve">d)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aktivet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kalojnë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qeverisë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rast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shpërbërjeje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aq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shpërndan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fitime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këto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fitime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shpërndahen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vetëm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asaj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qeverie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, pa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sjellë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asnjë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përfitim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ndonjë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personi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privat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9229B88" w14:textId="77777777" w:rsidR="00AE1AE8" w:rsidRPr="00CE4BE0" w:rsidRDefault="00AE1AE8" w:rsidP="005162A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08BAC59" w14:textId="1BDF89C5" w:rsidR="00811B10" w:rsidRDefault="00120B1B" w:rsidP="00811B1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10. </w:t>
      </w:r>
      <w:r w:rsidR="00330920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Organizatë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ndërkombëtare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” do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thotë</w:t>
      </w:r>
      <w:proofErr w:type="spellEnd"/>
      <w:r w:rsid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organizatë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ndërqeveritare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përfshirë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organizatë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mbikombëtare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agjenci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apo instrument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pronësi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plotë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saj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plotëson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kriteret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5C8B5AE7" w14:textId="77777777" w:rsidR="00811B10" w:rsidRPr="00811B10" w:rsidRDefault="00811B10" w:rsidP="00811B1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95F7015" w14:textId="709413B4" w:rsidR="00811B10" w:rsidRPr="00811B10" w:rsidRDefault="00811B10" w:rsidP="00811B1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11B10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përbëhet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kryesisht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qeveri</w:t>
      </w:r>
      <w:r w:rsidR="002D4BB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D5B8D61" w14:textId="7E392A8E" w:rsidR="00811B10" w:rsidRPr="00811B10" w:rsidRDefault="00811B10" w:rsidP="00811B1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11B10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ka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fuqi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marrëveshje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selinë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qendrore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marrëveshje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ngjashme</w:t>
      </w:r>
      <w:proofErr w:type="spellEnd"/>
      <w:r w:rsid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>
        <w:rPr>
          <w:rFonts w:ascii="Times New Roman" w:hAnsi="Times New Roman" w:cs="Times New Roman"/>
          <w:sz w:val="24"/>
          <w:szCs w:val="24"/>
          <w:lang w:val="en-GB"/>
        </w:rPr>
        <w:t>thelb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themeluar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shembull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marrëveshje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japin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zyrave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strukturave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organizatës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privilegj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imunitet</w:t>
      </w:r>
      <w:proofErr w:type="spellEnd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="00620469" w:rsidRPr="00620469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1F9B31FF" w14:textId="4F5EEE80" w:rsidR="00CD35C3" w:rsidRDefault="00811B10" w:rsidP="000B4F3C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11B10">
        <w:rPr>
          <w:rFonts w:ascii="Times New Roman" w:hAnsi="Times New Roman" w:cs="Times New Roman"/>
          <w:sz w:val="24"/>
          <w:szCs w:val="24"/>
          <w:lang w:val="en-GB"/>
        </w:rPr>
        <w:t xml:space="preserve">c)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aktet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saj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>
        <w:rPr>
          <w:rFonts w:ascii="Times New Roman" w:hAnsi="Times New Roman" w:cs="Times New Roman"/>
          <w:sz w:val="24"/>
          <w:szCs w:val="24"/>
          <w:lang w:val="en-GB"/>
        </w:rPr>
        <w:t>rregulluese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parandalojnë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saj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përdoren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përfitojnë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persona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privatë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0B3EBA6" w14:textId="77777777" w:rsidR="002D4BB8" w:rsidRDefault="002D4BB8" w:rsidP="000B4F3C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0C0C075" w14:textId="246E4EC6" w:rsidR="001B14C8" w:rsidRDefault="000B4F3C" w:rsidP="001B14C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11. </w:t>
      </w:r>
      <w:r w:rsidR="00330920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Organizatë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jofitimprurëse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” do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thotë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plotëson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kriteret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3B87BAF6" w14:textId="77777777" w:rsidR="001B14C8" w:rsidRPr="001B14C8" w:rsidRDefault="001B14C8" w:rsidP="001B14C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DA44350" w14:textId="1CB03CE3" w:rsidR="001B14C8" w:rsidRPr="001B14C8" w:rsidRDefault="001B14C8" w:rsidP="001B14C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B14C8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themeluar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vepron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saj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rezidencës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11B722D1" w14:textId="4AC0058C" w:rsidR="001B14C8" w:rsidRPr="001B14C8" w:rsidRDefault="001B14C8" w:rsidP="001B14C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B14C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1B14C8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ekskluzivisht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qëllime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fetare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bamirëse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shkencore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artistike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kulturore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, sportive,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arsimore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qëllime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tjera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ngjashme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</w:p>
    <w:p w14:paraId="39BF5BBB" w14:textId="511D7352" w:rsidR="001B14C8" w:rsidRPr="001B14C8" w:rsidRDefault="001B14C8" w:rsidP="001B14C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B14C8">
        <w:rPr>
          <w:rFonts w:ascii="Times New Roman" w:hAnsi="Times New Roman" w:cs="Times New Roman"/>
          <w:sz w:val="24"/>
          <w:szCs w:val="24"/>
          <w:lang w:val="en-GB"/>
        </w:rPr>
        <w:t xml:space="preserve">ii)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organizatë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profesionale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shoqatë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biznesi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dhomë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tregtie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organizatë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punëtore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organizatë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bujqësore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hortikulturore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ligë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qytetare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organizatë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vepron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ekskluzivisht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promovimin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mirëqenies</w:t>
      </w:r>
      <w:proofErr w:type="spellEnd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04C" w:rsidRPr="0023004C">
        <w:rPr>
          <w:rFonts w:ascii="Times New Roman" w:hAnsi="Times New Roman" w:cs="Times New Roman"/>
          <w:sz w:val="24"/>
          <w:szCs w:val="24"/>
          <w:lang w:val="en-GB"/>
        </w:rPr>
        <w:t>sociale</w:t>
      </w:r>
      <w:proofErr w:type="spellEnd"/>
      <w:r w:rsidRPr="001B14C8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D2EEA6C" w14:textId="09886148" w:rsidR="001B14C8" w:rsidRPr="001B14C8" w:rsidRDefault="001B14C8" w:rsidP="001B14C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B14C8">
        <w:rPr>
          <w:rFonts w:ascii="Times New Roman" w:hAnsi="Times New Roman" w:cs="Times New Roman"/>
          <w:sz w:val="24"/>
          <w:szCs w:val="24"/>
          <w:lang w:val="en-GB"/>
        </w:rPr>
        <w:t>b)</w:t>
      </w:r>
      <w:r w:rsid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>
        <w:rPr>
          <w:rFonts w:ascii="Times New Roman" w:hAnsi="Times New Roman" w:cs="Times New Roman"/>
          <w:sz w:val="24"/>
          <w:szCs w:val="24"/>
          <w:lang w:val="en-GB"/>
        </w:rPr>
        <w:t>thelb</w:t>
      </w:r>
      <w:proofErr w:type="spellEnd"/>
      <w:r w:rsid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ardhura</w:t>
      </w:r>
      <w:r w:rsidR="00E90C9F">
        <w:rPr>
          <w:rFonts w:ascii="Times New Roman" w:hAnsi="Times New Roman" w:cs="Times New Roman"/>
          <w:sz w:val="24"/>
          <w:szCs w:val="24"/>
          <w:lang w:val="en-GB"/>
        </w:rPr>
        <w:t>t</w:t>
      </w:r>
      <w:proofErr w:type="spellEnd"/>
      <w:r w:rsidR="00E90C9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E90C9F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E90C9F">
        <w:rPr>
          <w:rFonts w:ascii="Times New Roman" w:hAnsi="Times New Roman" w:cs="Times New Roman"/>
          <w:sz w:val="24"/>
          <w:szCs w:val="24"/>
          <w:lang w:val="en-GB"/>
        </w:rPr>
        <w:t>rmendura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veprimtaritë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përmendura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shkronjën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“a”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paragrafi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përjashtuar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saj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rezidencës</w:t>
      </w:r>
      <w:proofErr w:type="spellEnd"/>
      <w:r w:rsidRPr="001B14C8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BE43B1B" w14:textId="2884CE2F" w:rsidR="001B14C8" w:rsidRPr="001B14C8" w:rsidRDefault="001B14C8" w:rsidP="001B14C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B14C8">
        <w:rPr>
          <w:rFonts w:ascii="Times New Roman" w:hAnsi="Times New Roman" w:cs="Times New Roman"/>
          <w:sz w:val="24"/>
          <w:szCs w:val="24"/>
          <w:lang w:val="en-GB"/>
        </w:rPr>
        <w:t xml:space="preserve">c)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aksionarë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apo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anëtarë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kanë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interes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pronësor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përfitues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aktivet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saj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DBC36AD" w14:textId="1CFC0927" w:rsidR="001B14C8" w:rsidRPr="001B14C8" w:rsidRDefault="001B14C8" w:rsidP="001B14C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B14C8">
        <w:rPr>
          <w:rFonts w:ascii="Times New Roman" w:hAnsi="Times New Roman" w:cs="Times New Roman"/>
          <w:sz w:val="24"/>
          <w:szCs w:val="24"/>
          <w:lang w:val="en-GB"/>
        </w:rPr>
        <w:t xml:space="preserve">d)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aktivet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mund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shpërndahen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përdoren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dobi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personi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privat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 jo-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bamirës</w:t>
      </w:r>
      <w:proofErr w:type="spellEnd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E90C9F" w:rsidRPr="00E90C9F">
        <w:rPr>
          <w:rFonts w:ascii="Times New Roman" w:hAnsi="Times New Roman" w:cs="Times New Roman"/>
          <w:sz w:val="24"/>
          <w:szCs w:val="24"/>
          <w:lang w:val="en-GB"/>
        </w:rPr>
        <w:t>përveç</w:t>
      </w:r>
      <w:proofErr w:type="spellEnd"/>
      <w:r w:rsidRPr="001B14C8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88A69B5" w14:textId="3B08C2D8" w:rsidR="001B14C8" w:rsidRPr="001B14C8" w:rsidRDefault="001B14C8" w:rsidP="001B14C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B14C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1B14C8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kuadër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ushtrimit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veprimtarive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bamirëse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1061CF3" w14:textId="7D10EBB2" w:rsidR="001B14C8" w:rsidRPr="001B14C8" w:rsidRDefault="001B14C8" w:rsidP="001B14C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B14C8">
        <w:rPr>
          <w:rFonts w:ascii="Times New Roman" w:hAnsi="Times New Roman" w:cs="Times New Roman"/>
          <w:sz w:val="24"/>
          <w:szCs w:val="24"/>
          <w:lang w:val="en-GB"/>
        </w:rPr>
        <w:t xml:space="preserve">ii)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pagesë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shpërblimit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arsyeshëm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shërbimet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ofruara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përdorimin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pasurisë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apo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kapitalit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</w:p>
    <w:p w14:paraId="629141BC" w14:textId="186FF13A" w:rsidR="001B14C8" w:rsidRPr="001B14C8" w:rsidRDefault="001B14C8" w:rsidP="001B14C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B14C8">
        <w:rPr>
          <w:rFonts w:ascii="Times New Roman" w:hAnsi="Times New Roman" w:cs="Times New Roman"/>
          <w:sz w:val="24"/>
          <w:szCs w:val="24"/>
          <w:lang w:val="en-GB"/>
        </w:rPr>
        <w:t xml:space="preserve">iii)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pagesë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përfaqëson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vlerën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drejtë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tregut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pasurisë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blerë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7993B09F" w14:textId="30802A68" w:rsidR="001B14C8" w:rsidRPr="001B14C8" w:rsidRDefault="001B14C8" w:rsidP="001B14C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B14C8">
        <w:rPr>
          <w:rFonts w:ascii="Times New Roman" w:hAnsi="Times New Roman" w:cs="Times New Roman"/>
          <w:sz w:val="24"/>
          <w:szCs w:val="24"/>
          <w:lang w:val="en-GB"/>
        </w:rPr>
        <w:t xml:space="preserve">e)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rast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përfundimi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likuidimi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shpërbërjeje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aktivet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shpërndahen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kalojnë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organizate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jofitimprurëse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qeverisë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përfshirë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qeveritar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juridiksionit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rezidencës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nënndarjeje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politike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FCD6F9B" w14:textId="78772A99" w:rsidR="009E152F" w:rsidRDefault="001B14C8" w:rsidP="001B14C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B14C8">
        <w:rPr>
          <w:rFonts w:ascii="Times New Roman" w:hAnsi="Times New Roman" w:cs="Times New Roman"/>
          <w:sz w:val="24"/>
          <w:szCs w:val="24"/>
          <w:lang w:val="en-GB"/>
        </w:rPr>
        <w:t xml:space="preserve">f)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ushtron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veprimtari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tregtare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biznesi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lidhur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drejtpërdrejt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cilat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themeluar</w:t>
      </w:r>
      <w:proofErr w:type="spellEnd"/>
      <w:r w:rsidR="007953B1" w:rsidRPr="007953B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FC2C9DD" w14:textId="2A891641" w:rsidR="000B4F3C" w:rsidRPr="00CE4BE0" w:rsidRDefault="000B4F3C" w:rsidP="009E152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36FDF47" w14:textId="2CB1AF62" w:rsidR="001B14C8" w:rsidRDefault="00FC0DFE" w:rsidP="009C028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12. </w:t>
      </w:r>
      <w:r w:rsidR="00330920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="009C0284" w:rsidRPr="004D009D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9C0284" w:rsidRPr="004D00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B7729" w:rsidRPr="004D009D">
        <w:rPr>
          <w:rFonts w:ascii="Times New Roman" w:hAnsi="Times New Roman" w:cs="Times New Roman"/>
          <w:sz w:val="24"/>
          <w:szCs w:val="24"/>
          <w:lang w:val="en-GB"/>
        </w:rPr>
        <w:t>transparent</w:t>
      </w:r>
      <w:r w:rsidR="00222E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22E37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="009C0284" w:rsidRPr="004D009D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C0284">
        <w:rPr>
          <w:rFonts w:ascii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 w:rsidR="009C028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C02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0284">
        <w:rPr>
          <w:rFonts w:ascii="Times New Roman" w:hAnsi="Times New Roman" w:cs="Times New Roman"/>
          <w:sz w:val="24"/>
          <w:szCs w:val="24"/>
          <w:lang w:val="en-GB"/>
        </w:rPr>
        <w:t>thotë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7401">
        <w:rPr>
          <w:rFonts w:ascii="Times New Roman" w:hAnsi="Times New Roman" w:cs="Times New Roman"/>
          <w:sz w:val="24"/>
          <w:szCs w:val="24"/>
          <w:lang w:val="en-GB"/>
        </w:rPr>
        <w:t>nj</w:t>
      </w:r>
      <w:r w:rsidR="009B7729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86740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86740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masë</w:t>
      </w:r>
      <w:r w:rsidR="00867401">
        <w:rPr>
          <w:rFonts w:ascii="Times New Roman" w:hAnsi="Times New Roman" w:cs="Times New Roman"/>
          <w:sz w:val="24"/>
          <w:szCs w:val="24"/>
          <w:lang w:val="en-GB"/>
        </w:rPr>
        <w:t>n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fiskalisht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 transparent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shpenzimet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fitimin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humbjen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krijuar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përveç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rastit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rezident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mbuluar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fitimin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tjetër</w:t>
      </w:r>
      <w:proofErr w:type="spellEnd"/>
      <w:r w:rsidR="009C0284" w:rsidRPr="009C0284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F63D76F" w14:textId="794FC569" w:rsidR="004D009D" w:rsidRPr="001B14C8" w:rsidRDefault="00222E37" w:rsidP="009C028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4D009D" w:rsidRPr="004D009D">
        <w:rPr>
          <w:rFonts w:ascii="Times New Roman" w:hAnsi="Times New Roman" w:cs="Times New Roman"/>
          <w:sz w:val="24"/>
          <w:szCs w:val="24"/>
          <w:lang w:val="en-GB"/>
        </w:rPr>
        <w:t>jë</w:t>
      </w:r>
      <w:proofErr w:type="spellEnd"/>
      <w:r w:rsidR="004D009D" w:rsidRPr="004D00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D009D" w:rsidRPr="004D009D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4D009D" w:rsidRPr="004D009D">
        <w:rPr>
          <w:rFonts w:ascii="Times New Roman" w:hAnsi="Times New Roman" w:cs="Times New Roman"/>
          <w:sz w:val="24"/>
          <w:szCs w:val="24"/>
          <w:lang w:val="en-GB"/>
        </w:rPr>
        <w:t xml:space="preserve"> transparent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D009D" w:rsidRPr="004D009D">
        <w:rPr>
          <w:rFonts w:ascii="Times New Roman" w:hAnsi="Times New Roman" w:cs="Times New Roman"/>
          <w:sz w:val="24"/>
          <w:szCs w:val="24"/>
          <w:lang w:val="en-GB"/>
        </w:rPr>
        <w:t>konsiderohet</w:t>
      </w:r>
      <w:proofErr w:type="spellEnd"/>
      <w:r w:rsidR="004D009D" w:rsidRPr="004D00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D009D" w:rsidRPr="004D009D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4D009D" w:rsidRPr="004D009D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5D562E2" w14:textId="284C6CFA" w:rsidR="001B14C8" w:rsidRPr="001B14C8" w:rsidRDefault="001B14C8" w:rsidP="001B14C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B14C8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transparent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shpenzimet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fitimin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humbjen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masën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fiskalisht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transparent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ndodhet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pronari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63F6BDE" w14:textId="2ED2E3E0" w:rsidR="001B14C8" w:rsidRPr="001B14C8" w:rsidRDefault="001B14C8" w:rsidP="001B14C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B14C8">
        <w:rPr>
          <w:rFonts w:ascii="Times New Roman" w:hAnsi="Times New Roman" w:cs="Times New Roman"/>
          <w:sz w:val="24"/>
          <w:szCs w:val="24"/>
          <w:lang w:val="en-GB"/>
        </w:rPr>
        <w:t>b)</w:t>
      </w:r>
      <w:r w:rsidR="009B7729" w:rsidRPr="009B7729">
        <w:t xml:space="preserve">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hibrid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kundërt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shpenzimet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fitimin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humbjen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masën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fiskalisht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transparent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ndodhet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pronari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9B7729" w:rsidRPr="009B772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C47DFF9" w14:textId="4574035D" w:rsidR="009B7729" w:rsidRDefault="009B7729" w:rsidP="001B14C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përkufizimi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>, “</w:t>
      </w:r>
      <w:proofErr w:type="spellStart"/>
      <w:r w:rsidRPr="00222E37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222E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2E37">
        <w:rPr>
          <w:rFonts w:ascii="Times New Roman" w:hAnsi="Times New Roman" w:cs="Times New Roman"/>
          <w:sz w:val="24"/>
          <w:szCs w:val="24"/>
          <w:lang w:val="en-GB"/>
        </w:rPr>
        <w:t>fiskalisht</w:t>
      </w:r>
      <w:proofErr w:type="spellEnd"/>
      <w:r w:rsidRPr="00222E37">
        <w:rPr>
          <w:rFonts w:ascii="Times New Roman" w:hAnsi="Times New Roman" w:cs="Times New Roman"/>
          <w:sz w:val="24"/>
          <w:szCs w:val="24"/>
          <w:lang w:val="en-GB"/>
        </w:rPr>
        <w:t xml:space="preserve"> transparent”</w:t>
      </w:r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thot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shpenzimet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fitimi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humbja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cilit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trajtohen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ligjet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juridiksioni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sikur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ishin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përfituar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kryer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drejtpërdrejt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pronari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atij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përpjesëtim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pjesëmarrjen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398D809" w14:textId="4EFF4C5D" w:rsidR="009B7729" w:rsidRDefault="009B7729" w:rsidP="001B14C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interes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pronësor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seli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trajtohet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mbajtur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përmes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strukture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transparente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interes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pronësor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mbahet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mënyrë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indirekte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përmes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zinxhiri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entitetesh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fiskalisht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transparente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67BED5A" w14:textId="56D05D6C" w:rsidR="001B14C8" w:rsidRPr="001B14C8" w:rsidRDefault="009B7729" w:rsidP="001B14C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rezident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mbuluar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61ED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5961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61ED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5961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61E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61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961ED" w:rsidRPr="005961ED">
        <w:rPr>
          <w:rFonts w:ascii="Times New Roman" w:hAnsi="Times New Roman" w:cs="Times New Roman"/>
          <w:sz w:val="24"/>
          <w:szCs w:val="24"/>
          <w:lang w:val="en-GB"/>
        </w:rPr>
        <w:t>brendshëm</w:t>
      </w:r>
      <w:proofErr w:type="spellEnd"/>
      <w:r w:rsidR="005961ED" w:rsidRPr="005961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961ED" w:rsidRPr="005961E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961ED" w:rsidRPr="005961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61ED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5961E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bazuar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vendin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administrimit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vendin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krijimit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kritere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ngjashme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trajtohet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2E37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222E37">
        <w:rPr>
          <w:rFonts w:ascii="Times New Roman" w:hAnsi="Times New Roman" w:cs="Times New Roman"/>
          <w:sz w:val="24"/>
          <w:szCs w:val="24"/>
          <w:lang w:val="en-GB"/>
        </w:rPr>
        <w:t xml:space="preserve"> transparent</w:t>
      </w:r>
      <w:r w:rsidR="00222E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22E37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transparent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shpenzimet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fitimin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humbjen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masën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7729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9B7729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0B4D9168" w14:textId="2B65FBDE" w:rsidR="001B14C8" w:rsidRPr="001B14C8" w:rsidRDefault="001B14C8" w:rsidP="001B14C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B14C8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>pronarët</w:t>
      </w:r>
      <w:proofErr w:type="spellEnd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>ndodhen</w:t>
      </w:r>
      <w:proofErr w:type="spellEnd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>trajton</w:t>
      </w:r>
      <w:proofErr w:type="spellEnd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>entitetin</w:t>
      </w:r>
      <w:proofErr w:type="spellEnd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>fiskalisht</w:t>
      </w:r>
      <w:proofErr w:type="spellEnd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 xml:space="preserve"> transparent;</w:t>
      </w:r>
    </w:p>
    <w:p w14:paraId="39CFF210" w14:textId="097C963C" w:rsidR="001B14C8" w:rsidRPr="001B14C8" w:rsidRDefault="001B14C8" w:rsidP="001B14C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B14C8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 xml:space="preserve"> ka vend </w:t>
      </w:r>
      <w:proofErr w:type="spellStart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>ushtrimit</w:t>
      </w:r>
      <w:proofErr w:type="spellEnd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>veprimtarisë</w:t>
      </w:r>
      <w:proofErr w:type="spellEnd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>krijuar</w:t>
      </w:r>
      <w:proofErr w:type="spellEnd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724EAA66" w14:textId="5D6BDB4C" w:rsidR="00BF5F16" w:rsidRDefault="001B14C8" w:rsidP="004A60B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B14C8">
        <w:rPr>
          <w:rFonts w:ascii="Times New Roman" w:hAnsi="Times New Roman" w:cs="Times New Roman"/>
          <w:sz w:val="24"/>
          <w:szCs w:val="24"/>
          <w:lang w:val="en-GB"/>
        </w:rPr>
        <w:t xml:space="preserve">c) </w:t>
      </w:r>
      <w:proofErr w:type="spellStart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>shpenzimet</w:t>
      </w:r>
      <w:proofErr w:type="spellEnd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>fitimi</w:t>
      </w:r>
      <w:proofErr w:type="spellEnd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>humbja</w:t>
      </w:r>
      <w:proofErr w:type="spellEnd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>atribuohen</w:t>
      </w:r>
      <w:proofErr w:type="spellEnd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>selie</w:t>
      </w:r>
      <w:proofErr w:type="spellEnd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="00A31F25" w:rsidRPr="00A31F2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E352878" w14:textId="77777777" w:rsidR="00A31F25" w:rsidRDefault="00A31F25" w:rsidP="004A60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F73C627" w14:textId="5B5E88D8" w:rsidR="00A14624" w:rsidRDefault="00D4792C" w:rsidP="00A14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eastAsia="Times New Roman" w:hAnsi="Times New Roman" w:cs="Times New Roman"/>
          <w:sz w:val="24"/>
          <w:szCs w:val="24"/>
          <w:lang w:val="en-GB"/>
        </w:rPr>
        <w:t>13.</w:t>
      </w:r>
      <w:r w:rsid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“Seli e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” </w:t>
      </w:r>
      <w:r w:rsid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 w:rsid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thot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14:paraId="2E916609" w14:textId="77777777" w:rsidR="00A14624" w:rsidRPr="00A14624" w:rsidRDefault="00A14624" w:rsidP="00A14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7859B10" w14:textId="322BB4B7" w:rsidR="00A14624" w:rsidRPr="00A14624" w:rsidRDefault="00A14624" w:rsidP="00A14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1462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vend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ushtrimi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veprimtarie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vend </w:t>
      </w:r>
      <w:proofErr w:type="spellStart"/>
      <w:r w:rsid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q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konsider</w:t>
      </w:r>
      <w:r w:rsid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ohet</w:t>
      </w:r>
      <w:proofErr w:type="spellEnd"/>
      <w:r w:rsid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si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tillë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vendosur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ku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trajtohet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si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seli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marrëveshje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zbatueshme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kusht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tatojë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atribuohen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asaj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dispozitë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ngjashme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nenin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7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Modelit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Konventës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OECD-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së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Kapitalin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ndryshuar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14:paraId="4B9A86EF" w14:textId="607535E2" w:rsidR="00A14624" w:rsidRPr="00A14624" w:rsidRDefault="00A14624" w:rsidP="00A14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14624">
        <w:rPr>
          <w:rFonts w:ascii="Times New Roman" w:eastAsia="Times New Roman" w:hAnsi="Times New Roman" w:cs="Times New Roman"/>
          <w:sz w:val="24"/>
          <w:szCs w:val="24"/>
          <w:lang w:val="en-GB"/>
        </w:rPr>
        <w:t>b)</w:t>
      </w:r>
      <w:r w:rsidR="00A31F25" w:rsidRPr="00A31F25"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nëse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nuk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ekziston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marrëveshje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zbatueshme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vend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ushtrimi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veprimtarie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vend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cili</w:t>
      </w:r>
      <w:proofErr w:type="spellEnd"/>
      <w:r w:rsid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konsider</w:t>
      </w:r>
      <w:r w:rsid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ohet</w:t>
      </w:r>
      <w:proofErr w:type="spellEnd"/>
      <w:r w:rsid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si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tillë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vendosur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cili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taton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atribuohen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atij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vendi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ushtrimi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bazë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neto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mënyrë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ngjashme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mënyrën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si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taton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rezidentët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tij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tatimorë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14:paraId="02375BAA" w14:textId="655EB3F6" w:rsidR="00A14624" w:rsidRPr="00A14624" w:rsidRDefault="00A14624" w:rsidP="00A14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1462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c)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nëse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nuk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sistem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mbi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korporatave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vend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ushtrimi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veprimtarie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vend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cili</w:t>
      </w:r>
      <w:proofErr w:type="spellEnd"/>
      <w:r w:rsid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konsider</w:t>
      </w:r>
      <w:r w:rsid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ohet</w:t>
      </w:r>
      <w:proofErr w:type="spellEnd"/>
      <w:r w:rsid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tillë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vendosur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atë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trajtohej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si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seli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sipas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Modelit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Konventës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OECD-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së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Kapitalin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ndryshuar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kusht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kishte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drejtën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tatonte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t’i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atribuoheshin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atij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vendi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ushtrimi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veprimtarie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nenin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7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asaj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Konvente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</w:p>
    <w:p w14:paraId="77CE5777" w14:textId="3E84F5CF" w:rsidR="00D4792C" w:rsidRPr="00CE4BE0" w:rsidRDefault="00A14624" w:rsidP="000110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14624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 xml:space="preserve">d)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vend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ushtrimi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veprimtarie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vend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cili</w:t>
      </w:r>
      <w:proofErr w:type="spellEnd"/>
      <w:r w:rsid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konsider</w:t>
      </w:r>
      <w:r w:rsid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ohet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si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tillë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nuk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r w:rsid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sht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p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r w:rsid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rshkruar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shkronjat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“a”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deri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“c”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paragrafi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përmes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cilit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kryhen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veprimtari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jashtë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juridiksionit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ku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ndodhet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kusht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përjashtojë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atribuohen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këtyre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veprimtarive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1BC7AB46" w14:textId="77777777" w:rsidR="00BB24F0" w:rsidRDefault="00BB24F0" w:rsidP="004953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9CD6115" w14:textId="1DF1BC00" w:rsidR="00885FA5" w:rsidRDefault="005135D8" w:rsidP="00885FA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14. </w:t>
      </w:r>
      <w:r w:rsidR="00330920">
        <w:rPr>
          <w:rFonts w:ascii="Times New Roman" w:eastAsia="Times New Roman" w:hAnsi="Times New Roman" w:cs="Times New Roman"/>
          <w:sz w:val="24"/>
          <w:szCs w:val="24"/>
          <w:lang w:val="en-GB"/>
        </w:rPr>
        <w:t>“</w:t>
      </w:r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“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” </w:t>
      </w:r>
      <w:r w:rsid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 w:rsid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thot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14:paraId="4FA1C5A4" w14:textId="77777777" w:rsidR="00885FA5" w:rsidRPr="00885FA5" w:rsidRDefault="00885FA5" w:rsidP="00885FA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7122636" w14:textId="4C707447" w:rsidR="00885FA5" w:rsidRPr="00885FA5" w:rsidRDefault="00885FA5" w:rsidP="00885FA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85FA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zotëron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drejtpërdrejt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tërthorazi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interes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kontrollues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çdo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tjetër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nuk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zotërohet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drejtpërdrejt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tërthorazi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tjetër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interes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kontrollues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mbi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="00A31F25" w:rsidRPr="00A31F25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</w:p>
    <w:p w14:paraId="6DA36045" w14:textId="4E60710D" w:rsidR="0079517F" w:rsidRPr="00CE4BE0" w:rsidRDefault="00885FA5" w:rsidP="00885FA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5FA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="005018BF" w:rsidRPr="005018BF">
        <w:rPr>
          <w:rFonts w:ascii="Times New Roman" w:eastAsia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5018BF" w:rsidRPr="005018B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eastAsia="Times New Roman" w:hAnsi="Times New Roman" w:cs="Times New Roman"/>
          <w:sz w:val="24"/>
          <w:szCs w:val="24"/>
          <w:lang w:val="en-GB"/>
        </w:rPr>
        <w:t>kryesor</w:t>
      </w:r>
      <w:proofErr w:type="spellEnd"/>
      <w:r w:rsidR="005018BF" w:rsidRPr="005018B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5018BF" w:rsidRPr="005018B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5018BF" w:rsidRPr="005018B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eastAsia="Times New Roman" w:hAnsi="Times New Roman" w:cs="Times New Roman"/>
          <w:sz w:val="24"/>
          <w:szCs w:val="24"/>
          <w:lang w:val="en-GB"/>
        </w:rPr>
        <w:t>grupi</w:t>
      </w:r>
      <w:proofErr w:type="spellEnd"/>
      <w:r w:rsidR="005018BF" w:rsidRPr="005018B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018BF" w:rsidRPr="005018BF">
        <w:rPr>
          <w:rFonts w:ascii="Times New Roman" w:eastAsia="Times New Roman" w:hAnsi="Times New Roman" w:cs="Times New Roman"/>
          <w:sz w:val="24"/>
          <w:szCs w:val="24"/>
          <w:lang w:val="en-GB"/>
        </w:rPr>
        <w:t>siç</w:t>
      </w:r>
      <w:proofErr w:type="spellEnd"/>
      <w:r w:rsidR="005018BF" w:rsidRPr="005018B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eastAsia="Times New Roman" w:hAnsi="Times New Roman" w:cs="Times New Roman"/>
          <w:sz w:val="24"/>
          <w:szCs w:val="24"/>
          <w:lang w:val="en-GB"/>
        </w:rPr>
        <w:t>përcaktohet</w:t>
      </w:r>
      <w:proofErr w:type="spellEnd"/>
      <w:r w:rsidR="005018BF" w:rsidRPr="005018B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5018BF" w:rsidRPr="005018B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eastAsia="Times New Roman" w:hAnsi="Times New Roman" w:cs="Times New Roman"/>
          <w:sz w:val="24"/>
          <w:szCs w:val="24"/>
          <w:lang w:val="en-GB"/>
        </w:rPr>
        <w:t>shkronjën</w:t>
      </w:r>
      <w:proofErr w:type="spellEnd"/>
      <w:r w:rsidR="005018BF" w:rsidRPr="005018B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“b” </w:t>
      </w:r>
      <w:proofErr w:type="spellStart"/>
      <w:r w:rsidR="005018BF" w:rsidRPr="005018BF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018BF" w:rsidRPr="005018B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eastAsia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="005018BF" w:rsidRPr="005018B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3</w:t>
      </w:r>
      <w:r w:rsidR="005018B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018BF" w:rsidRPr="005018BF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018BF" w:rsidRPr="005018B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5018BF" w:rsidRPr="005018B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eastAsia="Times New Roman" w:hAnsi="Times New Roman" w:cs="Times New Roman"/>
          <w:sz w:val="24"/>
          <w:szCs w:val="24"/>
          <w:lang w:val="en-GB"/>
        </w:rPr>
        <w:t>neni</w:t>
      </w:r>
      <w:proofErr w:type="spellEnd"/>
      <w:r w:rsidR="005018BF" w:rsidRPr="005018BF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2153BE29" w14:textId="77777777" w:rsidR="00124CE9" w:rsidRDefault="00124CE9" w:rsidP="0049533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BB59A24" w14:textId="35C35126" w:rsidR="009836F1" w:rsidRPr="00CE4BE0" w:rsidRDefault="009836F1" w:rsidP="0049533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15. </w:t>
      </w:r>
      <w:r w:rsidR="00330920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ndërmjetëm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nënkupton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zotëron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drejtpërdrejt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tërthorazi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interes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pronësor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tjetër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njëjtit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5018BF">
        <w:rPr>
          <w:rFonts w:ascii="Times New Roman" w:hAnsi="Times New Roman" w:cs="Times New Roman"/>
          <w:sz w:val="24"/>
          <w:szCs w:val="24"/>
          <w:lang w:val="en-GB"/>
        </w:rPr>
        <w:t>rie</w:t>
      </w:r>
      <w:proofErr w:type="spellEnd"/>
      <w:r w:rsid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961ED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5018BF" w:rsidRPr="005961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961ED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 w:rsidRPr="005961E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5018BF" w:rsidRPr="005961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961ED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="005018BF" w:rsidRPr="005961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961ED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kualifikohet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018BF" w:rsidRPr="0086528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5018BF"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86528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5018BF"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865283">
        <w:rPr>
          <w:rFonts w:ascii="Times New Roman" w:hAnsi="Times New Roman" w:cs="Times New Roman"/>
          <w:sz w:val="24"/>
          <w:szCs w:val="24"/>
          <w:lang w:val="en-GB"/>
        </w:rPr>
        <w:t>pjesërisht</w:t>
      </w:r>
      <w:proofErr w:type="spellEnd"/>
      <w:r w:rsidR="005018BF"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86528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5018BF"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865283">
        <w:rPr>
          <w:rFonts w:ascii="Times New Roman" w:hAnsi="Times New Roman" w:cs="Times New Roman"/>
          <w:sz w:val="24"/>
          <w:szCs w:val="24"/>
          <w:lang w:val="en-GB"/>
        </w:rPr>
        <w:t>zotëruar</w:t>
      </w:r>
      <w:proofErr w:type="spellEnd"/>
      <w:r w:rsidR="005018BF" w:rsidRPr="0086528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seli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6110EF8" w14:textId="77777777" w:rsidR="00124CE9" w:rsidRDefault="00124CE9" w:rsidP="0049533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07A58A5" w14:textId="5C7505D7" w:rsidR="009836F1" w:rsidRPr="00CE4BE0" w:rsidRDefault="009836F1" w:rsidP="0049533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16. </w:t>
      </w:r>
      <w:r w:rsidR="00330920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="005018BF" w:rsidRPr="0086528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5018BF"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86528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5018BF"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865283">
        <w:rPr>
          <w:rFonts w:ascii="Times New Roman" w:hAnsi="Times New Roman" w:cs="Times New Roman"/>
          <w:sz w:val="24"/>
          <w:szCs w:val="24"/>
          <w:lang w:val="en-GB"/>
        </w:rPr>
        <w:t>pjesërisht</w:t>
      </w:r>
      <w:proofErr w:type="spellEnd"/>
      <w:r w:rsidR="005018BF"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86528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5018BF"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865283">
        <w:rPr>
          <w:rFonts w:ascii="Times New Roman" w:hAnsi="Times New Roman" w:cs="Times New Roman"/>
          <w:sz w:val="24"/>
          <w:szCs w:val="24"/>
          <w:lang w:val="en-GB"/>
        </w:rPr>
        <w:t>zotëruar</w:t>
      </w:r>
      <w:proofErr w:type="spellEnd"/>
      <w:r w:rsidR="005018BF" w:rsidRPr="00865283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nënkupton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zotëron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drejtpërdrejt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tërthorazi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interes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pronësor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tjetër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njëjtit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5018BF">
        <w:rPr>
          <w:rFonts w:ascii="Times New Roman" w:hAnsi="Times New Roman" w:cs="Times New Roman"/>
          <w:sz w:val="24"/>
          <w:szCs w:val="24"/>
          <w:lang w:val="en-GB"/>
        </w:rPr>
        <w:t>rie</w:t>
      </w:r>
      <w:proofErr w:type="spellEnd"/>
      <w:r w:rsid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961ED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5018BF" w:rsidRPr="005961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961ED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 w:rsidRPr="005961E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5018BF" w:rsidRPr="005961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961ED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="005018BF" w:rsidRPr="005961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961ED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se 20% e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interesit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fitimet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zotërohet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drejtpërdrejt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tërthorazi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disa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persona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entitete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atij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ndërmarrjesh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="005018B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kualifikohet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seli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B0A126D" w14:textId="77777777" w:rsidR="00124CE9" w:rsidRDefault="00124CE9" w:rsidP="0079517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780CEA1" w14:textId="45EF5FA3" w:rsidR="0079517F" w:rsidRPr="00CE4BE0" w:rsidRDefault="00D4792C" w:rsidP="0079517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124CE9">
        <w:rPr>
          <w:rFonts w:ascii="Times New Roman" w:hAnsi="Times New Roman" w:cs="Times New Roman"/>
          <w:sz w:val="24"/>
          <w:szCs w:val="24"/>
          <w:lang w:val="en-GB"/>
        </w:rPr>
        <w:t>7</w:t>
      </w: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30920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Norma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minimale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” do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thot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pesëmbëdhjetë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qind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(15%).</w:t>
      </w:r>
    </w:p>
    <w:p w14:paraId="6C3EE620" w14:textId="77777777" w:rsidR="00124CE9" w:rsidRDefault="00124CE9" w:rsidP="0079517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1B1D863" w14:textId="4A40C31C" w:rsidR="0079517F" w:rsidRPr="00CE4BE0" w:rsidRDefault="00D4792C" w:rsidP="0079517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124CE9">
        <w:rPr>
          <w:rFonts w:ascii="Times New Roman" w:hAnsi="Times New Roman" w:cs="Times New Roman"/>
          <w:sz w:val="24"/>
          <w:szCs w:val="24"/>
          <w:lang w:val="en-GB"/>
        </w:rPr>
        <w:t>8</w:t>
      </w: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30920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” do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thot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llogaritur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nenin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27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1513206" w14:textId="77777777" w:rsidR="00124CE9" w:rsidRDefault="00124CE9" w:rsidP="0079517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E74BA49" w14:textId="150E16F5" w:rsidR="00BC6445" w:rsidRDefault="00D4792C" w:rsidP="00BC644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42380E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tatim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bookmarkStart w:id="1" w:name="_Hlk231227889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thot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5018BF">
        <w:rPr>
          <w:rFonts w:ascii="Times New Roman" w:hAnsi="Times New Roman" w:cs="Times New Roman"/>
          <w:sz w:val="24"/>
          <w:szCs w:val="24"/>
          <w:lang w:val="en-GB"/>
        </w:rPr>
        <w:t>:</w:t>
      </w:r>
      <w:bookmarkEnd w:id="1"/>
    </w:p>
    <w:p w14:paraId="17690D0A" w14:textId="77777777" w:rsidR="00BC6445" w:rsidRPr="00BC6445" w:rsidRDefault="00BC6445" w:rsidP="00BC644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F1B7BC2" w14:textId="30A701D2" w:rsidR="00BC6445" w:rsidRPr="00BC6445" w:rsidRDefault="00BC6445" w:rsidP="00BC644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6445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5018BF">
        <w:rPr>
          <w:rFonts w:ascii="Times New Roman" w:hAnsi="Times New Roman" w:cs="Times New Roman"/>
          <w:sz w:val="24"/>
          <w:szCs w:val="24"/>
          <w:lang w:val="en-GB"/>
        </w:rPr>
        <w:t>rie</w:t>
      </w:r>
      <w:proofErr w:type="spellEnd"/>
      <w:r w:rsid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961ED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5018BF" w:rsidRPr="005961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961ED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 w:rsidRPr="005961E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5018BF" w:rsidRPr="005961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961ED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="005018BF" w:rsidRPr="005961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961ED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ndodhet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tatim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</w:p>
    <w:p w14:paraId="35F713A3" w14:textId="3106FE79" w:rsidR="00A3278A" w:rsidRPr="00CE4BE0" w:rsidRDefault="00BC6445" w:rsidP="00BC644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6445">
        <w:rPr>
          <w:rFonts w:ascii="Times New Roman" w:hAnsi="Times New Roman" w:cs="Times New Roman"/>
          <w:sz w:val="24"/>
          <w:szCs w:val="24"/>
          <w:lang w:val="en-GB"/>
        </w:rPr>
        <w:t>b)</w:t>
      </w:r>
      <w:r w:rsid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pa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shtetësi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, ka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ardhura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normë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efektive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se norma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minimale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EFA546A" w14:textId="77777777" w:rsidR="0042380E" w:rsidRDefault="0042380E" w:rsidP="0079517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C6A2C2D" w14:textId="41A0F18F" w:rsidR="001109E2" w:rsidRPr="00CE4BE0" w:rsidRDefault="005C3E88" w:rsidP="0079517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20</w:t>
      </w:r>
      <w:r w:rsidR="001109E2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30920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Regjim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shoqëritë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kontrolluara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huaja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thot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rregullash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përveç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667C0">
        <w:rPr>
          <w:rFonts w:ascii="Times New Roman" w:hAnsi="Times New Roman" w:cs="Times New Roman"/>
          <w:sz w:val="24"/>
          <w:szCs w:val="24"/>
          <w:lang w:val="en-GB"/>
        </w:rPr>
        <w:t>RPA-je</w:t>
      </w:r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cilave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aksionar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drejtpërdrejtë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tërthortë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huaj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kryesor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selie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pjesën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lastRenderedPageBreak/>
        <w:t>të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pjese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përfituara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huaj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pavarësisht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këto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ardhura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shpërndahen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apo jo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te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aksionari</w:t>
      </w:r>
      <w:proofErr w:type="spellEnd"/>
      <w:r w:rsidR="005018BF" w:rsidRPr="005018B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5A02B37" w14:textId="77777777" w:rsidR="0042380E" w:rsidRDefault="0042380E" w:rsidP="0079517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6145626" w14:textId="7D83BE69" w:rsidR="00A3278A" w:rsidRPr="00CE4BE0" w:rsidRDefault="00D96000" w:rsidP="0079517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21</w:t>
      </w:r>
      <w:r w:rsidR="001109E2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30920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Interes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kontrollues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” do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thot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interes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pronësor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cilit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mbajtësi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interesit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kërkohet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ishte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detyruar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konsolidojë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aktivet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detyrimet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shpenzimet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flukset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monetare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atij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mënyrë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detajuar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zë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zë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standard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pranueshëm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kontabilitetit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financiar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kryesor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konsiderohet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mban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interesin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kontrollues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selitë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1859A0F" w14:textId="77777777" w:rsidR="00AF466F" w:rsidRDefault="00AF466F" w:rsidP="0079517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5E54675" w14:textId="539685C4" w:rsidR="00CE609D" w:rsidRDefault="00CA35C1" w:rsidP="00CE609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22</w:t>
      </w:r>
      <w:r w:rsidR="00D4792C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30920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Rregull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667C0">
        <w:rPr>
          <w:rFonts w:ascii="Times New Roman" w:hAnsi="Times New Roman" w:cs="Times New Roman"/>
          <w:sz w:val="24"/>
          <w:szCs w:val="24"/>
          <w:lang w:val="en-GB"/>
        </w:rPr>
        <w:t>RPA</w:t>
      </w:r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” do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thot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rregullash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zbatohet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legjislacionin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brendshëm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juridiksioni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kusht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mos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ofrojë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asnjë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përfitim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lidhur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ato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rregulla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5B5F1993" w14:textId="77777777" w:rsidR="00CE6458" w:rsidRPr="00CE609D" w:rsidRDefault="00CE6458" w:rsidP="00CE609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7CCADF3" w14:textId="21A0937C" w:rsidR="00CE609D" w:rsidRPr="00CE609D" w:rsidRDefault="00CE609D" w:rsidP="00CE609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609D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ekuivalent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rregullat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përcaktuara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ligj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përket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juridiksioneve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vendeve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treta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="00F12CEF" w:rsidRPr="00AB4D02">
        <w:rPr>
          <w:rFonts w:ascii="Times New Roman" w:hAnsi="Times New Roman" w:cs="Times New Roman"/>
          <w:sz w:val="24"/>
          <w:szCs w:val="24"/>
          <w:lang w:val="en-GB"/>
        </w:rPr>
        <w:t>Rregullat</w:t>
      </w:r>
      <w:proofErr w:type="spellEnd"/>
      <w:r w:rsidR="00F12CEF"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F12CEF" w:rsidRPr="00AB4D02">
        <w:rPr>
          <w:rFonts w:ascii="Times New Roman" w:hAnsi="Times New Roman" w:cs="Times New Roman"/>
          <w:sz w:val="24"/>
          <w:szCs w:val="24"/>
          <w:lang w:val="en-GB"/>
        </w:rPr>
        <w:t>Modelit</w:t>
      </w:r>
      <w:proofErr w:type="spellEnd"/>
      <w:r w:rsidR="00F12CEF"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AB4D0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Erozionin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Bazës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Globale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F12CEF">
        <w:rPr>
          <w:rFonts w:ascii="Times New Roman" w:hAnsi="Times New Roman" w:cs="Times New Roman"/>
          <w:sz w:val="24"/>
          <w:szCs w:val="24"/>
          <w:lang w:val="en-GB"/>
        </w:rPr>
        <w:t>Shtylla</w:t>
      </w:r>
      <w:proofErr w:type="spellEnd"/>
      <w:r w:rsidR="00F12CE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F12CEF">
        <w:rPr>
          <w:rFonts w:ascii="Times New Roman" w:hAnsi="Times New Roman" w:cs="Times New Roman"/>
          <w:sz w:val="24"/>
          <w:szCs w:val="24"/>
          <w:lang w:val="en-GB"/>
        </w:rPr>
        <w:t>Dytë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OECD-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Sfidat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Lindin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Digjitalizimi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Ekonomisë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(“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F12CEF">
        <w:rPr>
          <w:rFonts w:ascii="Times New Roman" w:hAnsi="Times New Roman" w:cs="Times New Roman"/>
          <w:sz w:val="24"/>
          <w:szCs w:val="24"/>
          <w:lang w:val="en-GB"/>
        </w:rPr>
        <w:t>regullat</w:t>
      </w:r>
      <w:proofErr w:type="spellEnd"/>
      <w:r w:rsidR="00F12CE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F12CEF" w:rsidRPr="00AB4D02">
        <w:rPr>
          <w:rFonts w:ascii="Times New Roman" w:hAnsi="Times New Roman" w:cs="Times New Roman"/>
          <w:sz w:val="24"/>
          <w:szCs w:val="24"/>
          <w:lang w:val="en-GB"/>
        </w:rPr>
        <w:t>Modelit</w:t>
      </w:r>
      <w:proofErr w:type="spellEnd"/>
      <w:r w:rsidR="00F12CEF"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AB4D02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 w:rsidRPr="00AB4D02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F12CEF"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OECD”),</w:t>
      </w:r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cilave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F12CEF">
        <w:rPr>
          <w:rFonts w:ascii="Times New Roman" w:hAnsi="Times New Roman" w:cs="Times New Roman"/>
          <w:sz w:val="24"/>
          <w:szCs w:val="24"/>
          <w:lang w:val="en-GB"/>
        </w:rPr>
        <w:t>rie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llogarit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paguan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pjesën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alokueshme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tatohen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normë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73526641" w14:textId="018B62F1" w:rsidR="00A3278A" w:rsidRPr="00CE4BE0" w:rsidRDefault="00CE609D" w:rsidP="00CE609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609D">
        <w:rPr>
          <w:rFonts w:ascii="Times New Roman" w:hAnsi="Times New Roman" w:cs="Times New Roman"/>
          <w:sz w:val="24"/>
          <w:szCs w:val="24"/>
          <w:lang w:val="en-GB"/>
        </w:rPr>
        <w:t>b)</w:t>
      </w:r>
      <w:r w:rsidR="00F12CEF" w:rsidRPr="00F12CEF"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administrohet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mënyrë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tillë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jetë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rregullat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përcaktuara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ligj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përket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juridiksioneve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vendeve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treta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="00F12CEF" w:rsidRPr="00AB4D02">
        <w:rPr>
          <w:rFonts w:ascii="Times New Roman" w:hAnsi="Times New Roman" w:cs="Times New Roman"/>
          <w:sz w:val="24"/>
          <w:szCs w:val="24"/>
          <w:lang w:val="en-GB"/>
        </w:rPr>
        <w:t>Rregullat</w:t>
      </w:r>
      <w:proofErr w:type="spellEnd"/>
      <w:r w:rsidR="00F12CEF"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F12CEF" w:rsidRPr="00AB4D02">
        <w:rPr>
          <w:rFonts w:ascii="Times New Roman" w:hAnsi="Times New Roman" w:cs="Times New Roman"/>
          <w:sz w:val="24"/>
          <w:szCs w:val="24"/>
          <w:lang w:val="en-GB"/>
        </w:rPr>
        <w:t>Modelit</w:t>
      </w:r>
      <w:proofErr w:type="spellEnd"/>
      <w:r w:rsidR="00F12CEF"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AB4D0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OECD-</w:t>
      </w:r>
      <w:proofErr w:type="spellStart"/>
      <w:r w:rsidR="00F12CEF" w:rsidRPr="00AB4D02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F12CEF" w:rsidRPr="00AB4D0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2F379C1" w14:textId="77777777" w:rsidR="00AF466F" w:rsidRDefault="00AF466F" w:rsidP="0079517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7264DFD" w14:textId="466E04CB" w:rsidR="000F339C" w:rsidRDefault="00D4792C" w:rsidP="000F339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F569EB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30920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Rregull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F3EC4">
        <w:rPr>
          <w:rFonts w:ascii="Times New Roman" w:hAnsi="Times New Roman" w:cs="Times New Roman"/>
          <w:sz w:val="24"/>
          <w:szCs w:val="24"/>
          <w:lang w:val="en-GB"/>
        </w:rPr>
        <w:t>RFN</w:t>
      </w:r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r w:rsidR="00542CE3">
        <w:rPr>
          <w:rFonts w:ascii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 w:rsidR="00542CE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42C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2CE3">
        <w:rPr>
          <w:rFonts w:ascii="Times New Roman" w:hAnsi="Times New Roman" w:cs="Times New Roman"/>
          <w:sz w:val="24"/>
          <w:szCs w:val="24"/>
          <w:lang w:val="en-GB"/>
        </w:rPr>
        <w:t>thotë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rregullash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zbatohet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legjislacionin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brendshëm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juridiksioni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kusht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mos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ofrojë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asnjë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përfitim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lidhur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ato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rregulla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9796CF1" w14:textId="77777777" w:rsidR="000F339C" w:rsidRPr="000F339C" w:rsidRDefault="000F339C" w:rsidP="000F339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38ACF08" w14:textId="13990E42" w:rsidR="000F339C" w:rsidRPr="000F339C" w:rsidRDefault="000F339C" w:rsidP="000F339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F339C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ekuivalent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rregullat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përcaktuara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7C0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igj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përket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juridiksioneve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vendeve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treta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="00F12CEF" w:rsidRPr="002667C0">
        <w:rPr>
          <w:rFonts w:ascii="Times New Roman" w:hAnsi="Times New Roman" w:cs="Times New Roman"/>
          <w:sz w:val="24"/>
          <w:szCs w:val="24"/>
          <w:lang w:val="en-GB"/>
        </w:rPr>
        <w:t>Rregullat</w:t>
      </w:r>
      <w:proofErr w:type="spellEnd"/>
      <w:r w:rsidR="00F12CEF" w:rsidRPr="002667C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F12CEF" w:rsidRPr="002667C0">
        <w:rPr>
          <w:rFonts w:ascii="Times New Roman" w:hAnsi="Times New Roman" w:cs="Times New Roman"/>
          <w:sz w:val="24"/>
          <w:szCs w:val="24"/>
          <w:lang w:val="en-GB"/>
        </w:rPr>
        <w:t>Modelit</w:t>
      </w:r>
      <w:proofErr w:type="spellEnd"/>
      <w:r w:rsidR="00F12CEF" w:rsidRPr="002667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2667C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2667C0">
        <w:rPr>
          <w:rFonts w:ascii="Times New Roman" w:hAnsi="Times New Roman" w:cs="Times New Roman"/>
          <w:sz w:val="24"/>
          <w:szCs w:val="24"/>
          <w:lang w:val="en-GB"/>
        </w:rPr>
        <w:t xml:space="preserve"> OECD-</w:t>
      </w:r>
      <w:proofErr w:type="spellStart"/>
      <w:r w:rsidR="00F12CEF" w:rsidRPr="002667C0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cilave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mbledh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pjesën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alokueshme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F12CEF">
        <w:rPr>
          <w:rFonts w:ascii="Times New Roman" w:hAnsi="Times New Roman" w:cs="Times New Roman"/>
          <w:sz w:val="24"/>
          <w:szCs w:val="24"/>
          <w:lang w:val="en-GB"/>
        </w:rPr>
        <w:t>rie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shumëkombësh</w:t>
      </w:r>
      <w:r w:rsidR="00542CE3">
        <w:rPr>
          <w:rFonts w:ascii="Times New Roman" w:hAnsi="Times New Roman" w:cs="Times New Roman"/>
          <w:sz w:val="24"/>
          <w:szCs w:val="24"/>
          <w:lang w:val="en-GB"/>
        </w:rPr>
        <w:t>e</w:t>
      </w:r>
      <w:proofErr w:type="spellEnd"/>
      <w:r w:rsidR="00542CE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42CE3" w:rsidRPr="00542CE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542CE3" w:rsidRPr="00542C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2CE3" w:rsidRPr="00542CE3">
        <w:rPr>
          <w:rFonts w:ascii="Times New Roman" w:hAnsi="Times New Roman" w:cs="Times New Roman"/>
          <w:sz w:val="24"/>
          <w:szCs w:val="24"/>
          <w:lang w:val="en-GB"/>
        </w:rPr>
        <w:t>cili</w:t>
      </w:r>
      <w:proofErr w:type="spellEnd"/>
      <w:r w:rsidR="00542CE3" w:rsidRPr="00542C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2CE3" w:rsidRPr="00542CE3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542CE3" w:rsidRPr="00542CE3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="00542CE3" w:rsidRPr="00542CE3">
        <w:rPr>
          <w:rFonts w:ascii="Times New Roman" w:hAnsi="Times New Roman" w:cs="Times New Roman"/>
          <w:sz w:val="24"/>
          <w:szCs w:val="24"/>
          <w:lang w:val="en-GB"/>
        </w:rPr>
        <w:t>ngarkua</w:t>
      </w:r>
      <w:proofErr w:type="spellEnd"/>
      <w:r w:rsidR="00542CE3" w:rsidRPr="00542C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2CE3" w:rsidRPr="00542CE3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542CE3" w:rsidRPr="00542CE3">
        <w:rPr>
          <w:rFonts w:ascii="Times New Roman" w:hAnsi="Times New Roman" w:cs="Times New Roman"/>
          <w:sz w:val="24"/>
          <w:szCs w:val="24"/>
          <w:lang w:val="en-GB"/>
        </w:rPr>
        <w:t xml:space="preserve"> RPA </w:t>
      </w:r>
      <w:proofErr w:type="spellStart"/>
      <w:r w:rsidR="00542CE3" w:rsidRPr="00542CE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542CE3" w:rsidRPr="00542C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2CE3" w:rsidRPr="00542CE3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="00542CE3" w:rsidRPr="00542C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2CE3" w:rsidRPr="00542CE3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542CE3" w:rsidRPr="00542CE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542CE3" w:rsidRPr="00542CE3">
        <w:rPr>
          <w:rFonts w:ascii="Times New Roman" w:hAnsi="Times New Roman" w:cs="Times New Roman"/>
          <w:sz w:val="24"/>
          <w:szCs w:val="24"/>
          <w:lang w:val="en-GB"/>
        </w:rPr>
        <w:t>tatim</w:t>
      </w:r>
      <w:proofErr w:type="spellEnd"/>
      <w:r w:rsidR="00542CE3" w:rsidRPr="00542C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2CE3" w:rsidRPr="00542CE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42CE3" w:rsidRPr="00542C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2CE3" w:rsidRPr="00542CE3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="00542CE3" w:rsidRPr="00542C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2CE3" w:rsidRPr="00542CE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42CE3" w:rsidRPr="00542C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2CE3" w:rsidRPr="00542CE3">
        <w:rPr>
          <w:rFonts w:ascii="Times New Roman" w:hAnsi="Times New Roman" w:cs="Times New Roman"/>
          <w:sz w:val="24"/>
          <w:szCs w:val="24"/>
          <w:lang w:val="en-GB"/>
        </w:rPr>
        <w:t>atij</w:t>
      </w:r>
      <w:proofErr w:type="spellEnd"/>
      <w:r w:rsidR="00542CE3" w:rsidRPr="00542C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2CE3" w:rsidRPr="00542CE3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542CE3" w:rsidRPr="00542CE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="00542CE3" w:rsidRPr="00542CE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6F00617C" w14:textId="607FA219" w:rsidR="00A3278A" w:rsidRDefault="000F339C" w:rsidP="000F339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F339C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administrohet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mënyrë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tillë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jetë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rregullat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përcaktuara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7C0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igj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përket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juridiksioneve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vendeve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treta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="00F12CEF" w:rsidRPr="002667C0">
        <w:rPr>
          <w:rFonts w:ascii="Times New Roman" w:hAnsi="Times New Roman" w:cs="Times New Roman"/>
          <w:sz w:val="24"/>
          <w:szCs w:val="24"/>
          <w:lang w:val="en-GB"/>
        </w:rPr>
        <w:t>Rregullat</w:t>
      </w:r>
      <w:proofErr w:type="spellEnd"/>
      <w:r w:rsidR="00F12CEF" w:rsidRPr="002667C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F12CEF" w:rsidRPr="002667C0">
        <w:rPr>
          <w:rFonts w:ascii="Times New Roman" w:hAnsi="Times New Roman" w:cs="Times New Roman"/>
          <w:sz w:val="24"/>
          <w:szCs w:val="24"/>
          <w:lang w:val="en-GB"/>
        </w:rPr>
        <w:t>Modelit</w:t>
      </w:r>
      <w:proofErr w:type="spellEnd"/>
      <w:r w:rsidR="00F12CEF" w:rsidRPr="002667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2667C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2667C0">
        <w:rPr>
          <w:rFonts w:ascii="Times New Roman" w:hAnsi="Times New Roman" w:cs="Times New Roman"/>
          <w:sz w:val="24"/>
          <w:szCs w:val="24"/>
          <w:lang w:val="en-GB"/>
        </w:rPr>
        <w:t xml:space="preserve"> OECD-</w:t>
      </w:r>
      <w:proofErr w:type="spellStart"/>
      <w:r w:rsidR="00F12CEF" w:rsidRPr="002667C0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F12CEF" w:rsidRPr="002667C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D334653" w14:textId="77777777" w:rsidR="00B46DA1" w:rsidRPr="00CE4BE0" w:rsidRDefault="00B46DA1" w:rsidP="0079517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74CE795" w14:textId="57B6EBC1" w:rsidR="00E0472B" w:rsidRDefault="00D4792C" w:rsidP="00324DA5">
      <w:p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F569EB"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30920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tatim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nënkupton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shoqërie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Shtet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Anëtar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Bashkimit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Evropian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vendi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tretë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shoqërive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ardhura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norme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efektive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se norma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minimale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36354A" w:rsidRPr="0036354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B0E301C" w14:textId="77777777" w:rsidR="00324DA5" w:rsidRPr="00011032" w:rsidRDefault="00324DA5" w:rsidP="0079517F">
      <w:p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  <w:lang w:val="en-GB"/>
        </w:rPr>
      </w:pPr>
    </w:p>
    <w:p w14:paraId="65C02364" w14:textId="71498183" w:rsidR="009170E0" w:rsidRPr="00536D2F" w:rsidRDefault="00D4792C" w:rsidP="0079517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1C11">
        <w:rPr>
          <w:rFonts w:ascii="Times New Roman" w:hAnsi="Times New Roman" w:cs="Times New Roman"/>
          <w:sz w:val="24"/>
          <w:szCs w:val="24"/>
          <w:lang w:val="en-GB"/>
        </w:rPr>
        <w:lastRenderedPageBreak/>
        <w:t>2</w:t>
      </w:r>
      <w:r w:rsidR="00B76F90" w:rsidRPr="00536D2F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536D2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30920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="002D4BB8">
        <w:rPr>
          <w:rFonts w:ascii="Times New Roman" w:hAnsi="Times New Roman" w:cs="Times New Roman"/>
          <w:sz w:val="24"/>
          <w:szCs w:val="24"/>
          <w:lang w:val="en-GB"/>
        </w:rPr>
        <w:t>Pronar</w:t>
      </w:r>
      <w:proofErr w:type="spellEnd"/>
      <w:r w:rsid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ntitet</w:t>
      </w:r>
      <w:r w:rsidR="002D4BB8">
        <w:rPr>
          <w:rFonts w:ascii="Times New Roman" w:hAnsi="Times New Roman" w:cs="Times New Roman"/>
          <w:sz w:val="24"/>
          <w:szCs w:val="24"/>
          <w:lang w:val="en-GB"/>
        </w:rPr>
        <w:t>it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ërbërës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thot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zotëron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drejtpërdrejt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tërthorazi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interes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pronësor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tjetër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njëjtit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E00A16">
        <w:rPr>
          <w:rFonts w:ascii="Times New Roman" w:hAnsi="Times New Roman" w:cs="Times New Roman"/>
          <w:sz w:val="24"/>
          <w:szCs w:val="24"/>
          <w:lang w:val="en-GB"/>
        </w:rPr>
        <w:t>rie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F12CEF" w:rsidRPr="00F12C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2CEF" w:rsidRPr="00AB4D02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F12CEF"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AB4D02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 w:rsidRPr="00AB4D02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E00A16"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AB4D02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="00E00A16"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AB4D02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="00E00A16" w:rsidRPr="00AB4D0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2EB3134" w14:textId="77777777" w:rsidR="00E0472B" w:rsidRDefault="00E0472B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B2D09CE" w14:textId="624AA242" w:rsidR="00DC03C3" w:rsidRPr="00CE4BE0" w:rsidRDefault="00DC03C3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B76F90">
        <w:rPr>
          <w:rFonts w:ascii="Times New Roman" w:hAnsi="Times New Roman" w:cs="Times New Roman"/>
          <w:sz w:val="24"/>
          <w:szCs w:val="24"/>
          <w:lang w:val="en-GB"/>
        </w:rPr>
        <w:t>6</w:t>
      </w: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30920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Standard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pranueshëm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kontabilitetit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financiar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” do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thot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Standardet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Ndërkombëtare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Raportimit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Financiar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AB4D02" w:rsidRPr="00AB4D02">
        <w:rPr>
          <w:rFonts w:ascii="Times New Roman" w:hAnsi="Times New Roman" w:cs="Times New Roman"/>
          <w:sz w:val="24"/>
          <w:szCs w:val="24"/>
          <w:lang w:val="en-GB"/>
        </w:rPr>
        <w:t>SNRF</w:t>
      </w:r>
      <w:r w:rsidR="00E00A16"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AB4D02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E00A16"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B4D02">
        <w:rPr>
          <w:rFonts w:ascii="Times New Roman" w:hAnsi="Times New Roman" w:cs="Times New Roman"/>
          <w:sz w:val="24"/>
          <w:szCs w:val="24"/>
          <w:lang w:val="en-GB"/>
        </w:rPr>
        <w:t>SNRF</w:t>
      </w:r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miratuara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Bashkimi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Evropian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Rregulloren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(KE) nr. 1606/2002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Parlamentit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Evropian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Këshillit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parimet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përgjithshme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pranuara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kontabilitetit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Australisë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Brazilit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Kanadasë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Shteteve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Anëtare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Bashkimit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Evropian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Shteteve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Anëtare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Zonës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Ekonomike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Evropiane, Hong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Kongut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Kinë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Japonisë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Meksikës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Zelandës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Re,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Republikës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Popullore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Kinës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Republikës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Indisë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Republikës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Koresë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Rusisë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Singaporit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Zvicrës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Mbretërisë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Bashkuar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Shteteve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Bashkuara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Amerikës</w:t>
      </w:r>
      <w:proofErr w:type="spellEnd"/>
      <w:r w:rsidR="00E00A16" w:rsidRPr="00E00A1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B67B21E" w14:textId="77777777" w:rsidR="00E0472B" w:rsidRDefault="00E0472B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9DDEA02" w14:textId="7FCE410C" w:rsidR="00DC03C3" w:rsidRPr="00CE4BE0" w:rsidRDefault="00D826EA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B76F90">
        <w:rPr>
          <w:rFonts w:ascii="Times New Roman" w:hAnsi="Times New Roman" w:cs="Times New Roman"/>
          <w:sz w:val="24"/>
          <w:szCs w:val="24"/>
          <w:lang w:val="en-GB"/>
        </w:rPr>
        <w:t>7</w:t>
      </w: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30920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Standard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autorizuar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kontabilitetit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financiar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r w:rsidR="002D4BB8">
        <w:rPr>
          <w:rFonts w:ascii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 w:rsidR="002D4BB8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>
        <w:rPr>
          <w:rFonts w:ascii="Times New Roman" w:hAnsi="Times New Roman" w:cs="Times New Roman"/>
          <w:sz w:val="24"/>
          <w:szCs w:val="24"/>
          <w:lang w:val="en-GB"/>
        </w:rPr>
        <w:t>thot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parimesh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përgjithësisht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pranuara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lejuara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organ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autorizuar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kontabilitetit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ndodhet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2D4BB8">
        <w:rPr>
          <w:rFonts w:ascii="Times New Roman" w:hAnsi="Times New Roman" w:cs="Times New Roman"/>
          <w:sz w:val="24"/>
          <w:szCs w:val="24"/>
          <w:lang w:val="en-GB"/>
        </w:rPr>
        <w:t>;</w:t>
      </w:r>
      <w:r w:rsidR="002D4BB8" w:rsidRPr="002D4BB8">
        <w:t xml:space="preserve"> </w:t>
      </w:r>
      <w:proofErr w:type="spellStart"/>
      <w:r w:rsidR="002D4BB8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ër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përkufizimi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, “organ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autorizuar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kontabilitetit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nënkupton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organin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autoritet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ligjor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përcaktuar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pranuar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standarde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qëllime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raportimit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financiar</w:t>
      </w:r>
      <w:proofErr w:type="spellEnd"/>
      <w:r w:rsidR="002D4BB8" w:rsidRPr="002D4BB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A72A60B" w14:textId="77777777" w:rsidR="00E0472B" w:rsidRDefault="00E0472B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1671981" w14:textId="0CA29FE1" w:rsidR="00DC03C3" w:rsidRPr="00CE4BE0" w:rsidRDefault="00DC03C3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5A1CAE">
        <w:rPr>
          <w:rFonts w:ascii="Times New Roman" w:hAnsi="Times New Roman" w:cs="Times New Roman"/>
          <w:sz w:val="24"/>
          <w:szCs w:val="24"/>
          <w:lang w:val="en-GB"/>
        </w:rPr>
        <w:t>8</w:t>
      </w: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30920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="00E90D17">
        <w:rPr>
          <w:rFonts w:ascii="Times New Roman" w:hAnsi="Times New Roman" w:cs="Times New Roman"/>
          <w:sz w:val="24"/>
          <w:szCs w:val="24"/>
          <w:lang w:val="en-GB"/>
        </w:rPr>
        <w:t>Dëmtim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material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konkurrencës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r w:rsidR="00A07A8B">
        <w:rPr>
          <w:rFonts w:ascii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 w:rsidR="00A07A8B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>
        <w:rPr>
          <w:rFonts w:ascii="Times New Roman" w:hAnsi="Times New Roman" w:cs="Times New Roman"/>
          <w:sz w:val="24"/>
          <w:szCs w:val="24"/>
          <w:lang w:val="en-GB"/>
        </w:rPr>
        <w:t>thot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zbatimin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parimi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procedure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caktuar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parimesh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përgjithësisht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pranuara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zbatim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rezulton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diferencë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përgjithshme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shpenzimeve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prej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se 75 000 000 euro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krahasuar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ishte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përcaktuar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zbatohej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parimi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procedura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përkatëse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Standardeve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Ndërkombëtare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Raportimit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Financiar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(IFRS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IFRS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miratuara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Bashkimi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Evropian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Rregulloren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(KE) nr. 1606/2002).</w:t>
      </w:r>
    </w:p>
    <w:p w14:paraId="1141818E" w14:textId="77777777" w:rsidR="00AF5A29" w:rsidRDefault="00AF5A29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DEE052A" w14:textId="2DB234B3" w:rsidR="00081229" w:rsidRDefault="00DC03C3" w:rsidP="0008122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673FFE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30920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Tatim </w:t>
      </w:r>
      <w:proofErr w:type="spellStart"/>
      <w:r w:rsidR="0005132A">
        <w:rPr>
          <w:rFonts w:ascii="Times New Roman" w:hAnsi="Times New Roman" w:cs="Times New Roman"/>
          <w:sz w:val="24"/>
          <w:szCs w:val="24"/>
          <w:lang w:val="en-GB"/>
        </w:rPr>
        <w:t>brendsh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05132A">
        <w:rPr>
          <w:rFonts w:ascii="Times New Roman" w:hAnsi="Times New Roman" w:cs="Times New Roman"/>
          <w:sz w:val="24"/>
          <w:szCs w:val="24"/>
          <w:lang w:val="en-GB"/>
        </w:rPr>
        <w:t>m</w:t>
      </w:r>
      <w:proofErr w:type="spellEnd"/>
      <w:r w:rsidR="00051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132A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7757D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57DE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r w:rsidR="00A07A8B" w:rsidRPr="0005132A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05132A" w:rsidRPr="0005132A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05132A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05132A" w:rsidRPr="0005132A">
        <w:rPr>
          <w:rFonts w:ascii="Times New Roman" w:hAnsi="Times New Roman" w:cs="Times New Roman"/>
          <w:sz w:val="24"/>
          <w:szCs w:val="24"/>
          <w:lang w:val="en-GB"/>
        </w:rPr>
        <w:t>BK</w:t>
      </w:r>
      <w:r w:rsidR="007757DE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A07A8B" w:rsidRPr="0005132A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07A8B">
        <w:rPr>
          <w:rFonts w:ascii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 w:rsidR="00A07A8B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>
        <w:rPr>
          <w:rFonts w:ascii="Times New Roman" w:hAnsi="Times New Roman" w:cs="Times New Roman"/>
          <w:sz w:val="24"/>
          <w:szCs w:val="24"/>
          <w:lang w:val="en-GB"/>
        </w:rPr>
        <w:t>thot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tatim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zbatohet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legjislacionin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brendshëm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juridiksioni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kusht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mos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ofrojë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asnjë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përfitim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lidhur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këto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rregulla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540F28E1" w14:textId="77777777" w:rsidR="00081229" w:rsidRPr="00081229" w:rsidRDefault="00081229" w:rsidP="0008122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F48F7E5" w14:textId="026B1D91" w:rsidR="00081229" w:rsidRPr="00081229" w:rsidRDefault="00081229" w:rsidP="0008122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81229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parashikon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përcaktimin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fitimeve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tepërta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rregullat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përcaktuara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ligj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përket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juridiksioneve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vendeve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treta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Rregullat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07A8B">
        <w:rPr>
          <w:rFonts w:ascii="Times New Roman" w:hAnsi="Times New Roman" w:cs="Times New Roman"/>
          <w:sz w:val="24"/>
          <w:szCs w:val="24"/>
          <w:lang w:val="en-GB"/>
        </w:rPr>
        <w:t xml:space="preserve">e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Model</w:t>
      </w:r>
      <w:r w:rsidR="00A07A8B">
        <w:rPr>
          <w:rFonts w:ascii="Times New Roman" w:hAnsi="Times New Roman" w:cs="Times New Roman"/>
          <w:sz w:val="24"/>
          <w:szCs w:val="24"/>
          <w:lang w:val="en-GB"/>
        </w:rPr>
        <w:t>it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OECD-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zbatimin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normës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minimale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këto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fitime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tepërta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rregullat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përcaktuara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ligj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përket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juridiksioneve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vendeve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treta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Rregullat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07A8B">
        <w:rPr>
          <w:rFonts w:ascii="Times New Roman" w:hAnsi="Times New Roman" w:cs="Times New Roman"/>
          <w:sz w:val="24"/>
          <w:szCs w:val="24"/>
          <w:lang w:val="en-GB"/>
        </w:rPr>
        <w:t xml:space="preserve">e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Model</w:t>
      </w:r>
      <w:r w:rsidR="00A07A8B">
        <w:rPr>
          <w:rFonts w:ascii="Times New Roman" w:hAnsi="Times New Roman" w:cs="Times New Roman"/>
          <w:sz w:val="24"/>
          <w:szCs w:val="24"/>
          <w:lang w:val="en-GB"/>
        </w:rPr>
        <w:t>it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OECD-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797A55AC" w14:textId="745D13BF" w:rsidR="00DC03C3" w:rsidRPr="00CE4BE0" w:rsidRDefault="00081229" w:rsidP="0008122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81229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administrohet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mënyrë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tillë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jetë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rregullat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përcaktuara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ligj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përket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juridiksioneve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vendeve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treta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Rregullat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07A8B">
        <w:rPr>
          <w:rFonts w:ascii="Times New Roman" w:hAnsi="Times New Roman" w:cs="Times New Roman"/>
          <w:sz w:val="24"/>
          <w:szCs w:val="24"/>
          <w:lang w:val="en-GB"/>
        </w:rPr>
        <w:t xml:space="preserve">e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Model</w:t>
      </w:r>
      <w:r w:rsidR="00A07A8B">
        <w:rPr>
          <w:rFonts w:ascii="Times New Roman" w:hAnsi="Times New Roman" w:cs="Times New Roman"/>
          <w:sz w:val="24"/>
          <w:szCs w:val="24"/>
          <w:lang w:val="en-GB"/>
        </w:rPr>
        <w:t>it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OECD-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7B55F8C" w14:textId="77777777" w:rsidR="00AF5A29" w:rsidRDefault="00AF5A29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535AAFB" w14:textId="2E288697" w:rsidR="00DC03C3" w:rsidRPr="00CE4BE0" w:rsidRDefault="00576506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30</w:t>
      </w:r>
      <w:r w:rsidR="00DC03C3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30920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Vlera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aktiveve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prekshme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nënkupton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mesataren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vlerave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aktiveve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prekshme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fillim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fund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periudhës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, pas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marrjes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konsideratë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amortizimit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akumuluar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shterimit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zhvlerësimit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siç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pasqyrohen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pasqyrat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A07A8B" w:rsidRPr="00A07A8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03FAED6" w14:textId="77777777" w:rsidR="00AF5A29" w:rsidRDefault="00AF5A29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590C857" w14:textId="69A6B100" w:rsidR="00723F2A" w:rsidRDefault="006C68A9" w:rsidP="00723F2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31</w:t>
      </w:r>
      <w:r w:rsidR="00DC03C3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30920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="00A4120F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723F2A" w:rsidRPr="00723F2A">
        <w:rPr>
          <w:rFonts w:ascii="Times New Roman" w:hAnsi="Times New Roman" w:cs="Times New Roman"/>
          <w:sz w:val="24"/>
          <w:szCs w:val="24"/>
          <w:lang w:val="en-GB"/>
        </w:rPr>
        <w:t>ntit</w:t>
      </w:r>
      <w:r w:rsidR="00A4120F">
        <w:rPr>
          <w:rFonts w:ascii="Times New Roman" w:hAnsi="Times New Roman" w:cs="Times New Roman"/>
          <w:sz w:val="24"/>
          <w:szCs w:val="24"/>
          <w:lang w:val="en-GB"/>
        </w:rPr>
        <w:t>et</w:t>
      </w:r>
      <w:proofErr w:type="spellEnd"/>
      <w:r w:rsid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="00330920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="00723F2A" w:rsidRPr="00723F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4120F">
        <w:rPr>
          <w:rFonts w:ascii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 w:rsidR="00A4120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>
        <w:rPr>
          <w:rFonts w:ascii="Times New Roman" w:hAnsi="Times New Roman" w:cs="Times New Roman"/>
          <w:sz w:val="24"/>
          <w:szCs w:val="24"/>
          <w:lang w:val="en-GB"/>
        </w:rPr>
        <w:t>thotë</w:t>
      </w:r>
      <w:proofErr w:type="spellEnd"/>
      <w:r w:rsidR="00723F2A" w:rsidRPr="00723F2A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C7F2FA8" w14:textId="77777777" w:rsidR="00723F2A" w:rsidRPr="00723F2A" w:rsidRDefault="00723F2A" w:rsidP="00723F2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E6268E8" w14:textId="0A64B54E" w:rsidR="00723F2A" w:rsidRPr="00723F2A" w:rsidRDefault="00723F2A" w:rsidP="00723F2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23F2A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fond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investimi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mjet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investimi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pasuri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paluajtshme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05F41B5" w14:textId="64FAF6F6" w:rsidR="00723F2A" w:rsidRPr="00723F2A" w:rsidRDefault="00723F2A" w:rsidP="00723F2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23F2A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zotërohet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paktën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95%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drejtpërdrejt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shkronjë</w:t>
      </w:r>
      <w:r w:rsidR="00A4120F">
        <w:rPr>
          <w:rFonts w:ascii="Times New Roman" w:hAnsi="Times New Roman" w:cs="Times New Roman"/>
          <w:sz w:val="24"/>
          <w:szCs w:val="24"/>
          <w:lang w:val="en-GB"/>
        </w:rPr>
        <w:t>s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“a”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paragrafi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përmes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zinxhiri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tillë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entitetesh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vepron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ekskluzivisht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pothuajse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ekskluzivisht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mbajtur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aktive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investuar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fonde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dobi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tyre;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</w:p>
    <w:p w14:paraId="61170D4F" w14:textId="6141CA6D" w:rsidR="00C46ABF" w:rsidRDefault="00723F2A" w:rsidP="00723F2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23F2A">
        <w:rPr>
          <w:rFonts w:ascii="Times New Roman" w:hAnsi="Times New Roman" w:cs="Times New Roman"/>
          <w:sz w:val="24"/>
          <w:szCs w:val="24"/>
          <w:lang w:val="en-GB"/>
        </w:rPr>
        <w:t xml:space="preserve">c)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paktën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85% e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vlerës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zotërohet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shkronjë</w:t>
      </w:r>
      <w:r w:rsidR="00A4120F">
        <w:rPr>
          <w:rFonts w:ascii="Times New Roman" w:hAnsi="Times New Roman" w:cs="Times New Roman"/>
          <w:sz w:val="24"/>
          <w:szCs w:val="24"/>
          <w:lang w:val="en-GB"/>
        </w:rPr>
        <w:t>s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“a”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paragrafi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kusht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pjesa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dërrmuese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rrjedhë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dividen</w:t>
      </w:r>
      <w:r w:rsidR="00A4120F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ët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fitimet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apo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humbjet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kapitali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përjashtohen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llogaritja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humbj</w:t>
      </w:r>
      <w:r w:rsidR="00A4120F">
        <w:rPr>
          <w:rFonts w:ascii="Times New Roman" w:hAnsi="Times New Roman" w:cs="Times New Roman"/>
          <w:sz w:val="24"/>
          <w:szCs w:val="24"/>
          <w:lang w:val="en-GB"/>
        </w:rPr>
        <w:t>a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4120F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04CFA87" w14:textId="3DC3A64B" w:rsidR="00AF5A29" w:rsidRDefault="00723F2A" w:rsidP="00723F2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23F2A" w:rsidDel="00723F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22E1DE7" w14:textId="1C9A357B" w:rsidR="00C46ABF" w:rsidRDefault="008C160A" w:rsidP="00C46AB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32</w:t>
      </w:r>
      <w:r w:rsidR="00DC03C3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30920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Fond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investimi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nënkupton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marrëveshje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plotëson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kushtet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31668D2A" w14:textId="77777777" w:rsidR="00C46ABF" w:rsidRPr="00C46ABF" w:rsidRDefault="00C46ABF" w:rsidP="00C46AB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E3DFC09" w14:textId="4CEF0E7F" w:rsidR="00C46ABF" w:rsidRPr="00C46ABF" w:rsidRDefault="00C46ABF" w:rsidP="00C46AB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46ABF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krijuar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bashkuar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aktive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jofinanciare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numër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investitorësh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disa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prej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cilëve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lidhur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njëri-tjetrin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AFACC4D" w14:textId="419A0C3A" w:rsidR="00C46ABF" w:rsidRPr="00C46ABF" w:rsidRDefault="00C46ABF" w:rsidP="00C46AB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46ABF">
        <w:rPr>
          <w:rFonts w:ascii="Times New Roman" w:hAnsi="Times New Roman" w:cs="Times New Roman"/>
          <w:sz w:val="24"/>
          <w:szCs w:val="24"/>
          <w:lang w:val="en-GB"/>
        </w:rPr>
        <w:t>b)</w:t>
      </w:r>
      <w:r w:rsid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investon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politikë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përcaktuar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investimi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27C5015" w14:textId="02CA4288" w:rsidR="00C46ABF" w:rsidRPr="00C46ABF" w:rsidRDefault="00C46ABF" w:rsidP="00C46AB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46ABF">
        <w:rPr>
          <w:rFonts w:ascii="Times New Roman" w:hAnsi="Times New Roman" w:cs="Times New Roman"/>
          <w:sz w:val="24"/>
          <w:szCs w:val="24"/>
          <w:lang w:val="en-GB"/>
        </w:rPr>
        <w:t xml:space="preserve">c) </w:t>
      </w:r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u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mundëson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investitorëve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ulin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kostot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transaksioneve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kërkimit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analizës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shpërndajnë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rrezikun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mënyrë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kolektive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619129E" w14:textId="659D0294" w:rsidR="00C46ABF" w:rsidRPr="00C46ABF" w:rsidRDefault="00C46ABF" w:rsidP="00C46AB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46ABF">
        <w:rPr>
          <w:rFonts w:ascii="Times New Roman" w:hAnsi="Times New Roman" w:cs="Times New Roman"/>
          <w:sz w:val="24"/>
          <w:szCs w:val="24"/>
          <w:lang w:val="en-GB"/>
        </w:rPr>
        <w:t xml:space="preserve">d)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krijuar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kryesisht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gjeneruar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ardhura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fitime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investimet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t’u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mbrojtur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ndaj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ngjarjeje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apo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rezultati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caktuar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përgjithshëm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AEBFAD6" w14:textId="5FF1FD01" w:rsidR="00C46ABF" w:rsidRPr="00C46ABF" w:rsidRDefault="00C46ABF" w:rsidP="00C46AB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46ABF">
        <w:rPr>
          <w:rFonts w:ascii="Times New Roman" w:hAnsi="Times New Roman" w:cs="Times New Roman"/>
          <w:sz w:val="24"/>
          <w:szCs w:val="24"/>
          <w:lang w:val="en-GB"/>
        </w:rPr>
        <w:t xml:space="preserve">e) </w:t>
      </w:r>
      <w:proofErr w:type="spellStart"/>
      <w:r w:rsidR="00A4120F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nvestitorët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kanë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drejtë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përfitojnë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aktivet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fondit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realizuara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prej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tyre,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përpjesëtim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kontributin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kanë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dhënë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A02A981" w14:textId="0C54E85A" w:rsidR="00C46ABF" w:rsidRPr="00C46ABF" w:rsidRDefault="00C46ABF" w:rsidP="00C46AB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46ABF">
        <w:rPr>
          <w:rFonts w:ascii="Times New Roman" w:hAnsi="Times New Roman" w:cs="Times New Roman"/>
          <w:sz w:val="24"/>
          <w:szCs w:val="24"/>
          <w:lang w:val="en-GB"/>
        </w:rPr>
        <w:t xml:space="preserve">f)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vetë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fondi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administrimi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subjekt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regjimi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rregullator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përfshirë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rregullat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përkatëse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parandalimin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pastrimit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parave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mbrojtjen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investitorëve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zbatueshme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fondet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investimit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themeluar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menaxhohet</w:t>
      </w:r>
      <w:proofErr w:type="spellEnd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="00A4120F" w:rsidRPr="00A4120F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026F09A6" w14:textId="10CD53AC" w:rsidR="00DC03C3" w:rsidRPr="00CE4BE0" w:rsidRDefault="00C46ABF" w:rsidP="00C46AB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46ABF">
        <w:rPr>
          <w:rFonts w:ascii="Times New Roman" w:hAnsi="Times New Roman" w:cs="Times New Roman"/>
          <w:sz w:val="24"/>
          <w:szCs w:val="24"/>
          <w:lang w:val="en-GB"/>
        </w:rPr>
        <w:t xml:space="preserve">g) </w:t>
      </w:r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ai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menaxhohet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profesionistë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administrimit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fondeve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investimit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emër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investitorëve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AEE63F2" w14:textId="77777777" w:rsidR="00AF5A29" w:rsidRDefault="00AF5A29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8D1D435" w14:textId="2298569A" w:rsidR="00DC03C3" w:rsidRPr="00CE4BE0" w:rsidRDefault="00DC03C3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6C152F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30920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Mjet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investimi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pasuri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paluajtshme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nënkupton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zotërim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gjerë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mban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kryesisht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pasuri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paluajtshme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niveli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vetëm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qoftë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nivelin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e vet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nivelin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2D238E" w:rsidRPr="00AB4D02">
        <w:rPr>
          <w:rFonts w:ascii="Times New Roman" w:hAnsi="Times New Roman" w:cs="Times New Roman"/>
          <w:sz w:val="24"/>
          <w:szCs w:val="24"/>
          <w:lang w:val="en-GB"/>
        </w:rPr>
        <w:t>mbajtësve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interesit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shtyrje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prej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jo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viti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BB89D8A" w14:textId="77777777" w:rsidR="00AF5A29" w:rsidRDefault="00AF5A29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0871701" w14:textId="7453BCE7" w:rsidR="00772E44" w:rsidRPr="00772E44" w:rsidRDefault="00DC03C3" w:rsidP="00772E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6C152F"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30920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Fond pensioni” </w:t>
      </w:r>
      <w:r w:rsidR="002D238E">
        <w:rPr>
          <w:rFonts w:ascii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 w:rsidR="002D238E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>
        <w:rPr>
          <w:rFonts w:ascii="Times New Roman" w:hAnsi="Times New Roman" w:cs="Times New Roman"/>
          <w:sz w:val="24"/>
          <w:szCs w:val="24"/>
          <w:lang w:val="en-GB"/>
        </w:rPr>
        <w:t>thot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198A6971" w14:textId="7869A272" w:rsidR="00772E44" w:rsidRPr="00772E44" w:rsidRDefault="00772E44" w:rsidP="00772E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72E44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a)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themeluar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vepron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ekskluzivisht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pothuajse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ekskluzivisht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administruar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ofruar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përfitime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pensioni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përfitime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ndihmëse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>
        <w:rPr>
          <w:rFonts w:ascii="Times New Roman" w:hAnsi="Times New Roman" w:cs="Times New Roman"/>
          <w:sz w:val="24"/>
          <w:szCs w:val="24"/>
          <w:lang w:val="en-GB"/>
        </w:rPr>
        <w:t>rastësishme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individët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6DFBD2FD" w14:textId="08FFA2D8" w:rsidR="00772E44" w:rsidRPr="00772E44" w:rsidRDefault="00772E44" w:rsidP="00772E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72E44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772E44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ky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rregullohet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tillë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prej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nënndarjeve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politike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apo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autoriteteve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vendore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</w:p>
    <w:p w14:paraId="70DA23ED" w14:textId="07E344E3" w:rsidR="00772E44" w:rsidRPr="00772E44" w:rsidRDefault="00772E44" w:rsidP="00772E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72E44">
        <w:rPr>
          <w:rFonts w:ascii="Times New Roman" w:hAnsi="Times New Roman" w:cs="Times New Roman"/>
          <w:sz w:val="24"/>
          <w:szCs w:val="24"/>
          <w:lang w:val="en-GB"/>
        </w:rPr>
        <w:t xml:space="preserve">ii)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këto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përfitime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sigurohen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mbrohen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ndryshe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rregulloret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kombëtare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financohen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aktivesh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mbajtura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përmes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marrëveshjeje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B4D02">
        <w:rPr>
          <w:rFonts w:ascii="Times New Roman" w:hAnsi="Times New Roman" w:cs="Times New Roman"/>
          <w:sz w:val="24"/>
          <w:szCs w:val="24"/>
          <w:lang w:val="en-GB"/>
        </w:rPr>
        <w:t>besimi</w:t>
      </w:r>
      <w:proofErr w:type="spellEnd"/>
      <w:r w:rsidR="00AB4D02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2D238E" w:rsidRPr="00AB4D02">
        <w:rPr>
          <w:rFonts w:ascii="Times New Roman" w:hAnsi="Times New Roman" w:cs="Times New Roman"/>
          <w:sz w:val="24"/>
          <w:szCs w:val="24"/>
          <w:lang w:val="en-GB"/>
        </w:rPr>
        <w:t>fiduciare</w:t>
      </w:r>
      <w:proofErr w:type="spellEnd"/>
      <w:r w:rsidR="00AB4D02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trusti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qëllim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sigurimin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përmbushjes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detyrimeve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përkatëse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pension</w:t>
      </w:r>
      <w:r w:rsidR="00577C5E">
        <w:rPr>
          <w:rFonts w:ascii="Times New Roman" w:hAnsi="Times New Roman" w:cs="Times New Roman"/>
          <w:sz w:val="24"/>
          <w:szCs w:val="24"/>
          <w:lang w:val="en-GB"/>
        </w:rPr>
        <w:t>it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>
        <w:rPr>
          <w:rFonts w:ascii="Times New Roman" w:hAnsi="Times New Roman" w:cs="Times New Roman"/>
          <w:sz w:val="24"/>
          <w:szCs w:val="24"/>
          <w:lang w:val="en-GB"/>
        </w:rPr>
        <w:t>kund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577C5E">
        <w:rPr>
          <w:rFonts w:ascii="Times New Roman" w:hAnsi="Times New Roman" w:cs="Times New Roman"/>
          <w:sz w:val="24"/>
          <w:szCs w:val="24"/>
          <w:lang w:val="en-GB"/>
        </w:rPr>
        <w:t>r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>
        <w:rPr>
          <w:rFonts w:ascii="Times New Roman" w:hAnsi="Times New Roman" w:cs="Times New Roman"/>
          <w:sz w:val="24"/>
          <w:szCs w:val="24"/>
          <w:lang w:val="en-GB"/>
        </w:rPr>
        <w:t>nj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>
        <w:rPr>
          <w:rFonts w:ascii="Times New Roman" w:hAnsi="Times New Roman" w:cs="Times New Roman"/>
          <w:sz w:val="24"/>
          <w:szCs w:val="24"/>
          <w:lang w:val="en-GB"/>
        </w:rPr>
        <w:t>rasti</w:t>
      </w:r>
      <w:proofErr w:type="spellEnd"/>
      <w:r w:rsid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>
        <w:rPr>
          <w:rFonts w:ascii="Times New Roman" w:hAnsi="Times New Roman" w:cs="Times New Roman"/>
          <w:sz w:val="24"/>
          <w:szCs w:val="24"/>
          <w:lang w:val="en-GB"/>
        </w:rPr>
        <w:t>paaft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577C5E">
        <w:rPr>
          <w:rFonts w:ascii="Times New Roman" w:hAnsi="Times New Roman" w:cs="Times New Roman"/>
          <w:sz w:val="24"/>
          <w:szCs w:val="24"/>
          <w:lang w:val="en-GB"/>
        </w:rPr>
        <w:t>sis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>
        <w:rPr>
          <w:rFonts w:ascii="Times New Roman" w:hAnsi="Times New Roman" w:cs="Times New Roman"/>
          <w:sz w:val="24"/>
          <w:szCs w:val="24"/>
          <w:lang w:val="en-GB"/>
        </w:rPr>
        <w:t>paguese</w:t>
      </w:r>
      <w:proofErr w:type="spellEnd"/>
      <w:r w:rsid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47EB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6247EB"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2D238E" w:rsidRPr="002D23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238E" w:rsidRPr="00AB4D02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="002D238E"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47EB" w:rsidRPr="00AB4D02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 w:rsidRPr="00AB4D02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6247EB"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47EB" w:rsidRPr="00AB4D02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="006247EB"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47EB" w:rsidRPr="00AB4D02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="002D238E" w:rsidRPr="00AB4D0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6F082DC" w14:textId="38B23234" w:rsidR="00DC03C3" w:rsidRPr="00CE4BE0" w:rsidRDefault="00772E44" w:rsidP="00772E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72E44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r w:rsidR="00577C5E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="00577C5E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jë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shërbimeve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pensioneve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.”</w:t>
      </w:r>
    </w:p>
    <w:p w14:paraId="5C8E2264" w14:textId="77777777" w:rsidR="00AF5A29" w:rsidRDefault="00AF5A29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3D9046A" w14:textId="756128DC" w:rsidR="00DC03C3" w:rsidRDefault="00DC03C3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8C05AF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30920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shërbimeve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pensioneve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r w:rsidR="00577C5E">
        <w:rPr>
          <w:rFonts w:ascii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 w:rsidR="00577C5E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>
        <w:rPr>
          <w:rFonts w:ascii="Times New Roman" w:hAnsi="Times New Roman" w:cs="Times New Roman"/>
          <w:sz w:val="24"/>
          <w:szCs w:val="24"/>
          <w:lang w:val="en-GB"/>
        </w:rPr>
        <w:t>thot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themeluar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vepron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ekskluzivisht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pothuajse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ekskluzivisht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investuar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fonde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dobi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577C5E">
        <w:rPr>
          <w:rFonts w:ascii="Times New Roman" w:hAnsi="Times New Roman" w:cs="Times New Roman"/>
          <w:sz w:val="24"/>
          <w:szCs w:val="24"/>
          <w:lang w:val="en-GB"/>
        </w:rPr>
        <w:t>rcaktuara</w:t>
      </w:r>
      <w:proofErr w:type="spellEnd"/>
      <w:r w:rsid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shkronjë</w:t>
      </w:r>
      <w:r w:rsidR="00577C5E">
        <w:rPr>
          <w:rFonts w:ascii="Times New Roman" w:hAnsi="Times New Roman" w:cs="Times New Roman"/>
          <w:sz w:val="24"/>
          <w:szCs w:val="24"/>
          <w:lang w:val="en-GB"/>
        </w:rPr>
        <w:t>s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“a”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34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kryer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veprimtari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ndihmëse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ndaj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veprimtarive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rregulluara</w:t>
      </w:r>
      <w:proofErr w:type="spellEnd"/>
      <w:r w:rsidR="00470FE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70FE1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470FE1">
        <w:rPr>
          <w:rFonts w:ascii="Times New Roman" w:hAnsi="Times New Roman" w:cs="Times New Roman"/>
          <w:sz w:val="24"/>
          <w:szCs w:val="24"/>
          <w:lang w:val="en-GB"/>
        </w:rPr>
        <w:t>rcaktuara</w:t>
      </w:r>
      <w:proofErr w:type="spellEnd"/>
      <w:r w:rsidR="00470F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470F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F6D23"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shkronjë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kusht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shërbimeve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pensioneve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jetë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pjesë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njëjtit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70FE1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kryejnë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70FE1">
        <w:rPr>
          <w:rFonts w:ascii="Times New Roman" w:hAnsi="Times New Roman" w:cs="Times New Roman"/>
          <w:sz w:val="24"/>
          <w:szCs w:val="24"/>
          <w:lang w:val="en-GB"/>
        </w:rPr>
        <w:t>k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470FE1">
        <w:rPr>
          <w:rFonts w:ascii="Times New Roman" w:hAnsi="Times New Roman" w:cs="Times New Roman"/>
          <w:sz w:val="24"/>
          <w:szCs w:val="24"/>
          <w:lang w:val="en-GB"/>
        </w:rPr>
        <w:t>to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veprimtari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rregulluara</w:t>
      </w:r>
      <w:proofErr w:type="spellEnd"/>
      <w:r w:rsidR="00577C5E" w:rsidRPr="00577C5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641DDC7" w14:textId="77777777" w:rsidR="00BE72B7" w:rsidRDefault="00BE72B7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642CCDA" w14:textId="7C5D7937" w:rsidR="00BE72B7" w:rsidRPr="00CE4BE0" w:rsidRDefault="00BE72B7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36. </w:t>
      </w:r>
      <w:r w:rsidR="00330920" w:rsidRPr="00AB4D02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="00470FE1" w:rsidRPr="00AB4D02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 w:rsidRPr="00AB4D02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470FE1"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70FE1" w:rsidRPr="00AB4D02">
        <w:rPr>
          <w:rFonts w:ascii="Times New Roman" w:hAnsi="Times New Roman" w:cs="Times New Roman"/>
          <w:sz w:val="24"/>
          <w:szCs w:val="24"/>
          <w:lang w:val="en-GB"/>
        </w:rPr>
        <w:t>ardhura</w:t>
      </w:r>
      <w:proofErr w:type="spellEnd"/>
      <w:r w:rsidR="00470FE1"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70FE1" w:rsidRPr="00AB4D02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470FE1"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70FE1" w:rsidRPr="00AB4D02">
        <w:rPr>
          <w:rFonts w:ascii="Times New Roman" w:hAnsi="Times New Roman" w:cs="Times New Roman"/>
          <w:sz w:val="24"/>
          <w:szCs w:val="24"/>
          <w:lang w:val="en-GB"/>
        </w:rPr>
        <w:t>humbje</w:t>
      </w:r>
      <w:proofErr w:type="spellEnd"/>
      <w:r w:rsidR="00470FE1"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70FE1" w:rsidRPr="00AB4D02">
        <w:rPr>
          <w:rFonts w:ascii="Times New Roman" w:hAnsi="Times New Roman" w:cs="Times New Roman"/>
          <w:sz w:val="24"/>
          <w:szCs w:val="24"/>
          <w:lang w:val="en-GB"/>
        </w:rPr>
        <w:t>kualifikuese</w:t>
      </w:r>
      <w:proofErr w:type="spellEnd"/>
      <w:r w:rsidR="00470FE1" w:rsidRPr="00AB4D02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="00470FE1" w:rsidRPr="00470F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0FE1">
        <w:rPr>
          <w:rFonts w:ascii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 w:rsidR="00470FE1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470F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70FE1">
        <w:rPr>
          <w:rFonts w:ascii="Times New Roman" w:hAnsi="Times New Roman" w:cs="Times New Roman"/>
          <w:sz w:val="24"/>
          <w:szCs w:val="24"/>
          <w:lang w:val="en-GB"/>
        </w:rPr>
        <w:t>thot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470FE1" w:rsidRPr="00470F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70FE1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470F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70FE1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470F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70FE1" w:rsidRPr="00470FE1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470FE1" w:rsidRPr="00470F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70FE1" w:rsidRPr="00470FE1">
        <w:rPr>
          <w:rFonts w:ascii="Times New Roman" w:hAnsi="Times New Roman" w:cs="Times New Roman"/>
          <w:sz w:val="24"/>
          <w:szCs w:val="24"/>
          <w:lang w:val="en-GB"/>
        </w:rPr>
        <w:t>humbje</w:t>
      </w:r>
      <w:r w:rsidR="00470FE1">
        <w:rPr>
          <w:rFonts w:ascii="Times New Roman" w:hAnsi="Times New Roman" w:cs="Times New Roman"/>
          <w:sz w:val="24"/>
          <w:szCs w:val="24"/>
          <w:lang w:val="en-GB"/>
        </w:rPr>
        <w:t>t</w:t>
      </w:r>
      <w:proofErr w:type="spellEnd"/>
      <w:r w:rsidR="00470FE1" w:rsidRPr="00470F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70FE1" w:rsidRPr="00470FE1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470FE1" w:rsidRPr="00470F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70FE1" w:rsidRPr="00470FE1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470FE1" w:rsidRPr="00470F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70FE1" w:rsidRPr="00470FE1">
        <w:rPr>
          <w:rFonts w:ascii="Times New Roman" w:hAnsi="Times New Roman" w:cs="Times New Roman"/>
          <w:sz w:val="24"/>
          <w:szCs w:val="24"/>
          <w:lang w:val="en-GB"/>
        </w:rPr>
        <w:t>financiar</w:t>
      </w:r>
      <w:r w:rsidR="00470FE1">
        <w:rPr>
          <w:rFonts w:ascii="Times New Roman" w:hAnsi="Times New Roman" w:cs="Times New Roman"/>
          <w:sz w:val="24"/>
          <w:szCs w:val="24"/>
          <w:lang w:val="en-GB"/>
        </w:rPr>
        <w:t>e</w:t>
      </w:r>
      <w:proofErr w:type="spellEnd"/>
      <w:r w:rsidR="00470F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70FE1" w:rsidRPr="00470FE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470FE1" w:rsidRPr="00470F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70FE1" w:rsidRPr="00470FE1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470FE1" w:rsidRPr="00470F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70FE1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470FE1" w:rsidRPr="00470F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70FE1" w:rsidRPr="00470FE1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470FE1" w:rsidRPr="00470FE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470FE1" w:rsidRPr="00470FE1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470FE1" w:rsidRPr="00470F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70FE1" w:rsidRPr="00470FE1">
        <w:rPr>
          <w:rFonts w:ascii="Times New Roman" w:hAnsi="Times New Roman" w:cs="Times New Roman"/>
          <w:sz w:val="24"/>
          <w:szCs w:val="24"/>
          <w:lang w:val="en-GB"/>
        </w:rPr>
        <w:t>rregulluar</w:t>
      </w:r>
      <w:proofErr w:type="spellEnd"/>
      <w:r w:rsidR="00470FE1" w:rsidRPr="00470F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70FE1" w:rsidRPr="00470FE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470FE1" w:rsidRPr="00470F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70FE1" w:rsidRPr="00470FE1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470FE1" w:rsidRPr="00470FE1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470FE1" w:rsidRPr="00470FE1">
        <w:rPr>
          <w:rFonts w:ascii="Times New Roman" w:hAnsi="Times New Roman" w:cs="Times New Roman"/>
          <w:sz w:val="24"/>
          <w:szCs w:val="24"/>
          <w:lang w:val="en-GB"/>
        </w:rPr>
        <w:t>rregullat</w:t>
      </w:r>
      <w:proofErr w:type="spellEnd"/>
      <w:r w:rsidR="00470FE1" w:rsidRPr="00470FE1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470FE1" w:rsidRPr="00470FE1">
        <w:rPr>
          <w:rFonts w:ascii="Times New Roman" w:hAnsi="Times New Roman" w:cs="Times New Roman"/>
          <w:sz w:val="24"/>
          <w:szCs w:val="24"/>
          <w:lang w:val="en-GB"/>
        </w:rPr>
        <w:t>përcaktuara</w:t>
      </w:r>
      <w:proofErr w:type="spellEnd"/>
      <w:r w:rsidR="00470FE1" w:rsidRPr="00470F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70FE1" w:rsidRPr="00470FE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470FE1" w:rsidRPr="00470F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70FE1" w:rsidRPr="00470FE1">
        <w:rPr>
          <w:rFonts w:ascii="Times New Roman" w:hAnsi="Times New Roman" w:cs="Times New Roman"/>
          <w:sz w:val="24"/>
          <w:szCs w:val="24"/>
          <w:lang w:val="en-GB"/>
        </w:rPr>
        <w:t>Kapitujt</w:t>
      </w:r>
      <w:proofErr w:type="spellEnd"/>
      <w:r w:rsidR="00470FE1" w:rsidRPr="00470FE1">
        <w:rPr>
          <w:rFonts w:ascii="Times New Roman" w:hAnsi="Times New Roman" w:cs="Times New Roman"/>
          <w:sz w:val="24"/>
          <w:szCs w:val="24"/>
          <w:lang w:val="en-GB"/>
        </w:rPr>
        <w:t xml:space="preserve"> III, VI </w:t>
      </w:r>
      <w:proofErr w:type="spellStart"/>
      <w:r w:rsidR="00470FE1" w:rsidRPr="00470FE1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470FE1" w:rsidRPr="00470FE1">
        <w:rPr>
          <w:rFonts w:ascii="Times New Roman" w:hAnsi="Times New Roman" w:cs="Times New Roman"/>
          <w:sz w:val="24"/>
          <w:szCs w:val="24"/>
          <w:lang w:val="en-GB"/>
        </w:rPr>
        <w:t xml:space="preserve"> VII </w:t>
      </w:r>
      <w:proofErr w:type="spellStart"/>
      <w:r w:rsidR="00470FE1" w:rsidRPr="00470FE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470FE1" w:rsidRPr="00470F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70FE1" w:rsidRPr="00470FE1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470FE1" w:rsidRPr="00470F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70FE1" w:rsidRPr="00470FE1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="00470FE1" w:rsidRPr="00470FE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D1A249C" w14:textId="77777777" w:rsidR="00AF5A29" w:rsidRDefault="00AF5A29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891AC82" w14:textId="5624656F" w:rsidR="005F409D" w:rsidRDefault="00DC03C3" w:rsidP="005F409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98012B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806F55" w:rsidRPr="00CE4BE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30920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Ta</w:t>
      </w:r>
      <w:r w:rsidR="00C76F94">
        <w:rPr>
          <w:rFonts w:ascii="Times New Roman" w:hAnsi="Times New Roman" w:cs="Times New Roman"/>
          <w:sz w:val="24"/>
          <w:szCs w:val="24"/>
          <w:lang w:val="en-GB"/>
        </w:rPr>
        <w:t>tim</w:t>
      </w:r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imputimi</w:t>
      </w:r>
      <w:proofErr w:type="spellEnd"/>
      <w:r w:rsid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A56EB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rimbursues</w:t>
      </w:r>
      <w:r w:rsidR="00CA56EB">
        <w:rPr>
          <w:rFonts w:ascii="Times New Roman" w:hAnsi="Times New Roman" w:cs="Times New Roman"/>
          <w:sz w:val="24"/>
          <w:szCs w:val="24"/>
          <w:lang w:val="en-GB"/>
        </w:rPr>
        <w:t>hëm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A56EB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skualifikuar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r w:rsidR="0000577D">
        <w:rPr>
          <w:rFonts w:ascii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 w:rsidR="0000577D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>
        <w:rPr>
          <w:rFonts w:ascii="Times New Roman" w:hAnsi="Times New Roman" w:cs="Times New Roman"/>
          <w:sz w:val="24"/>
          <w:szCs w:val="24"/>
          <w:lang w:val="en-GB"/>
        </w:rPr>
        <w:t>thot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>
        <w:rPr>
          <w:rFonts w:ascii="Times New Roman" w:hAnsi="Times New Roman" w:cs="Times New Roman"/>
          <w:sz w:val="24"/>
          <w:szCs w:val="24"/>
          <w:lang w:val="en-GB"/>
        </w:rPr>
        <w:t>ta</w:t>
      </w:r>
      <w:r w:rsidR="00C76F94">
        <w:rPr>
          <w:rFonts w:ascii="Times New Roman" w:hAnsi="Times New Roman" w:cs="Times New Roman"/>
          <w:sz w:val="24"/>
          <w:szCs w:val="24"/>
          <w:lang w:val="en-GB"/>
        </w:rPr>
        <w:t>tim</w:t>
      </w:r>
      <w:proofErr w:type="spellEnd"/>
      <w:r w:rsidR="0000577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përveç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>
        <w:rPr>
          <w:rFonts w:ascii="Times New Roman" w:hAnsi="Times New Roman" w:cs="Times New Roman"/>
          <w:sz w:val="24"/>
          <w:szCs w:val="24"/>
          <w:lang w:val="en-GB"/>
        </w:rPr>
        <w:t>nj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00577D">
        <w:rPr>
          <w:rFonts w:ascii="Times New Roman" w:hAnsi="Times New Roman" w:cs="Times New Roman"/>
          <w:sz w:val="24"/>
          <w:szCs w:val="24"/>
          <w:lang w:val="en-GB"/>
        </w:rPr>
        <w:t>ta</w:t>
      </w:r>
      <w:r w:rsidR="00C76F94">
        <w:rPr>
          <w:rFonts w:ascii="Times New Roman" w:hAnsi="Times New Roman" w:cs="Times New Roman"/>
          <w:sz w:val="24"/>
          <w:szCs w:val="24"/>
          <w:lang w:val="en-GB"/>
        </w:rPr>
        <w:t>timi</w:t>
      </w:r>
      <w:proofErr w:type="spellEnd"/>
      <w:r w:rsid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imputimi</w:t>
      </w:r>
      <w:proofErr w:type="spellEnd"/>
      <w:proofErr w:type="gramEnd"/>
      <w:r w:rsid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00577D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, 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përllogaritur</w:t>
      </w:r>
      <w:proofErr w:type="spellEnd"/>
      <w:proofErr w:type="gram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paguar</w:t>
      </w:r>
      <w:proofErr w:type="spellEnd"/>
      <w:proofErr w:type="gram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cili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2FF74E7E" w14:textId="77777777" w:rsidR="005F409D" w:rsidRPr="005F409D" w:rsidRDefault="005F409D" w:rsidP="005F409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793FE07" w14:textId="566D2661" w:rsidR="005F409D" w:rsidRPr="005F409D" w:rsidRDefault="005F409D" w:rsidP="005F409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F409D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rimbursueshëm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pronarin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përfitues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dividendi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shpërndarë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>
        <w:rPr>
          <w:rFonts w:ascii="Times New Roman" w:hAnsi="Times New Roman" w:cs="Times New Roman"/>
          <w:sz w:val="24"/>
          <w:szCs w:val="24"/>
          <w:lang w:val="en-GB"/>
        </w:rPr>
        <w:t>ky</w:t>
      </w:r>
      <w:proofErr w:type="spellEnd"/>
      <w:r w:rsid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dividend,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kreditueshëm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pronari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përfitues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kundrejt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detyrimi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tjetër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përveç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detyrimi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dividend;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</w:p>
    <w:p w14:paraId="677636B1" w14:textId="1FA7EF05" w:rsidR="00DC03C3" w:rsidRPr="00CE4BE0" w:rsidRDefault="005F409D" w:rsidP="0000577D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5F409D">
        <w:rPr>
          <w:rFonts w:ascii="Times New Roman" w:hAnsi="Times New Roman" w:cs="Times New Roman"/>
          <w:sz w:val="24"/>
          <w:szCs w:val="24"/>
          <w:lang w:val="en-GB"/>
        </w:rPr>
        <w:t>b)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proofErr w:type="gram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rimbursueshëm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D4683A">
        <w:rPr>
          <w:rFonts w:ascii="Times New Roman" w:hAnsi="Times New Roman" w:cs="Times New Roman"/>
          <w:sz w:val="24"/>
          <w:szCs w:val="24"/>
          <w:lang w:val="en-GB"/>
        </w:rPr>
        <w:t>shoqërinë</w:t>
      </w:r>
      <w:proofErr w:type="spellEnd"/>
      <w:r w:rsidR="0000577D" w:rsidRPr="00D4683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D4683A">
        <w:rPr>
          <w:rFonts w:ascii="Times New Roman" w:hAnsi="Times New Roman" w:cs="Times New Roman"/>
          <w:sz w:val="24"/>
          <w:szCs w:val="24"/>
          <w:lang w:val="en-GB"/>
        </w:rPr>
        <w:t>shpërndarëse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pas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shpërndarjes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dividendi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ndaj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aksionari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DFAA6A5" w14:textId="77777777" w:rsidR="00AF5A29" w:rsidRDefault="00AF5A29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A79E9C8" w14:textId="4972D647" w:rsidR="005F409D" w:rsidRDefault="00806F55" w:rsidP="005F409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E95265">
        <w:rPr>
          <w:rFonts w:ascii="Times New Roman" w:hAnsi="Times New Roman" w:cs="Times New Roman"/>
          <w:sz w:val="24"/>
          <w:szCs w:val="24"/>
          <w:lang w:val="en-GB"/>
        </w:rPr>
        <w:t>8</w:t>
      </w: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30920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Ta</w:t>
      </w:r>
      <w:r w:rsidR="00C76F94">
        <w:rPr>
          <w:rFonts w:ascii="Times New Roman" w:hAnsi="Times New Roman" w:cs="Times New Roman"/>
          <w:sz w:val="24"/>
          <w:szCs w:val="24"/>
          <w:lang w:val="en-GB"/>
        </w:rPr>
        <w:t>tim</w:t>
      </w:r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imputimi</w:t>
      </w:r>
      <w:proofErr w:type="spellEnd"/>
      <w:r w:rsid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6F94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r w:rsidR="0000577D">
        <w:rPr>
          <w:rFonts w:ascii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 w:rsidR="0000577D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>
        <w:rPr>
          <w:rFonts w:ascii="Times New Roman" w:hAnsi="Times New Roman" w:cs="Times New Roman"/>
          <w:sz w:val="24"/>
          <w:szCs w:val="24"/>
          <w:lang w:val="en-GB"/>
        </w:rPr>
        <w:t>thot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00577D">
        <w:rPr>
          <w:rFonts w:ascii="Times New Roman" w:hAnsi="Times New Roman" w:cs="Times New Roman"/>
          <w:sz w:val="24"/>
          <w:szCs w:val="24"/>
          <w:lang w:val="en-GB"/>
        </w:rPr>
        <w:t xml:space="preserve"> se</w:t>
      </w:r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përkufizimit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37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ta</w:t>
      </w:r>
      <w:r w:rsidR="00C76F94">
        <w:rPr>
          <w:rFonts w:ascii="Times New Roman" w:hAnsi="Times New Roman" w:cs="Times New Roman"/>
          <w:sz w:val="24"/>
          <w:szCs w:val="24"/>
          <w:lang w:val="en-GB"/>
        </w:rPr>
        <w:t>tim</w:t>
      </w:r>
      <w:proofErr w:type="spellEnd"/>
      <w:r w:rsid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6F94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mbuluar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6F94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përllogaritur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paguar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përfshirë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seli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B43145">
        <w:rPr>
          <w:rFonts w:ascii="Times New Roman" w:hAnsi="Times New Roman" w:cs="Times New Roman"/>
          <w:sz w:val="24"/>
          <w:szCs w:val="24"/>
          <w:lang w:val="en-GB"/>
        </w:rPr>
        <w:t>q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6F94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rimbursuesh</w:t>
      </w:r>
      <w:r w:rsidR="00C76F94">
        <w:rPr>
          <w:rFonts w:ascii="Times New Roman" w:hAnsi="Times New Roman" w:cs="Times New Roman"/>
          <w:sz w:val="24"/>
          <w:szCs w:val="24"/>
          <w:lang w:val="en-GB"/>
        </w:rPr>
        <w:t>ëm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6F94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kredituesh</w:t>
      </w:r>
      <w:r w:rsidR="00C76F94">
        <w:rPr>
          <w:rFonts w:ascii="Times New Roman" w:hAnsi="Times New Roman" w:cs="Times New Roman"/>
          <w:sz w:val="24"/>
          <w:szCs w:val="24"/>
          <w:lang w:val="en-GB"/>
        </w:rPr>
        <w:t>ëm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pronarin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përfitues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dividendit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shpërndarë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145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rastin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ta</w:t>
      </w:r>
      <w:r w:rsidR="00C76F94">
        <w:rPr>
          <w:rFonts w:ascii="Times New Roman" w:hAnsi="Times New Roman" w:cs="Times New Roman"/>
          <w:sz w:val="24"/>
          <w:szCs w:val="24"/>
          <w:lang w:val="en-GB"/>
        </w:rPr>
        <w:t>timi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mbuluar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përllogaritur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paguar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seli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dividend</w:t>
      </w:r>
      <w:r w:rsidR="00B431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145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shpërndarë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145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kryesor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masën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rimbursimi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pagueshëm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kredia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145">
        <w:rPr>
          <w:rFonts w:ascii="Times New Roman" w:hAnsi="Times New Roman" w:cs="Times New Roman"/>
          <w:sz w:val="24"/>
          <w:szCs w:val="24"/>
          <w:lang w:val="en-GB"/>
        </w:rPr>
        <w:t>ofrohet</w:t>
      </w:r>
      <w:proofErr w:type="spellEnd"/>
      <w:r w:rsidR="0000577D" w:rsidRPr="0000577D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6840178A" w14:textId="77777777" w:rsidR="005F409D" w:rsidRPr="005F409D" w:rsidRDefault="005F409D" w:rsidP="005F409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20A69B5" w14:textId="09EB23FB" w:rsidR="005F409D" w:rsidRPr="005F409D" w:rsidRDefault="005F409D" w:rsidP="005F409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F409D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tjetër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juridiksioni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e</w:t>
      </w:r>
      <w:r w:rsid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58378D">
        <w:rPr>
          <w:rFonts w:ascii="Times New Roman" w:hAnsi="Times New Roman" w:cs="Times New Roman"/>
          <w:sz w:val="24"/>
          <w:szCs w:val="24"/>
          <w:lang w:val="en-GB"/>
        </w:rPr>
        <w:t>rfshira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4862C9C" w14:textId="71950927" w:rsidR="005F409D" w:rsidRPr="005F409D" w:rsidRDefault="005F409D" w:rsidP="005F409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F409D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pronar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përfitues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dividendit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normë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nominale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tejkalon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normën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minimale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dividendin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marrë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C76F94">
        <w:rPr>
          <w:rFonts w:ascii="Times New Roman" w:hAnsi="Times New Roman" w:cs="Times New Roman"/>
          <w:sz w:val="24"/>
          <w:szCs w:val="24"/>
          <w:lang w:val="en-GB"/>
        </w:rPr>
        <w:t>igjit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juridiksionit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76F94">
        <w:rPr>
          <w:rFonts w:ascii="Times New Roman" w:hAnsi="Times New Roman" w:cs="Times New Roman"/>
          <w:sz w:val="24"/>
          <w:szCs w:val="24"/>
          <w:lang w:val="en-GB"/>
        </w:rPr>
        <w:t xml:space="preserve">e </w:t>
      </w:r>
      <w:proofErr w:type="spellStart"/>
      <w:r w:rsidR="00C76F94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C76F94">
        <w:rPr>
          <w:rFonts w:ascii="Times New Roman" w:hAnsi="Times New Roman" w:cs="Times New Roman"/>
          <w:sz w:val="24"/>
          <w:szCs w:val="24"/>
          <w:lang w:val="en-GB"/>
        </w:rPr>
        <w:t>rfshira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6F94">
        <w:rPr>
          <w:rFonts w:ascii="Times New Roman" w:hAnsi="Times New Roman" w:cs="Times New Roman"/>
          <w:sz w:val="24"/>
          <w:szCs w:val="24"/>
          <w:lang w:val="en-GB"/>
        </w:rPr>
        <w:t>entitetin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B43145" w:rsidRPr="00B43145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A6A06DA" w14:textId="4A320982" w:rsidR="005F409D" w:rsidRPr="005F409D" w:rsidRDefault="005F409D" w:rsidP="005F409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F409D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c) </w:t>
      </w:r>
      <w:proofErr w:type="spellStart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>individ</w:t>
      </w:r>
      <w:proofErr w:type="spellEnd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>pronar</w:t>
      </w:r>
      <w:proofErr w:type="spellEnd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>përfitues</w:t>
      </w:r>
      <w:proofErr w:type="spellEnd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>dividendit</w:t>
      </w:r>
      <w:proofErr w:type="spellEnd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>rezident</w:t>
      </w:r>
      <w:proofErr w:type="spellEnd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>përfshira</w:t>
      </w:r>
      <w:proofErr w:type="spellEnd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6F94">
        <w:rPr>
          <w:rFonts w:ascii="Times New Roman" w:hAnsi="Times New Roman" w:cs="Times New Roman"/>
          <w:sz w:val="24"/>
          <w:szCs w:val="24"/>
          <w:lang w:val="en-GB"/>
        </w:rPr>
        <w:t>entitetin</w:t>
      </w:r>
      <w:proofErr w:type="spellEnd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>normë</w:t>
      </w:r>
      <w:proofErr w:type="spellEnd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>nominale</w:t>
      </w:r>
      <w:proofErr w:type="spellEnd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>tejkalon</w:t>
      </w:r>
      <w:proofErr w:type="spellEnd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>normën</w:t>
      </w:r>
      <w:proofErr w:type="spellEnd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>standarde</w:t>
      </w:r>
      <w:proofErr w:type="spellEnd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>
        <w:rPr>
          <w:rFonts w:ascii="Times New Roman" w:hAnsi="Times New Roman" w:cs="Times New Roman"/>
          <w:sz w:val="24"/>
          <w:szCs w:val="24"/>
          <w:lang w:val="en-GB"/>
        </w:rPr>
        <w:t>q</w:t>
      </w:r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>zbat</w:t>
      </w:r>
      <w:r w:rsidR="0058378D">
        <w:rPr>
          <w:rFonts w:ascii="Times New Roman" w:hAnsi="Times New Roman" w:cs="Times New Roman"/>
          <w:sz w:val="24"/>
          <w:szCs w:val="24"/>
          <w:lang w:val="en-GB"/>
        </w:rPr>
        <w:t>ohet</w:t>
      </w:r>
      <w:proofErr w:type="spellEnd"/>
      <w:r w:rsid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6F94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>zakonshme</w:t>
      </w:r>
      <w:proofErr w:type="spellEnd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="00C76F94" w:rsidRPr="00C76F94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</w:p>
    <w:p w14:paraId="23E4EEFF" w14:textId="11143579" w:rsidR="0058378D" w:rsidRDefault="005F409D" w:rsidP="005F409D">
      <w:pPr>
        <w:spacing w:after="0"/>
        <w:jc w:val="both"/>
      </w:pPr>
      <w:r w:rsidRPr="005F409D">
        <w:rPr>
          <w:rFonts w:ascii="Times New Roman" w:hAnsi="Times New Roman" w:cs="Times New Roman"/>
          <w:sz w:val="24"/>
          <w:szCs w:val="24"/>
          <w:lang w:val="en-GB"/>
        </w:rPr>
        <w:t xml:space="preserve">d)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ent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qeveritar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organizatë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ndërkombëtare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organizatë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jofitimprurëse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rezidente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fond pensioni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rezident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ent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investimi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rezident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pjesë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58378D"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58378D" w:rsidRPr="00AB4D02">
        <w:rPr>
          <w:rFonts w:ascii="Times New Roman" w:hAnsi="Times New Roman" w:cs="Times New Roman"/>
          <w:sz w:val="24"/>
          <w:szCs w:val="24"/>
          <w:lang w:val="en-GB"/>
        </w:rPr>
        <w:t>grupi</w:t>
      </w:r>
      <w:r w:rsidR="00244C46" w:rsidRPr="00AB4D02">
        <w:rPr>
          <w:rFonts w:ascii="Times New Roman" w:hAnsi="Times New Roman" w:cs="Times New Roman"/>
          <w:sz w:val="24"/>
          <w:szCs w:val="24"/>
          <w:lang w:val="en-GB"/>
        </w:rPr>
        <w:t>t</w:t>
      </w:r>
      <w:proofErr w:type="spellEnd"/>
      <w:r w:rsidR="0058378D"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AB4D02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 w:rsidRPr="00AB4D02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58378D"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AB4D02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="0058378D"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AB4D02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="0058378D" w:rsidRPr="00AB4D0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244C46">
        <w:rPr>
          <w:rFonts w:ascii="Times New Roman" w:hAnsi="Times New Roman" w:cs="Times New Roman"/>
          <w:sz w:val="24"/>
          <w:szCs w:val="24"/>
          <w:lang w:val="en-GB"/>
        </w:rPr>
        <w:t xml:space="preserve"> e</w:t>
      </w:r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AB4D02">
        <w:rPr>
          <w:rFonts w:ascii="Times New Roman" w:hAnsi="Times New Roman" w:cs="Times New Roman"/>
          <w:sz w:val="24"/>
          <w:szCs w:val="24"/>
          <w:lang w:val="en-GB"/>
        </w:rPr>
        <w:t>shoqëri</w:t>
      </w:r>
      <w:r w:rsidR="00244C46" w:rsidRPr="00AB4D02">
        <w:rPr>
          <w:rFonts w:ascii="Times New Roman" w:hAnsi="Times New Roman" w:cs="Times New Roman"/>
          <w:sz w:val="24"/>
          <w:szCs w:val="24"/>
          <w:lang w:val="en-GB"/>
        </w:rPr>
        <w:t>e</w:t>
      </w:r>
      <w:proofErr w:type="spellEnd"/>
      <w:r w:rsidR="00244C46"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44C46" w:rsidRPr="00AB4D02">
        <w:rPr>
          <w:rFonts w:ascii="Times New Roman" w:hAnsi="Times New Roman" w:cs="Times New Roman"/>
          <w:sz w:val="24"/>
          <w:szCs w:val="24"/>
          <w:lang w:val="en-GB"/>
        </w:rPr>
        <w:t>rezidente</w:t>
      </w:r>
      <w:proofErr w:type="spellEnd"/>
      <w:r w:rsidR="00244C46"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44C46" w:rsidRPr="00AB4D02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FA0FBD" w:rsidRPr="00AB4D02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244C46" w:rsidRPr="00AB4D02">
        <w:rPr>
          <w:rFonts w:ascii="Times New Roman" w:hAnsi="Times New Roman" w:cs="Times New Roman"/>
          <w:sz w:val="24"/>
          <w:szCs w:val="24"/>
          <w:lang w:val="en-GB"/>
        </w:rPr>
        <w:t>r</w:t>
      </w:r>
      <w:proofErr w:type="spellEnd"/>
      <w:r w:rsidR="0058378D"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AB4D02">
        <w:rPr>
          <w:rFonts w:ascii="Times New Roman" w:hAnsi="Times New Roman" w:cs="Times New Roman"/>
          <w:sz w:val="24"/>
          <w:szCs w:val="24"/>
          <w:lang w:val="en-GB"/>
        </w:rPr>
        <w:t>sigurimi</w:t>
      </w:r>
      <w:r w:rsidR="00244C46" w:rsidRPr="00AB4D02">
        <w:rPr>
          <w:rFonts w:ascii="Times New Roman" w:hAnsi="Times New Roman" w:cs="Times New Roman"/>
          <w:sz w:val="24"/>
          <w:szCs w:val="24"/>
          <w:lang w:val="en-GB"/>
        </w:rPr>
        <w:t>n</w:t>
      </w:r>
      <w:proofErr w:type="spellEnd"/>
      <w:r w:rsidR="0058378D"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44C46"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e </w:t>
      </w:r>
      <w:proofErr w:type="spellStart"/>
      <w:r w:rsidR="0058378D" w:rsidRPr="00AB4D02">
        <w:rPr>
          <w:rFonts w:ascii="Times New Roman" w:hAnsi="Times New Roman" w:cs="Times New Roman"/>
          <w:sz w:val="24"/>
          <w:szCs w:val="24"/>
          <w:lang w:val="en-GB"/>
        </w:rPr>
        <w:t>jetës</w:t>
      </w:r>
      <w:proofErr w:type="spellEnd"/>
      <w:r w:rsidR="0058378D" w:rsidRPr="00AB4D0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aq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dividendi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merret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58378D" w:rsidRPr="00D4683A">
        <w:rPr>
          <w:rFonts w:ascii="Times New Roman" w:hAnsi="Times New Roman" w:cs="Times New Roman"/>
          <w:sz w:val="24"/>
          <w:szCs w:val="24"/>
          <w:lang w:val="en-GB"/>
        </w:rPr>
        <w:t>aktivitetet</w:t>
      </w:r>
      <w:proofErr w:type="spellEnd"/>
      <w:r w:rsidR="0058378D" w:rsidRPr="00D4683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44C46" w:rsidRPr="00D4683A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FA0FBD" w:rsidRPr="00D4683A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244C46" w:rsidRPr="00D4683A">
        <w:rPr>
          <w:rFonts w:ascii="Times New Roman" w:hAnsi="Times New Roman" w:cs="Times New Roman"/>
          <w:sz w:val="24"/>
          <w:szCs w:val="24"/>
          <w:lang w:val="en-GB"/>
        </w:rPr>
        <w:t>r</w:t>
      </w:r>
      <w:proofErr w:type="spellEnd"/>
      <w:r w:rsidR="0058378D" w:rsidRPr="00D4683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D4683A">
        <w:rPr>
          <w:rFonts w:ascii="Times New Roman" w:hAnsi="Times New Roman" w:cs="Times New Roman"/>
          <w:sz w:val="24"/>
          <w:szCs w:val="24"/>
          <w:lang w:val="en-GB"/>
        </w:rPr>
        <w:t>fondi</w:t>
      </w:r>
      <w:r w:rsidR="00244C46" w:rsidRPr="00D4683A">
        <w:rPr>
          <w:rFonts w:ascii="Times New Roman" w:hAnsi="Times New Roman" w:cs="Times New Roman"/>
          <w:sz w:val="24"/>
          <w:szCs w:val="24"/>
          <w:lang w:val="en-GB"/>
        </w:rPr>
        <w:t>n</w:t>
      </w:r>
      <w:proofErr w:type="spellEnd"/>
      <w:r w:rsidR="0058378D" w:rsidRPr="00D4683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44C46" w:rsidRPr="00D4683A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58378D" w:rsidRPr="00D4683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D4683A">
        <w:rPr>
          <w:rFonts w:ascii="Times New Roman" w:hAnsi="Times New Roman" w:cs="Times New Roman"/>
          <w:sz w:val="24"/>
          <w:szCs w:val="24"/>
          <w:lang w:val="en-GB"/>
        </w:rPr>
        <w:t>pensionit</w:t>
      </w:r>
      <w:proofErr w:type="spellEnd"/>
      <w:r w:rsidR="00244C46">
        <w:t xml:space="preserve">, </w:t>
      </w:r>
      <w:proofErr w:type="spellStart"/>
      <w:r w:rsidR="00244C46" w:rsidRPr="00244C46">
        <w:rPr>
          <w:rFonts w:ascii="Times New Roman" w:hAnsi="Times New Roman" w:cs="Times New Roman"/>
          <w:sz w:val="24"/>
          <w:szCs w:val="24"/>
          <w:lang w:val="en-GB"/>
        </w:rPr>
        <w:t>rezidente</w:t>
      </w:r>
      <w:proofErr w:type="spellEnd"/>
      <w:r w:rsidR="00244C4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tatohet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mënyrë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ngjashme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dividend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marrë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fond pensioni;</w:t>
      </w:r>
      <w:r w:rsidR="0058378D" w:rsidRPr="0058378D">
        <w:t xml:space="preserve"> </w:t>
      </w:r>
    </w:p>
    <w:p w14:paraId="5095E383" w14:textId="0FA12963" w:rsidR="005F409D" w:rsidRPr="005F409D" w:rsidRDefault="0058378D" w:rsidP="005F409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8378D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378D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8378D">
        <w:rPr>
          <w:rFonts w:ascii="Times New Roman" w:hAnsi="Times New Roman" w:cs="Times New Roman"/>
          <w:sz w:val="24"/>
          <w:szCs w:val="24"/>
          <w:lang w:val="en-GB"/>
        </w:rPr>
        <w:t>shkronjës</w:t>
      </w:r>
      <w:proofErr w:type="spellEnd"/>
      <w:r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“d” </w:t>
      </w:r>
      <w:proofErr w:type="spellStart"/>
      <w:r w:rsidRPr="0058378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378D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378D">
        <w:rPr>
          <w:rFonts w:ascii="Times New Roman" w:hAnsi="Times New Roman" w:cs="Times New Roman"/>
          <w:sz w:val="24"/>
          <w:szCs w:val="24"/>
          <w:lang w:val="en-GB"/>
        </w:rPr>
        <w:t>paragrafi</w:t>
      </w:r>
      <w:proofErr w:type="spellEnd"/>
      <w:r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8378D">
        <w:rPr>
          <w:rFonts w:ascii="Times New Roman" w:hAnsi="Times New Roman" w:cs="Times New Roman"/>
          <w:sz w:val="24"/>
          <w:szCs w:val="24"/>
          <w:lang w:val="en-GB"/>
        </w:rPr>
        <w:t>zbatohe</w:t>
      </w:r>
      <w:r w:rsidR="00244C46">
        <w:rPr>
          <w:rFonts w:ascii="Times New Roman" w:hAnsi="Times New Roman" w:cs="Times New Roman"/>
          <w:sz w:val="24"/>
          <w:szCs w:val="24"/>
          <w:lang w:val="en-GB"/>
        </w:rPr>
        <w:t>t</w:t>
      </w:r>
      <w:proofErr w:type="spellEnd"/>
      <w:r w:rsidR="00244C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44C46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244C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44C46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244C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44C46">
        <w:rPr>
          <w:rFonts w:ascii="Times New Roman" w:hAnsi="Times New Roman" w:cs="Times New Roman"/>
          <w:sz w:val="24"/>
          <w:szCs w:val="24"/>
          <w:lang w:val="en-GB"/>
        </w:rPr>
        <w:t>posht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244C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44C46">
        <w:rPr>
          <w:rFonts w:ascii="Times New Roman" w:hAnsi="Times New Roman" w:cs="Times New Roman"/>
          <w:sz w:val="24"/>
          <w:szCs w:val="24"/>
          <w:lang w:val="en-GB"/>
        </w:rPr>
        <w:t>vijon</w:t>
      </w:r>
      <w:proofErr w:type="spellEnd"/>
      <w:r w:rsidRPr="0058378D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153E22F2" w14:textId="38B549C8" w:rsidR="005F409D" w:rsidRPr="005F409D" w:rsidRDefault="005F409D" w:rsidP="005F409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F409D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r w:rsidRPr="005F409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5F409D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58378D" w:rsidRPr="0058378D"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organizatë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jofitimprurëse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fond pensioni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konsiderohet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rezident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krijuar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menaxhuar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5F409D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BCF49C0" w14:textId="10CB0163" w:rsidR="005F409D" w:rsidRPr="005F409D" w:rsidRDefault="005F409D" w:rsidP="005F409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F409D">
        <w:rPr>
          <w:rFonts w:ascii="Times New Roman" w:hAnsi="Times New Roman" w:cs="Times New Roman"/>
          <w:sz w:val="24"/>
          <w:szCs w:val="24"/>
          <w:lang w:val="en-GB"/>
        </w:rPr>
        <w:t xml:space="preserve">(ii)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ent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investimi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konsiderohet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rezident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krijuar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rregulluar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4B41DCD" w14:textId="60AD68F5" w:rsidR="00DC03C3" w:rsidRPr="00CE4BE0" w:rsidRDefault="005F409D" w:rsidP="005F409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F409D">
        <w:rPr>
          <w:rFonts w:ascii="Times New Roman" w:hAnsi="Times New Roman" w:cs="Times New Roman"/>
          <w:sz w:val="24"/>
          <w:szCs w:val="24"/>
          <w:lang w:val="en-GB"/>
        </w:rPr>
        <w:t xml:space="preserve">(iii)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shoqëri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39665B">
        <w:rPr>
          <w:rFonts w:ascii="Times New Roman" w:hAnsi="Times New Roman" w:cs="Times New Roman"/>
          <w:sz w:val="24"/>
          <w:szCs w:val="24"/>
          <w:lang w:val="en-GB"/>
        </w:rPr>
        <w:t>r</w:t>
      </w:r>
      <w:proofErr w:type="spellEnd"/>
      <w:r w:rsid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sigurimi</w:t>
      </w:r>
      <w:r w:rsidR="0039665B">
        <w:rPr>
          <w:rFonts w:ascii="Times New Roman" w:hAnsi="Times New Roman" w:cs="Times New Roman"/>
          <w:sz w:val="24"/>
          <w:szCs w:val="24"/>
          <w:lang w:val="en-GB"/>
        </w:rPr>
        <w:t>n</w:t>
      </w:r>
      <w:proofErr w:type="spellEnd"/>
      <w:r w:rsidR="0039665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jetës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konsiderohet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rezidente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ndodhet</w:t>
      </w:r>
      <w:proofErr w:type="spellEnd"/>
      <w:r w:rsidR="0058378D" w:rsidRPr="0058378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D8C0AE9" w14:textId="77777777" w:rsidR="00AF5A29" w:rsidRDefault="00AF5A29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487C9FF" w14:textId="1246E05B" w:rsidR="00773352" w:rsidRDefault="00DC03C3" w:rsidP="0077335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8D29D6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30920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Kredi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rimbursueshme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” do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thotë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55A2DC5B" w14:textId="77777777" w:rsidR="00773352" w:rsidRPr="00773352" w:rsidRDefault="00773352" w:rsidP="0077335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85D084A" w14:textId="7D7B34F3" w:rsidR="00773352" w:rsidRPr="00773352" w:rsidRDefault="00773352" w:rsidP="0077335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73352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kredi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rimbursueshme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hartuar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mënyrë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tillë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paguhet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pagesë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para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ekuivalent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para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brenda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katër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viteve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data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drejtë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marrë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kredinë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rimbursueshme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ligjeve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juridiksionit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jep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kredi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</w:p>
    <w:p w14:paraId="1413D1C2" w14:textId="750E748D" w:rsidR="00773352" w:rsidRPr="00773352" w:rsidRDefault="00773352" w:rsidP="0039665B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2" w:name="_Hlk231663565"/>
      <w:r w:rsidRPr="00773352">
        <w:rPr>
          <w:rFonts w:ascii="Times New Roman" w:hAnsi="Times New Roman" w:cs="Times New Roman"/>
          <w:sz w:val="24"/>
          <w:szCs w:val="24"/>
          <w:lang w:val="en-GB"/>
        </w:rPr>
        <w:t>b)</w:t>
      </w:r>
      <w:r w:rsid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kredia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pjesërisht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rimbursueshme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pjesa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kredive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rimbursueshme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paguhet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pagesë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para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ekuivalent</w:t>
      </w:r>
      <w:r w:rsidR="0039665B">
        <w:rPr>
          <w:rFonts w:ascii="Times New Roman" w:hAnsi="Times New Roman" w:cs="Times New Roman"/>
          <w:sz w:val="24"/>
          <w:szCs w:val="24"/>
          <w:lang w:val="en-GB"/>
        </w:rPr>
        <w:t>e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para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39665B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brenda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katër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viteve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data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drejtë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marrë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kredinë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pjesshme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rimbursueshme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4E25551" w14:textId="167C67C5" w:rsidR="0039665B" w:rsidRDefault="0039665B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9665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65B">
        <w:rPr>
          <w:rFonts w:ascii="Times New Roman" w:hAnsi="Times New Roman" w:cs="Times New Roman"/>
          <w:sz w:val="24"/>
          <w:szCs w:val="24"/>
          <w:lang w:val="en-GB"/>
        </w:rPr>
        <w:t>kredi</w:t>
      </w:r>
      <w:proofErr w:type="spellEnd"/>
      <w:r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65B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39665B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39665B">
        <w:rPr>
          <w:rFonts w:ascii="Times New Roman" w:hAnsi="Times New Roman" w:cs="Times New Roman"/>
          <w:sz w:val="24"/>
          <w:szCs w:val="24"/>
          <w:lang w:val="en-GB"/>
        </w:rPr>
        <w:t>rimbursueshme</w:t>
      </w:r>
      <w:proofErr w:type="spellEnd"/>
      <w:r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65B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65B">
        <w:rPr>
          <w:rFonts w:ascii="Times New Roman" w:hAnsi="Times New Roman" w:cs="Times New Roman"/>
          <w:sz w:val="24"/>
          <w:szCs w:val="24"/>
          <w:lang w:val="en-GB"/>
        </w:rPr>
        <w:t>përfshin</w:t>
      </w:r>
      <w:proofErr w:type="spellEnd"/>
      <w:r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65B">
        <w:rPr>
          <w:rFonts w:ascii="Times New Roman" w:hAnsi="Times New Roman" w:cs="Times New Roman"/>
          <w:sz w:val="24"/>
          <w:szCs w:val="24"/>
          <w:lang w:val="en-GB"/>
        </w:rPr>
        <w:t>asnjë</w:t>
      </w:r>
      <w:proofErr w:type="spellEnd"/>
      <w:r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65B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6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65B">
        <w:rPr>
          <w:rFonts w:ascii="Times New Roman" w:hAnsi="Times New Roman" w:cs="Times New Roman"/>
          <w:sz w:val="24"/>
          <w:szCs w:val="24"/>
          <w:lang w:val="en-GB"/>
        </w:rPr>
        <w:t>kredisë</w:t>
      </w:r>
      <w:proofErr w:type="spellEnd"/>
      <w:r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65B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65B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65B">
        <w:rPr>
          <w:rFonts w:ascii="Times New Roman" w:hAnsi="Times New Roman" w:cs="Times New Roman"/>
          <w:sz w:val="24"/>
          <w:szCs w:val="24"/>
          <w:lang w:val="en-GB"/>
        </w:rPr>
        <w:t>mund</w:t>
      </w:r>
      <w:proofErr w:type="spellEnd"/>
      <w:r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6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65B">
        <w:rPr>
          <w:rFonts w:ascii="Times New Roman" w:hAnsi="Times New Roman" w:cs="Times New Roman"/>
          <w:sz w:val="24"/>
          <w:szCs w:val="24"/>
          <w:lang w:val="en-GB"/>
        </w:rPr>
        <w:t>kreditohet</w:t>
      </w:r>
      <w:proofErr w:type="spellEnd"/>
      <w:r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65B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6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65B">
        <w:rPr>
          <w:rFonts w:ascii="Times New Roman" w:hAnsi="Times New Roman" w:cs="Times New Roman"/>
          <w:sz w:val="24"/>
          <w:szCs w:val="24"/>
          <w:lang w:val="en-GB"/>
        </w:rPr>
        <w:t>rimbursohet</w:t>
      </w:r>
      <w:proofErr w:type="spellEnd"/>
      <w:r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65B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65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4683A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D4683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A788C">
        <w:rPr>
          <w:rFonts w:ascii="Times New Roman" w:hAnsi="Times New Roman" w:cs="Times New Roman"/>
          <w:sz w:val="24"/>
          <w:szCs w:val="24"/>
          <w:lang w:val="en-GB"/>
        </w:rPr>
        <w:t xml:space="preserve">me </w:t>
      </w:r>
      <w:proofErr w:type="spellStart"/>
      <w:r w:rsidR="00D4683A" w:rsidRPr="00D4683A">
        <w:rPr>
          <w:rFonts w:ascii="Times New Roman" w:hAnsi="Times New Roman" w:cs="Times New Roman"/>
          <w:sz w:val="24"/>
          <w:szCs w:val="24"/>
          <w:lang w:val="en-GB"/>
        </w:rPr>
        <w:t>imputim</w:t>
      </w:r>
      <w:proofErr w:type="spellEnd"/>
      <w:r w:rsidR="00D4683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A788C" w:rsidRPr="005A78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A788C" w:rsidRPr="005A7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A788C" w:rsidRPr="005A788C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5A788C" w:rsidRPr="005A7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65B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65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A788C">
        <w:rPr>
          <w:rFonts w:ascii="Times New Roman" w:hAnsi="Times New Roman" w:cs="Times New Roman"/>
          <w:sz w:val="24"/>
          <w:szCs w:val="24"/>
          <w:lang w:val="en-GB"/>
        </w:rPr>
        <w:t>me</w:t>
      </w:r>
      <w:r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65B">
        <w:rPr>
          <w:rFonts w:ascii="Times New Roman" w:hAnsi="Times New Roman" w:cs="Times New Roman"/>
          <w:sz w:val="24"/>
          <w:szCs w:val="24"/>
          <w:lang w:val="en-GB"/>
        </w:rPr>
        <w:t>im</w:t>
      </w:r>
      <w:r w:rsidRPr="009B2DB7">
        <w:rPr>
          <w:rFonts w:ascii="Times New Roman" w:hAnsi="Times New Roman" w:cs="Times New Roman"/>
          <w:sz w:val="24"/>
          <w:szCs w:val="24"/>
          <w:lang w:val="en-GB"/>
        </w:rPr>
        <w:t>put</w:t>
      </w:r>
      <w:r w:rsidR="005A788C">
        <w:rPr>
          <w:rFonts w:ascii="Times New Roman" w:hAnsi="Times New Roman" w:cs="Times New Roman"/>
          <w:sz w:val="24"/>
          <w:szCs w:val="24"/>
          <w:lang w:val="en-GB"/>
        </w:rPr>
        <w:t>im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A788C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rimbursueshëm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A788C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A788C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skualifikuar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4F84712" w14:textId="77777777" w:rsidR="0039665B" w:rsidRDefault="0039665B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bookmarkEnd w:id="2"/>
    <w:p w14:paraId="0B7617E4" w14:textId="23959357" w:rsidR="00DC03C3" w:rsidRPr="00CE4BE0" w:rsidRDefault="000C0569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40</w:t>
      </w:r>
      <w:r w:rsidR="00DC03C3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30920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Kredi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rimbursueshme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jo e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” do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thotë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kredi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kredi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rimbursueshme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por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rimbursueshme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plotësisht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pjesërisht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B5D92D3" w14:textId="77777777" w:rsidR="00AF5A29" w:rsidRDefault="00AF5A29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E2B0B43" w14:textId="7D75D1CB" w:rsidR="0057140D" w:rsidRPr="00CE4BE0" w:rsidRDefault="00F85047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41</w:t>
      </w:r>
      <w:r w:rsidR="0057140D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30920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="0039665B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caktuar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D4683A">
        <w:rPr>
          <w:rFonts w:ascii="Times New Roman" w:hAnsi="Times New Roman" w:cs="Times New Roman"/>
          <w:sz w:val="24"/>
          <w:szCs w:val="24"/>
          <w:lang w:val="en-GB"/>
        </w:rPr>
        <w:t>eklarim</w:t>
      </w:r>
      <w:proofErr w:type="spellEnd"/>
      <w:r w:rsidR="005E04D0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thotë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përveç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E04D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cil</w:t>
      </w:r>
      <w:r w:rsidR="005E04D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emëruar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4683A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D4683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4683A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3D1EB8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D4683A"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="00D4683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shumëkombësh</w:t>
      </w:r>
      <w:r w:rsidR="00D4683A">
        <w:rPr>
          <w:rFonts w:ascii="Times New Roman" w:hAnsi="Times New Roman" w:cs="Times New Roman"/>
          <w:sz w:val="24"/>
          <w:szCs w:val="24"/>
          <w:lang w:val="en-GB"/>
        </w:rPr>
        <w:t>e</w:t>
      </w:r>
      <w:proofErr w:type="spellEnd"/>
      <w:r w:rsid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5E04D0">
        <w:rPr>
          <w:rFonts w:ascii="Times New Roman" w:hAnsi="Times New Roman" w:cs="Times New Roman"/>
          <w:sz w:val="24"/>
          <w:szCs w:val="24"/>
          <w:lang w:val="en-GB"/>
        </w:rPr>
        <w:t>r</w:t>
      </w:r>
      <w:proofErr w:type="spellEnd"/>
      <w:r w:rsid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përmbushur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detyrimet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D4683A">
        <w:rPr>
          <w:rFonts w:ascii="Times New Roman" w:hAnsi="Times New Roman" w:cs="Times New Roman"/>
          <w:sz w:val="24"/>
          <w:szCs w:val="24"/>
          <w:lang w:val="en-GB"/>
        </w:rPr>
        <w:t>eklarimit</w:t>
      </w:r>
      <w:proofErr w:type="spellEnd"/>
      <w:r w:rsidR="00D4683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përcaktuara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Nenin 54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kë</w:t>
      </w:r>
      <w:r w:rsidR="005E04D0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emër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AB7580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="0039665B" w:rsidRPr="00AB75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AB7580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 w:rsidRP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5E04D0" w:rsidRPr="00AB75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AB7580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FA0FBD" w:rsidRP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5E04D0" w:rsidRPr="00AB7580"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="0039665B" w:rsidRPr="00AB75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AB7580">
        <w:rPr>
          <w:rFonts w:ascii="Times New Roman" w:hAnsi="Times New Roman" w:cs="Times New Roman"/>
          <w:sz w:val="24"/>
          <w:szCs w:val="24"/>
          <w:lang w:val="en-GB"/>
        </w:rPr>
        <w:t>shum</w:t>
      </w:r>
      <w:r w:rsidR="00FA0FBD" w:rsidRP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5E04D0" w:rsidRPr="00AB7580">
        <w:rPr>
          <w:rFonts w:ascii="Times New Roman" w:hAnsi="Times New Roman" w:cs="Times New Roman"/>
          <w:sz w:val="24"/>
          <w:szCs w:val="24"/>
          <w:lang w:val="en-GB"/>
        </w:rPr>
        <w:t>komb</w:t>
      </w:r>
      <w:r w:rsidR="00FA0FBD" w:rsidRP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5E04D0" w:rsidRPr="00AB7580">
        <w:rPr>
          <w:rFonts w:ascii="Times New Roman" w:hAnsi="Times New Roman" w:cs="Times New Roman"/>
          <w:sz w:val="24"/>
          <w:szCs w:val="24"/>
          <w:lang w:val="en-GB"/>
        </w:rPr>
        <w:t>she</w:t>
      </w:r>
      <w:proofErr w:type="spellEnd"/>
      <w:r w:rsid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9665B" w:rsidRPr="003966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65B" w:rsidRPr="00AB4D02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="0039665B"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AB4D02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 w:rsidRPr="00AB4D02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5E04D0"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AB4D02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="005E04D0"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AB4D02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="005E04D0" w:rsidRPr="00AB4D0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2BCEC0F" w14:textId="77777777" w:rsidR="00AF5A29" w:rsidRDefault="00AF5A29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45BEE7F" w14:textId="75D25938" w:rsidR="0057140D" w:rsidRPr="00CE4BE0" w:rsidRDefault="0057140D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851B1">
        <w:rPr>
          <w:rFonts w:ascii="Times New Roman" w:hAnsi="Times New Roman" w:cs="Times New Roman"/>
          <w:sz w:val="24"/>
          <w:szCs w:val="24"/>
          <w:lang w:val="en-GB"/>
        </w:rPr>
        <w:lastRenderedPageBreak/>
        <w:t>4</w:t>
      </w:r>
      <w:r w:rsidR="004E6E35" w:rsidRPr="009851B1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9851B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30920" w:rsidRPr="009851B1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="005E04D0" w:rsidRPr="009851B1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5E04D0" w:rsidRPr="009851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9851B1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5E04D0" w:rsidRPr="009851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9851B1">
        <w:rPr>
          <w:rFonts w:ascii="Times New Roman" w:hAnsi="Times New Roman" w:cs="Times New Roman"/>
          <w:sz w:val="24"/>
          <w:szCs w:val="24"/>
          <w:lang w:val="en-GB"/>
        </w:rPr>
        <w:t>caktuar</w:t>
      </w:r>
      <w:proofErr w:type="spellEnd"/>
      <w:r w:rsidR="005E04D0" w:rsidRPr="009851B1">
        <w:rPr>
          <w:rFonts w:ascii="Times New Roman" w:hAnsi="Times New Roman" w:cs="Times New Roman"/>
          <w:sz w:val="24"/>
          <w:szCs w:val="24"/>
          <w:lang w:val="en-GB"/>
        </w:rPr>
        <w:t xml:space="preserve"> vendor” do</w:t>
      </w:r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thotë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5E04D0">
        <w:rPr>
          <w:rFonts w:ascii="Times New Roman" w:hAnsi="Times New Roman" w:cs="Times New Roman"/>
          <w:sz w:val="24"/>
          <w:szCs w:val="24"/>
          <w:lang w:val="en-GB"/>
        </w:rPr>
        <w:t>rie</w:t>
      </w:r>
      <w:proofErr w:type="spellEnd"/>
      <w:r w:rsid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AB4D02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5E04D0"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AB4D02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 w:rsidRPr="00AB4D02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5E04D0"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AB4D02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="005E04D0"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AB4D02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="005E04D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cil</w:t>
      </w:r>
      <w:r w:rsidR="005E04D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ndodhet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emëruar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tjera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njëjtit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paraqitur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deklaratën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informacionit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dorëzuar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njoftimet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me Nenin 54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kë</w:t>
      </w:r>
      <w:r w:rsidR="005E04D0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emër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tyre.</w:t>
      </w:r>
    </w:p>
    <w:p w14:paraId="18190F2D" w14:textId="77777777" w:rsidR="00AF5A29" w:rsidRDefault="00AF5A29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55564D5" w14:textId="2265492E" w:rsidR="005E04D0" w:rsidRPr="00CE4BE0" w:rsidRDefault="0057140D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E251D1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30920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Marrëveshje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ndërmjet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autoriteteve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kompetente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” do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thotë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marrëveshje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rregullim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dypalësh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shumëpalësh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ndërmjet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dy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autoriteteve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kompetente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parashikon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shkëmbimin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automatik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deklaratave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vjetore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informacionit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04D0" w:rsidRPr="005E04D0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5E04D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6D842E0" w14:textId="77777777" w:rsidR="00DC18E0" w:rsidRPr="00CE4BE0" w:rsidRDefault="00DC18E0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561C228" w14:textId="02F8E806" w:rsidR="00DC18E0" w:rsidRDefault="008404FC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A74D7C"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E31669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proofErr w:type="spellStart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>nënkupton</w:t>
      </w:r>
      <w:proofErr w:type="spellEnd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>cili</w:t>
      </w:r>
      <w:proofErr w:type="spellEnd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>përjashtuar</w:t>
      </w:r>
      <w:proofErr w:type="spellEnd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>ndërmjetëm</w:t>
      </w:r>
      <w:proofErr w:type="spellEnd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>pronësi</w:t>
      </w:r>
      <w:proofErr w:type="spellEnd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>pjesshme</w:t>
      </w:r>
      <w:proofErr w:type="spellEnd"/>
      <w:r w:rsidR="00E31669" w:rsidRPr="00E3166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C8E9361" w14:textId="77777777" w:rsidR="00E31669" w:rsidRDefault="00E31669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E92D624" w14:textId="77777777" w:rsidR="00E31669" w:rsidRPr="00E31669" w:rsidRDefault="00E31669" w:rsidP="00E3166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1669">
        <w:rPr>
          <w:rFonts w:ascii="Times New Roman" w:hAnsi="Times New Roman" w:cs="Times New Roman"/>
          <w:sz w:val="24"/>
          <w:szCs w:val="24"/>
          <w:lang w:val="en-GB"/>
        </w:rPr>
        <w:t>45. “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kryesor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nënkupton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entitetin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përfshin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pasqyrat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humbjet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selie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22DE0F8" w14:textId="77777777" w:rsidR="00E31669" w:rsidRPr="00E31669" w:rsidRDefault="00E31669" w:rsidP="00E3166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51C6548" w14:textId="77777777" w:rsidR="00E31669" w:rsidRPr="00E31669" w:rsidRDefault="00E31669" w:rsidP="00E3166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1669">
        <w:rPr>
          <w:rFonts w:ascii="Times New Roman" w:hAnsi="Times New Roman" w:cs="Times New Roman"/>
          <w:sz w:val="24"/>
          <w:szCs w:val="24"/>
          <w:lang w:val="en-GB"/>
        </w:rPr>
        <w:t>46. “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pa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nënkupton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ndodhet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asnjë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D66572A" w14:textId="77777777" w:rsidR="00E31669" w:rsidRPr="00E31669" w:rsidRDefault="00E31669" w:rsidP="00E3166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A2AE890" w14:textId="738176EE" w:rsidR="00E31669" w:rsidRPr="00E31669" w:rsidRDefault="00E31669" w:rsidP="00E3166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1669">
        <w:rPr>
          <w:rFonts w:ascii="Times New Roman" w:hAnsi="Times New Roman" w:cs="Times New Roman"/>
          <w:sz w:val="24"/>
          <w:szCs w:val="24"/>
          <w:lang w:val="en-GB"/>
        </w:rPr>
        <w:t>47. “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Interes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E31669">
        <w:rPr>
          <w:rFonts w:ascii="Times New Roman" w:hAnsi="Times New Roman" w:cs="Times New Roman"/>
          <w:sz w:val="24"/>
          <w:szCs w:val="24"/>
          <w:lang w:val="en-GB"/>
        </w:rPr>
        <w:t>pronësor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”</w:t>
      </w:r>
      <w:proofErr w:type="gram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nënkupton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interes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sjell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drejta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fitimet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kapitalin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rezervat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selie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B288AFF" w14:textId="77777777" w:rsidR="00E31669" w:rsidRPr="00E31669" w:rsidRDefault="00E31669" w:rsidP="00E3166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D691255" w14:textId="2921E48A" w:rsidR="00E31669" w:rsidRPr="00E31669" w:rsidRDefault="00E31669" w:rsidP="00E3166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1669">
        <w:rPr>
          <w:rFonts w:ascii="Times New Roman" w:hAnsi="Times New Roman" w:cs="Times New Roman"/>
          <w:sz w:val="24"/>
          <w:szCs w:val="24"/>
          <w:lang w:val="en-GB"/>
        </w:rPr>
        <w:t>48. “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Interes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pronësor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”,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nënkupton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interes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pronësor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sjell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drejta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fitimet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kapitalin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rezervat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selie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2F11B79" w14:textId="77777777" w:rsidR="00E31669" w:rsidRPr="00E31669" w:rsidRDefault="00E31669" w:rsidP="00E3166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EC0235C" w14:textId="72D7179B" w:rsidR="00E31669" w:rsidRDefault="00E31669" w:rsidP="00E3166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49.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35612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E31669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njohja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juridiksioni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zbatues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RPA</w:t>
      </w:r>
      <w:r w:rsidR="006F54CF">
        <w:rPr>
          <w:rFonts w:ascii="Times New Roman" w:hAnsi="Times New Roman" w:cs="Times New Roman"/>
          <w:sz w:val="24"/>
          <w:szCs w:val="24"/>
          <w:lang w:val="en-GB"/>
        </w:rPr>
        <w:t>-je</w:t>
      </w:r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6574E3" w:rsidRPr="006F54CF">
        <w:rPr>
          <w:rFonts w:ascii="Times New Roman" w:hAnsi="Times New Roman" w:cs="Times New Roman"/>
          <w:sz w:val="24"/>
          <w:szCs w:val="24"/>
          <w:lang w:val="en-GB"/>
        </w:rPr>
        <w:t>RFN</w:t>
      </w:r>
      <w:r w:rsidR="006F54CF">
        <w:rPr>
          <w:rFonts w:ascii="Times New Roman" w:hAnsi="Times New Roman" w:cs="Times New Roman"/>
          <w:sz w:val="24"/>
          <w:szCs w:val="24"/>
          <w:lang w:val="en-GB"/>
        </w:rPr>
        <w:t>-je</w:t>
      </w:r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F54CF" w:rsidRPr="006F54CF">
        <w:rPr>
          <w:rFonts w:ascii="Times New Roman" w:hAnsi="Times New Roman" w:cs="Times New Roman"/>
          <w:sz w:val="24"/>
          <w:szCs w:val="24"/>
          <w:lang w:val="en-GB"/>
        </w:rPr>
        <w:t xml:space="preserve">Minimal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A54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Brendshëm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A54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07156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C071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përfitues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07156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C07156" w:rsidRPr="00C07156">
        <w:rPr>
          <w:rFonts w:ascii="Times New Roman" w:hAnsi="Times New Roman" w:cs="Times New Roman"/>
          <w:sz w:val="24"/>
          <w:szCs w:val="24"/>
          <w:lang w:val="en-GB"/>
        </w:rPr>
        <w:t xml:space="preserve">ase </w:t>
      </w:r>
      <w:r w:rsidR="001A5482">
        <w:rPr>
          <w:rFonts w:ascii="Times New Roman" w:hAnsi="Times New Roman" w:cs="Times New Roman"/>
          <w:sz w:val="24"/>
          <w:szCs w:val="24"/>
          <w:lang w:val="en-GB"/>
        </w:rPr>
        <w:t>Lehtësuese</w:t>
      </w:r>
      <w:r w:rsidRPr="00C07156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përcaktohet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A5482">
        <w:rPr>
          <w:rFonts w:ascii="Times New Roman" w:hAnsi="Times New Roman" w:cs="Times New Roman"/>
          <w:sz w:val="24"/>
          <w:szCs w:val="24"/>
          <w:lang w:val="en-GB"/>
        </w:rPr>
        <w:t>detyrimisht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bazë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rezultateve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zyrtare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rishikimit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kolegët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regjistrimeve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qendrore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publikuara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Korniza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Gjithëpërfshirëse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e OECD/G20 </w:t>
      </w:r>
      <w:proofErr w:type="spellStart"/>
      <w:r w:rsidRPr="00E3166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E31669">
        <w:rPr>
          <w:rFonts w:ascii="Times New Roman" w:hAnsi="Times New Roman" w:cs="Times New Roman"/>
          <w:sz w:val="24"/>
          <w:szCs w:val="24"/>
          <w:lang w:val="en-GB"/>
        </w:rPr>
        <w:t xml:space="preserve"> BEPS.</w:t>
      </w:r>
    </w:p>
    <w:p w14:paraId="0E66BEC4" w14:textId="77777777" w:rsidR="005E04D0" w:rsidRPr="00CE4BE0" w:rsidRDefault="005E04D0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4A180E6" w14:textId="615E07FC" w:rsidR="008404FC" w:rsidRPr="00CE4BE0" w:rsidRDefault="00E31669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50</w:t>
      </w:r>
      <w:r w:rsidR="008404FC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Recitalin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24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Direktivës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Këshillit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(BE) 2022/2523,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gjatë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zbatimit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kë</w:t>
      </w:r>
      <w:r w:rsidR="00C527C4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, do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përdoren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burim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ilustrimi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interpretimi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Rregullat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527C4">
        <w:rPr>
          <w:rFonts w:ascii="Times New Roman" w:hAnsi="Times New Roman" w:cs="Times New Roman"/>
          <w:sz w:val="24"/>
          <w:szCs w:val="24"/>
          <w:lang w:val="en-GB"/>
        </w:rPr>
        <w:t xml:space="preserve">e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Model</w:t>
      </w:r>
      <w:r w:rsidR="00C527C4">
        <w:rPr>
          <w:rFonts w:ascii="Times New Roman" w:hAnsi="Times New Roman" w:cs="Times New Roman"/>
          <w:sz w:val="24"/>
          <w:szCs w:val="24"/>
          <w:lang w:val="en-GB"/>
        </w:rPr>
        <w:t>it</w:t>
      </w:r>
      <w:proofErr w:type="spellEnd"/>
      <w:r w:rsid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OECD-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shpjegimet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shembujt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proofErr w:type="spellStart"/>
      <w:r w:rsidR="00C527C4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fidat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Lindin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Digjitalizimi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Ekonomisë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Komentari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Rregullat</w:t>
      </w:r>
      <w:proofErr w:type="spellEnd"/>
      <w:r w:rsid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Global</w:t>
      </w:r>
      <w:r w:rsidR="00C527C4">
        <w:rPr>
          <w:rFonts w:ascii="Times New Roman" w:hAnsi="Times New Roman" w:cs="Times New Roman"/>
          <w:sz w:val="24"/>
          <w:szCs w:val="24"/>
          <w:lang w:val="en-GB"/>
        </w:rPr>
        <w:t>e</w:t>
      </w:r>
      <w:proofErr w:type="spellEnd"/>
      <w:r w:rsid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>
        <w:rPr>
          <w:rFonts w:ascii="Times New Roman" w:hAnsi="Times New Roman" w:cs="Times New Roman"/>
          <w:sz w:val="24"/>
          <w:szCs w:val="24"/>
          <w:lang w:val="en-GB"/>
        </w:rPr>
        <w:t>Modelit</w:t>
      </w:r>
      <w:proofErr w:type="spellEnd"/>
      <w:r w:rsid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Kundër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Gërryerjes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Bazës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Shtylla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Dytë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”,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publikuara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Kuadri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Gjithëpërfshirës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OECD/G20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BEPS,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K</w:t>
      </w:r>
      <w:r w:rsidR="00C527C4">
        <w:rPr>
          <w:rFonts w:ascii="Times New Roman" w:hAnsi="Times New Roman" w:cs="Times New Roman"/>
          <w:sz w:val="24"/>
          <w:szCs w:val="24"/>
          <w:lang w:val="en-GB"/>
        </w:rPr>
        <w:t>uadri</w:t>
      </w:r>
      <w:proofErr w:type="spellEnd"/>
      <w:r w:rsid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Zbatimit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GloBE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përfshirë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rregullat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saj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07156">
        <w:rPr>
          <w:rFonts w:ascii="Times New Roman" w:hAnsi="Times New Roman" w:cs="Times New Roman"/>
          <w:sz w:val="24"/>
          <w:szCs w:val="24"/>
          <w:lang w:val="en-GB"/>
        </w:rPr>
        <w:t>Mas</w:t>
      </w:r>
      <w:r w:rsidR="003D1EB8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C07156">
        <w:rPr>
          <w:rFonts w:ascii="Times New Roman" w:hAnsi="Times New Roman" w:cs="Times New Roman"/>
          <w:sz w:val="24"/>
          <w:szCs w:val="24"/>
          <w:lang w:val="en-GB"/>
        </w:rPr>
        <w:t>n</w:t>
      </w:r>
      <w:proofErr w:type="spellEnd"/>
      <w:r w:rsidR="00C07156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07156">
        <w:rPr>
          <w:rFonts w:ascii="Times New Roman" w:hAnsi="Times New Roman" w:cs="Times New Roman"/>
          <w:sz w:val="24"/>
          <w:szCs w:val="24"/>
          <w:lang w:val="en-GB"/>
        </w:rPr>
        <w:t>Siguris</w:t>
      </w:r>
      <w:r w:rsidR="003D1EB8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C0715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ashtu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siç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ndryshuar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përditësuar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qëllim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sigurimin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zbatimi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njëtrajtshëm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aq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këto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burime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Ligj</w:t>
      </w:r>
      <w:proofErr w:type="spellEnd"/>
      <w:r w:rsidR="00264CAE" w:rsidRPr="00264CAE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Ministri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përgjegjës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financat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përcakton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udhëzim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faqet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zyrtare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internetit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publikohen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këto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dokumente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përditësimet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e tyre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fundit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regjistrat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qendrorë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përmendur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44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paragraf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8A2182B" w14:textId="77777777" w:rsidR="00137B56" w:rsidRPr="00CE4BE0" w:rsidRDefault="00137B56" w:rsidP="00B91D68">
      <w:pPr>
        <w:pStyle w:val="Heading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en-GB"/>
        </w:rPr>
      </w:pPr>
    </w:p>
    <w:p w14:paraId="4E979000" w14:textId="77777777" w:rsidR="00A25F90" w:rsidRDefault="00A25F90" w:rsidP="00B91D68">
      <w:pPr>
        <w:pStyle w:val="Heading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en-GB"/>
        </w:rPr>
      </w:pPr>
    </w:p>
    <w:p w14:paraId="694E1B76" w14:textId="0A1E7C69" w:rsidR="002B0B4A" w:rsidRPr="00CE4BE0" w:rsidRDefault="00C527C4" w:rsidP="00B91D68">
      <w:pPr>
        <w:pStyle w:val="Heading3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en-GB"/>
        </w:rPr>
        <w:t>Neni</w:t>
      </w:r>
      <w:r w:rsidR="00120B1B" w:rsidRPr="00CE4BE0">
        <w:rPr>
          <w:rFonts w:ascii="Times New Roman" w:hAnsi="Times New Roman" w:cs="Times New Roman"/>
          <w:b w:val="0"/>
          <w:color w:val="auto"/>
          <w:sz w:val="24"/>
          <w:szCs w:val="24"/>
          <w:lang w:val="en-GB"/>
        </w:rPr>
        <w:t xml:space="preserve"> </w:t>
      </w:r>
      <w:r w:rsidR="00E86F93" w:rsidRPr="00CE4BE0">
        <w:rPr>
          <w:rFonts w:ascii="Times New Roman" w:hAnsi="Times New Roman" w:cs="Times New Roman"/>
          <w:b w:val="0"/>
          <w:color w:val="auto"/>
          <w:sz w:val="24"/>
          <w:szCs w:val="24"/>
          <w:lang w:val="en-GB"/>
        </w:rPr>
        <w:t>5</w:t>
      </w:r>
      <w:r w:rsidR="00120B1B" w:rsidRPr="00CE4BE0">
        <w:rPr>
          <w:rFonts w:ascii="Times New Roman" w:hAnsi="Times New Roman" w:cs="Times New Roman"/>
          <w:color w:val="auto"/>
          <w:sz w:val="24"/>
          <w:szCs w:val="24"/>
          <w:lang w:val="en-GB"/>
        </w:rPr>
        <w:br/>
      </w:r>
      <w:proofErr w:type="spellStart"/>
      <w:r w:rsidRPr="00C527C4">
        <w:rPr>
          <w:rFonts w:ascii="Times New Roman" w:hAnsi="Times New Roman" w:cs="Times New Roman"/>
          <w:color w:val="auto"/>
          <w:sz w:val="24"/>
          <w:szCs w:val="24"/>
          <w:lang w:val="en-GB"/>
        </w:rPr>
        <w:t>Vendndodhja</w:t>
      </w:r>
      <w:proofErr w:type="spellEnd"/>
      <w:r w:rsidRPr="00C527C4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</w:t>
      </w:r>
      <w:proofErr w:type="spellStart"/>
      <w:r w:rsidR="00542CE3">
        <w:rPr>
          <w:rFonts w:ascii="Times New Roman" w:hAnsi="Times New Roman" w:cs="Times New Roman"/>
          <w:color w:val="auto"/>
          <w:sz w:val="24"/>
          <w:szCs w:val="24"/>
          <w:lang w:val="en-GB"/>
        </w:rPr>
        <w:t>një</w:t>
      </w:r>
      <w:proofErr w:type="spellEnd"/>
      <w:r w:rsidR="00542CE3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C527C4">
        <w:rPr>
          <w:rFonts w:ascii="Times New Roman" w:hAnsi="Times New Roman" w:cs="Times New Roman"/>
          <w:color w:val="auto"/>
          <w:sz w:val="24"/>
          <w:szCs w:val="24"/>
          <w:lang w:val="en-GB"/>
        </w:rPr>
        <w:t>Entiteti</w:t>
      </w:r>
      <w:proofErr w:type="spellEnd"/>
      <w:r w:rsidR="00542CE3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C527C4">
        <w:rPr>
          <w:rFonts w:ascii="Times New Roman" w:hAnsi="Times New Roman" w:cs="Times New Roman"/>
          <w:color w:val="auto"/>
          <w:sz w:val="24"/>
          <w:szCs w:val="24"/>
          <w:lang w:val="en-GB"/>
        </w:rPr>
        <w:t>Përbërës</w:t>
      </w:r>
      <w:proofErr w:type="spellEnd"/>
    </w:p>
    <w:p w14:paraId="183938FF" w14:textId="77777777" w:rsidR="00B91D68" w:rsidRPr="00CE4BE0" w:rsidRDefault="00B91D68" w:rsidP="00B91D68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723BD9D" w14:textId="51B390E3" w:rsidR="00B91D68" w:rsidRDefault="00120B1B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1.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përveç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222E37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C527C4" w:rsidRPr="00222E37">
        <w:rPr>
          <w:rFonts w:ascii="Times New Roman" w:hAnsi="Times New Roman" w:cs="Times New Roman"/>
          <w:sz w:val="24"/>
          <w:szCs w:val="24"/>
          <w:lang w:val="en-GB"/>
        </w:rPr>
        <w:t xml:space="preserve"> transparent </w:t>
      </w:r>
      <w:proofErr w:type="spellStart"/>
      <w:r w:rsidR="00C527C4" w:rsidRPr="00222E37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="00C527C4" w:rsidRPr="00222E3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konsiderohet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ndodhet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konsiderohet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rezident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qëllime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bazuar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vendin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administrimit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vendin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themelimit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kritere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tjera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ngjashme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40463E4" w14:textId="77777777" w:rsidR="001712C5" w:rsidRPr="00CE4BE0" w:rsidRDefault="001712C5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F5ADB32" w14:textId="408FF0B0" w:rsidR="00B91D68" w:rsidRPr="00CE4BE0" w:rsidRDefault="00120B1B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2. </w:t>
      </w:r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Kur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mundur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përcaktohet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vendndodhja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përveç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transparent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="00C527C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bazë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1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, ai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konsiderohet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ndodhet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krijuar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81AC5AE" w14:textId="77777777" w:rsidR="001712C5" w:rsidRDefault="001712C5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BF838C1" w14:textId="6C785E11" w:rsidR="00B91D68" w:rsidRPr="00CE4BE0" w:rsidRDefault="00120B1B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3.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transparent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konsiderohet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pa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shtetësi</w:t>
      </w:r>
      <w:proofErr w:type="spellEnd"/>
      <w:r w:rsidR="007F2D4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përveç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rastit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F2D4A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7F2D4A">
        <w:rPr>
          <w:rFonts w:ascii="Times New Roman" w:hAnsi="Times New Roman" w:cs="Times New Roman"/>
          <w:sz w:val="24"/>
          <w:szCs w:val="24"/>
          <w:lang w:val="en-GB"/>
        </w:rPr>
        <w:t>rie</w:t>
      </w:r>
      <w:proofErr w:type="spellEnd"/>
      <w:r w:rsidR="007F2D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F2D4A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7F2D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F2D4A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="007F2D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F2D4A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atij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kërkohet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zbatojë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222E37">
        <w:rPr>
          <w:rFonts w:ascii="Times New Roman" w:hAnsi="Times New Roman" w:cs="Times New Roman"/>
          <w:sz w:val="24"/>
          <w:szCs w:val="24"/>
          <w:lang w:val="en-GB"/>
        </w:rPr>
        <w:t>Rregullin</w:t>
      </w:r>
      <w:proofErr w:type="spellEnd"/>
      <w:r w:rsidR="00C527C4" w:rsidRPr="00222E3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527C4" w:rsidRPr="00222E37">
        <w:rPr>
          <w:rFonts w:ascii="Times New Roman" w:hAnsi="Times New Roman" w:cs="Times New Roman"/>
          <w:sz w:val="24"/>
          <w:szCs w:val="24"/>
          <w:lang w:val="en-GB"/>
        </w:rPr>
        <w:t>Përfshirjes</w:t>
      </w:r>
      <w:proofErr w:type="spellEnd"/>
      <w:r w:rsidR="00C527C4" w:rsidRPr="00222E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222E37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C527C4" w:rsidRPr="00222E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222E3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27C4" w:rsidRPr="00222E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C527C4" w:rsidRPr="00222E37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222E37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End"/>
      <w:r w:rsidR="00222E37">
        <w:rPr>
          <w:rFonts w:ascii="Times New Roman" w:hAnsi="Times New Roman" w:cs="Times New Roman"/>
          <w:sz w:val="24"/>
          <w:szCs w:val="24"/>
          <w:lang w:val="en-GB"/>
        </w:rPr>
        <w:t>RPA)</w:t>
      </w:r>
      <w:r w:rsidR="0037688C" w:rsidRPr="00222E3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nenet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6, 7, 8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9</w:t>
      </w:r>
      <w:r w:rsidR="00222E3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22E37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këto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raste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transparent</w:t>
      </w:r>
      <w:r w:rsidR="00222E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22E37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konsiderohet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krijuar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themeluar</w:t>
      </w:r>
      <w:proofErr w:type="spellEnd"/>
      <w:r w:rsidR="00C527C4" w:rsidRPr="00C527C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BE0934D" w14:textId="77777777" w:rsidR="001712C5" w:rsidRDefault="001712C5" w:rsidP="00AC2B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600EFC2" w14:textId="68AA8003" w:rsidR="00480F9F" w:rsidRDefault="00AC2BBB" w:rsidP="00480F9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4.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Vendndodhja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selie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përcaktohet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poshtë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6A7BD83" w14:textId="77777777" w:rsidR="00480F9F" w:rsidRPr="00480F9F" w:rsidRDefault="00480F9F" w:rsidP="00480F9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CFAD559" w14:textId="1E8C1E2D" w:rsidR="00480F9F" w:rsidRPr="00480F9F" w:rsidRDefault="00480F9F" w:rsidP="00480F9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0F9F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>seli</w:t>
      </w:r>
      <w:proofErr w:type="spellEnd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>përcaktimit</w:t>
      </w:r>
      <w:proofErr w:type="spellEnd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>shkronjën</w:t>
      </w:r>
      <w:proofErr w:type="spellEnd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 xml:space="preserve"> “a” </w:t>
      </w:r>
      <w:proofErr w:type="spellStart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 xml:space="preserve"> 13, </w:t>
      </w:r>
      <w:proofErr w:type="spellStart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 xml:space="preserve"> 4, </w:t>
      </w:r>
      <w:proofErr w:type="spellStart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>ajo</w:t>
      </w:r>
      <w:proofErr w:type="spellEnd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>konsiderohet</w:t>
      </w:r>
      <w:proofErr w:type="spellEnd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>trajtohet</w:t>
      </w:r>
      <w:proofErr w:type="spellEnd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>seli</w:t>
      </w:r>
      <w:proofErr w:type="spellEnd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>marrëveshjes</w:t>
      </w:r>
      <w:proofErr w:type="spellEnd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>zbatueshme</w:t>
      </w:r>
      <w:proofErr w:type="spellEnd"/>
      <w:r w:rsidR="00280413" w:rsidRPr="00280413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DD77226" w14:textId="018F5F10" w:rsidR="00480F9F" w:rsidRPr="00480F9F" w:rsidRDefault="00480F9F" w:rsidP="00480F9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0F9F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seli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përcaktimit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80413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shkronjë</w:t>
      </w:r>
      <w:r w:rsidR="00280413">
        <w:rPr>
          <w:rFonts w:ascii="Times New Roman" w:hAnsi="Times New Roman" w:cs="Times New Roman"/>
          <w:sz w:val="24"/>
          <w:szCs w:val="24"/>
          <w:lang w:val="en-GB"/>
        </w:rPr>
        <w:t>n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“b”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13</w:t>
      </w:r>
      <w:r w:rsidR="0037688C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4</w:t>
      </w:r>
      <w:r w:rsidR="0037688C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80413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ajo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konsiderohet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bazën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shkak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pranisë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saj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>
        <w:rPr>
          <w:rFonts w:ascii="Times New Roman" w:hAnsi="Times New Roman" w:cs="Times New Roman"/>
          <w:sz w:val="24"/>
          <w:szCs w:val="24"/>
          <w:lang w:val="en-GB"/>
        </w:rPr>
        <w:t>biznesore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D430C33" w14:textId="2A6F7E2B" w:rsidR="00480F9F" w:rsidRPr="00480F9F" w:rsidRDefault="00480F9F" w:rsidP="00480F9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0F9F">
        <w:rPr>
          <w:rFonts w:ascii="Times New Roman" w:hAnsi="Times New Roman" w:cs="Times New Roman"/>
          <w:sz w:val="24"/>
          <w:szCs w:val="24"/>
          <w:lang w:val="en-GB"/>
        </w:rPr>
        <w:t xml:space="preserve">c)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seli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përcaktimit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80413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shkronjë</w:t>
      </w:r>
      <w:r w:rsidR="00280413">
        <w:rPr>
          <w:rFonts w:ascii="Times New Roman" w:hAnsi="Times New Roman" w:cs="Times New Roman"/>
          <w:sz w:val="24"/>
          <w:szCs w:val="24"/>
          <w:lang w:val="en-GB"/>
        </w:rPr>
        <w:t>n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“c”</w:t>
      </w:r>
      <w:r w:rsidR="0028041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13</w:t>
      </w:r>
      <w:r w:rsidR="0028041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4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80413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ajo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konsiderohet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ndodhet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F782940" w14:textId="3AEA3B27" w:rsidR="00B91D68" w:rsidRPr="00CE4BE0" w:rsidRDefault="00480F9F" w:rsidP="00480F9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0F9F">
        <w:rPr>
          <w:rFonts w:ascii="Times New Roman" w:hAnsi="Times New Roman" w:cs="Times New Roman"/>
          <w:sz w:val="24"/>
          <w:szCs w:val="24"/>
          <w:lang w:val="en-GB"/>
        </w:rPr>
        <w:t xml:space="preserve">d)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seli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përcaktimit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80413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shkronjë</w:t>
      </w:r>
      <w:r w:rsidR="00280413">
        <w:rPr>
          <w:rFonts w:ascii="Times New Roman" w:hAnsi="Times New Roman" w:cs="Times New Roman"/>
          <w:sz w:val="24"/>
          <w:szCs w:val="24"/>
          <w:lang w:val="en-GB"/>
        </w:rPr>
        <w:t>n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“d”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13</w:t>
      </w:r>
      <w:r w:rsidR="0028041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4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80413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ajo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konsiderohet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pa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shtetësi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160807B" w14:textId="77777777" w:rsidR="001712C5" w:rsidRDefault="001712C5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B1454F0" w14:textId="5B5CCE67" w:rsidR="001A56B1" w:rsidRDefault="00120B1B" w:rsidP="001A56B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5.</w:t>
      </w:r>
      <w:r w:rsidR="00B91D68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Kur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ndodhet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dy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juridiksione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këto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juridiksione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kanë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marrëveshje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zbatueshme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zbatohen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rregullat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5AAC69B6" w14:textId="77777777" w:rsidR="001A56B1" w:rsidRPr="001A56B1" w:rsidRDefault="001A56B1" w:rsidP="001A56B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60B59D3" w14:textId="02D885DE" w:rsidR="001A56B1" w:rsidRPr="001A56B1" w:rsidRDefault="001A56B1" w:rsidP="001A56B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A56B1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konsiderohet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trajtohet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rezident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qëllime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asaj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marrëveshjeje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C81B6F0" w14:textId="46EC69FD" w:rsidR="001A56B1" w:rsidRPr="001A56B1" w:rsidRDefault="001A56B1" w:rsidP="001A56B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A56B1">
        <w:rPr>
          <w:rFonts w:ascii="Times New Roman" w:hAnsi="Times New Roman" w:cs="Times New Roman"/>
          <w:sz w:val="24"/>
          <w:szCs w:val="24"/>
          <w:lang w:val="en-GB"/>
        </w:rPr>
        <w:t>b)</w:t>
      </w:r>
      <w:r w:rsid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marrëveshja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zbatueshme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kërkon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autoritetet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kompetente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arrijnë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marrëveshje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ndërsjellë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përcaktimin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rezidencës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supozuar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arrihet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asnjë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marrëveshje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zbatohet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paragrafi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6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E2C1CD2" w14:textId="1383B9BC" w:rsidR="00B91D68" w:rsidRPr="00CE4BE0" w:rsidRDefault="001A56B1" w:rsidP="001A56B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A56B1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c) </w:t>
      </w:r>
      <w:proofErr w:type="spellStart"/>
      <w:r w:rsidR="0037688C">
        <w:rPr>
          <w:rFonts w:ascii="Times New Roman" w:hAnsi="Times New Roman" w:cs="Times New Roman"/>
          <w:sz w:val="24"/>
          <w:szCs w:val="24"/>
          <w:lang w:val="en-GB"/>
        </w:rPr>
        <w:t>k</w:t>
      </w:r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ur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marrëveshjes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zbatueshme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ofrohet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lehtësim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dyfishtë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shkak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rezident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qëllime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dy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palët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kontraktuese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zbatohet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paragrafi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6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3ECFB69" w14:textId="77777777" w:rsidR="001712C5" w:rsidRDefault="001712C5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3368851" w14:textId="3D73A340" w:rsidR="00705470" w:rsidRPr="00705470" w:rsidRDefault="00120B1B" w:rsidP="0070547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6. </w:t>
      </w:r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Kur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ndodhet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dy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juridiksione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këto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juridiksione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kanë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marrëveshje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zbatueshme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zbatohen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rregullat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3E1881F6" w14:textId="707DE50C" w:rsidR="00705470" w:rsidRPr="00705470" w:rsidRDefault="00705470" w:rsidP="0070547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05470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konsiderohet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lartë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tatimeve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përfshira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qëllim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llogaritjes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shumës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tatimeve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përfshira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për</w:t>
      </w:r>
      <w:r w:rsidR="0037688C">
        <w:rPr>
          <w:rFonts w:ascii="Times New Roman" w:hAnsi="Times New Roman" w:cs="Times New Roman"/>
          <w:sz w:val="24"/>
          <w:szCs w:val="24"/>
          <w:lang w:val="en-GB"/>
        </w:rPr>
        <w:t>caktuara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shkronjë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paguar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regjim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shoqëritë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kontrolluara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huaja</w:t>
      </w:r>
      <w:proofErr w:type="spellEnd"/>
      <w:r w:rsidR="0014089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merret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konsideratë</w:t>
      </w:r>
      <w:proofErr w:type="spellEnd"/>
      <w:r w:rsidR="0037688C" w:rsidRPr="0037688C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D3EA1D8" w14:textId="79909262" w:rsidR="00705470" w:rsidRPr="00705470" w:rsidRDefault="00705470" w:rsidP="0070547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05470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tatimeve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përfshira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detyrueshme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dy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juridiksionet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njëjtë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zero,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konsiderohet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ai ka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lartë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përjashtimit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bazuara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substancë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llogaritur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nivel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nenin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28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D52CB20" w14:textId="403FC8EB" w:rsidR="00B91D68" w:rsidRPr="00CE4BE0" w:rsidRDefault="00705470" w:rsidP="0070547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05470">
        <w:rPr>
          <w:rFonts w:ascii="Times New Roman" w:hAnsi="Times New Roman" w:cs="Times New Roman"/>
          <w:sz w:val="24"/>
          <w:szCs w:val="24"/>
          <w:lang w:val="en-GB"/>
        </w:rPr>
        <w:t xml:space="preserve">c)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përjashtimit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bazuara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substancë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dy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juridiksionet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njëjtë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zero,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konsiderohet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pa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shtetësi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përveç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rastit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rast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konsiderohet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krijuar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38B1696" w14:textId="77777777" w:rsidR="001712C5" w:rsidRDefault="001712C5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97AB3C5" w14:textId="623C8080" w:rsidR="007C09BA" w:rsidRDefault="00120B1B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7. </w:t>
      </w:r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Kur,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rezultat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zbatimit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paragrafëve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5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6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ndodhet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40890" w:rsidRPr="00222E37">
        <w:rPr>
          <w:rFonts w:ascii="Times New Roman" w:hAnsi="Times New Roman" w:cs="Times New Roman"/>
          <w:sz w:val="24"/>
          <w:szCs w:val="24"/>
          <w:lang w:val="en-GB"/>
        </w:rPr>
        <w:t xml:space="preserve">Rregulli </w:t>
      </w:r>
      <w:proofErr w:type="spellStart"/>
      <w:r w:rsidR="00140890" w:rsidRPr="00222E3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40890" w:rsidRPr="00222E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222E37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140890" w:rsidRPr="00222E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222E3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40890" w:rsidRPr="00222E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222E37">
        <w:rPr>
          <w:rFonts w:ascii="Times New Roman" w:hAnsi="Times New Roman" w:cs="Times New Roman"/>
          <w:sz w:val="24"/>
          <w:szCs w:val="24"/>
          <w:lang w:val="en-GB"/>
        </w:rPr>
        <w:t>Përfshirjes</w:t>
      </w:r>
      <w:proofErr w:type="spellEnd"/>
      <w:r w:rsidR="00140890" w:rsidRPr="00222E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222E37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140890" w:rsidRPr="00222E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222E3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40890" w:rsidRPr="00222E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222E37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14089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ai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konsiderohet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667C0" w:rsidRPr="002667C0">
        <w:rPr>
          <w:rFonts w:ascii="Times New Roman" w:hAnsi="Times New Roman" w:cs="Times New Roman"/>
          <w:sz w:val="24"/>
          <w:szCs w:val="24"/>
          <w:lang w:val="en-GB"/>
        </w:rPr>
        <w:t>RPA</w:t>
      </w:r>
      <w:r w:rsidR="00140890" w:rsidRPr="002667C0">
        <w:rPr>
          <w:rFonts w:ascii="Times New Roman" w:hAnsi="Times New Roman" w:cs="Times New Roman"/>
          <w:sz w:val="24"/>
          <w:szCs w:val="24"/>
          <w:lang w:val="en-GB"/>
        </w:rPr>
        <w:t>-</w:t>
      </w:r>
      <w:proofErr w:type="spellStart"/>
      <w:r w:rsidR="00140890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juridiksionit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tjetër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përveç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rastit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marrëveshje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zbatueshme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ndalon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zbatimin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rregulli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tillë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B51707C" w14:textId="77777777" w:rsidR="007C09BA" w:rsidRDefault="007C09BA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4806D5C" w14:textId="6D2FB067" w:rsidR="002B0B4A" w:rsidRPr="00CE4BE0" w:rsidRDefault="007C09BA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8. </w:t>
      </w:r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Kur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ndryshon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vendndodhjen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gjatë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, ai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konsiderohet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konsideruar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fillim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atij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viti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140890" w:rsidRPr="0014089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F49BCE7" w14:textId="77777777" w:rsidR="00B91D68" w:rsidRDefault="00B91D68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EEDF83A" w14:textId="77777777" w:rsidR="001A5482" w:rsidRPr="00CE4BE0" w:rsidRDefault="001A5482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F53A9B4" w14:textId="4F94C06E" w:rsidR="006A78C4" w:rsidRPr="00CE4BE0" w:rsidRDefault="00140890" w:rsidP="00B91D68">
      <w:pPr>
        <w:pStyle w:val="NormalWeb"/>
        <w:spacing w:before="0" w:beforeAutospacing="0" w:after="0" w:afterAutospacing="0" w:line="276" w:lineRule="auto"/>
        <w:jc w:val="center"/>
        <w:rPr>
          <w:lang w:val="en-GB"/>
        </w:rPr>
      </w:pPr>
      <w:bookmarkStart w:id="3" w:name="_Hlk213243494"/>
      <w:r>
        <w:rPr>
          <w:lang w:val="en-GB"/>
        </w:rPr>
        <w:t>KAPITULLI</w:t>
      </w:r>
      <w:r w:rsidR="006A78C4" w:rsidRPr="00CE4BE0">
        <w:rPr>
          <w:lang w:val="en-GB"/>
        </w:rPr>
        <w:t xml:space="preserve"> II</w:t>
      </w:r>
    </w:p>
    <w:p w14:paraId="57A2468A" w14:textId="337E3F9A" w:rsidR="006A78C4" w:rsidRPr="00CE4BE0" w:rsidRDefault="00140890" w:rsidP="00B91D68">
      <w:pPr>
        <w:pStyle w:val="NormalWeb"/>
        <w:spacing w:before="0" w:beforeAutospacing="0" w:after="0" w:afterAutospacing="0" w:line="276" w:lineRule="auto"/>
        <w:jc w:val="center"/>
        <w:rPr>
          <w:b/>
          <w:bCs/>
          <w:lang w:val="en-GB"/>
        </w:rPr>
      </w:pPr>
      <w:r w:rsidRPr="002667C0">
        <w:rPr>
          <w:b/>
          <w:bCs/>
          <w:lang w:val="en-GB"/>
        </w:rPr>
        <w:t>RREGULLI I PËRFSHIRJES SË TË ARDHURAVE (</w:t>
      </w:r>
      <w:r w:rsidR="002667C0" w:rsidRPr="002667C0">
        <w:rPr>
          <w:b/>
          <w:bCs/>
          <w:lang w:val="en-GB"/>
        </w:rPr>
        <w:t>RPA</w:t>
      </w:r>
      <w:r w:rsidRPr="002667C0">
        <w:rPr>
          <w:b/>
          <w:bCs/>
          <w:lang w:val="en-GB"/>
        </w:rPr>
        <w:t xml:space="preserve">) </w:t>
      </w:r>
      <w:r w:rsidRPr="006F3EC4">
        <w:rPr>
          <w:b/>
          <w:bCs/>
          <w:lang w:val="en-GB"/>
        </w:rPr>
        <w:t xml:space="preserve">DHE RREGULLI PËR FITIMIN E </w:t>
      </w:r>
      <w:r w:rsidR="006F3EC4" w:rsidRPr="006F3EC4">
        <w:rPr>
          <w:b/>
          <w:bCs/>
          <w:lang w:val="en-GB"/>
        </w:rPr>
        <w:t>N</w:t>
      </w:r>
      <w:r w:rsidR="00AB7580">
        <w:rPr>
          <w:b/>
          <w:bCs/>
          <w:lang w:val="en-GB"/>
        </w:rPr>
        <w:t>Ë</w:t>
      </w:r>
      <w:r w:rsidR="006F3EC4" w:rsidRPr="006F3EC4">
        <w:rPr>
          <w:b/>
          <w:bCs/>
          <w:lang w:val="en-GB"/>
        </w:rPr>
        <w:t>NTATUAR</w:t>
      </w:r>
      <w:r w:rsidRPr="006F3EC4">
        <w:rPr>
          <w:b/>
          <w:bCs/>
          <w:lang w:val="en-GB"/>
        </w:rPr>
        <w:t xml:space="preserve"> </w:t>
      </w:r>
      <w:r w:rsidR="004A60B9" w:rsidRPr="006F3EC4">
        <w:rPr>
          <w:b/>
          <w:bCs/>
          <w:lang w:val="en-GB"/>
        </w:rPr>
        <w:t>(</w:t>
      </w:r>
      <w:r w:rsidR="006F3EC4" w:rsidRPr="006F3EC4">
        <w:rPr>
          <w:b/>
          <w:bCs/>
          <w:lang w:val="en-GB"/>
        </w:rPr>
        <w:t>RFN</w:t>
      </w:r>
      <w:r w:rsidR="004A60B9" w:rsidRPr="006F3EC4">
        <w:rPr>
          <w:b/>
          <w:bCs/>
          <w:lang w:val="en-GB"/>
        </w:rPr>
        <w:t>)</w:t>
      </w:r>
    </w:p>
    <w:p w14:paraId="79A8511E" w14:textId="77777777" w:rsidR="004A60B9" w:rsidRPr="00CE4BE0" w:rsidRDefault="004A60B9" w:rsidP="004A60B9">
      <w:pPr>
        <w:pStyle w:val="NormalWeb"/>
        <w:spacing w:before="0" w:beforeAutospacing="0" w:after="0" w:afterAutospacing="0" w:line="276" w:lineRule="auto"/>
        <w:jc w:val="both"/>
        <w:rPr>
          <w:lang w:val="en-GB"/>
        </w:rPr>
      </w:pPr>
    </w:p>
    <w:p w14:paraId="0E67A74E" w14:textId="6F13F20C" w:rsidR="00B91D68" w:rsidRPr="00CE4BE0" w:rsidRDefault="00140890" w:rsidP="0014089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Neni</w:t>
      </w:r>
      <w:r w:rsidR="006A78C4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D1670" w:rsidRPr="00CE4BE0">
        <w:rPr>
          <w:rFonts w:ascii="Times New Roman" w:hAnsi="Times New Roman" w:cs="Times New Roman"/>
          <w:sz w:val="24"/>
          <w:szCs w:val="24"/>
          <w:lang w:val="en-GB"/>
        </w:rPr>
        <w:t>6</w:t>
      </w:r>
    </w:p>
    <w:p w14:paraId="5B73BEFA" w14:textId="6CC3A861" w:rsidR="00140890" w:rsidRDefault="00140890" w:rsidP="001408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140890">
        <w:rPr>
          <w:rFonts w:ascii="Times New Roman" w:hAnsi="Times New Roman" w:cs="Times New Roman"/>
          <w:b/>
          <w:bCs/>
          <w:sz w:val="24"/>
          <w:szCs w:val="24"/>
          <w:lang w:val="en-GB"/>
        </w:rPr>
        <w:t>Entiteti</w:t>
      </w:r>
      <w:proofErr w:type="spellEnd"/>
      <w:r w:rsidRPr="0014089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40890">
        <w:rPr>
          <w:rFonts w:ascii="Times New Roman" w:hAnsi="Times New Roman" w:cs="Times New Roman"/>
          <w:b/>
          <w:bCs/>
          <w:sz w:val="24"/>
          <w:szCs w:val="24"/>
          <w:lang w:val="en-GB"/>
        </w:rPr>
        <w:t>mëmë</w:t>
      </w:r>
      <w:proofErr w:type="spellEnd"/>
      <w:r w:rsidRPr="0014089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40890">
        <w:rPr>
          <w:rFonts w:ascii="Times New Roman" w:hAnsi="Times New Roman" w:cs="Times New Roman"/>
          <w:b/>
          <w:bCs/>
          <w:sz w:val="24"/>
          <w:szCs w:val="24"/>
          <w:lang w:val="en-GB"/>
        </w:rPr>
        <w:t>përfundimtar</w:t>
      </w:r>
      <w:proofErr w:type="spellEnd"/>
      <w:r w:rsidRPr="0014089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40890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proofErr w:type="spellEnd"/>
      <w:r w:rsidRPr="0014089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40890">
        <w:rPr>
          <w:rFonts w:ascii="Times New Roman" w:hAnsi="Times New Roman" w:cs="Times New Roman"/>
          <w:b/>
          <w:bCs/>
          <w:sz w:val="24"/>
          <w:szCs w:val="24"/>
          <w:lang w:val="en-GB"/>
        </w:rPr>
        <w:t>vendosur</w:t>
      </w:r>
      <w:proofErr w:type="spellEnd"/>
      <w:r w:rsidRPr="0014089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40890">
        <w:rPr>
          <w:rFonts w:ascii="Times New Roman" w:hAnsi="Times New Roman" w:cs="Times New Roman"/>
          <w:b/>
          <w:bCs/>
          <w:sz w:val="24"/>
          <w:szCs w:val="24"/>
          <w:lang w:val="en-GB"/>
        </w:rPr>
        <w:t>në</w:t>
      </w:r>
      <w:proofErr w:type="spellEnd"/>
      <w:r w:rsidRPr="0014089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40890">
        <w:rPr>
          <w:rFonts w:ascii="Times New Roman" w:hAnsi="Times New Roman" w:cs="Times New Roman"/>
          <w:b/>
          <w:bCs/>
          <w:sz w:val="24"/>
          <w:szCs w:val="24"/>
          <w:lang w:val="en-GB"/>
        </w:rPr>
        <w:t>Republikën</w:t>
      </w:r>
      <w:proofErr w:type="spellEnd"/>
      <w:r w:rsidRPr="0014089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 </w:t>
      </w:r>
      <w:proofErr w:type="spellStart"/>
      <w:r w:rsidRPr="00140890">
        <w:rPr>
          <w:rFonts w:ascii="Times New Roman" w:hAnsi="Times New Roman" w:cs="Times New Roman"/>
          <w:b/>
          <w:bCs/>
          <w:sz w:val="24"/>
          <w:szCs w:val="24"/>
          <w:lang w:val="en-GB"/>
        </w:rPr>
        <w:t>Shqipërisë</w:t>
      </w:r>
      <w:proofErr w:type="spellEnd"/>
    </w:p>
    <w:p w14:paraId="38528DDF" w14:textId="77777777" w:rsidR="00140890" w:rsidRDefault="00140890" w:rsidP="001408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D95F7A2" w14:textId="7DF370EC" w:rsidR="006A78C4" w:rsidRPr="00CE4BE0" w:rsidRDefault="006D0DAE" w:rsidP="006D0D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1.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A6611E">
        <w:rPr>
          <w:rFonts w:ascii="Times New Roman" w:hAnsi="Times New Roman" w:cs="Times New Roman"/>
          <w:sz w:val="24"/>
          <w:szCs w:val="24"/>
          <w:lang w:val="en-GB"/>
        </w:rPr>
        <w:t>rie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="00A6611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5367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2536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6611E" w:rsidRPr="00AB4D02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r w:rsidR="00A6611E" w:rsidRPr="00AB4D0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6611E"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B4D02">
        <w:rPr>
          <w:rFonts w:ascii="Times New Roman" w:hAnsi="Times New Roman" w:cs="Times New Roman"/>
          <w:sz w:val="24"/>
          <w:szCs w:val="24"/>
          <w:lang w:val="en-GB"/>
        </w:rPr>
        <w:t>vijim</w:t>
      </w:r>
      <w:proofErr w:type="spellEnd"/>
      <w:r w:rsidR="00A6611E"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proofErr w:type="spellStart"/>
      <w:r w:rsidR="00A6611E" w:rsidRPr="00AB4D02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="00A6611E"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B4D02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A6611E"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667C0" w:rsidRPr="00AB4D02">
        <w:rPr>
          <w:rFonts w:ascii="Times New Roman" w:hAnsi="Times New Roman" w:cs="Times New Roman"/>
          <w:sz w:val="24"/>
          <w:szCs w:val="24"/>
          <w:lang w:val="en-GB"/>
        </w:rPr>
        <w:t>RPA</w:t>
      </w:r>
      <w:r w:rsidR="00A6611E" w:rsidRPr="00AB4D02">
        <w:rPr>
          <w:rFonts w:ascii="Times New Roman" w:hAnsi="Times New Roman" w:cs="Times New Roman"/>
          <w:sz w:val="24"/>
          <w:szCs w:val="24"/>
          <w:lang w:val="en-GB"/>
        </w:rPr>
        <w:t>”)</w:t>
      </w:r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A788C">
        <w:rPr>
          <w:rFonts w:ascii="Times New Roman" w:hAnsi="Times New Roman" w:cs="Times New Roman"/>
          <w:sz w:val="24"/>
          <w:szCs w:val="24"/>
          <w:lang w:val="en-GB"/>
        </w:rPr>
        <w:t xml:space="preserve">me </w:t>
      </w:r>
      <w:proofErr w:type="spellStart"/>
      <w:r w:rsidR="005A788C">
        <w:rPr>
          <w:rFonts w:ascii="Times New Roman" w:hAnsi="Times New Roman" w:cs="Times New Roman"/>
          <w:sz w:val="24"/>
          <w:szCs w:val="24"/>
          <w:lang w:val="en-GB"/>
        </w:rPr>
        <w:t>tatim</w:t>
      </w:r>
      <w:proofErr w:type="spellEnd"/>
      <w:r w:rsidR="005A7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A78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A7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A788C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cilat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tjetër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pa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shtetësi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6DE8B83" w14:textId="77777777" w:rsidR="00CC2014" w:rsidRDefault="00CC2014" w:rsidP="006D0D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D49AB49" w14:textId="23951956" w:rsidR="006A78C4" w:rsidRPr="00CE4BE0" w:rsidRDefault="006D0DAE" w:rsidP="006D0D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lastRenderedPageBreak/>
        <w:t>2.</w:t>
      </w:r>
      <w:r w:rsid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Kur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cili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5A788C">
        <w:rPr>
          <w:rFonts w:ascii="Times New Roman" w:hAnsi="Times New Roman" w:cs="Times New Roman"/>
          <w:sz w:val="24"/>
          <w:szCs w:val="24"/>
          <w:lang w:val="en-GB"/>
        </w:rPr>
        <w:t>tatim</w:t>
      </w:r>
      <w:proofErr w:type="spellEnd"/>
      <w:r w:rsidR="005A788C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, ai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2667C0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A6611E" w:rsidRPr="002667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2667C0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A6611E" w:rsidRPr="002667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667C0" w:rsidRPr="002667C0">
        <w:rPr>
          <w:rFonts w:ascii="Times New Roman" w:hAnsi="Times New Roman" w:cs="Times New Roman"/>
          <w:sz w:val="24"/>
          <w:szCs w:val="24"/>
          <w:lang w:val="en-GB"/>
        </w:rPr>
        <w:t>RPA</w:t>
      </w:r>
      <w:r w:rsidR="00A6611E" w:rsidRPr="002667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2667C0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6611E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A6611E">
        <w:rPr>
          <w:rFonts w:ascii="Times New Roman" w:hAnsi="Times New Roman" w:cs="Times New Roman"/>
          <w:sz w:val="24"/>
          <w:szCs w:val="24"/>
          <w:lang w:val="en-GB"/>
        </w:rPr>
        <w:t>r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vetveten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A6611E">
        <w:rPr>
          <w:rFonts w:ascii="Times New Roman" w:hAnsi="Times New Roman" w:cs="Times New Roman"/>
          <w:sz w:val="24"/>
          <w:szCs w:val="24"/>
          <w:lang w:val="en-GB"/>
        </w:rPr>
        <w:t>r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5A788C">
        <w:rPr>
          <w:rFonts w:ascii="Times New Roman" w:hAnsi="Times New Roman" w:cs="Times New Roman"/>
          <w:sz w:val="24"/>
          <w:szCs w:val="24"/>
          <w:lang w:val="en-GB"/>
        </w:rPr>
        <w:t>tatim</w:t>
      </w:r>
      <w:proofErr w:type="spellEnd"/>
      <w:r w:rsidR="005A788C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A6611E" w:rsidRPr="00A6611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A965692" w14:textId="77777777" w:rsidR="00B91D68" w:rsidRPr="00CE4BE0" w:rsidRDefault="00B91D68" w:rsidP="00B91D6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A9DE18E" w14:textId="77777777" w:rsidR="006574E3" w:rsidRDefault="006574E3" w:rsidP="00A661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0ADB7E17" w14:textId="75A8DFC8" w:rsidR="00B91D68" w:rsidRPr="00CE4BE0" w:rsidRDefault="00A6611E" w:rsidP="00A661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Neni</w:t>
      </w:r>
      <w:r w:rsidR="0094383D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5711F" w:rsidRPr="00CE4BE0">
        <w:rPr>
          <w:rFonts w:ascii="Times New Roman" w:hAnsi="Times New Roman" w:cs="Times New Roman"/>
          <w:sz w:val="24"/>
          <w:szCs w:val="24"/>
          <w:lang w:val="en-GB"/>
        </w:rPr>
        <w:t>7</w:t>
      </w:r>
    </w:p>
    <w:p w14:paraId="3504784D" w14:textId="1AF51087" w:rsidR="00B91D68" w:rsidRDefault="00A6611E" w:rsidP="00A661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A6611E">
        <w:rPr>
          <w:rFonts w:ascii="Times New Roman" w:hAnsi="Times New Roman" w:cs="Times New Roman"/>
          <w:b/>
          <w:bCs/>
          <w:sz w:val="24"/>
          <w:szCs w:val="24"/>
          <w:lang w:val="en-GB"/>
        </w:rPr>
        <w:t>Entiteti</w:t>
      </w:r>
      <w:proofErr w:type="spellEnd"/>
      <w:r w:rsidRPr="00A6611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b/>
          <w:bCs/>
          <w:sz w:val="24"/>
          <w:szCs w:val="24"/>
          <w:lang w:val="en-GB"/>
        </w:rPr>
        <w:t>mëmë</w:t>
      </w:r>
      <w:proofErr w:type="spellEnd"/>
      <w:r w:rsidRPr="00A6611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proofErr w:type="spellEnd"/>
      <w:r w:rsidRPr="00A6611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b/>
          <w:bCs/>
          <w:sz w:val="24"/>
          <w:szCs w:val="24"/>
          <w:lang w:val="en-GB"/>
        </w:rPr>
        <w:t>ndërmjetëm</w:t>
      </w:r>
      <w:proofErr w:type="spellEnd"/>
      <w:r w:rsidRPr="00A6611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proofErr w:type="spellEnd"/>
      <w:r w:rsidRPr="00A6611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b/>
          <w:bCs/>
          <w:sz w:val="24"/>
          <w:szCs w:val="24"/>
          <w:lang w:val="en-GB"/>
        </w:rPr>
        <w:t>vendosur</w:t>
      </w:r>
      <w:proofErr w:type="spellEnd"/>
      <w:r w:rsidRPr="00A6611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b/>
          <w:bCs/>
          <w:sz w:val="24"/>
          <w:szCs w:val="24"/>
          <w:lang w:val="en-GB"/>
        </w:rPr>
        <w:t>në</w:t>
      </w:r>
      <w:proofErr w:type="spellEnd"/>
      <w:r w:rsidRPr="00A6611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b/>
          <w:bCs/>
          <w:sz w:val="24"/>
          <w:szCs w:val="24"/>
          <w:lang w:val="en-GB"/>
        </w:rPr>
        <w:t>Republikën</w:t>
      </w:r>
      <w:proofErr w:type="spellEnd"/>
      <w:r w:rsidRPr="00A6611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 </w:t>
      </w:r>
      <w:proofErr w:type="spellStart"/>
      <w:r w:rsidRPr="00A6611E">
        <w:rPr>
          <w:rFonts w:ascii="Times New Roman" w:hAnsi="Times New Roman" w:cs="Times New Roman"/>
          <w:b/>
          <w:bCs/>
          <w:sz w:val="24"/>
          <w:szCs w:val="24"/>
          <w:lang w:val="en-GB"/>
        </w:rPr>
        <w:t>Shqipërisë</w:t>
      </w:r>
      <w:proofErr w:type="spellEnd"/>
    </w:p>
    <w:p w14:paraId="64FD33F0" w14:textId="77777777" w:rsidR="00A6611E" w:rsidRPr="00CE4BE0" w:rsidRDefault="00A6611E" w:rsidP="00A661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00D1AFD" w14:textId="29F9CFD6" w:rsidR="0094383D" w:rsidRDefault="00A6611E" w:rsidP="009C1193">
      <w:pPr>
        <w:numPr>
          <w:ilvl w:val="0"/>
          <w:numId w:val="7"/>
        </w:numPr>
        <w:tabs>
          <w:tab w:val="clear" w:pos="450"/>
          <w:tab w:val="num" w:pos="90"/>
          <w:tab w:val="left" w:pos="360"/>
        </w:tabs>
        <w:spacing w:after="0"/>
        <w:ind w:left="9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ndërmjetëm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zotëruar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vendi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tretë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667C0">
        <w:rPr>
          <w:rFonts w:ascii="Times New Roman" w:hAnsi="Times New Roman" w:cs="Times New Roman"/>
          <w:sz w:val="24"/>
          <w:szCs w:val="24"/>
          <w:lang w:val="en-GB"/>
        </w:rPr>
        <w:t>RPA</w:t>
      </w:r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A788C">
        <w:rPr>
          <w:rFonts w:ascii="Times New Roman" w:hAnsi="Times New Roman" w:cs="Times New Roman"/>
          <w:sz w:val="24"/>
          <w:szCs w:val="24"/>
          <w:lang w:val="en-GB"/>
        </w:rPr>
        <w:t xml:space="preserve">me </w:t>
      </w:r>
      <w:proofErr w:type="spellStart"/>
      <w:r w:rsidR="005A788C">
        <w:rPr>
          <w:rFonts w:ascii="Times New Roman" w:hAnsi="Times New Roman" w:cs="Times New Roman"/>
          <w:sz w:val="24"/>
          <w:szCs w:val="24"/>
          <w:lang w:val="en-GB"/>
        </w:rPr>
        <w:t>tatim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cilat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tjetër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 xml:space="preserve"> pa </w:t>
      </w:r>
      <w:proofErr w:type="spellStart"/>
      <w:r w:rsidRPr="00A6611E">
        <w:rPr>
          <w:rFonts w:ascii="Times New Roman" w:hAnsi="Times New Roman" w:cs="Times New Roman"/>
          <w:sz w:val="24"/>
          <w:szCs w:val="24"/>
          <w:lang w:val="en-GB"/>
        </w:rPr>
        <w:t>shtetësi</w:t>
      </w:r>
      <w:proofErr w:type="spellEnd"/>
      <w:r w:rsidRPr="00A6611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6CB200D" w14:textId="77777777" w:rsidR="00CC2014" w:rsidRPr="00CE4BE0" w:rsidRDefault="00CC2014" w:rsidP="00011032">
      <w:pPr>
        <w:spacing w:after="0"/>
        <w:ind w:left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1D1226B" w14:textId="6FA7052E" w:rsidR="0094383D" w:rsidRDefault="00CB6AC1" w:rsidP="009C1193">
      <w:pPr>
        <w:numPr>
          <w:ilvl w:val="0"/>
          <w:numId w:val="7"/>
        </w:numPr>
        <w:tabs>
          <w:tab w:val="clear" w:pos="450"/>
          <w:tab w:val="left" w:pos="360"/>
        </w:tabs>
        <w:spacing w:after="0"/>
        <w:ind w:left="9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B6AC1">
        <w:rPr>
          <w:rFonts w:ascii="Times New Roman" w:hAnsi="Times New Roman" w:cs="Times New Roman"/>
          <w:sz w:val="24"/>
          <w:szCs w:val="24"/>
          <w:lang w:val="en-GB"/>
        </w:rPr>
        <w:t xml:space="preserve">Kur </w:t>
      </w:r>
      <w:proofErr w:type="spellStart"/>
      <w:r w:rsidRPr="00CB6AC1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CB6A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6AC1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CB6A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6AC1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CB6A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6AC1">
        <w:rPr>
          <w:rFonts w:ascii="Times New Roman" w:hAnsi="Times New Roman" w:cs="Times New Roman"/>
          <w:sz w:val="24"/>
          <w:szCs w:val="24"/>
          <w:lang w:val="en-GB"/>
        </w:rPr>
        <w:t>ndërmjetëm</w:t>
      </w:r>
      <w:proofErr w:type="spellEnd"/>
      <w:r w:rsidRPr="00CB6AC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B6AC1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CB6A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6AC1">
        <w:rPr>
          <w:rFonts w:ascii="Times New Roman" w:hAnsi="Times New Roman" w:cs="Times New Roman"/>
          <w:sz w:val="24"/>
          <w:szCs w:val="24"/>
          <w:lang w:val="en-GB"/>
        </w:rPr>
        <w:t>cili</w:t>
      </w:r>
      <w:proofErr w:type="spellEnd"/>
      <w:r w:rsidRPr="00CB6A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6AC1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CB6A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6AC1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CB6A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6AC1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CB6A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6AC1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CB6A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6AC1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CB6A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6AC1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Pr="00CB6A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6AC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B6A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6AC1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CB6AC1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B6AC1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CB6AC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B6AC1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CB6A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6AC1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CB6A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tatim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Pr="00350AFB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CC438C" w:rsidRPr="00CC438C">
        <w:t xml:space="preserve"> </w:t>
      </w:r>
      <w:proofErr w:type="spellStart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>zotërohet</w:t>
      </w:r>
      <w:proofErr w:type="spellEnd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438C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CC438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>vendi</w:t>
      </w:r>
      <w:proofErr w:type="spellEnd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>tretë</w:t>
      </w:r>
      <w:proofErr w:type="spellEnd"/>
      <w:r w:rsidR="00CC438C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B6AC1"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Pr="00CB6AC1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CB6A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6AC1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Pr="00CB6A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6AC1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CB6A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6AC1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CB6AC1">
        <w:rPr>
          <w:rFonts w:ascii="Times New Roman" w:hAnsi="Times New Roman" w:cs="Times New Roman"/>
          <w:sz w:val="24"/>
          <w:szCs w:val="24"/>
          <w:lang w:val="en-GB"/>
        </w:rPr>
        <w:t xml:space="preserve"> RPA </w:t>
      </w:r>
      <w:proofErr w:type="spellStart"/>
      <w:r w:rsidRPr="00CB6AC1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CB6A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6AC1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CB6A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6AC1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CB6AC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B6AC1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CB6A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6AC1">
        <w:rPr>
          <w:rFonts w:ascii="Times New Roman" w:hAnsi="Times New Roman" w:cs="Times New Roman"/>
          <w:sz w:val="24"/>
          <w:szCs w:val="24"/>
          <w:lang w:val="en-GB"/>
        </w:rPr>
        <w:t>veten</w:t>
      </w:r>
      <w:proofErr w:type="spellEnd"/>
      <w:r w:rsidRPr="00CB6A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6AC1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CB6A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6AC1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CB6A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50AFB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350AF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50AFB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350AFB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350AFB">
        <w:rPr>
          <w:rFonts w:ascii="Times New Roman" w:hAnsi="Times New Roman" w:cs="Times New Roman"/>
          <w:sz w:val="24"/>
          <w:szCs w:val="24"/>
          <w:lang w:val="en-GB"/>
        </w:rPr>
        <w:t>tatim</w:t>
      </w:r>
      <w:proofErr w:type="spellEnd"/>
      <w:r w:rsidRPr="00350AF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50AF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50AF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50AFB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="00010F7C" w:rsidRPr="00350AFB">
        <w:t xml:space="preserve"> </w:t>
      </w:r>
      <w:proofErr w:type="spellStart"/>
      <w:r w:rsidR="00010F7C" w:rsidRPr="00350AF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10F7C" w:rsidRPr="00350AF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10F7C" w:rsidRPr="00350AFB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="00010F7C" w:rsidRPr="00350AF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10F7C" w:rsidRPr="00350AF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10F7C" w:rsidRPr="00350AF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10F7C" w:rsidRPr="00350AFB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350AFB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B6A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6AC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B6A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6AC1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CB6A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6AC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B6A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6AC1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CB6AC1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B6AC1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CB6A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6AC1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CB6A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6AC1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Pr="00CB6AC1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CB6AC1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CB6AC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0896BE8" w14:textId="77777777" w:rsidR="00CC2014" w:rsidRPr="00CE4BE0" w:rsidRDefault="00CC2014" w:rsidP="00011032">
      <w:pPr>
        <w:spacing w:after="0"/>
        <w:ind w:left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DED94CA" w14:textId="61196FE2" w:rsidR="002F20D7" w:rsidRPr="00CD4599" w:rsidRDefault="009C1193" w:rsidP="00CD4599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D4599">
        <w:rPr>
          <w:rFonts w:ascii="Times New Roman" w:hAnsi="Times New Roman" w:cs="Times New Roman"/>
          <w:sz w:val="24"/>
          <w:szCs w:val="24"/>
          <w:lang w:val="en-GB"/>
        </w:rPr>
        <w:t>Paragrafët</w:t>
      </w:r>
      <w:proofErr w:type="spellEnd"/>
      <w:r w:rsidRPr="00CD4599">
        <w:rPr>
          <w:rFonts w:ascii="Times New Roman" w:hAnsi="Times New Roman" w:cs="Times New Roman"/>
          <w:sz w:val="24"/>
          <w:szCs w:val="24"/>
          <w:lang w:val="en-GB"/>
        </w:rPr>
        <w:t xml:space="preserve"> 1 </w:t>
      </w:r>
      <w:proofErr w:type="spellStart"/>
      <w:r w:rsidRPr="00CD4599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CD4599">
        <w:rPr>
          <w:rFonts w:ascii="Times New Roman" w:hAnsi="Times New Roman" w:cs="Times New Roman"/>
          <w:sz w:val="24"/>
          <w:szCs w:val="24"/>
          <w:lang w:val="en-GB"/>
        </w:rPr>
        <w:t xml:space="preserve"> 2 </w:t>
      </w:r>
      <w:proofErr w:type="spellStart"/>
      <w:r w:rsidRPr="00CD459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D45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D4599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CD45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D4599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CD45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D4599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CD45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D4599">
        <w:rPr>
          <w:rFonts w:ascii="Times New Roman" w:hAnsi="Times New Roman" w:cs="Times New Roman"/>
          <w:sz w:val="24"/>
          <w:szCs w:val="24"/>
          <w:lang w:val="en-GB"/>
        </w:rPr>
        <w:t>zbatohen</w:t>
      </w:r>
      <w:proofErr w:type="spellEnd"/>
      <w:r w:rsidRPr="00CD45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D4599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Pr="00CD4599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2143736" w14:textId="0D28CBA4" w:rsidR="0022584B" w:rsidRPr="00CE4BE0" w:rsidRDefault="0022584B" w:rsidP="00011032">
      <w:pPr>
        <w:spacing w:after="0"/>
        <w:ind w:left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2E4081C" w14:textId="06CEEC2C" w:rsidR="002F20D7" w:rsidRPr="002F20D7" w:rsidRDefault="002F20D7" w:rsidP="00867F72">
      <w:pPr>
        <w:spacing w:after="0"/>
        <w:ind w:left="9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F20D7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="009C1193" w:rsidRPr="009C119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9C1193" w:rsidRPr="009C119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1193" w:rsidRPr="009C119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9C1193" w:rsidRPr="009C119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1193" w:rsidRPr="009C1193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9C1193" w:rsidRPr="009C119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1193" w:rsidRPr="009C119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9C1193" w:rsidRPr="009C119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1193" w:rsidRPr="009C1193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="009C1193" w:rsidRPr="009C119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1193" w:rsidRPr="009C1193">
        <w:rPr>
          <w:rFonts w:ascii="Times New Roman" w:hAnsi="Times New Roman" w:cs="Times New Roman"/>
          <w:sz w:val="24"/>
          <w:szCs w:val="24"/>
          <w:lang w:val="en-GB"/>
        </w:rPr>
        <w:t>Rregulli</w:t>
      </w:r>
      <w:r w:rsidR="006B4478">
        <w:rPr>
          <w:rFonts w:ascii="Times New Roman" w:hAnsi="Times New Roman" w:cs="Times New Roman"/>
          <w:sz w:val="24"/>
          <w:szCs w:val="24"/>
          <w:lang w:val="en-GB"/>
        </w:rPr>
        <w:t>t</w:t>
      </w:r>
      <w:proofErr w:type="spellEnd"/>
      <w:r w:rsidR="009C1193" w:rsidRPr="009C119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1193" w:rsidRPr="009C119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C1193" w:rsidRPr="009C119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1193" w:rsidRPr="009C1193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9C1193" w:rsidRPr="009C119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1193" w:rsidRPr="009C119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C1193" w:rsidRPr="009C119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1193" w:rsidRPr="009C1193">
        <w:rPr>
          <w:rFonts w:ascii="Times New Roman" w:hAnsi="Times New Roman" w:cs="Times New Roman"/>
          <w:sz w:val="24"/>
          <w:szCs w:val="24"/>
          <w:lang w:val="en-GB"/>
        </w:rPr>
        <w:t>Përfshirjes</w:t>
      </w:r>
      <w:proofErr w:type="spellEnd"/>
      <w:r w:rsidR="009C1193" w:rsidRPr="009C119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1193" w:rsidRPr="009C119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9C1193" w:rsidRPr="009C119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1193" w:rsidRPr="009C119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C1193" w:rsidRPr="009C119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1193" w:rsidRPr="009C1193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6B44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1193" w:rsidRPr="009C119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9C1193" w:rsidRPr="009C119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1193" w:rsidRPr="009C1193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="009C1193" w:rsidRPr="009C1193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="009C1193" w:rsidRPr="009C1193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9C1193" w:rsidRPr="009C119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="009C1193" w:rsidRPr="009C119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</w:p>
    <w:p w14:paraId="1333C812" w14:textId="77777777" w:rsidR="00CD4599" w:rsidRDefault="002F20D7" w:rsidP="00CD4599">
      <w:pPr>
        <w:tabs>
          <w:tab w:val="left" w:pos="810"/>
        </w:tabs>
        <w:spacing w:after="0"/>
        <w:ind w:left="9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F20D7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>tjetër</w:t>
      </w:r>
      <w:proofErr w:type="spellEnd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>ndërmjetëm</w:t>
      </w:r>
      <w:proofErr w:type="spellEnd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>Rregulli</w:t>
      </w:r>
      <w:r w:rsidR="006B4478">
        <w:rPr>
          <w:rFonts w:ascii="Times New Roman" w:hAnsi="Times New Roman" w:cs="Times New Roman"/>
          <w:sz w:val="24"/>
          <w:szCs w:val="24"/>
          <w:lang w:val="en-GB"/>
        </w:rPr>
        <w:t>t</w:t>
      </w:r>
      <w:proofErr w:type="spellEnd"/>
      <w:proofErr w:type="gramEnd"/>
      <w:r w:rsidR="006B44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>Përfshirjes</w:t>
      </w:r>
      <w:proofErr w:type="spellEnd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>zotëron</w:t>
      </w:r>
      <w:proofErr w:type="spellEnd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>drejtpërdrejt</w:t>
      </w:r>
      <w:proofErr w:type="spellEnd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>tërthorazi</w:t>
      </w:r>
      <w:proofErr w:type="spellEnd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>pjesëmarrje</w:t>
      </w:r>
      <w:proofErr w:type="spellEnd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>kontrolluese</w:t>
      </w:r>
      <w:proofErr w:type="spellEnd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>entitetin</w:t>
      </w:r>
      <w:proofErr w:type="spellEnd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>ndërmjetëm</w:t>
      </w:r>
      <w:proofErr w:type="spellEnd"/>
      <w:r w:rsidR="006B4478" w:rsidRPr="006B447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EC624E0" w14:textId="77777777" w:rsidR="00CD4599" w:rsidRDefault="00CD4599" w:rsidP="00CD4599">
      <w:pPr>
        <w:tabs>
          <w:tab w:val="left" w:pos="810"/>
        </w:tabs>
        <w:spacing w:after="0"/>
        <w:ind w:left="9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2D2F5F6" w14:textId="4D928BCC" w:rsidR="00C25F98" w:rsidRPr="00CD4599" w:rsidRDefault="00CD4599" w:rsidP="00CD4599">
      <w:pPr>
        <w:tabs>
          <w:tab w:val="left" w:pos="810"/>
        </w:tabs>
        <w:spacing w:after="0"/>
        <w:ind w:left="9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4.</w:t>
      </w:r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 xml:space="preserve">Paragrafët 1 </w:t>
      </w:r>
      <w:proofErr w:type="spellStart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 xml:space="preserve"> 2 </w:t>
      </w:r>
      <w:proofErr w:type="spellStart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>zbatohen</w:t>
      </w:r>
      <w:proofErr w:type="spellEnd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667C0" w:rsidRPr="00CD4599">
        <w:rPr>
          <w:rFonts w:ascii="Times New Roman" w:hAnsi="Times New Roman" w:cs="Times New Roman"/>
          <w:sz w:val="24"/>
          <w:szCs w:val="24"/>
          <w:lang w:val="en-GB"/>
        </w:rPr>
        <w:t>RPA</w:t>
      </w:r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>konsiderohet</w:t>
      </w:r>
      <w:proofErr w:type="spellEnd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 xml:space="preserve"> me zero, </w:t>
      </w:r>
      <w:proofErr w:type="spellStart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>kualifikohet</w:t>
      </w:r>
      <w:proofErr w:type="spellEnd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6B4478" w:rsidRPr="00CD45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85BB3" w:rsidRPr="00CD4599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350AFB" w:rsidRPr="00CD4599">
        <w:rPr>
          <w:rFonts w:ascii="Times New Roman" w:hAnsi="Times New Roman" w:cs="Times New Roman"/>
          <w:sz w:val="24"/>
          <w:szCs w:val="24"/>
          <w:lang w:val="en-GB"/>
        </w:rPr>
        <w:t xml:space="preserve">asa </w:t>
      </w:r>
      <w:proofErr w:type="spellStart"/>
      <w:r w:rsidR="0079494A" w:rsidRPr="00CD4599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350AFB" w:rsidRPr="00CD4599">
        <w:rPr>
          <w:rFonts w:ascii="Times New Roman" w:hAnsi="Times New Roman" w:cs="Times New Roman"/>
          <w:sz w:val="24"/>
          <w:szCs w:val="24"/>
          <w:lang w:val="en-GB"/>
        </w:rPr>
        <w:t>ehtësuese</w:t>
      </w:r>
      <w:proofErr w:type="spellEnd"/>
      <w:r w:rsidR="00350AFB" w:rsidRPr="00CD45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30411" w:rsidRPr="00CD459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30411" w:rsidRPr="00CD45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30411" w:rsidRPr="00CD4599">
        <w:rPr>
          <w:rFonts w:ascii="Times New Roman" w:hAnsi="Times New Roman" w:cs="Times New Roman"/>
          <w:sz w:val="24"/>
          <w:szCs w:val="24"/>
          <w:lang w:val="en-GB"/>
        </w:rPr>
        <w:t>krahasimit</w:t>
      </w:r>
      <w:proofErr w:type="spellEnd"/>
      <w:r w:rsidR="00130411" w:rsidRPr="00CD45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30411" w:rsidRPr="00CD4599">
        <w:rPr>
          <w:rFonts w:ascii="Times New Roman" w:hAnsi="Times New Roman" w:cs="Times New Roman"/>
          <w:sz w:val="24"/>
          <w:szCs w:val="24"/>
          <w:lang w:val="en-GB"/>
        </w:rPr>
        <w:t>paralel</w:t>
      </w:r>
      <w:proofErr w:type="spellEnd"/>
      <w:r w:rsidR="00130411" w:rsidRPr="00CD45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50AFB" w:rsidRPr="00CD4599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6574E3" w:rsidRPr="00CD4599">
        <w:rPr>
          <w:rFonts w:ascii="Times New Roman" w:hAnsi="Times New Roman" w:cs="Times New Roman"/>
          <w:sz w:val="24"/>
          <w:szCs w:val="24"/>
          <w:lang w:val="en-GB"/>
        </w:rPr>
        <w:t>Side-by-Side</w:t>
      </w:r>
      <w:r w:rsidR="00350AFB" w:rsidRPr="00CD4599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="00130411" w:rsidRPr="00CD4599">
        <w:rPr>
          <w:rFonts w:ascii="Times New Roman" w:hAnsi="Times New Roman" w:cs="Times New Roman"/>
          <w:sz w:val="24"/>
          <w:szCs w:val="24"/>
          <w:lang w:val="en-GB"/>
        </w:rPr>
        <w:t xml:space="preserve"> Safe Harbour.</w:t>
      </w:r>
    </w:p>
    <w:p w14:paraId="7055BBE0" w14:textId="77777777" w:rsidR="0022584B" w:rsidRPr="00CE4BE0" w:rsidRDefault="0022584B" w:rsidP="0022584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8D9902D" w14:textId="0F7755F8" w:rsidR="0022584B" w:rsidRPr="00CE4BE0" w:rsidRDefault="006B4478" w:rsidP="0022584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Neni</w:t>
      </w:r>
      <w:r w:rsidR="0094383D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5711F" w:rsidRPr="00CE4BE0">
        <w:rPr>
          <w:rFonts w:ascii="Times New Roman" w:hAnsi="Times New Roman" w:cs="Times New Roman"/>
          <w:sz w:val="24"/>
          <w:szCs w:val="24"/>
          <w:lang w:val="en-GB"/>
        </w:rPr>
        <w:t>8</w:t>
      </w:r>
    </w:p>
    <w:p w14:paraId="0B4A8EFD" w14:textId="77777777" w:rsidR="003D383E" w:rsidRDefault="006B4478" w:rsidP="002258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6B4478">
        <w:rPr>
          <w:rFonts w:ascii="Times New Roman" w:hAnsi="Times New Roman" w:cs="Times New Roman"/>
          <w:b/>
          <w:bCs/>
          <w:sz w:val="24"/>
          <w:szCs w:val="24"/>
          <w:lang w:val="en-GB"/>
        </w:rPr>
        <w:t>Entiteti</w:t>
      </w:r>
      <w:proofErr w:type="spellEnd"/>
      <w:r w:rsidRPr="006B447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3D383E">
        <w:rPr>
          <w:rFonts w:ascii="Times New Roman" w:hAnsi="Times New Roman" w:cs="Times New Roman"/>
          <w:b/>
          <w:bCs/>
          <w:sz w:val="24"/>
          <w:szCs w:val="24"/>
          <w:lang w:val="en-GB"/>
        </w:rPr>
        <w:t>M</w:t>
      </w:r>
      <w:r w:rsidRPr="006B4478">
        <w:rPr>
          <w:rFonts w:ascii="Times New Roman" w:hAnsi="Times New Roman" w:cs="Times New Roman"/>
          <w:b/>
          <w:bCs/>
          <w:sz w:val="24"/>
          <w:szCs w:val="24"/>
          <w:lang w:val="en-GB"/>
        </w:rPr>
        <w:t>ëmë</w:t>
      </w:r>
      <w:proofErr w:type="spellEnd"/>
      <w:r w:rsidRPr="006B447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B4478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proofErr w:type="spellEnd"/>
      <w:r w:rsidRPr="006B447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3D383E">
        <w:rPr>
          <w:rFonts w:ascii="Times New Roman" w:hAnsi="Times New Roman" w:cs="Times New Roman"/>
          <w:b/>
          <w:bCs/>
          <w:sz w:val="24"/>
          <w:szCs w:val="24"/>
          <w:lang w:val="en-GB"/>
        </w:rPr>
        <w:t>N</w:t>
      </w:r>
      <w:r w:rsidRPr="006B4478">
        <w:rPr>
          <w:rFonts w:ascii="Times New Roman" w:hAnsi="Times New Roman" w:cs="Times New Roman"/>
          <w:b/>
          <w:bCs/>
          <w:sz w:val="24"/>
          <w:szCs w:val="24"/>
          <w:lang w:val="en-GB"/>
        </w:rPr>
        <w:t>dërmjetëm</w:t>
      </w:r>
      <w:proofErr w:type="spellEnd"/>
      <w:r w:rsidRPr="006B447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B4478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proofErr w:type="spellEnd"/>
      <w:r w:rsidRPr="006B447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3D383E">
        <w:rPr>
          <w:rFonts w:ascii="Times New Roman" w:hAnsi="Times New Roman" w:cs="Times New Roman"/>
          <w:b/>
          <w:bCs/>
          <w:sz w:val="24"/>
          <w:szCs w:val="24"/>
          <w:lang w:val="en-GB"/>
        </w:rPr>
        <w:t>Z</w:t>
      </w:r>
      <w:r w:rsidRPr="006B4478">
        <w:rPr>
          <w:rFonts w:ascii="Times New Roman" w:hAnsi="Times New Roman" w:cs="Times New Roman"/>
          <w:b/>
          <w:bCs/>
          <w:sz w:val="24"/>
          <w:szCs w:val="24"/>
          <w:lang w:val="en-GB"/>
        </w:rPr>
        <w:t>otëruar</w:t>
      </w:r>
      <w:proofErr w:type="spellEnd"/>
      <w:r w:rsidRPr="006B447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14:paraId="0F6FDBFF" w14:textId="7B767A9B" w:rsidR="0094383D" w:rsidRPr="00CE4BE0" w:rsidRDefault="006B4478" w:rsidP="002258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6B4478">
        <w:rPr>
          <w:rFonts w:ascii="Times New Roman" w:hAnsi="Times New Roman" w:cs="Times New Roman"/>
          <w:b/>
          <w:bCs/>
          <w:sz w:val="24"/>
          <w:szCs w:val="24"/>
          <w:lang w:val="en-GB"/>
        </w:rPr>
        <w:t>nga</w:t>
      </w:r>
      <w:proofErr w:type="spellEnd"/>
      <w:r w:rsidRPr="006B447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B4478">
        <w:rPr>
          <w:rFonts w:ascii="Times New Roman" w:hAnsi="Times New Roman" w:cs="Times New Roman"/>
          <w:b/>
          <w:bCs/>
          <w:sz w:val="24"/>
          <w:szCs w:val="24"/>
          <w:lang w:val="en-GB"/>
        </w:rPr>
        <w:t>një</w:t>
      </w:r>
      <w:proofErr w:type="spellEnd"/>
      <w:r w:rsidRPr="006B447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3D383E">
        <w:rPr>
          <w:rFonts w:ascii="Times New Roman" w:hAnsi="Times New Roman" w:cs="Times New Roman"/>
          <w:b/>
          <w:bCs/>
          <w:sz w:val="24"/>
          <w:szCs w:val="24"/>
          <w:lang w:val="en-GB"/>
        </w:rPr>
        <w:t>E</w:t>
      </w:r>
      <w:r w:rsidRPr="006B4478">
        <w:rPr>
          <w:rFonts w:ascii="Times New Roman" w:hAnsi="Times New Roman" w:cs="Times New Roman"/>
          <w:b/>
          <w:bCs/>
          <w:sz w:val="24"/>
          <w:szCs w:val="24"/>
          <w:lang w:val="en-GB"/>
        </w:rPr>
        <w:t>ntitet</w:t>
      </w:r>
      <w:proofErr w:type="spellEnd"/>
      <w:r w:rsidRPr="006B447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3D383E">
        <w:rPr>
          <w:rFonts w:ascii="Times New Roman" w:hAnsi="Times New Roman" w:cs="Times New Roman"/>
          <w:b/>
          <w:bCs/>
          <w:sz w:val="24"/>
          <w:szCs w:val="24"/>
          <w:lang w:val="en-GB"/>
        </w:rPr>
        <w:t>M</w:t>
      </w:r>
      <w:r w:rsidRPr="006B4478">
        <w:rPr>
          <w:rFonts w:ascii="Times New Roman" w:hAnsi="Times New Roman" w:cs="Times New Roman"/>
          <w:b/>
          <w:bCs/>
          <w:sz w:val="24"/>
          <w:szCs w:val="24"/>
          <w:lang w:val="en-GB"/>
        </w:rPr>
        <w:t>ëmë</w:t>
      </w:r>
      <w:proofErr w:type="spellEnd"/>
      <w:r w:rsidRPr="006B447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3D383E">
        <w:rPr>
          <w:rFonts w:ascii="Times New Roman" w:hAnsi="Times New Roman" w:cs="Times New Roman"/>
          <w:b/>
          <w:bCs/>
          <w:sz w:val="24"/>
          <w:szCs w:val="24"/>
          <w:lang w:val="en-GB"/>
        </w:rPr>
        <w:t>P</w:t>
      </w:r>
      <w:r w:rsidRPr="006B4478">
        <w:rPr>
          <w:rFonts w:ascii="Times New Roman" w:hAnsi="Times New Roman" w:cs="Times New Roman"/>
          <w:b/>
          <w:bCs/>
          <w:sz w:val="24"/>
          <w:szCs w:val="24"/>
          <w:lang w:val="en-GB"/>
        </w:rPr>
        <w:t>ërfundimtar</w:t>
      </w:r>
      <w:proofErr w:type="spellEnd"/>
      <w:r w:rsidRPr="006B447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B4478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proofErr w:type="spellEnd"/>
      <w:r w:rsidRPr="006B447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3D383E">
        <w:rPr>
          <w:rFonts w:ascii="Times New Roman" w:hAnsi="Times New Roman" w:cs="Times New Roman"/>
          <w:b/>
          <w:bCs/>
          <w:sz w:val="24"/>
          <w:szCs w:val="24"/>
          <w:lang w:val="en-GB"/>
        </w:rPr>
        <w:t>P</w:t>
      </w:r>
      <w:r w:rsidRPr="006B4478">
        <w:rPr>
          <w:rFonts w:ascii="Times New Roman" w:hAnsi="Times New Roman" w:cs="Times New Roman"/>
          <w:b/>
          <w:bCs/>
          <w:sz w:val="24"/>
          <w:szCs w:val="24"/>
          <w:lang w:val="en-GB"/>
        </w:rPr>
        <w:t>ërjashtuar</w:t>
      </w:r>
      <w:proofErr w:type="spellEnd"/>
    </w:p>
    <w:p w14:paraId="644F2969" w14:textId="77777777" w:rsidR="0022584B" w:rsidRPr="00CE4BE0" w:rsidRDefault="0022584B" w:rsidP="004A60B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1577BBC" w14:textId="08D9C803" w:rsidR="0094383D" w:rsidRDefault="003D383E" w:rsidP="003D383E">
      <w:pPr>
        <w:numPr>
          <w:ilvl w:val="0"/>
          <w:numId w:val="8"/>
        </w:numPr>
        <w:tabs>
          <w:tab w:val="num" w:pos="90"/>
          <w:tab w:val="left" w:pos="450"/>
        </w:tabs>
        <w:spacing w:after="0"/>
        <w:ind w:left="9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Kur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ndërmjetëm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zotërohet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përjashtuar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, ai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F3EC4">
        <w:rPr>
          <w:rFonts w:ascii="Times New Roman" w:hAnsi="Times New Roman" w:cs="Times New Roman"/>
          <w:sz w:val="24"/>
          <w:szCs w:val="24"/>
          <w:lang w:val="en-GB"/>
        </w:rPr>
        <w:t>RPA</w:t>
      </w:r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A788C">
        <w:rPr>
          <w:rFonts w:ascii="Times New Roman" w:hAnsi="Times New Roman" w:cs="Times New Roman"/>
          <w:sz w:val="24"/>
          <w:szCs w:val="24"/>
          <w:lang w:val="en-GB"/>
        </w:rPr>
        <w:t xml:space="preserve">me </w:t>
      </w:r>
      <w:proofErr w:type="spellStart"/>
      <w:r w:rsidR="005A788C">
        <w:rPr>
          <w:rFonts w:ascii="Times New Roman" w:hAnsi="Times New Roman" w:cs="Times New Roman"/>
          <w:sz w:val="24"/>
          <w:szCs w:val="24"/>
          <w:lang w:val="en-GB"/>
        </w:rPr>
        <w:t>tatim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cilat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tjetër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pa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shtetësi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62B6715" w14:textId="77777777" w:rsidR="007C35DC" w:rsidRPr="00CE4BE0" w:rsidRDefault="007C35DC" w:rsidP="00011032">
      <w:pPr>
        <w:spacing w:after="0"/>
        <w:ind w:left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A4D32FC" w14:textId="25DAC7F9" w:rsidR="007C35DC" w:rsidRDefault="003D383E" w:rsidP="003D383E">
      <w:pPr>
        <w:numPr>
          <w:ilvl w:val="0"/>
          <w:numId w:val="8"/>
        </w:numPr>
        <w:tabs>
          <w:tab w:val="num" w:pos="90"/>
          <w:tab w:val="left" w:pos="450"/>
        </w:tabs>
        <w:spacing w:after="0"/>
        <w:ind w:left="9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Kur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ndërmjetëm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cili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88C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5A7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88C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5A7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A788C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me </w:t>
      </w:r>
      <w:proofErr w:type="spellStart"/>
      <w:r w:rsidR="005A788C" w:rsidRPr="009B2DB7">
        <w:rPr>
          <w:rFonts w:ascii="Times New Roman" w:hAnsi="Times New Roman" w:cs="Times New Roman"/>
          <w:sz w:val="24"/>
          <w:szCs w:val="24"/>
          <w:lang w:val="en-GB"/>
        </w:rPr>
        <w:t>tatim</w:t>
      </w:r>
      <w:proofErr w:type="spellEnd"/>
      <w:r w:rsidRPr="005A7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8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A78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88C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>zotërohet</w:t>
      </w:r>
      <w:proofErr w:type="spellEnd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438C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438C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438C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438C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>përjashtuar</w:t>
      </w:r>
      <w:proofErr w:type="spellEnd"/>
      <w:r w:rsidR="00CC438C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CC438C" w:rsidRPr="00CC43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ai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667C0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2667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667C0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2667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667C0">
        <w:rPr>
          <w:rFonts w:ascii="Times New Roman" w:hAnsi="Times New Roman" w:cs="Times New Roman"/>
          <w:sz w:val="24"/>
          <w:szCs w:val="24"/>
          <w:lang w:val="en-GB"/>
        </w:rPr>
        <w:t>RPA</w:t>
      </w:r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vetveten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tatueshme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normë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3D383E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3D383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33029E9" w14:textId="77777777" w:rsidR="003D383E" w:rsidRPr="003D383E" w:rsidRDefault="003D383E" w:rsidP="003D383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93087D1" w14:textId="6D7DDE2E" w:rsidR="0094383D" w:rsidRPr="00CE4BE0" w:rsidRDefault="00B726B9" w:rsidP="00B726B9">
      <w:pPr>
        <w:numPr>
          <w:ilvl w:val="0"/>
          <w:numId w:val="8"/>
        </w:numPr>
        <w:tabs>
          <w:tab w:val="num" w:pos="90"/>
          <w:tab w:val="left" w:pos="450"/>
        </w:tabs>
        <w:spacing w:after="0"/>
        <w:ind w:left="9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Paragrafët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1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2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zbatohen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tjetër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ndërmjetëm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B4D02">
        <w:rPr>
          <w:rFonts w:ascii="Times New Roman" w:hAnsi="Times New Roman" w:cs="Times New Roman"/>
          <w:sz w:val="24"/>
          <w:szCs w:val="24"/>
          <w:lang w:val="en-GB"/>
        </w:rPr>
        <w:t>Rregulli</w:t>
      </w:r>
      <w:r w:rsidR="00CF36D7" w:rsidRPr="00AB4D02">
        <w:rPr>
          <w:rFonts w:ascii="Times New Roman" w:hAnsi="Times New Roman" w:cs="Times New Roman"/>
          <w:sz w:val="24"/>
          <w:szCs w:val="24"/>
          <w:lang w:val="en-GB"/>
        </w:rPr>
        <w:t>t</w:t>
      </w:r>
      <w:proofErr w:type="spellEnd"/>
      <w:r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B4D0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B4D02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B4D0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B4D02">
        <w:rPr>
          <w:rFonts w:ascii="Times New Roman" w:hAnsi="Times New Roman" w:cs="Times New Roman"/>
          <w:sz w:val="24"/>
          <w:szCs w:val="24"/>
          <w:lang w:val="en-GB"/>
        </w:rPr>
        <w:t>Përfshirjes</w:t>
      </w:r>
      <w:proofErr w:type="spellEnd"/>
      <w:r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B4D02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B4D0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B4D02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2667C0"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RKPA e </w:t>
      </w:r>
      <w:proofErr w:type="spellStart"/>
      <w:r w:rsidR="002667C0" w:rsidRPr="00AB4D02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AB4D02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AB4D0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zotëron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drejtpërdrejt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tërthorazi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pjesëmarrje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kontrolluese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entitetin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ndërmjetëm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përmendur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paragrafët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1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2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26B9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B726B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FE5D83B" w14:textId="77777777" w:rsidR="001E40EF" w:rsidRPr="00CE4BE0" w:rsidRDefault="001E40EF" w:rsidP="001E40EF">
      <w:pPr>
        <w:spacing w:after="0"/>
        <w:ind w:left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5ECD4BC" w14:textId="3A74ACEB" w:rsidR="001E40EF" w:rsidRPr="00CE4BE0" w:rsidRDefault="00CF36D7" w:rsidP="00CF36D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Neni</w:t>
      </w:r>
      <w:r w:rsidR="0094383D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2572A" w:rsidRPr="00CE4BE0">
        <w:rPr>
          <w:rFonts w:ascii="Times New Roman" w:hAnsi="Times New Roman" w:cs="Times New Roman"/>
          <w:sz w:val="24"/>
          <w:szCs w:val="24"/>
          <w:lang w:val="en-GB"/>
        </w:rPr>
        <w:t>9</w:t>
      </w:r>
    </w:p>
    <w:p w14:paraId="709FD7FB" w14:textId="30DE9700" w:rsidR="001E40EF" w:rsidRDefault="00CF36D7" w:rsidP="00CF36D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CF36D7">
        <w:rPr>
          <w:rFonts w:ascii="Times New Roman" w:hAnsi="Times New Roman" w:cs="Times New Roman"/>
          <w:b/>
          <w:bCs/>
          <w:sz w:val="24"/>
          <w:szCs w:val="24"/>
          <w:lang w:val="en-GB"/>
        </w:rPr>
        <w:t>Entiteti</w:t>
      </w:r>
      <w:proofErr w:type="spellEnd"/>
      <w:r w:rsidRPr="00CF36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b/>
          <w:bCs/>
          <w:sz w:val="24"/>
          <w:szCs w:val="24"/>
          <w:lang w:val="en-GB"/>
        </w:rPr>
        <w:t>mëmë</w:t>
      </w:r>
      <w:proofErr w:type="spellEnd"/>
      <w:r w:rsidRPr="00CF36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b/>
          <w:bCs/>
          <w:sz w:val="24"/>
          <w:szCs w:val="24"/>
          <w:lang w:val="en-GB"/>
        </w:rPr>
        <w:t>pjesërisht</w:t>
      </w:r>
      <w:proofErr w:type="spellEnd"/>
      <w:r w:rsidRPr="00CF36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b/>
          <w:bCs/>
          <w:sz w:val="24"/>
          <w:szCs w:val="24"/>
          <w:lang w:val="en-GB"/>
        </w:rPr>
        <w:t>në</w:t>
      </w:r>
      <w:proofErr w:type="spellEnd"/>
      <w:r w:rsidRPr="00CF36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b/>
          <w:bCs/>
          <w:sz w:val="24"/>
          <w:szCs w:val="24"/>
          <w:lang w:val="en-GB"/>
        </w:rPr>
        <w:t>pronësi</w:t>
      </w:r>
      <w:proofErr w:type="spellEnd"/>
      <w:r w:rsidRPr="00CF36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proofErr w:type="spellEnd"/>
      <w:r w:rsidRPr="00CF36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b/>
          <w:bCs/>
          <w:sz w:val="24"/>
          <w:szCs w:val="24"/>
          <w:lang w:val="en-GB"/>
        </w:rPr>
        <w:t>vendosur</w:t>
      </w:r>
      <w:proofErr w:type="spellEnd"/>
      <w:r w:rsidRPr="00CF36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b/>
          <w:bCs/>
          <w:sz w:val="24"/>
          <w:szCs w:val="24"/>
          <w:lang w:val="en-GB"/>
        </w:rPr>
        <w:t>në</w:t>
      </w:r>
      <w:proofErr w:type="spellEnd"/>
      <w:r w:rsidRPr="00CF36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b/>
          <w:bCs/>
          <w:sz w:val="24"/>
          <w:szCs w:val="24"/>
          <w:lang w:val="en-GB"/>
        </w:rPr>
        <w:t>Republikën</w:t>
      </w:r>
      <w:proofErr w:type="spellEnd"/>
      <w:r w:rsidRPr="00CF36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 </w:t>
      </w:r>
      <w:proofErr w:type="spellStart"/>
      <w:r w:rsidRPr="00CF36D7">
        <w:rPr>
          <w:rFonts w:ascii="Times New Roman" w:hAnsi="Times New Roman" w:cs="Times New Roman"/>
          <w:b/>
          <w:bCs/>
          <w:sz w:val="24"/>
          <w:szCs w:val="24"/>
          <w:lang w:val="en-GB"/>
        </w:rPr>
        <w:t>Shqipërisë</w:t>
      </w:r>
      <w:proofErr w:type="spellEnd"/>
    </w:p>
    <w:p w14:paraId="337017BD" w14:textId="77777777" w:rsidR="00CF36D7" w:rsidRPr="00CE4BE0" w:rsidRDefault="00CF36D7" w:rsidP="00CF36D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DADB358" w14:textId="016F3429" w:rsidR="0094383D" w:rsidRDefault="00CF36D7" w:rsidP="00CF36D7">
      <w:pPr>
        <w:numPr>
          <w:ilvl w:val="0"/>
          <w:numId w:val="9"/>
        </w:numPr>
        <w:tabs>
          <w:tab w:val="num" w:pos="90"/>
          <w:tab w:val="left" w:pos="450"/>
        </w:tabs>
        <w:spacing w:after="0"/>
        <w:ind w:left="9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pjesërisht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pronësi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667C0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2667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667C0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2667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667C0">
        <w:rPr>
          <w:rFonts w:ascii="Times New Roman" w:hAnsi="Times New Roman" w:cs="Times New Roman"/>
          <w:sz w:val="24"/>
          <w:szCs w:val="24"/>
          <w:lang w:val="en-GB"/>
        </w:rPr>
        <w:t>RPA</w:t>
      </w:r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tatueshme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normë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cilat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tjetër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pa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shtetësi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47E8CBD" w14:textId="77777777" w:rsidR="003D37FF" w:rsidRPr="00CE4BE0" w:rsidRDefault="003D37FF" w:rsidP="00011032">
      <w:pPr>
        <w:spacing w:after="0"/>
        <w:ind w:left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BC636BA" w14:textId="7633E923" w:rsidR="0094383D" w:rsidRDefault="00CF36D7" w:rsidP="00CF36D7">
      <w:pPr>
        <w:numPr>
          <w:ilvl w:val="0"/>
          <w:numId w:val="9"/>
        </w:numPr>
        <w:tabs>
          <w:tab w:val="num" w:pos="90"/>
          <w:tab w:val="left" w:pos="450"/>
        </w:tabs>
        <w:spacing w:after="0"/>
        <w:ind w:left="9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Kur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pjesërisht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pronësi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cili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tatueshëm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normë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, ai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667C0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2667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667C0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2667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667C0">
        <w:rPr>
          <w:rFonts w:ascii="Times New Roman" w:hAnsi="Times New Roman" w:cs="Times New Roman"/>
          <w:sz w:val="24"/>
          <w:szCs w:val="24"/>
          <w:lang w:val="en-GB"/>
        </w:rPr>
        <w:t>RPA</w:t>
      </w:r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vetveten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tatueshme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normë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CF36D7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CF36D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2D61E5B" w14:textId="77777777" w:rsidR="003D37FF" w:rsidRPr="00CE4BE0" w:rsidRDefault="003D37FF" w:rsidP="00011032">
      <w:pPr>
        <w:spacing w:after="0"/>
        <w:ind w:left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9828EE1" w14:textId="4ADD867D" w:rsidR="00CE0346" w:rsidRDefault="006574E3" w:rsidP="006574E3">
      <w:pPr>
        <w:tabs>
          <w:tab w:val="num" w:pos="90"/>
        </w:tabs>
        <w:spacing w:after="0"/>
        <w:ind w:left="9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3.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Paragrafët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1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2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zbatohen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pjesëmarrjet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pronësi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pjesërisht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pronësi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zotërohen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tërësisht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drejtpërdrejt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tërthorazi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tjetër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pjesërisht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pronësi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cili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F36D7" w:rsidRPr="006F3EC4">
        <w:rPr>
          <w:rFonts w:ascii="Times New Roman" w:hAnsi="Times New Roman" w:cs="Times New Roman"/>
          <w:sz w:val="24"/>
          <w:szCs w:val="24"/>
          <w:lang w:val="en-GB"/>
        </w:rPr>
        <w:t xml:space="preserve">Rregulli </w:t>
      </w:r>
      <w:proofErr w:type="spellStart"/>
      <w:r w:rsidR="00CF36D7" w:rsidRPr="006F3EC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F36D7" w:rsidRPr="006F3E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6F3EC4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CF36D7" w:rsidRPr="006F3E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6F3EC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F36D7" w:rsidRPr="006F3E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6F3EC4">
        <w:rPr>
          <w:rFonts w:ascii="Times New Roman" w:hAnsi="Times New Roman" w:cs="Times New Roman"/>
          <w:sz w:val="24"/>
          <w:szCs w:val="24"/>
          <w:lang w:val="en-GB"/>
        </w:rPr>
        <w:t>Përfshirjes</w:t>
      </w:r>
      <w:proofErr w:type="spellEnd"/>
      <w:r w:rsidR="00CF36D7" w:rsidRPr="006F3E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6F3EC4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CF36D7" w:rsidRPr="006F3E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6F3EC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F36D7" w:rsidRPr="006F3E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6F3EC4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CF36D7" w:rsidRPr="006F3EC4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6F3EC4" w:rsidRPr="006F3EC4">
        <w:rPr>
          <w:rFonts w:ascii="Times New Roman" w:hAnsi="Times New Roman" w:cs="Times New Roman"/>
          <w:sz w:val="24"/>
          <w:szCs w:val="24"/>
          <w:lang w:val="en-GB"/>
        </w:rPr>
        <w:t xml:space="preserve">RPA e </w:t>
      </w:r>
      <w:proofErr w:type="spellStart"/>
      <w:r w:rsidR="006F3EC4" w:rsidRPr="006F3EC4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CF36D7" w:rsidRPr="006F3EC4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="00CF36D7" w:rsidRPr="006F3EC4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E2E2582" w14:textId="489CFAB6" w:rsidR="0094383D" w:rsidRPr="00CE4BE0" w:rsidRDefault="0094383D" w:rsidP="0001103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B470949" w14:textId="2618EB96" w:rsidR="00CF36D7" w:rsidRPr="006574E3" w:rsidRDefault="006574E3" w:rsidP="006574E3">
      <w:pPr>
        <w:tabs>
          <w:tab w:val="num" w:pos="90"/>
        </w:tabs>
        <w:spacing w:after="0"/>
        <w:ind w:left="9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4. </w:t>
      </w:r>
      <w:proofErr w:type="spellStart"/>
      <w:r w:rsidR="00255698" w:rsidRPr="00CF36D7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aragrafët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1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2</w:t>
      </w:r>
      <w:r w:rsidR="0079494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79494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zbatohen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2667C0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="00CF36D7" w:rsidRPr="002667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2667C0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CF36D7" w:rsidRPr="002667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667C0">
        <w:rPr>
          <w:rFonts w:ascii="Times New Roman" w:hAnsi="Times New Roman" w:cs="Times New Roman"/>
          <w:sz w:val="24"/>
          <w:szCs w:val="24"/>
          <w:lang w:val="en-GB"/>
        </w:rPr>
        <w:t>RPA</w:t>
      </w:r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konsiderohet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me zero,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kualifikohet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>përjashtimin</w:t>
      </w:r>
      <w:proofErr w:type="spellEnd"/>
      <w:r w:rsidR="0079494A" w:rsidRPr="0079494A">
        <w:t xml:space="preserve"> </w:t>
      </w:r>
      <w:proofErr w:type="spellStart"/>
      <w:r w:rsidR="0079494A">
        <w:t>nga</w:t>
      </w:r>
      <w:proofErr w:type="spellEnd"/>
      <w:r w:rsidR="0079494A">
        <w:t xml:space="preserve"> </w:t>
      </w:r>
      <w:proofErr w:type="spellStart"/>
      <w:r w:rsidR="0079494A" w:rsidRPr="0079494A">
        <w:rPr>
          <w:rFonts w:ascii="Times New Roman" w:hAnsi="Times New Roman" w:cs="Times New Roman"/>
          <w:sz w:val="24"/>
          <w:szCs w:val="24"/>
          <w:lang w:val="en-GB"/>
        </w:rPr>
        <w:t>masa</w:t>
      </w:r>
      <w:r w:rsidR="0079494A">
        <w:rPr>
          <w:rFonts w:ascii="Times New Roman" w:hAnsi="Times New Roman" w:cs="Times New Roman"/>
          <w:sz w:val="24"/>
          <w:szCs w:val="24"/>
          <w:lang w:val="en-GB"/>
        </w:rPr>
        <w:t>t</w:t>
      </w:r>
      <w:proofErr w:type="spellEnd"/>
      <w:r w:rsidR="0079494A" w:rsidRPr="00794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494A" w:rsidRPr="0079494A">
        <w:rPr>
          <w:rFonts w:ascii="Times New Roman" w:hAnsi="Times New Roman" w:cs="Times New Roman"/>
          <w:sz w:val="24"/>
          <w:szCs w:val="24"/>
          <w:lang w:val="en-GB"/>
        </w:rPr>
        <w:t>lehtësuese</w:t>
      </w:r>
      <w:proofErr w:type="spellEnd"/>
      <w:r w:rsidR="0079494A" w:rsidRPr="00794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494A" w:rsidRPr="0079494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79494A" w:rsidRPr="00794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494A" w:rsidRPr="0079494A">
        <w:rPr>
          <w:rFonts w:ascii="Times New Roman" w:hAnsi="Times New Roman" w:cs="Times New Roman"/>
          <w:sz w:val="24"/>
          <w:szCs w:val="24"/>
          <w:lang w:val="en-GB"/>
        </w:rPr>
        <w:t>krahasimit</w:t>
      </w:r>
      <w:proofErr w:type="spellEnd"/>
      <w:r w:rsidR="0079494A" w:rsidRPr="00794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494A" w:rsidRPr="0079494A">
        <w:rPr>
          <w:rFonts w:ascii="Times New Roman" w:hAnsi="Times New Roman" w:cs="Times New Roman"/>
          <w:sz w:val="24"/>
          <w:szCs w:val="24"/>
          <w:lang w:val="en-GB"/>
        </w:rPr>
        <w:t>paralel</w:t>
      </w:r>
      <w:proofErr w:type="spellEnd"/>
      <w:r w:rsidR="0079494A" w:rsidRPr="0079494A">
        <w:rPr>
          <w:rFonts w:ascii="Times New Roman" w:hAnsi="Times New Roman" w:cs="Times New Roman"/>
          <w:sz w:val="24"/>
          <w:szCs w:val="24"/>
          <w:lang w:val="en-GB"/>
        </w:rPr>
        <w:t xml:space="preserve"> “Side-by-Side” Safe Harbour.</w:t>
      </w:r>
      <w:r w:rsidR="00CF36D7" w:rsidRPr="00CF3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A1FA698" w14:textId="77777777" w:rsidR="00CF36D7" w:rsidRPr="00CF36D7" w:rsidRDefault="00CF36D7" w:rsidP="00CF36D7">
      <w:pPr>
        <w:spacing w:after="0"/>
        <w:ind w:left="9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316556E" w14:textId="66169391" w:rsidR="001E40EF" w:rsidRPr="00CE4BE0" w:rsidRDefault="00CF36D7" w:rsidP="00CF36D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Neni</w:t>
      </w:r>
      <w:r w:rsidR="0094383D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B5C69" w:rsidRPr="00CE4BE0">
        <w:rPr>
          <w:rFonts w:ascii="Times New Roman" w:hAnsi="Times New Roman" w:cs="Times New Roman"/>
          <w:sz w:val="24"/>
          <w:szCs w:val="24"/>
          <w:lang w:val="en-GB"/>
        </w:rPr>
        <w:t>10</w:t>
      </w:r>
    </w:p>
    <w:p w14:paraId="535C4C69" w14:textId="44B0F546" w:rsidR="001E40EF" w:rsidRDefault="00CF36D7" w:rsidP="00CF36D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CF36D7">
        <w:rPr>
          <w:rFonts w:ascii="Times New Roman" w:hAnsi="Times New Roman" w:cs="Times New Roman"/>
          <w:b/>
          <w:bCs/>
          <w:sz w:val="24"/>
          <w:szCs w:val="24"/>
          <w:lang w:val="en-GB"/>
        </w:rPr>
        <w:t>Ndarja</w:t>
      </w:r>
      <w:proofErr w:type="spellEnd"/>
      <w:r w:rsidRPr="00CF36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 </w:t>
      </w:r>
      <w:proofErr w:type="spellStart"/>
      <w:r w:rsidRPr="00CF36D7">
        <w:rPr>
          <w:rFonts w:ascii="Times New Roman" w:hAnsi="Times New Roman" w:cs="Times New Roman"/>
          <w:b/>
          <w:bCs/>
          <w:sz w:val="24"/>
          <w:szCs w:val="24"/>
          <w:lang w:val="en-GB"/>
        </w:rPr>
        <w:t>tatimit</w:t>
      </w:r>
      <w:proofErr w:type="spellEnd"/>
      <w:r w:rsidRPr="00CF36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b/>
          <w:bCs/>
          <w:sz w:val="24"/>
          <w:szCs w:val="24"/>
          <w:lang w:val="en-GB"/>
        </w:rPr>
        <w:t>shtesë</w:t>
      </w:r>
      <w:proofErr w:type="spellEnd"/>
      <w:r w:rsidRPr="00CF36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b/>
          <w:bCs/>
          <w:sz w:val="24"/>
          <w:szCs w:val="24"/>
          <w:lang w:val="en-GB"/>
        </w:rPr>
        <w:t>sipas</w:t>
      </w:r>
      <w:proofErr w:type="spellEnd"/>
      <w:r w:rsidRPr="00CF36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b/>
          <w:bCs/>
          <w:sz w:val="24"/>
          <w:szCs w:val="24"/>
          <w:lang w:val="en-GB"/>
        </w:rPr>
        <w:t>Rregullit</w:t>
      </w:r>
      <w:proofErr w:type="spellEnd"/>
      <w:r w:rsidRPr="00CF36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b/>
          <w:bCs/>
          <w:sz w:val="24"/>
          <w:szCs w:val="24"/>
          <w:lang w:val="en-GB"/>
        </w:rPr>
        <w:t>të</w:t>
      </w:r>
      <w:proofErr w:type="spellEnd"/>
      <w:r w:rsidRPr="00CF36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b/>
          <w:bCs/>
          <w:sz w:val="24"/>
          <w:szCs w:val="24"/>
          <w:lang w:val="en-GB"/>
        </w:rPr>
        <w:t>Përfshirjes</w:t>
      </w:r>
      <w:proofErr w:type="spellEnd"/>
      <w:r w:rsidRPr="00CF36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b/>
          <w:bCs/>
          <w:sz w:val="24"/>
          <w:szCs w:val="24"/>
          <w:lang w:val="en-GB"/>
        </w:rPr>
        <w:t>së</w:t>
      </w:r>
      <w:proofErr w:type="spellEnd"/>
      <w:r w:rsidRPr="00CF36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b/>
          <w:bCs/>
          <w:sz w:val="24"/>
          <w:szCs w:val="24"/>
          <w:lang w:val="en-GB"/>
        </w:rPr>
        <w:t>të</w:t>
      </w:r>
      <w:proofErr w:type="spellEnd"/>
      <w:r w:rsidRPr="00CF36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CF36D7">
        <w:rPr>
          <w:rFonts w:ascii="Times New Roman" w:hAnsi="Times New Roman" w:cs="Times New Roman"/>
          <w:b/>
          <w:bCs/>
          <w:sz w:val="24"/>
          <w:szCs w:val="24"/>
          <w:lang w:val="en-GB"/>
        </w:rPr>
        <w:t>Ardhurave</w:t>
      </w:r>
      <w:proofErr w:type="spellEnd"/>
      <w:r w:rsidRPr="00CF36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</w:t>
      </w:r>
      <w:r w:rsidR="006F3EC4">
        <w:rPr>
          <w:rFonts w:ascii="Times New Roman" w:hAnsi="Times New Roman" w:cs="Times New Roman"/>
          <w:b/>
          <w:bCs/>
          <w:sz w:val="24"/>
          <w:szCs w:val="24"/>
          <w:lang w:val="en-GB"/>
        </w:rPr>
        <w:t>RPA</w:t>
      </w:r>
      <w:r w:rsidRPr="00CF36D7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390E4586" w14:textId="77777777" w:rsidR="00CF36D7" w:rsidRPr="00CE4BE0" w:rsidRDefault="00CF36D7" w:rsidP="00CF36D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8A89736" w14:textId="6D06AD8C" w:rsidR="005A788C" w:rsidRDefault="00ED7B24" w:rsidP="00F169B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1. </w:t>
      </w:r>
      <w:proofErr w:type="spellStart"/>
      <w:r w:rsidR="00CF36D7" w:rsidRPr="002667C0">
        <w:rPr>
          <w:rFonts w:ascii="Times New Roman" w:eastAsia="Times New Roman" w:hAnsi="Times New Roman" w:cs="Times New Roman"/>
          <w:sz w:val="24"/>
          <w:szCs w:val="24"/>
          <w:lang w:val="en-GB"/>
        </w:rPr>
        <w:t>Tatimi</w:t>
      </w:r>
      <w:proofErr w:type="spellEnd"/>
      <w:r w:rsidR="00CF36D7" w:rsidRPr="002667C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2667C0">
        <w:rPr>
          <w:rFonts w:ascii="Times New Roman" w:eastAsia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CF36D7" w:rsidRPr="002667C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2667C0">
        <w:rPr>
          <w:rFonts w:ascii="Times New Roman" w:eastAsia="Times New Roman" w:hAnsi="Times New Roman" w:cs="Times New Roman"/>
          <w:sz w:val="24"/>
          <w:szCs w:val="24"/>
          <w:lang w:val="en-GB"/>
        </w:rPr>
        <w:t>RPA</w:t>
      </w:r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detyrueshëm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p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r w:rsid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r</w:t>
      </w:r>
      <w:proofErr w:type="spellEnd"/>
      <w:r w:rsid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t’u</w:t>
      </w:r>
      <w:proofErr w:type="spellEnd"/>
      <w:r w:rsid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paguar</w:t>
      </w:r>
      <w:proofErr w:type="spellEnd"/>
      <w:r w:rsid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lidhje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5A78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me </w:t>
      </w:r>
      <w:proofErr w:type="spellStart"/>
      <w:r w:rsidR="005A788C">
        <w:rPr>
          <w:rFonts w:ascii="Times New Roman" w:eastAsia="Times New Roman" w:hAnsi="Times New Roman" w:cs="Times New Roman"/>
          <w:sz w:val="24"/>
          <w:szCs w:val="24"/>
          <w:lang w:val="en-GB"/>
        </w:rPr>
        <w:t>tatim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ulët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nenet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6, 7, 8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9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A788C">
        <w:rPr>
          <w:rFonts w:ascii="Times New Roman" w:eastAsia="Times New Roman" w:hAnsi="Times New Roman" w:cs="Times New Roman"/>
          <w:sz w:val="24"/>
          <w:szCs w:val="24"/>
          <w:lang w:val="en-GB"/>
        </w:rPr>
        <w:t>L</w:t>
      </w:r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igji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tatimin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5A78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me </w:t>
      </w:r>
      <w:proofErr w:type="spellStart"/>
      <w:r w:rsidR="005A788C">
        <w:rPr>
          <w:rFonts w:ascii="Times New Roman" w:eastAsia="Times New Roman" w:hAnsi="Times New Roman" w:cs="Times New Roman"/>
          <w:sz w:val="24"/>
          <w:szCs w:val="24"/>
          <w:lang w:val="en-GB"/>
        </w:rPr>
        <w:t>tatim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ulët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llogaritur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nenin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27</w:t>
      </w:r>
      <w:r w:rsidR="005A78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14:paraId="32050B3F" w14:textId="343CD6C3" w:rsidR="00586128" w:rsidRDefault="005A788C" w:rsidP="00F169B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L</w:t>
      </w:r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igji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shumëzuar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pjesën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alokueshme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atë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tatim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vitin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CF36D7" w:rsidRPr="00CF36D7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2EB453CF" w14:textId="77777777" w:rsidR="006931B6" w:rsidRPr="00CE4BE0" w:rsidRDefault="006931B6" w:rsidP="00F169B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68D5053" w14:textId="09A7941C" w:rsidR="00586128" w:rsidRDefault="00ED7B24" w:rsidP="0020400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eastAsia="Times New Roman" w:hAnsi="Times New Roman" w:cs="Times New Roman"/>
          <w:sz w:val="24"/>
          <w:szCs w:val="24"/>
          <w:lang w:val="en-GB"/>
        </w:rPr>
        <w:t>2.</w:t>
      </w:r>
      <w:r w:rsidR="007E6CB7" w:rsidRPr="00CE4BE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Pjesa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alokueshme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tatimin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lidhje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5A78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me </w:t>
      </w:r>
      <w:proofErr w:type="spellStart"/>
      <w:r w:rsidR="005A788C">
        <w:rPr>
          <w:rFonts w:ascii="Times New Roman" w:eastAsia="Times New Roman" w:hAnsi="Times New Roman" w:cs="Times New Roman"/>
          <w:sz w:val="24"/>
          <w:szCs w:val="24"/>
          <w:lang w:val="en-GB"/>
        </w:rPr>
        <w:t>tatim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ulët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përqindja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pjesëmarrjes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së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pronësisë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së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atij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5A788C">
        <w:rPr>
          <w:rFonts w:ascii="Times New Roman" w:eastAsia="Times New Roman" w:hAnsi="Times New Roman" w:cs="Times New Roman"/>
          <w:sz w:val="24"/>
          <w:szCs w:val="24"/>
          <w:lang w:val="en-GB"/>
        </w:rPr>
        <w:t>tatim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ulët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Kjo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përqindje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5A78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me </w:t>
      </w:r>
      <w:proofErr w:type="spellStart"/>
      <w:r w:rsidR="005A788C">
        <w:rPr>
          <w:rFonts w:ascii="Times New Roman" w:eastAsia="Times New Roman" w:hAnsi="Times New Roman" w:cs="Times New Roman"/>
          <w:sz w:val="24"/>
          <w:szCs w:val="24"/>
          <w:lang w:val="en-GB"/>
        </w:rPr>
        <w:t>tatim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ulët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vitin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reduktuara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shumën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këtyre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atribuohen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pjesëmarrjeve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pronësi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mbajtura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pronarë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tjerë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pjesëtuar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5A78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me </w:t>
      </w:r>
      <w:proofErr w:type="spellStart"/>
      <w:r w:rsidR="005A788C">
        <w:rPr>
          <w:rFonts w:ascii="Times New Roman" w:eastAsia="Times New Roman" w:hAnsi="Times New Roman" w:cs="Times New Roman"/>
          <w:sz w:val="24"/>
          <w:szCs w:val="24"/>
          <w:lang w:val="en-GB"/>
        </w:rPr>
        <w:t>tatim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ulët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vitin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44342A" w:rsidRPr="0044342A">
        <w:t xml:space="preserve"> </w:t>
      </w:r>
      <w:r w:rsidR="0044342A" w:rsidRPr="0044342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Shuma e </w:t>
      </w:r>
      <w:proofErr w:type="spellStart"/>
      <w:r w:rsidR="0044342A" w:rsidRPr="0044342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44342A" w:rsidRPr="0044342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342A" w:rsidRPr="0044342A">
        <w:rPr>
          <w:rFonts w:ascii="Times New Roman" w:eastAsia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44342A" w:rsidRPr="0044342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342A" w:rsidRPr="0044342A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44342A" w:rsidRPr="0044342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342A" w:rsidRPr="0044342A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44342A" w:rsidRPr="0044342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342A" w:rsidRPr="0044342A">
        <w:rPr>
          <w:rFonts w:ascii="Times New Roman" w:eastAsia="Times New Roman" w:hAnsi="Times New Roman" w:cs="Times New Roman"/>
          <w:sz w:val="24"/>
          <w:szCs w:val="24"/>
          <w:lang w:val="en-GB"/>
        </w:rPr>
        <w:t>takojnë</w:t>
      </w:r>
      <w:proofErr w:type="spellEnd"/>
      <w:r w:rsidR="0044342A" w:rsidRPr="0044342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342A" w:rsidRPr="0044342A">
        <w:rPr>
          <w:rFonts w:ascii="Times New Roman" w:eastAsia="Times New Roman" w:hAnsi="Times New Roman" w:cs="Times New Roman"/>
          <w:sz w:val="24"/>
          <w:szCs w:val="24"/>
          <w:lang w:val="en-GB"/>
        </w:rPr>
        <w:t>pjesëmarrjeve</w:t>
      </w:r>
      <w:proofErr w:type="spellEnd"/>
      <w:r w:rsidR="0044342A" w:rsidRPr="0044342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342A" w:rsidRPr="0044342A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44342A" w:rsidRPr="0044342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342A" w:rsidRPr="0044342A">
        <w:rPr>
          <w:rFonts w:ascii="Times New Roman" w:eastAsia="Times New Roman" w:hAnsi="Times New Roman" w:cs="Times New Roman"/>
          <w:sz w:val="24"/>
          <w:szCs w:val="24"/>
          <w:lang w:val="en-GB"/>
        </w:rPr>
        <w:t>pronësi</w:t>
      </w:r>
      <w:proofErr w:type="spellEnd"/>
      <w:r w:rsidR="0044342A" w:rsidRPr="0044342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342A" w:rsidRPr="0044342A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44342A" w:rsidRPr="0044342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342A" w:rsidRPr="0044342A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44342A" w:rsidRPr="0044342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342A" w:rsidRPr="0044342A">
        <w:rPr>
          <w:rFonts w:ascii="Times New Roman" w:eastAsia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44342A" w:rsidRPr="0044342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342A" w:rsidRPr="0044342A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44342A" w:rsidRPr="0044342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BA2FB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me </w:t>
      </w:r>
      <w:proofErr w:type="spellStart"/>
      <w:r w:rsidR="00BA2FB5">
        <w:rPr>
          <w:rFonts w:ascii="Times New Roman" w:eastAsia="Times New Roman" w:hAnsi="Times New Roman" w:cs="Times New Roman"/>
          <w:sz w:val="24"/>
          <w:szCs w:val="24"/>
          <w:lang w:val="en-GB"/>
        </w:rPr>
        <w:t>tatim</w:t>
      </w:r>
      <w:proofErr w:type="spellEnd"/>
      <w:r w:rsidR="0044342A" w:rsidRPr="0044342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342A" w:rsidRPr="0044342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44342A" w:rsidRPr="0044342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342A" w:rsidRPr="0044342A">
        <w:rPr>
          <w:rFonts w:ascii="Times New Roman" w:eastAsia="Times New Roman" w:hAnsi="Times New Roman" w:cs="Times New Roman"/>
          <w:sz w:val="24"/>
          <w:szCs w:val="24"/>
          <w:lang w:val="en-GB"/>
        </w:rPr>
        <w:t>ulët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mbajtura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pronarë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tjerë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shuma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t’u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ishte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atribuar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këtyre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pronarëve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sipas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parimeve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standardit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pranueshëm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kontabilitetit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financiar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përdorur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pasqyrat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konsoliduara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nëse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neto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BA2FB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me </w:t>
      </w:r>
      <w:proofErr w:type="spellStart"/>
      <w:r w:rsidR="00BA2FB5">
        <w:rPr>
          <w:rFonts w:ascii="Times New Roman" w:eastAsia="Times New Roman" w:hAnsi="Times New Roman" w:cs="Times New Roman"/>
          <w:sz w:val="24"/>
          <w:szCs w:val="24"/>
          <w:lang w:val="en-GB"/>
        </w:rPr>
        <w:t>tatim</w:t>
      </w:r>
      <w:proofErr w:type="spellEnd"/>
      <w:r w:rsidR="00BA2FB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FB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BA2FB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FB5">
        <w:rPr>
          <w:rFonts w:ascii="Times New Roman" w:eastAsia="Times New Roman" w:hAnsi="Times New Roman" w:cs="Times New Roman"/>
          <w:sz w:val="24"/>
          <w:szCs w:val="24"/>
          <w:lang w:val="en-GB"/>
        </w:rPr>
        <w:t>ulët</w:t>
      </w:r>
      <w:proofErr w:type="spellEnd"/>
      <w:r w:rsidR="00BA2FB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ishin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barabarta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tij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14:paraId="29A14F83" w14:textId="77777777" w:rsidR="006931B6" w:rsidRPr="00CE4BE0" w:rsidRDefault="006931B6" w:rsidP="00F169B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93A5588" w14:textId="23017D42" w:rsidR="00B567F9" w:rsidRPr="00B567F9" w:rsidRDefault="00B567F9" w:rsidP="00B567F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567F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kishte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përgatitur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pasqyra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konsoliduara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atë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standard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(“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pasqyra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konsoliduara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hipotetike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”);</w:t>
      </w:r>
    </w:p>
    <w:p w14:paraId="3DF00A30" w14:textId="7CE9A021" w:rsidR="00B567F9" w:rsidRPr="00B567F9" w:rsidRDefault="00B567F9" w:rsidP="00B567F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567F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kishte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pjesëmarrje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kontrolluese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entitetin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BA2FB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me </w:t>
      </w:r>
      <w:proofErr w:type="spellStart"/>
      <w:r w:rsidR="00BA2FB5">
        <w:rPr>
          <w:rFonts w:ascii="Times New Roman" w:eastAsia="Times New Roman" w:hAnsi="Times New Roman" w:cs="Times New Roman"/>
          <w:sz w:val="24"/>
          <w:szCs w:val="24"/>
          <w:lang w:val="en-GB"/>
        </w:rPr>
        <w:t>tatim</w:t>
      </w:r>
      <w:proofErr w:type="spellEnd"/>
      <w:r w:rsidR="00BA2FB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ulët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mënyrë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tillë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gjitha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shpenzimet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atij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konsolidoheshin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bazë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zërave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zë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zë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me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ato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pasqyrat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konsoliduara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hipotetike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14:paraId="3CC3ADBA" w14:textId="29B10767" w:rsidR="00B567F9" w:rsidRPr="00B567F9" w:rsidRDefault="00B567F9" w:rsidP="00B567F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567F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c) </w:t>
      </w:r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gjithë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ardhura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BA2FB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me </w:t>
      </w:r>
      <w:proofErr w:type="spellStart"/>
      <w:r w:rsidR="00BA2FB5">
        <w:rPr>
          <w:rFonts w:ascii="Times New Roman" w:eastAsia="Times New Roman" w:hAnsi="Times New Roman" w:cs="Times New Roman"/>
          <w:sz w:val="24"/>
          <w:szCs w:val="24"/>
          <w:lang w:val="en-GB"/>
        </w:rPr>
        <w:t>tatim</w:t>
      </w:r>
      <w:proofErr w:type="spellEnd"/>
      <w:r w:rsidR="00BA2FB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FB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BA2FB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FB5">
        <w:rPr>
          <w:rFonts w:ascii="Times New Roman" w:eastAsia="Times New Roman" w:hAnsi="Times New Roman" w:cs="Times New Roman"/>
          <w:sz w:val="24"/>
          <w:szCs w:val="24"/>
          <w:lang w:val="en-GB"/>
        </w:rPr>
        <w:t>ulët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t’i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atribuohej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transaksioneve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persona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nuk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janë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entitete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grupit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1DE43DE5" w14:textId="492EAC53" w:rsidR="00586128" w:rsidRDefault="00B567F9" w:rsidP="000110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567F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d)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gjitha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pjesëmarrjet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pronësi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nuk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mbaheshin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drejtpërdrejt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tërthorazi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mbaheshin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persona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nuk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janë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entitete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grupit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742471CE" w14:textId="77777777" w:rsidR="006931B6" w:rsidRPr="00CE4BE0" w:rsidRDefault="006931B6" w:rsidP="004A60B9">
      <w:pPr>
        <w:shd w:val="clear" w:color="auto" w:fill="FFFFFF"/>
        <w:spacing w:after="0"/>
        <w:ind w:firstLine="33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82737DB" w14:textId="26939BA7" w:rsidR="00586128" w:rsidRDefault="00F169BD" w:rsidP="00F169B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eastAsia="Times New Roman" w:hAnsi="Times New Roman" w:cs="Times New Roman"/>
          <w:sz w:val="24"/>
          <w:szCs w:val="24"/>
          <w:lang w:val="en-GB"/>
        </w:rPr>
        <w:t>3</w:t>
      </w:r>
      <w:r w:rsidR="000B26AD" w:rsidRPr="00CE4BE0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586128" w:rsidRPr="00CE4BE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Përveç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shumës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së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alokuar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neni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tatimi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2667C0">
        <w:rPr>
          <w:rFonts w:ascii="Times New Roman" w:eastAsia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540EB1" w:rsidRPr="002667C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2667C0">
        <w:rPr>
          <w:rFonts w:ascii="Times New Roman" w:eastAsia="Times New Roman" w:hAnsi="Times New Roman" w:cs="Times New Roman"/>
          <w:sz w:val="24"/>
          <w:szCs w:val="24"/>
          <w:lang w:val="en-GB"/>
        </w:rPr>
        <w:t>RPA</w:t>
      </w:r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detyrueshëm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nenet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6, 7, 8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9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ligji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vitin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përfshin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nenin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27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ligji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14:paraId="53BADC78" w14:textId="77777777" w:rsidR="00665B32" w:rsidRPr="00CE4BE0" w:rsidRDefault="00665B32" w:rsidP="00F169B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F693E7D" w14:textId="3F8B2FB8" w:rsidR="0003088B" w:rsidRPr="0003088B" w:rsidRDefault="0003088B" w:rsidP="0003088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3088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shumën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plotë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llogaritur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atë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4B0106F9" w14:textId="4C4051F6" w:rsidR="00586128" w:rsidRPr="00CE4BE0" w:rsidRDefault="0003088B" w:rsidP="00011032">
      <w:pPr>
        <w:shd w:val="clear" w:color="auto" w:fill="FFFFFF"/>
        <w:spacing w:after="0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en-GB"/>
        </w:rPr>
      </w:pPr>
      <w:bookmarkStart w:id="4" w:name="_Hlk231723325"/>
      <w:r w:rsidRPr="0003088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shumën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llogaritur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entitetet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tij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BA2FB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me </w:t>
      </w:r>
      <w:proofErr w:type="spellStart"/>
      <w:r w:rsidR="00BA2FB5">
        <w:rPr>
          <w:rFonts w:ascii="Times New Roman" w:eastAsia="Times New Roman" w:hAnsi="Times New Roman" w:cs="Times New Roman"/>
          <w:sz w:val="24"/>
          <w:szCs w:val="24"/>
          <w:lang w:val="en-GB"/>
        </w:rPr>
        <w:t>tatim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ulët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vendosura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shumëzuar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pjesën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alokueshme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atë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tatim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vitin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540EB1" w:rsidRPr="00540EB1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bookmarkEnd w:id="4"/>
    <w:p w14:paraId="0E9B03D8" w14:textId="77777777" w:rsidR="00586128" w:rsidRPr="00CE4BE0" w:rsidRDefault="00586128" w:rsidP="004A60B9">
      <w:pPr>
        <w:pStyle w:val="Heading3"/>
        <w:spacing w:before="0"/>
        <w:jc w:val="both"/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</w:pPr>
    </w:p>
    <w:p w14:paraId="7EBECE3F" w14:textId="63CAFE5A" w:rsidR="00045131" w:rsidRPr="00CE4BE0" w:rsidRDefault="00540EB1" w:rsidP="00540EB1">
      <w:pPr>
        <w:pStyle w:val="Heading3"/>
        <w:spacing w:before="0"/>
        <w:jc w:val="center"/>
        <w:rPr>
          <w:rStyle w:val="Strong"/>
          <w:rFonts w:ascii="Times New Roman" w:hAnsi="Times New Roman" w:cs="Times New Roman"/>
          <w:color w:val="auto"/>
          <w:sz w:val="24"/>
          <w:szCs w:val="24"/>
          <w:lang w:val="en-GB"/>
        </w:rPr>
      </w:pPr>
      <w:r>
        <w:rPr>
          <w:rStyle w:val="Strong"/>
          <w:rFonts w:ascii="Times New Roman" w:hAnsi="Times New Roman" w:cs="Times New Roman"/>
          <w:color w:val="auto"/>
          <w:sz w:val="24"/>
          <w:szCs w:val="24"/>
          <w:lang w:val="en-GB"/>
        </w:rPr>
        <w:t>Neni</w:t>
      </w:r>
      <w:r w:rsidR="0094383D" w:rsidRPr="00CE4BE0">
        <w:rPr>
          <w:rStyle w:val="Strong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1</w:t>
      </w:r>
      <w:r w:rsidR="00893DB9" w:rsidRPr="00CE4BE0">
        <w:rPr>
          <w:rStyle w:val="Strong"/>
          <w:rFonts w:ascii="Times New Roman" w:hAnsi="Times New Roman" w:cs="Times New Roman"/>
          <w:color w:val="auto"/>
          <w:sz w:val="24"/>
          <w:szCs w:val="24"/>
          <w:lang w:val="en-GB"/>
        </w:rPr>
        <w:t>1</w:t>
      </w:r>
    </w:p>
    <w:p w14:paraId="664FC5BB" w14:textId="17F11E51" w:rsidR="00540EB1" w:rsidRDefault="00540EB1" w:rsidP="00540EB1">
      <w:pPr>
        <w:pStyle w:val="NormalWeb"/>
        <w:spacing w:before="0" w:beforeAutospacing="0" w:after="0" w:afterAutospacing="0" w:line="276" w:lineRule="auto"/>
        <w:jc w:val="center"/>
        <w:rPr>
          <w:b/>
          <w:bCs/>
          <w:lang w:val="en-GB"/>
        </w:rPr>
      </w:pPr>
      <w:proofErr w:type="spellStart"/>
      <w:r w:rsidRPr="00540EB1">
        <w:rPr>
          <w:b/>
          <w:bCs/>
          <w:lang w:val="en-GB"/>
        </w:rPr>
        <w:t>Mekanizmi</w:t>
      </w:r>
      <w:proofErr w:type="spellEnd"/>
      <w:r w:rsidRPr="00540EB1">
        <w:rPr>
          <w:b/>
          <w:bCs/>
          <w:lang w:val="en-GB"/>
        </w:rPr>
        <w:t xml:space="preserve"> </w:t>
      </w:r>
      <w:proofErr w:type="spellStart"/>
      <w:r w:rsidRPr="00540EB1">
        <w:rPr>
          <w:b/>
          <w:bCs/>
          <w:lang w:val="en-GB"/>
        </w:rPr>
        <w:t>i</w:t>
      </w:r>
      <w:proofErr w:type="spellEnd"/>
      <w:r w:rsidRPr="00540EB1">
        <w:rPr>
          <w:b/>
          <w:bCs/>
          <w:lang w:val="en-GB"/>
        </w:rPr>
        <w:t xml:space="preserve"> </w:t>
      </w:r>
      <w:proofErr w:type="spellStart"/>
      <w:r w:rsidRPr="00540EB1">
        <w:rPr>
          <w:b/>
          <w:bCs/>
          <w:lang w:val="en-GB"/>
        </w:rPr>
        <w:t>kompensimit</w:t>
      </w:r>
      <w:proofErr w:type="spellEnd"/>
      <w:r w:rsidRPr="00540EB1">
        <w:rPr>
          <w:b/>
          <w:bCs/>
          <w:lang w:val="en-GB"/>
        </w:rPr>
        <w:t xml:space="preserve"> </w:t>
      </w:r>
      <w:proofErr w:type="spellStart"/>
      <w:r w:rsidRPr="002667C0">
        <w:rPr>
          <w:b/>
          <w:bCs/>
          <w:lang w:val="en-GB"/>
        </w:rPr>
        <w:t>të</w:t>
      </w:r>
      <w:proofErr w:type="spellEnd"/>
      <w:r w:rsidRPr="002667C0">
        <w:rPr>
          <w:b/>
          <w:bCs/>
          <w:lang w:val="en-GB"/>
        </w:rPr>
        <w:t xml:space="preserve"> </w:t>
      </w:r>
      <w:r w:rsidR="002667C0">
        <w:rPr>
          <w:b/>
          <w:bCs/>
          <w:lang w:val="en-GB"/>
        </w:rPr>
        <w:t>RPA</w:t>
      </w:r>
    </w:p>
    <w:p w14:paraId="5C757CFF" w14:textId="378E39E5" w:rsidR="00045131" w:rsidRPr="00540EB1" w:rsidRDefault="00540EB1" w:rsidP="00540EB1">
      <w:pPr>
        <w:pStyle w:val="NormalWeb"/>
        <w:spacing w:before="0" w:beforeAutospacing="0" w:after="0" w:afterAutospacing="0" w:line="276" w:lineRule="auto"/>
        <w:jc w:val="center"/>
        <w:rPr>
          <w:b/>
          <w:bCs/>
          <w:lang w:val="en-GB"/>
        </w:rPr>
      </w:pPr>
      <w:r w:rsidRPr="00540EB1">
        <w:rPr>
          <w:b/>
          <w:bCs/>
          <w:lang w:val="en-GB"/>
        </w:rPr>
        <w:t xml:space="preserve"> </w:t>
      </w:r>
    </w:p>
    <w:p w14:paraId="5E513D6E" w14:textId="5A952B40" w:rsidR="0094383D" w:rsidRPr="00CE4BE0" w:rsidRDefault="00540EB1" w:rsidP="004A60B9">
      <w:pPr>
        <w:pStyle w:val="NormalWeb"/>
        <w:spacing w:before="0" w:beforeAutospacing="0" w:after="0" w:afterAutospacing="0" w:line="276" w:lineRule="auto"/>
        <w:jc w:val="both"/>
        <w:rPr>
          <w:lang w:val="en-GB"/>
        </w:rPr>
      </w:pPr>
      <w:r w:rsidRPr="00540EB1">
        <w:rPr>
          <w:lang w:val="en-GB"/>
        </w:rPr>
        <w:t xml:space="preserve">Kur </w:t>
      </w:r>
      <w:proofErr w:type="spellStart"/>
      <w:r w:rsidRPr="00540EB1">
        <w:rPr>
          <w:lang w:val="en-GB"/>
        </w:rPr>
        <w:t>një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entitet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mëmë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i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vendosur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në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Republikën</w:t>
      </w:r>
      <w:proofErr w:type="spellEnd"/>
      <w:r w:rsidRPr="00540EB1">
        <w:rPr>
          <w:lang w:val="en-GB"/>
        </w:rPr>
        <w:t xml:space="preserve"> e </w:t>
      </w:r>
      <w:proofErr w:type="spellStart"/>
      <w:r w:rsidRPr="00540EB1">
        <w:rPr>
          <w:lang w:val="en-GB"/>
        </w:rPr>
        <w:t>Shqipërisë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mban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një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pjesëmarrje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në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pronësi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në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një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entitet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përbërës</w:t>
      </w:r>
      <w:proofErr w:type="spellEnd"/>
      <w:r w:rsidRPr="00540EB1">
        <w:rPr>
          <w:lang w:val="en-GB"/>
        </w:rPr>
        <w:t xml:space="preserve"> </w:t>
      </w:r>
      <w:r w:rsidR="00BA2FB5">
        <w:rPr>
          <w:lang w:val="en-GB"/>
        </w:rPr>
        <w:t xml:space="preserve">me </w:t>
      </w:r>
      <w:proofErr w:type="spellStart"/>
      <w:r w:rsidR="00BA2FB5">
        <w:rPr>
          <w:lang w:val="en-GB"/>
        </w:rPr>
        <w:t>tatim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të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ulët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në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mënyrë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të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tërthortë</w:t>
      </w:r>
      <w:proofErr w:type="spellEnd"/>
      <w:r w:rsidRPr="00540EB1">
        <w:rPr>
          <w:lang w:val="en-GB"/>
        </w:rPr>
        <w:t xml:space="preserve">, </w:t>
      </w:r>
      <w:proofErr w:type="spellStart"/>
      <w:r w:rsidRPr="00540EB1">
        <w:rPr>
          <w:lang w:val="en-GB"/>
        </w:rPr>
        <w:t>përmes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një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entiteti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mëmë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të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ndërmjetëm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ose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një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entiteti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mëmë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pjesërisht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në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pronësi</w:t>
      </w:r>
      <w:proofErr w:type="spellEnd"/>
      <w:r w:rsidRPr="00540EB1">
        <w:rPr>
          <w:lang w:val="en-GB"/>
        </w:rPr>
        <w:t xml:space="preserve">, </w:t>
      </w:r>
      <w:proofErr w:type="spellStart"/>
      <w:r w:rsidRPr="00540EB1">
        <w:rPr>
          <w:lang w:val="en-GB"/>
        </w:rPr>
        <w:t>i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cili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i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nënshtrohet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një</w:t>
      </w:r>
      <w:proofErr w:type="spellEnd"/>
      <w:r w:rsidRPr="00540EB1">
        <w:rPr>
          <w:lang w:val="en-GB"/>
        </w:rPr>
        <w:t xml:space="preserve"> </w:t>
      </w:r>
      <w:r w:rsidRPr="006F3EC4">
        <w:rPr>
          <w:lang w:val="en-GB"/>
        </w:rPr>
        <w:t xml:space="preserve">Rregulli </w:t>
      </w:r>
      <w:proofErr w:type="spellStart"/>
      <w:r w:rsidRPr="006F3EC4">
        <w:rPr>
          <w:lang w:val="en-GB"/>
        </w:rPr>
        <w:t>të</w:t>
      </w:r>
      <w:proofErr w:type="spellEnd"/>
      <w:r w:rsidRPr="006F3EC4">
        <w:rPr>
          <w:lang w:val="en-GB"/>
        </w:rPr>
        <w:t xml:space="preserve"> </w:t>
      </w:r>
      <w:proofErr w:type="spellStart"/>
      <w:r w:rsidRPr="006F3EC4">
        <w:rPr>
          <w:lang w:val="en-GB"/>
        </w:rPr>
        <w:t>Kualifikuar</w:t>
      </w:r>
      <w:proofErr w:type="spellEnd"/>
      <w:r w:rsidRPr="006F3EC4">
        <w:rPr>
          <w:lang w:val="en-GB"/>
        </w:rPr>
        <w:t xml:space="preserve"> </w:t>
      </w:r>
      <w:proofErr w:type="spellStart"/>
      <w:r w:rsidRPr="006F3EC4">
        <w:rPr>
          <w:lang w:val="en-GB"/>
        </w:rPr>
        <w:t>të</w:t>
      </w:r>
      <w:proofErr w:type="spellEnd"/>
      <w:r w:rsidRPr="006F3EC4">
        <w:rPr>
          <w:lang w:val="en-GB"/>
        </w:rPr>
        <w:t xml:space="preserve"> </w:t>
      </w:r>
      <w:proofErr w:type="spellStart"/>
      <w:r w:rsidRPr="006F3EC4">
        <w:rPr>
          <w:lang w:val="en-GB"/>
        </w:rPr>
        <w:t>Përfshirjes</w:t>
      </w:r>
      <w:proofErr w:type="spellEnd"/>
      <w:r w:rsidRPr="006F3EC4">
        <w:rPr>
          <w:lang w:val="en-GB"/>
        </w:rPr>
        <w:t xml:space="preserve"> </w:t>
      </w:r>
      <w:proofErr w:type="spellStart"/>
      <w:r w:rsidRPr="006F3EC4">
        <w:rPr>
          <w:lang w:val="en-GB"/>
        </w:rPr>
        <w:t>së</w:t>
      </w:r>
      <w:proofErr w:type="spellEnd"/>
      <w:r w:rsidRPr="006F3EC4">
        <w:rPr>
          <w:lang w:val="en-GB"/>
        </w:rPr>
        <w:t xml:space="preserve"> të </w:t>
      </w:r>
      <w:proofErr w:type="spellStart"/>
      <w:r w:rsidRPr="006F3EC4">
        <w:rPr>
          <w:lang w:val="en-GB"/>
        </w:rPr>
        <w:t>Ardhurave</w:t>
      </w:r>
      <w:proofErr w:type="spellEnd"/>
      <w:r w:rsidRPr="006F3EC4">
        <w:rPr>
          <w:lang w:val="en-GB"/>
        </w:rPr>
        <w:t xml:space="preserve"> (</w:t>
      </w:r>
      <w:r w:rsidR="006F3EC4" w:rsidRPr="006F3EC4">
        <w:rPr>
          <w:lang w:val="en-GB"/>
        </w:rPr>
        <w:t xml:space="preserve">RPA  e </w:t>
      </w:r>
      <w:proofErr w:type="spellStart"/>
      <w:r w:rsidR="006F3EC4" w:rsidRPr="006F3EC4">
        <w:rPr>
          <w:lang w:val="en-GB"/>
        </w:rPr>
        <w:t>kualifikuar</w:t>
      </w:r>
      <w:proofErr w:type="spellEnd"/>
      <w:r w:rsidRPr="006F3EC4">
        <w:rPr>
          <w:lang w:val="en-GB"/>
        </w:rPr>
        <w:t>)</w:t>
      </w:r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për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vitin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fiskal</w:t>
      </w:r>
      <w:proofErr w:type="spellEnd"/>
      <w:r w:rsidRPr="00540EB1">
        <w:rPr>
          <w:lang w:val="en-GB"/>
        </w:rPr>
        <w:t xml:space="preserve">, </w:t>
      </w:r>
      <w:proofErr w:type="spellStart"/>
      <w:r w:rsidRPr="00540EB1">
        <w:rPr>
          <w:lang w:val="en-GB"/>
        </w:rPr>
        <w:t>tatimi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shtesë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i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detyrueshëm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në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lastRenderedPageBreak/>
        <w:t>përputhje</w:t>
      </w:r>
      <w:proofErr w:type="spellEnd"/>
      <w:r w:rsidRPr="00540EB1">
        <w:rPr>
          <w:lang w:val="en-GB"/>
        </w:rPr>
        <w:t xml:space="preserve"> me </w:t>
      </w:r>
      <w:proofErr w:type="spellStart"/>
      <w:r w:rsidRPr="00540EB1">
        <w:rPr>
          <w:lang w:val="en-GB"/>
        </w:rPr>
        <w:t>nenet</w:t>
      </w:r>
      <w:proofErr w:type="spellEnd"/>
      <w:r w:rsidRPr="00540EB1">
        <w:rPr>
          <w:lang w:val="en-GB"/>
        </w:rPr>
        <w:t xml:space="preserve"> 6, 7, 8 </w:t>
      </w:r>
      <w:proofErr w:type="spellStart"/>
      <w:r w:rsidRPr="00540EB1">
        <w:rPr>
          <w:lang w:val="en-GB"/>
        </w:rPr>
        <w:t>dhe</w:t>
      </w:r>
      <w:proofErr w:type="spellEnd"/>
      <w:r w:rsidRPr="00540EB1">
        <w:rPr>
          <w:lang w:val="en-GB"/>
        </w:rPr>
        <w:t xml:space="preserve"> 9 </w:t>
      </w:r>
      <w:proofErr w:type="spellStart"/>
      <w:r w:rsidRPr="00540EB1">
        <w:rPr>
          <w:lang w:val="en-GB"/>
        </w:rPr>
        <w:t>të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këtij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ligji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ulet</w:t>
      </w:r>
      <w:proofErr w:type="spellEnd"/>
      <w:r w:rsidRPr="00540EB1">
        <w:rPr>
          <w:lang w:val="en-GB"/>
        </w:rPr>
        <w:t xml:space="preserve"> me </w:t>
      </w:r>
      <w:proofErr w:type="spellStart"/>
      <w:r w:rsidRPr="00540EB1">
        <w:rPr>
          <w:lang w:val="en-GB"/>
        </w:rPr>
        <w:t>një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shumë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të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barabartë</w:t>
      </w:r>
      <w:proofErr w:type="spellEnd"/>
      <w:r w:rsidRPr="00540EB1">
        <w:rPr>
          <w:lang w:val="en-GB"/>
        </w:rPr>
        <w:t xml:space="preserve"> me </w:t>
      </w:r>
      <w:proofErr w:type="spellStart"/>
      <w:r w:rsidRPr="00540EB1">
        <w:rPr>
          <w:lang w:val="en-GB"/>
        </w:rPr>
        <w:t>pjesën</w:t>
      </w:r>
      <w:proofErr w:type="spellEnd"/>
      <w:r w:rsidRPr="00540EB1">
        <w:rPr>
          <w:lang w:val="en-GB"/>
        </w:rPr>
        <w:t xml:space="preserve"> e </w:t>
      </w:r>
      <w:proofErr w:type="spellStart"/>
      <w:r w:rsidRPr="00540EB1">
        <w:rPr>
          <w:lang w:val="en-GB"/>
        </w:rPr>
        <w:t>pjesëmarrjes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së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alokueshme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të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entitetit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mëmë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të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parë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në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tatimin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shtesë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që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i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detyrohet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entitetit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mëmë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të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ndërmjetëm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ose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entitetit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mëmë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pjesërisht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në</w:t>
      </w:r>
      <w:proofErr w:type="spellEnd"/>
      <w:r w:rsidRPr="00540EB1">
        <w:rPr>
          <w:lang w:val="en-GB"/>
        </w:rPr>
        <w:t xml:space="preserve"> </w:t>
      </w:r>
      <w:proofErr w:type="spellStart"/>
      <w:r w:rsidRPr="00540EB1">
        <w:rPr>
          <w:lang w:val="en-GB"/>
        </w:rPr>
        <w:t>pronësi</w:t>
      </w:r>
      <w:proofErr w:type="spellEnd"/>
      <w:r w:rsidRPr="00540EB1">
        <w:rPr>
          <w:lang w:val="en-GB"/>
        </w:rPr>
        <w:t>.</w:t>
      </w:r>
    </w:p>
    <w:p w14:paraId="2FF5DBA3" w14:textId="77777777" w:rsidR="00B71E8B" w:rsidRPr="00CE4BE0" w:rsidRDefault="00B71E8B" w:rsidP="004A60B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772D965" w14:textId="222E949F" w:rsidR="00045131" w:rsidRPr="00CE4BE0" w:rsidRDefault="005163CB" w:rsidP="005163C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Neni</w:t>
      </w:r>
      <w:r w:rsidR="00E249D0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 12</w:t>
      </w:r>
    </w:p>
    <w:p w14:paraId="1D10AC6A" w14:textId="6E7FBF40" w:rsidR="005163CB" w:rsidRDefault="005163CB" w:rsidP="00D416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5163CB">
        <w:rPr>
          <w:rFonts w:ascii="Times New Roman" w:hAnsi="Times New Roman" w:cs="Times New Roman"/>
          <w:b/>
          <w:bCs/>
          <w:sz w:val="24"/>
          <w:szCs w:val="24"/>
          <w:lang w:val="en-GB"/>
        </w:rPr>
        <w:t>Zbatimi</w:t>
      </w:r>
      <w:proofErr w:type="spellEnd"/>
      <w:r w:rsidRPr="005163C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163CB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proofErr w:type="spellEnd"/>
      <w:r w:rsidRPr="005163C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6F3EC4">
        <w:rPr>
          <w:rFonts w:ascii="Times New Roman" w:hAnsi="Times New Roman" w:cs="Times New Roman"/>
          <w:b/>
          <w:bCs/>
          <w:sz w:val="24"/>
          <w:szCs w:val="24"/>
          <w:lang w:val="en-GB"/>
        </w:rPr>
        <w:t>RFN</w:t>
      </w:r>
    </w:p>
    <w:p w14:paraId="35D8DBA8" w14:textId="77777777" w:rsidR="00D41636" w:rsidRPr="00CE4BE0" w:rsidRDefault="00D41636" w:rsidP="00D416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BE3DC3B" w14:textId="14FA982F" w:rsidR="00AC21E7" w:rsidRDefault="005163CB" w:rsidP="001A2016">
      <w:pPr>
        <w:pStyle w:val="ListParagraph"/>
        <w:numPr>
          <w:ilvl w:val="0"/>
          <w:numId w:val="16"/>
        </w:numPr>
        <w:tabs>
          <w:tab w:val="num" w:pos="0"/>
          <w:tab w:val="left" w:pos="36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Kur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entiteti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mëmë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përfundimtar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grupi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F3EC4">
        <w:rPr>
          <w:rFonts w:ascii="Times New Roman" w:eastAsia="Times New Roman" w:hAnsi="Times New Roman" w:cs="Times New Roman"/>
          <w:sz w:val="24"/>
          <w:szCs w:val="24"/>
        </w:rPr>
        <w:t>shoq</w:t>
      </w:r>
      <w:r w:rsidR="00AB7580">
        <w:rPr>
          <w:rFonts w:ascii="Times New Roman" w:eastAsia="Times New Roman" w:hAnsi="Times New Roman" w:cs="Times New Roman"/>
          <w:sz w:val="24"/>
          <w:szCs w:val="24"/>
        </w:rPr>
        <w:t>ë</w:t>
      </w:r>
      <w:r w:rsidR="006F3EC4">
        <w:rPr>
          <w:rFonts w:ascii="Times New Roman" w:eastAsia="Times New Roman" w:hAnsi="Times New Roman" w:cs="Times New Roman"/>
          <w:sz w:val="24"/>
          <w:szCs w:val="24"/>
        </w:rPr>
        <w:t>rie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shumëkombëshe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vendosur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juridiksion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vendi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tretë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zbaton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3EC4" w:rsidRPr="006F3EC4">
        <w:rPr>
          <w:rFonts w:ascii="Times New Roman" w:eastAsia="Times New Roman" w:hAnsi="Times New Roman" w:cs="Times New Roman"/>
          <w:sz w:val="24"/>
          <w:szCs w:val="24"/>
        </w:rPr>
        <w:t>RPA-</w:t>
      </w:r>
      <w:proofErr w:type="spellStart"/>
      <w:r w:rsidR="006F3EC4" w:rsidRPr="006F3EC4">
        <w:rPr>
          <w:rFonts w:ascii="Times New Roman" w:eastAsia="Times New Roman" w:hAnsi="Times New Roman" w:cs="Times New Roman"/>
          <w:sz w:val="24"/>
          <w:szCs w:val="24"/>
        </w:rPr>
        <w:t>n</w:t>
      </w:r>
      <w:r w:rsidR="00AB7580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6F3EC4" w:rsidRPr="006F3E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6F3EC4" w:rsidRPr="006F3EC4">
        <w:rPr>
          <w:rFonts w:ascii="Times New Roman" w:eastAsia="Times New Roman" w:hAnsi="Times New Roman" w:cs="Times New Roman"/>
          <w:sz w:val="24"/>
          <w:szCs w:val="24"/>
        </w:rPr>
        <w:t>kualifikuar</w:t>
      </w:r>
      <w:proofErr w:type="spellEnd"/>
      <w:r w:rsidRPr="006F3EC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kur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entiteti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mëmë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përfundimtar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entitet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përjashtuar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kur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vendosur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juridiksion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vendi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tretë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tatim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ulët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entitetet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përbërëse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atij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grupi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vendosura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Republikën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Shqipërisë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përveç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entiteteve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investimit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nënshtrohen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163CB">
        <w:rPr>
          <w:rFonts w:ascii="Times New Roman" w:eastAsia="Times New Roman" w:hAnsi="Times New Roman" w:cs="Times New Roman"/>
          <w:sz w:val="24"/>
          <w:szCs w:val="24"/>
        </w:rPr>
        <w:t>regullit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163CB">
        <w:rPr>
          <w:rFonts w:ascii="Times New Roman" w:eastAsia="Times New Roman" w:hAnsi="Times New Roman" w:cs="Times New Roman"/>
          <w:sz w:val="24"/>
          <w:szCs w:val="24"/>
        </w:rPr>
        <w:t>itimin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6F3EC4">
        <w:rPr>
          <w:rFonts w:ascii="Times New Roman" w:eastAsia="Times New Roman" w:hAnsi="Times New Roman" w:cs="Times New Roman"/>
          <w:sz w:val="24"/>
          <w:szCs w:val="24"/>
        </w:rPr>
        <w:t>n</w:t>
      </w:r>
      <w:r w:rsidR="00AB7580">
        <w:rPr>
          <w:rFonts w:ascii="Times New Roman" w:eastAsia="Times New Roman" w:hAnsi="Times New Roman" w:cs="Times New Roman"/>
          <w:sz w:val="24"/>
          <w:szCs w:val="24"/>
        </w:rPr>
        <w:t>ë</w:t>
      </w:r>
      <w:r w:rsidR="006F3EC4">
        <w:rPr>
          <w:rFonts w:ascii="Times New Roman" w:eastAsia="Times New Roman" w:hAnsi="Times New Roman" w:cs="Times New Roman"/>
          <w:sz w:val="24"/>
          <w:szCs w:val="24"/>
        </w:rPr>
        <w:t>ntatuar</w:t>
      </w:r>
      <w:proofErr w:type="spellEnd"/>
      <w:r w:rsidR="006F3E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63CB">
        <w:rPr>
          <w:rFonts w:ascii="Times New Roman" w:eastAsia="Times New Roman" w:hAnsi="Times New Roman" w:cs="Times New Roman"/>
          <w:sz w:val="24"/>
          <w:szCs w:val="24"/>
        </w:rPr>
        <w:t>(</w:t>
      </w:r>
      <w:r w:rsidR="006F3EC4">
        <w:rPr>
          <w:rFonts w:ascii="Times New Roman" w:eastAsia="Times New Roman" w:hAnsi="Times New Roman" w:cs="Times New Roman"/>
          <w:sz w:val="24"/>
          <w:szCs w:val="24"/>
        </w:rPr>
        <w:t>RFN</w:t>
      </w:r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vitin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fiskal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7B75B4" w14:textId="77777777" w:rsidR="004804AA" w:rsidRPr="00CE4BE0" w:rsidRDefault="004804AA" w:rsidP="00011032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3CC824" w14:textId="4BF7B237" w:rsidR="005163CB" w:rsidRPr="001A2785" w:rsidRDefault="005163CB" w:rsidP="001A2016">
      <w:pPr>
        <w:pStyle w:val="ListParagraph"/>
        <w:numPr>
          <w:ilvl w:val="0"/>
          <w:numId w:val="16"/>
        </w:numPr>
        <w:tabs>
          <w:tab w:val="left" w:pos="36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Paragrafi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1A27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këtij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neni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zbatohet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kur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entiteti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mëmë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përfundimtar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vendosur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juridiksion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vendi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tretë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tatim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ulët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nënshtrohet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3EC4">
        <w:rPr>
          <w:rFonts w:ascii="Times New Roman" w:eastAsia="Times New Roman" w:hAnsi="Times New Roman" w:cs="Times New Roman"/>
          <w:sz w:val="24"/>
          <w:szCs w:val="24"/>
        </w:rPr>
        <w:t>RPA-</w:t>
      </w:r>
      <w:proofErr w:type="spellStart"/>
      <w:r w:rsidR="006F3EC4">
        <w:rPr>
          <w:rFonts w:ascii="Times New Roman" w:eastAsia="Times New Roman" w:hAnsi="Times New Roman" w:cs="Times New Roman"/>
          <w:sz w:val="24"/>
          <w:szCs w:val="24"/>
        </w:rPr>
        <w:t>s</w:t>
      </w:r>
      <w:r w:rsidR="00AB7580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6F3E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F3EC4">
        <w:rPr>
          <w:rFonts w:ascii="Times New Roman" w:eastAsia="Times New Roman" w:hAnsi="Times New Roman" w:cs="Times New Roman"/>
          <w:sz w:val="24"/>
          <w:szCs w:val="24"/>
        </w:rPr>
        <w:t>s</w:t>
      </w:r>
      <w:r w:rsidR="00AB7580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6F3E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F3EC4">
        <w:rPr>
          <w:rFonts w:ascii="Times New Roman" w:eastAsia="Times New Roman" w:hAnsi="Times New Roman" w:cs="Times New Roman"/>
          <w:sz w:val="24"/>
          <w:szCs w:val="24"/>
        </w:rPr>
        <w:t>kualifikuar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2785">
        <w:rPr>
          <w:rFonts w:ascii="Times New Roman" w:eastAsia="Times New Roman" w:hAnsi="Times New Roman" w:cs="Times New Roman"/>
          <w:sz w:val="24"/>
          <w:szCs w:val="24"/>
        </w:rPr>
        <w:t>p</w:t>
      </w:r>
      <w:r w:rsidR="00FA0FB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1A2785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veten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2785">
        <w:rPr>
          <w:rFonts w:ascii="Times New Roman" w:eastAsia="Times New Roman" w:hAnsi="Times New Roman" w:cs="Times New Roman"/>
          <w:sz w:val="24"/>
          <w:szCs w:val="24"/>
        </w:rPr>
        <w:t>p</w:t>
      </w:r>
      <w:r w:rsidR="00FA0FB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1A2785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entitetet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tij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përbërëse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tatueshme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normë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ulët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vendosura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atë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63CB">
        <w:rPr>
          <w:rFonts w:ascii="Times New Roman" w:eastAsia="Times New Roman" w:hAnsi="Times New Roman" w:cs="Times New Roman"/>
          <w:sz w:val="24"/>
          <w:szCs w:val="24"/>
        </w:rPr>
        <w:t>juridiksion</w:t>
      </w:r>
      <w:proofErr w:type="spellEnd"/>
      <w:r w:rsidRPr="005163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5EFDD6" w14:textId="77777777" w:rsidR="005163CB" w:rsidRPr="005163CB" w:rsidRDefault="005163CB" w:rsidP="005163CB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849C86" w14:textId="712C238F" w:rsidR="00AC21E7" w:rsidRDefault="006F3EC4" w:rsidP="001A2016">
      <w:pPr>
        <w:pStyle w:val="ListParagraph"/>
        <w:numPr>
          <w:ilvl w:val="0"/>
          <w:numId w:val="16"/>
        </w:numPr>
        <w:tabs>
          <w:tab w:val="num" w:pos="0"/>
          <w:tab w:val="left" w:pos="18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RFN</w:t>
      </w:r>
      <w:r w:rsidR="001A2785" w:rsidRPr="001A2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2785" w:rsidRPr="001A2785">
        <w:rPr>
          <w:rFonts w:ascii="Times New Roman" w:eastAsia="Times New Roman" w:hAnsi="Times New Roman" w:cs="Times New Roman"/>
          <w:sz w:val="24"/>
          <w:szCs w:val="24"/>
        </w:rPr>
        <w:t>zbatohet</w:t>
      </w:r>
      <w:proofErr w:type="spellEnd"/>
      <w:r w:rsidR="001A2785" w:rsidRPr="001A2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2785" w:rsidRPr="001A2785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1A2785" w:rsidRPr="001A2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2785" w:rsidRPr="001A2785">
        <w:rPr>
          <w:rFonts w:ascii="Times New Roman" w:eastAsia="Times New Roman" w:hAnsi="Times New Roman" w:cs="Times New Roman"/>
          <w:sz w:val="24"/>
          <w:szCs w:val="24"/>
        </w:rPr>
        <w:t>mblidhet</w:t>
      </w:r>
      <w:proofErr w:type="spellEnd"/>
      <w:r w:rsidR="001A2785" w:rsidRPr="001A2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2785" w:rsidRPr="001A2785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1A2785" w:rsidRPr="001A2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2785" w:rsidRPr="001A2785">
        <w:rPr>
          <w:rFonts w:ascii="Times New Roman" w:eastAsia="Times New Roman" w:hAnsi="Times New Roman" w:cs="Times New Roman"/>
          <w:sz w:val="24"/>
          <w:szCs w:val="24"/>
        </w:rPr>
        <w:t>Republikën</w:t>
      </w:r>
      <w:proofErr w:type="spellEnd"/>
      <w:r w:rsidR="001A2785" w:rsidRPr="001A278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1A2785" w:rsidRPr="001A2785">
        <w:rPr>
          <w:rFonts w:ascii="Times New Roman" w:eastAsia="Times New Roman" w:hAnsi="Times New Roman" w:cs="Times New Roman"/>
          <w:sz w:val="24"/>
          <w:szCs w:val="24"/>
        </w:rPr>
        <w:t>Shqipërisë</w:t>
      </w:r>
      <w:proofErr w:type="spellEnd"/>
      <w:r w:rsidR="001A2785" w:rsidRPr="001A2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2785" w:rsidRPr="001A2785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1A2785" w:rsidRPr="001A2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2785" w:rsidRPr="001A2785">
        <w:rPr>
          <w:rFonts w:ascii="Times New Roman" w:eastAsia="Times New Roman" w:hAnsi="Times New Roman" w:cs="Times New Roman"/>
          <w:sz w:val="24"/>
          <w:szCs w:val="24"/>
        </w:rPr>
        <w:t>formën</w:t>
      </w:r>
      <w:proofErr w:type="spellEnd"/>
      <w:r w:rsidR="001A2785" w:rsidRPr="001A278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1A2785" w:rsidRPr="001A2785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="001A2785" w:rsidRPr="001A2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C0D54">
        <w:rPr>
          <w:rFonts w:ascii="Times New Roman" w:eastAsia="Times New Roman" w:hAnsi="Times New Roman" w:cs="Times New Roman"/>
          <w:sz w:val="24"/>
          <w:szCs w:val="24"/>
        </w:rPr>
        <w:t>detyrimi</w:t>
      </w:r>
      <w:proofErr w:type="spellEnd"/>
      <w:r w:rsidR="007C0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C0D54">
        <w:rPr>
          <w:rFonts w:ascii="Times New Roman" w:eastAsia="Times New Roman" w:hAnsi="Times New Roman" w:cs="Times New Roman"/>
          <w:sz w:val="24"/>
          <w:szCs w:val="24"/>
        </w:rPr>
        <w:t>tatimor</w:t>
      </w:r>
      <w:proofErr w:type="spellEnd"/>
      <w:r w:rsidR="007C0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2785" w:rsidRPr="001A2785">
        <w:rPr>
          <w:rFonts w:ascii="Times New Roman" w:eastAsia="Times New Roman" w:hAnsi="Times New Roman" w:cs="Times New Roman"/>
          <w:sz w:val="24"/>
          <w:szCs w:val="24"/>
        </w:rPr>
        <w:t>shtesë</w:t>
      </w:r>
      <w:proofErr w:type="spellEnd"/>
      <w:r w:rsidR="007C0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C0D54">
        <w:rPr>
          <w:rFonts w:ascii="Times New Roman" w:eastAsia="Times New Roman" w:hAnsi="Times New Roman" w:cs="Times New Roman"/>
          <w:sz w:val="24"/>
          <w:szCs w:val="24"/>
        </w:rPr>
        <w:t>plot</w:t>
      </w:r>
      <w:r w:rsidR="00FA0FB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7C0D54">
        <w:rPr>
          <w:rFonts w:ascii="Times New Roman" w:eastAsia="Times New Roman" w:hAnsi="Times New Roman" w:cs="Times New Roman"/>
          <w:sz w:val="24"/>
          <w:szCs w:val="24"/>
        </w:rPr>
        <w:t>sues</w:t>
      </w:r>
      <w:proofErr w:type="spellEnd"/>
      <w:r w:rsidR="007C0D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2608ED" w14:textId="77777777" w:rsidR="004804AA" w:rsidRPr="00CE4BE0" w:rsidRDefault="004804AA" w:rsidP="00011032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759965" w14:textId="2A0C363A" w:rsidR="00AC21E7" w:rsidRDefault="001A2785" w:rsidP="001A2016">
      <w:pPr>
        <w:pStyle w:val="ListParagraph"/>
        <w:numPr>
          <w:ilvl w:val="0"/>
          <w:numId w:val="16"/>
        </w:numPr>
        <w:tabs>
          <w:tab w:val="num" w:pos="0"/>
          <w:tab w:val="left" w:pos="27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785">
        <w:rPr>
          <w:rFonts w:ascii="Times New Roman" w:eastAsia="Times New Roman" w:hAnsi="Times New Roman" w:cs="Times New Roman"/>
          <w:sz w:val="24"/>
          <w:szCs w:val="24"/>
        </w:rPr>
        <w:t xml:space="preserve">Shuma e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</w:rPr>
        <w:t>detyrimit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</w:rPr>
        <w:t>tatimor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</w:rPr>
        <w:t>shtesë</w:t>
      </w:r>
      <w:proofErr w:type="spellEnd"/>
      <w:r w:rsidR="00E051B7" w:rsidRPr="00E051B7">
        <w:t xml:space="preserve"> </w:t>
      </w:r>
      <w:proofErr w:type="spellStart"/>
      <w:r w:rsidR="00E051B7" w:rsidRPr="00E051B7">
        <w:rPr>
          <w:rFonts w:ascii="Times New Roman" w:eastAsia="Times New Roman" w:hAnsi="Times New Roman" w:cs="Times New Roman"/>
          <w:sz w:val="24"/>
          <w:szCs w:val="24"/>
        </w:rPr>
        <w:t>plotësue</w:t>
      </w:r>
      <w:r w:rsidR="00E051B7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</w:rPr>
        <w:t>për</w:t>
      </w:r>
      <w:r>
        <w:rPr>
          <w:rFonts w:ascii="Times New Roman" w:eastAsia="Times New Roman" w:hAnsi="Times New Roman" w:cs="Times New Roman"/>
          <w:sz w:val="24"/>
          <w:szCs w:val="24"/>
        </w:rPr>
        <w:t>caktuar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</w:rPr>
        <w:t>paragrafin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</w:rPr>
        <w:t>këtij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</w:rPr>
        <w:t>neni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</w:rPr>
        <w:t>barabartë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</w:rPr>
        <w:t>shumën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</w:rPr>
        <w:t>tatimit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</w:rPr>
        <w:t>shtesë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3EC4">
        <w:rPr>
          <w:rFonts w:ascii="Times New Roman" w:eastAsia="Times New Roman" w:hAnsi="Times New Roman" w:cs="Times New Roman"/>
          <w:sz w:val="24"/>
          <w:szCs w:val="24"/>
        </w:rPr>
        <w:t>RFN</w:t>
      </w:r>
      <w:r w:rsidRPr="001A2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51B7">
        <w:rPr>
          <w:rFonts w:ascii="Times New Roman" w:eastAsia="Times New Roman" w:hAnsi="Times New Roman" w:cs="Times New Roman"/>
          <w:sz w:val="24"/>
          <w:szCs w:val="24"/>
        </w:rPr>
        <w:t>shp</w:t>
      </w:r>
      <w:r w:rsidR="00FA0FB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E051B7">
        <w:rPr>
          <w:rFonts w:ascii="Times New Roman" w:eastAsia="Times New Roman" w:hAnsi="Times New Roman" w:cs="Times New Roman"/>
          <w:sz w:val="24"/>
          <w:szCs w:val="24"/>
        </w:rPr>
        <w:t>rndar</w:t>
      </w:r>
      <w:r w:rsidR="00FA0FBD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</w:rPr>
        <w:t>Republikën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</w:rPr>
        <w:t>Shqipërisë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</w:rPr>
        <w:t>vitin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</w:rPr>
        <w:t>fiskal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</w:rPr>
        <w:t>përputhje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</w:rPr>
        <w:t>rregullat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E051B7">
        <w:rPr>
          <w:rFonts w:ascii="Times New Roman" w:eastAsia="Times New Roman" w:hAnsi="Times New Roman" w:cs="Times New Roman"/>
          <w:sz w:val="24"/>
          <w:szCs w:val="24"/>
        </w:rPr>
        <w:t>shp</w:t>
      </w:r>
      <w:r w:rsidR="00FA0FB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E051B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A2785">
        <w:rPr>
          <w:rFonts w:ascii="Times New Roman" w:eastAsia="Times New Roman" w:hAnsi="Times New Roman" w:cs="Times New Roman"/>
          <w:sz w:val="24"/>
          <w:szCs w:val="24"/>
        </w:rPr>
        <w:t>ndarjes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051B7">
        <w:rPr>
          <w:rFonts w:ascii="Times New Roman" w:eastAsia="Times New Roman" w:hAnsi="Times New Roman" w:cs="Times New Roman"/>
          <w:sz w:val="24"/>
          <w:szCs w:val="24"/>
        </w:rPr>
        <w:t>t</w:t>
      </w:r>
      <w:r w:rsidR="00FA0FBD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E051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</w:rPr>
        <w:t>përcakt</w:t>
      </w:r>
      <w:r w:rsidR="00E051B7">
        <w:rPr>
          <w:rFonts w:ascii="Times New Roman" w:eastAsia="Times New Roman" w:hAnsi="Times New Roman" w:cs="Times New Roman"/>
          <w:sz w:val="24"/>
          <w:szCs w:val="24"/>
        </w:rPr>
        <w:t>uara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</w:rPr>
        <w:t>nenin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</w:rPr>
        <w:t xml:space="preserve"> 13</w:t>
      </w:r>
      <w:r w:rsidR="005615B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</w:rPr>
        <w:t>këtij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A2785">
        <w:rPr>
          <w:rFonts w:ascii="Times New Roman" w:eastAsia="Times New Roman" w:hAnsi="Times New Roman" w:cs="Times New Roman"/>
          <w:sz w:val="24"/>
          <w:szCs w:val="24"/>
        </w:rPr>
        <w:t>igji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BC6338" w14:textId="77777777" w:rsidR="004804AA" w:rsidRPr="00CE4BE0" w:rsidRDefault="004804AA" w:rsidP="00011032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CA8A10" w14:textId="49F9CDA6" w:rsidR="00634347" w:rsidRPr="001A2785" w:rsidRDefault="001A2785" w:rsidP="001A2016">
      <w:pPr>
        <w:pStyle w:val="ListParagraph"/>
        <w:numPr>
          <w:ilvl w:val="0"/>
          <w:numId w:val="16"/>
        </w:numPr>
        <w:shd w:val="clear" w:color="auto" w:fill="FFFFFF"/>
        <w:tabs>
          <w:tab w:val="left" w:pos="27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  <w:lang w:val="en-GB"/>
        </w:rPr>
        <w:t>Ministri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  <w:lang w:val="en-GB"/>
        </w:rPr>
        <w:t>përgjegjës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  <w:lang w:val="en-GB"/>
        </w:rPr>
        <w:t>financat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  <w:lang w:val="en-GB"/>
        </w:rPr>
        <w:t>nxjerr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  <w:lang w:val="en-GB"/>
        </w:rPr>
        <w:t>udhëzimin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  <w:lang w:val="en-GB"/>
        </w:rPr>
        <w:t>përcakton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  <w:lang w:val="en-GB"/>
        </w:rPr>
        <w:t>rregullat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  <w:lang w:val="en-GB"/>
        </w:rPr>
        <w:t>procedurat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  <w:lang w:val="en-GB"/>
        </w:rPr>
        <w:t>hollësishme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E62B7">
        <w:rPr>
          <w:rFonts w:ascii="Times New Roman" w:eastAsia="Times New Roman" w:hAnsi="Times New Roman" w:cs="Times New Roman"/>
          <w:sz w:val="24"/>
          <w:szCs w:val="24"/>
          <w:lang w:val="en-GB"/>
        </w:rPr>
        <w:t>deklar</w:t>
      </w:r>
      <w:r w:rsidR="009E62B7" w:rsidRPr="009E62B7">
        <w:rPr>
          <w:rFonts w:ascii="Times New Roman" w:eastAsia="Times New Roman" w:hAnsi="Times New Roman" w:cs="Times New Roman"/>
          <w:sz w:val="24"/>
          <w:szCs w:val="24"/>
          <w:lang w:val="en-GB"/>
        </w:rPr>
        <w:t>atën</w:t>
      </w:r>
      <w:proofErr w:type="spellEnd"/>
      <w:r w:rsidRPr="009E62B7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1A278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  <w:lang w:val="en-GB"/>
        </w:rPr>
        <w:t>vlerësimin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  <w:lang w:val="en-GB"/>
        </w:rPr>
        <w:t>pagesën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  <w:lang w:val="en-GB"/>
        </w:rPr>
        <w:t>detyrimit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eastAsia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1A278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6F3EC4" w:rsidRPr="006F3EC4">
        <w:rPr>
          <w:rFonts w:ascii="Times New Roman" w:eastAsia="Times New Roman" w:hAnsi="Times New Roman" w:cs="Times New Roman"/>
          <w:sz w:val="24"/>
          <w:szCs w:val="24"/>
          <w:lang w:val="en-GB"/>
        </w:rPr>
        <w:t>RFN</w:t>
      </w:r>
      <w:r w:rsidRPr="006F3EC4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5DBA97EA" w14:textId="77777777" w:rsidR="00634347" w:rsidRPr="00CE4BE0" w:rsidRDefault="00634347" w:rsidP="004A60B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564FEED" w14:textId="1CFD6106" w:rsidR="00F208FF" w:rsidRPr="00CE4BE0" w:rsidRDefault="001A2785" w:rsidP="001A278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Neni</w:t>
      </w:r>
      <w:r w:rsidR="00E249D0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 1</w:t>
      </w:r>
      <w:r w:rsidR="00476187" w:rsidRPr="00CE4BE0">
        <w:rPr>
          <w:rFonts w:ascii="Times New Roman" w:hAnsi="Times New Roman" w:cs="Times New Roman"/>
          <w:sz w:val="24"/>
          <w:szCs w:val="24"/>
          <w:lang w:val="en-GB"/>
        </w:rPr>
        <w:t>3</w:t>
      </w:r>
    </w:p>
    <w:p w14:paraId="67CF8BC6" w14:textId="61605261" w:rsidR="00E249D0" w:rsidRPr="00CE4BE0" w:rsidRDefault="001A2785" w:rsidP="001A27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1A2785">
        <w:rPr>
          <w:rFonts w:ascii="Times New Roman" w:hAnsi="Times New Roman" w:cs="Times New Roman"/>
          <w:b/>
          <w:bCs/>
          <w:sz w:val="24"/>
          <w:szCs w:val="24"/>
          <w:lang w:val="en-GB"/>
        </w:rPr>
        <w:t>Llogaritja</w:t>
      </w:r>
      <w:proofErr w:type="spellEnd"/>
      <w:r w:rsidRPr="001A278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b/>
          <w:bCs/>
          <w:sz w:val="24"/>
          <w:szCs w:val="24"/>
          <w:lang w:val="en-GB"/>
        </w:rPr>
        <w:t>dhe</w:t>
      </w:r>
      <w:proofErr w:type="spellEnd"/>
      <w:r w:rsidRPr="001A278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b/>
          <w:bCs/>
          <w:sz w:val="24"/>
          <w:szCs w:val="24"/>
          <w:lang w:val="en-GB"/>
        </w:rPr>
        <w:t>ndarja</w:t>
      </w:r>
      <w:proofErr w:type="spellEnd"/>
      <w:r w:rsidRPr="001A278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 </w:t>
      </w:r>
      <w:proofErr w:type="spellStart"/>
      <w:r w:rsidRPr="001A2785">
        <w:rPr>
          <w:rFonts w:ascii="Times New Roman" w:hAnsi="Times New Roman" w:cs="Times New Roman"/>
          <w:b/>
          <w:bCs/>
          <w:sz w:val="24"/>
          <w:szCs w:val="24"/>
          <w:lang w:val="en-GB"/>
        </w:rPr>
        <w:t>shumës</w:t>
      </w:r>
      <w:proofErr w:type="spellEnd"/>
      <w:r w:rsidRPr="001A278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b/>
          <w:bCs/>
          <w:sz w:val="24"/>
          <w:szCs w:val="24"/>
          <w:lang w:val="en-GB"/>
        </w:rPr>
        <w:t>së</w:t>
      </w:r>
      <w:proofErr w:type="spellEnd"/>
      <w:r w:rsidRPr="001A278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b/>
          <w:bCs/>
          <w:sz w:val="24"/>
          <w:szCs w:val="24"/>
          <w:lang w:val="en-GB"/>
        </w:rPr>
        <w:t>tatimit</w:t>
      </w:r>
      <w:proofErr w:type="spellEnd"/>
      <w:r w:rsidRPr="001A278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b/>
          <w:bCs/>
          <w:sz w:val="24"/>
          <w:szCs w:val="24"/>
          <w:lang w:val="en-GB"/>
        </w:rPr>
        <w:t>shtesë</w:t>
      </w:r>
      <w:proofErr w:type="spellEnd"/>
      <w:r w:rsidRPr="001A278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6F3EC4">
        <w:rPr>
          <w:rFonts w:ascii="Times New Roman" w:hAnsi="Times New Roman" w:cs="Times New Roman"/>
          <w:b/>
          <w:bCs/>
          <w:sz w:val="24"/>
          <w:szCs w:val="24"/>
          <w:lang w:val="en-GB"/>
        </w:rPr>
        <w:t>RFN</w:t>
      </w:r>
    </w:p>
    <w:p w14:paraId="157F1597" w14:textId="77777777" w:rsidR="00F208FF" w:rsidRPr="00CE4BE0" w:rsidRDefault="00F208FF" w:rsidP="004A60B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0320B4A" w14:textId="50696EEB" w:rsidR="00E249D0" w:rsidRDefault="001A2785" w:rsidP="001A2785">
      <w:pPr>
        <w:numPr>
          <w:ilvl w:val="0"/>
          <w:numId w:val="10"/>
        </w:numPr>
        <w:tabs>
          <w:tab w:val="clear" w:pos="360"/>
          <w:tab w:val="left" w:pos="27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F3EC4">
        <w:rPr>
          <w:rFonts w:ascii="Times New Roman" w:hAnsi="Times New Roman" w:cs="Times New Roman"/>
          <w:sz w:val="24"/>
          <w:szCs w:val="24"/>
          <w:lang w:val="en-GB"/>
        </w:rPr>
        <w:t>RFN</w:t>
      </w:r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alokuar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llogaritet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duke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shumëzuar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totale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16EE1">
        <w:rPr>
          <w:rFonts w:ascii="Times New Roman" w:hAnsi="Times New Roman" w:cs="Times New Roman"/>
          <w:sz w:val="24"/>
          <w:szCs w:val="24"/>
          <w:lang w:val="en-GB"/>
        </w:rPr>
        <w:t>RFN</w:t>
      </w:r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përcaktuar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2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përqindjen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16EE1">
        <w:rPr>
          <w:rFonts w:ascii="Times New Roman" w:hAnsi="Times New Roman" w:cs="Times New Roman"/>
          <w:sz w:val="24"/>
          <w:szCs w:val="24"/>
          <w:lang w:val="en-GB"/>
        </w:rPr>
        <w:t>RFN</w:t>
      </w:r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Republikës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5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3641B55" w14:textId="77777777" w:rsidR="002F3D82" w:rsidRPr="00CE4BE0" w:rsidRDefault="002F3D82" w:rsidP="0001103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AE7DFFD" w14:textId="27A90AC5" w:rsidR="00E249D0" w:rsidRDefault="001A2785" w:rsidP="001A2785">
      <w:pPr>
        <w:numPr>
          <w:ilvl w:val="0"/>
          <w:numId w:val="10"/>
        </w:numPr>
        <w:tabs>
          <w:tab w:val="clear" w:pos="360"/>
          <w:tab w:val="left" w:pos="27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total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16EE1">
        <w:rPr>
          <w:rFonts w:ascii="Times New Roman" w:hAnsi="Times New Roman" w:cs="Times New Roman"/>
          <w:sz w:val="24"/>
          <w:szCs w:val="24"/>
          <w:lang w:val="en-GB"/>
        </w:rPr>
        <w:t>RFN</w:t>
      </w:r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llogaritur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A2FB5">
        <w:rPr>
          <w:rFonts w:ascii="Times New Roman" w:hAnsi="Times New Roman" w:cs="Times New Roman"/>
          <w:sz w:val="24"/>
          <w:szCs w:val="24"/>
          <w:lang w:val="en-GB"/>
        </w:rPr>
        <w:t xml:space="preserve">me </w:t>
      </w:r>
      <w:proofErr w:type="spellStart"/>
      <w:r w:rsidR="00BA2FB5">
        <w:rPr>
          <w:rFonts w:ascii="Times New Roman" w:hAnsi="Times New Roman" w:cs="Times New Roman"/>
          <w:sz w:val="24"/>
          <w:szCs w:val="24"/>
          <w:lang w:val="en-GB"/>
        </w:rPr>
        <w:t>tatim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nenin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27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, duke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iu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nënshtruar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rregullimeve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për</w:t>
      </w:r>
      <w:r>
        <w:rPr>
          <w:rFonts w:ascii="Times New Roman" w:hAnsi="Times New Roman" w:cs="Times New Roman"/>
          <w:sz w:val="24"/>
          <w:szCs w:val="24"/>
          <w:lang w:val="en-GB"/>
        </w:rPr>
        <w:t>caktuara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paragrafët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3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4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B69D2DE" w14:textId="77777777" w:rsidR="00222948" w:rsidRPr="00CE4BE0" w:rsidRDefault="00222948" w:rsidP="0001103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C88B909" w14:textId="6EF62FF0" w:rsidR="00E249D0" w:rsidRDefault="001A2785" w:rsidP="001A2785">
      <w:pPr>
        <w:numPr>
          <w:ilvl w:val="0"/>
          <w:numId w:val="10"/>
        </w:numPr>
        <w:tabs>
          <w:tab w:val="left" w:pos="36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lastRenderedPageBreak/>
        <w:t>Tatimi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16EE1">
        <w:rPr>
          <w:rFonts w:ascii="Times New Roman" w:hAnsi="Times New Roman" w:cs="Times New Roman"/>
          <w:sz w:val="24"/>
          <w:szCs w:val="24"/>
          <w:lang w:val="en-GB"/>
        </w:rPr>
        <w:t>RFN</w:t>
      </w:r>
      <w:r w:rsidR="00BA2FB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A2FB5">
        <w:rPr>
          <w:rFonts w:ascii="Times New Roman" w:hAnsi="Times New Roman" w:cs="Times New Roman"/>
          <w:sz w:val="24"/>
          <w:szCs w:val="24"/>
          <w:lang w:val="en-GB"/>
        </w:rPr>
        <w:t xml:space="preserve">me </w:t>
      </w:r>
      <w:proofErr w:type="spellStart"/>
      <w:r w:rsidR="00BA2FB5">
        <w:rPr>
          <w:rFonts w:ascii="Times New Roman" w:hAnsi="Times New Roman" w:cs="Times New Roman"/>
          <w:sz w:val="24"/>
          <w:szCs w:val="24"/>
          <w:lang w:val="en-GB"/>
        </w:rPr>
        <w:t>tatim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zero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pjesëmarrjet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pronësi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A2FB5">
        <w:rPr>
          <w:rFonts w:ascii="Times New Roman" w:hAnsi="Times New Roman" w:cs="Times New Roman"/>
          <w:sz w:val="24"/>
          <w:szCs w:val="24"/>
          <w:lang w:val="en-GB"/>
        </w:rPr>
        <w:t xml:space="preserve">me </w:t>
      </w:r>
      <w:proofErr w:type="spellStart"/>
      <w:r w:rsidR="00BA2FB5">
        <w:rPr>
          <w:rFonts w:ascii="Times New Roman" w:hAnsi="Times New Roman" w:cs="Times New Roman"/>
          <w:sz w:val="24"/>
          <w:szCs w:val="24"/>
          <w:lang w:val="en-GB"/>
        </w:rPr>
        <w:t>tatim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mbahen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drejtpërdrejt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tërthorazi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entitete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detyruara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zbatojnë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F3EC4">
        <w:rPr>
          <w:rFonts w:ascii="Times New Roman" w:hAnsi="Times New Roman" w:cs="Times New Roman"/>
          <w:sz w:val="24"/>
          <w:szCs w:val="24"/>
          <w:lang w:val="en-GB"/>
        </w:rPr>
        <w:t>RPA-</w:t>
      </w:r>
      <w:proofErr w:type="spellStart"/>
      <w:r w:rsidR="006F3EC4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6F3EC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F3EC4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A2FB5">
        <w:rPr>
          <w:rFonts w:ascii="Times New Roman" w:hAnsi="Times New Roman" w:cs="Times New Roman"/>
          <w:sz w:val="24"/>
          <w:szCs w:val="24"/>
          <w:lang w:val="en-GB"/>
        </w:rPr>
        <w:t xml:space="preserve">me </w:t>
      </w:r>
      <w:proofErr w:type="spellStart"/>
      <w:r w:rsidR="00BA2FB5">
        <w:rPr>
          <w:rFonts w:ascii="Times New Roman" w:hAnsi="Times New Roman" w:cs="Times New Roman"/>
          <w:sz w:val="24"/>
          <w:szCs w:val="24"/>
          <w:lang w:val="en-GB"/>
        </w:rPr>
        <w:t>tatim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1A2785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1A278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51D3A89" w14:textId="77777777" w:rsidR="00222948" w:rsidRPr="00CE4BE0" w:rsidRDefault="00222948" w:rsidP="0001103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08FAA60" w14:textId="2FECA2E7" w:rsidR="00222948" w:rsidRDefault="0064342E" w:rsidP="0064342E">
      <w:pPr>
        <w:numPr>
          <w:ilvl w:val="0"/>
          <w:numId w:val="10"/>
        </w:numPr>
        <w:tabs>
          <w:tab w:val="clear" w:pos="360"/>
          <w:tab w:val="num" w:pos="0"/>
          <w:tab w:val="left" w:pos="90"/>
          <w:tab w:val="left" w:pos="27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4342E">
        <w:rPr>
          <w:rFonts w:ascii="Times New Roman" w:hAnsi="Times New Roman" w:cs="Times New Roman"/>
          <w:sz w:val="24"/>
          <w:szCs w:val="24"/>
          <w:lang w:val="en-GB"/>
        </w:rPr>
        <w:t xml:space="preserve">Kur </w:t>
      </w:r>
      <w:proofErr w:type="spellStart"/>
      <w:r w:rsidRPr="0064342E">
        <w:rPr>
          <w:rFonts w:ascii="Times New Roman" w:hAnsi="Times New Roman" w:cs="Times New Roman"/>
          <w:sz w:val="24"/>
          <w:szCs w:val="24"/>
          <w:lang w:val="en-GB"/>
        </w:rPr>
        <w:t>paragrafi</w:t>
      </w:r>
      <w:proofErr w:type="spellEnd"/>
      <w:r w:rsidRPr="0064342E">
        <w:rPr>
          <w:rFonts w:ascii="Times New Roman" w:hAnsi="Times New Roman" w:cs="Times New Roman"/>
          <w:sz w:val="24"/>
          <w:szCs w:val="24"/>
          <w:lang w:val="en-GB"/>
        </w:rPr>
        <w:t xml:space="preserve"> 3 </w:t>
      </w:r>
      <w:proofErr w:type="spellStart"/>
      <w:r w:rsidRPr="0064342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643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643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B16E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643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sz w:val="24"/>
          <w:szCs w:val="24"/>
          <w:lang w:val="en-GB"/>
        </w:rPr>
        <w:t>zbatohet</w:t>
      </w:r>
      <w:proofErr w:type="spellEnd"/>
      <w:r w:rsidRPr="0064342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4342E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643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643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16EE1">
        <w:rPr>
          <w:rFonts w:ascii="Times New Roman" w:hAnsi="Times New Roman" w:cs="Times New Roman"/>
          <w:sz w:val="24"/>
          <w:szCs w:val="24"/>
          <w:lang w:val="en-GB"/>
        </w:rPr>
        <w:t>RFN</w:t>
      </w:r>
      <w:r w:rsidRPr="00643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643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643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643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643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A2FB5">
        <w:rPr>
          <w:rFonts w:ascii="Times New Roman" w:hAnsi="Times New Roman" w:cs="Times New Roman"/>
          <w:sz w:val="24"/>
          <w:szCs w:val="24"/>
          <w:lang w:val="en-GB"/>
        </w:rPr>
        <w:t xml:space="preserve">me </w:t>
      </w:r>
      <w:proofErr w:type="spellStart"/>
      <w:r w:rsidR="00BA2FB5">
        <w:rPr>
          <w:rFonts w:ascii="Times New Roman" w:hAnsi="Times New Roman" w:cs="Times New Roman"/>
          <w:sz w:val="24"/>
          <w:szCs w:val="24"/>
          <w:lang w:val="en-GB"/>
        </w:rPr>
        <w:t>tatim</w:t>
      </w:r>
      <w:proofErr w:type="spellEnd"/>
      <w:r w:rsidRPr="00643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43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reduktohet</w:t>
      </w:r>
      <w:proofErr w:type="spellEnd"/>
      <w:r w:rsidRPr="0064342E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64342E">
        <w:rPr>
          <w:rFonts w:ascii="Times New Roman" w:hAnsi="Times New Roman" w:cs="Times New Roman"/>
          <w:sz w:val="24"/>
          <w:szCs w:val="24"/>
          <w:lang w:val="en-GB"/>
        </w:rPr>
        <w:t>pjesën</w:t>
      </w:r>
      <w:proofErr w:type="spellEnd"/>
      <w:r w:rsidRPr="0064342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64342E">
        <w:rPr>
          <w:rFonts w:ascii="Times New Roman" w:hAnsi="Times New Roman" w:cs="Times New Roman"/>
          <w:sz w:val="24"/>
          <w:szCs w:val="24"/>
          <w:lang w:val="en-GB"/>
        </w:rPr>
        <w:t>alokueshme</w:t>
      </w:r>
      <w:proofErr w:type="spellEnd"/>
      <w:r w:rsidRPr="00643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43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643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643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643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643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Pr="00643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643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43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sz w:val="24"/>
          <w:szCs w:val="24"/>
          <w:lang w:val="en-GB"/>
        </w:rPr>
        <w:t>atij</w:t>
      </w:r>
      <w:proofErr w:type="spellEnd"/>
      <w:r w:rsidRPr="00643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643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643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43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sz w:val="24"/>
          <w:szCs w:val="24"/>
          <w:lang w:val="en-GB"/>
        </w:rPr>
        <w:t>tatueshëm</w:t>
      </w:r>
      <w:proofErr w:type="spellEnd"/>
      <w:r w:rsidRPr="0064342E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BA2FB5">
        <w:rPr>
          <w:rFonts w:ascii="Times New Roman" w:hAnsi="Times New Roman" w:cs="Times New Roman"/>
          <w:sz w:val="24"/>
          <w:szCs w:val="24"/>
          <w:lang w:val="en-GB"/>
        </w:rPr>
        <w:t>tatim</w:t>
      </w:r>
      <w:proofErr w:type="spellEnd"/>
      <w:r w:rsidR="00BA2FB5" w:rsidRPr="00643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43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Pr="0064342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4342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643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sz w:val="24"/>
          <w:szCs w:val="24"/>
          <w:lang w:val="en-GB"/>
        </w:rPr>
        <w:t>cili</w:t>
      </w:r>
      <w:proofErr w:type="spellEnd"/>
      <w:r w:rsidRPr="00643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sz w:val="24"/>
          <w:szCs w:val="24"/>
          <w:lang w:val="en-GB"/>
        </w:rPr>
        <w:t>vihet</w:t>
      </w:r>
      <w:proofErr w:type="spellEnd"/>
      <w:r w:rsidRPr="00643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643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sz w:val="24"/>
          <w:szCs w:val="24"/>
          <w:lang w:val="en-GB"/>
        </w:rPr>
        <w:t>ngarkim</w:t>
      </w:r>
      <w:proofErr w:type="spellEnd"/>
      <w:r w:rsidRPr="00643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643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F3EC4" w:rsidRPr="006F3EC4">
        <w:rPr>
          <w:rFonts w:ascii="Times New Roman" w:hAnsi="Times New Roman" w:cs="Times New Roman"/>
          <w:sz w:val="24"/>
          <w:szCs w:val="24"/>
          <w:lang w:val="en-GB"/>
        </w:rPr>
        <w:t>RPA-</w:t>
      </w:r>
      <w:proofErr w:type="spellStart"/>
      <w:r w:rsidR="006F3EC4" w:rsidRPr="006F3EC4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6F3EC4" w:rsidRPr="006F3E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3EC4" w:rsidRPr="006F3EC4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6F3EC4" w:rsidRPr="006F3E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3EC4" w:rsidRPr="006F3EC4">
        <w:rPr>
          <w:rFonts w:ascii="Times New Roman" w:hAnsi="Times New Roman" w:cs="Times New Roman"/>
          <w:sz w:val="24"/>
          <w:szCs w:val="24"/>
          <w:lang w:val="en-GB"/>
        </w:rPr>
        <w:t>kualifikua</w:t>
      </w:r>
      <w:r w:rsidR="006F3EC4" w:rsidRPr="00B16EE1">
        <w:rPr>
          <w:rFonts w:ascii="Times New Roman" w:hAnsi="Times New Roman" w:cs="Times New Roman"/>
          <w:sz w:val="24"/>
          <w:szCs w:val="24"/>
          <w:lang w:val="en-GB"/>
        </w:rPr>
        <w:t>r</w:t>
      </w:r>
      <w:proofErr w:type="spellEnd"/>
      <w:r w:rsidRPr="00B16EE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2B98118" w14:textId="77777777" w:rsidR="0064342E" w:rsidRPr="0064342E" w:rsidRDefault="0064342E" w:rsidP="0064342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0509B44" w14:textId="15DC266C" w:rsidR="00CE076E" w:rsidRPr="00011032" w:rsidRDefault="0064342E" w:rsidP="0064342E">
      <w:pPr>
        <w:numPr>
          <w:ilvl w:val="0"/>
          <w:numId w:val="10"/>
        </w:numPr>
        <w:tabs>
          <w:tab w:val="num" w:pos="0"/>
          <w:tab w:val="left" w:pos="36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Përqindja</w:t>
      </w:r>
      <w:proofErr w:type="spellEnd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atribuohet</w:t>
      </w:r>
      <w:proofErr w:type="spellEnd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Republikës</w:t>
      </w:r>
      <w:proofErr w:type="spellEnd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së</w:t>
      </w:r>
      <w:proofErr w:type="spellEnd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r</w:t>
      </w:r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regullit</w:t>
      </w:r>
      <w:proofErr w:type="spellEnd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f</w:t>
      </w:r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itimin</w:t>
      </w:r>
      <w:proofErr w:type="spellEnd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</w:t>
      </w:r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atatuar</w:t>
      </w:r>
      <w:proofErr w:type="spellEnd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m</w:t>
      </w:r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jaftueshëm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llogaritet</w:t>
      </w:r>
      <w:proofErr w:type="spellEnd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grup</w:t>
      </w:r>
      <w:proofErr w:type="spellEnd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shoq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formulën</w:t>
      </w:r>
      <w:proofErr w:type="spellEnd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14:paraId="101A6159" w14:textId="77777777" w:rsidR="00CB769F" w:rsidRPr="00011032" w:rsidRDefault="00CB769F" w:rsidP="0001103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FD58A5E" w14:textId="121E2A2D" w:rsidR="00CB769F" w:rsidRPr="00011032" w:rsidRDefault="0064342E" w:rsidP="00867F72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50% × (</w:t>
      </w:r>
      <w:proofErr w:type="spellStart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Numri</w:t>
      </w:r>
      <w:proofErr w:type="spellEnd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i</w:t>
      </w:r>
      <w:proofErr w:type="spellEnd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punonjësve</w:t>
      </w:r>
      <w:proofErr w:type="spellEnd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në</w:t>
      </w:r>
      <w:proofErr w:type="spellEnd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Republikën</w:t>
      </w:r>
      <w:proofErr w:type="spellEnd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e </w:t>
      </w:r>
      <w:proofErr w:type="spellStart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Shqipërisë</w:t>
      </w:r>
      <w:proofErr w:type="spellEnd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/ </w:t>
      </w:r>
      <w:proofErr w:type="spellStart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Numri</w:t>
      </w:r>
      <w:proofErr w:type="spellEnd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i</w:t>
      </w:r>
      <w:proofErr w:type="spellEnd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punonjësve</w:t>
      </w:r>
      <w:proofErr w:type="spellEnd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në</w:t>
      </w:r>
      <w:proofErr w:type="spellEnd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të</w:t>
      </w:r>
      <w:proofErr w:type="spellEnd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gjitha</w:t>
      </w:r>
      <w:proofErr w:type="spellEnd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juridiksionet</w:t>
      </w:r>
      <w:proofErr w:type="spellEnd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me </w:t>
      </w:r>
      <w:proofErr w:type="spellStart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Rregull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in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e</w:t>
      </w:r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Kualifikuar</w:t>
      </w:r>
      <w:proofErr w:type="spellEnd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për</w:t>
      </w:r>
      <w:proofErr w:type="spellEnd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Fitimin</w:t>
      </w:r>
      <w:proofErr w:type="spellEnd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e </w:t>
      </w:r>
      <w:proofErr w:type="spellStart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Patatuar</w:t>
      </w:r>
      <w:proofErr w:type="spellEnd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Mjaftueshëm</w:t>
      </w:r>
      <w:proofErr w:type="spellEnd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) + 50% × (Vlera </w:t>
      </w:r>
      <w:proofErr w:type="spellStart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totale</w:t>
      </w:r>
      <w:proofErr w:type="spellEnd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neto</w:t>
      </w:r>
      <w:proofErr w:type="spellEnd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kontabël</w:t>
      </w:r>
      <w:proofErr w:type="spellEnd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e </w:t>
      </w:r>
      <w:proofErr w:type="spellStart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aktiveve</w:t>
      </w:r>
      <w:proofErr w:type="spellEnd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materiale</w:t>
      </w:r>
      <w:proofErr w:type="spellEnd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në</w:t>
      </w:r>
      <w:proofErr w:type="spellEnd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Republikën</w:t>
      </w:r>
      <w:proofErr w:type="spellEnd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e </w:t>
      </w:r>
      <w:proofErr w:type="spellStart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Shqipërisë</w:t>
      </w:r>
      <w:proofErr w:type="spellEnd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/ Vlera </w:t>
      </w:r>
      <w:proofErr w:type="spellStart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totale</w:t>
      </w:r>
      <w:proofErr w:type="spellEnd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neto</w:t>
      </w:r>
      <w:proofErr w:type="spellEnd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kontabël</w:t>
      </w:r>
      <w:proofErr w:type="spellEnd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e </w:t>
      </w:r>
      <w:proofErr w:type="spellStart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aktiveve</w:t>
      </w:r>
      <w:proofErr w:type="spellEnd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materiale</w:t>
      </w:r>
      <w:proofErr w:type="spellEnd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në</w:t>
      </w:r>
      <w:proofErr w:type="spellEnd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të</w:t>
      </w:r>
      <w:proofErr w:type="spellEnd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gjitha</w:t>
      </w:r>
      <w:proofErr w:type="spellEnd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juridiksionet</w:t>
      </w:r>
      <w:proofErr w:type="spellEnd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me </w:t>
      </w:r>
      <w:proofErr w:type="spellStart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Rregull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in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e</w:t>
      </w:r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Kualifikuar</w:t>
      </w:r>
      <w:proofErr w:type="spellEnd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për</w:t>
      </w:r>
      <w:proofErr w:type="spellEnd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Fitimin</w:t>
      </w:r>
      <w:proofErr w:type="spellEnd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e </w:t>
      </w:r>
      <w:proofErr w:type="spellStart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Patatuar</w:t>
      </w:r>
      <w:proofErr w:type="spellEnd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Mjaftueshëm</w:t>
      </w:r>
      <w:proofErr w:type="spellEnd"/>
      <w:r w:rsidRPr="0064342E">
        <w:rPr>
          <w:rFonts w:ascii="Times New Roman" w:hAnsi="Times New Roman" w:cs="Times New Roman"/>
          <w:i/>
          <w:iCs/>
          <w:sz w:val="24"/>
          <w:szCs w:val="24"/>
          <w:lang w:val="en-GB"/>
        </w:rPr>
        <w:t>)</w:t>
      </w:r>
    </w:p>
    <w:p w14:paraId="4668CF86" w14:textId="77777777" w:rsidR="00CB769F" w:rsidRPr="00CE4BE0" w:rsidRDefault="00CB769F" w:rsidP="0001103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EAE625D" w14:textId="6F8F1A60" w:rsidR="00CB769F" w:rsidRPr="00CE4BE0" w:rsidRDefault="0064342E" w:rsidP="008300F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Ku</w:t>
      </w:r>
      <w:r w:rsidR="008300FF" w:rsidRPr="00CE4BE0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5F4FFBFE" w14:textId="4C840BFC" w:rsidR="00B669CB" w:rsidRPr="00B669CB" w:rsidRDefault="00B669CB" w:rsidP="00B669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669C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numri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punonjësve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numri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total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punonjësve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gjitha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grupit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shoq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r w:rsid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rive</w:t>
      </w:r>
      <w:proofErr w:type="spellEnd"/>
      <w:r w:rsid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vendosura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14:paraId="1A832328" w14:textId="43FA3AC0" w:rsidR="00B669CB" w:rsidRPr="00B669CB" w:rsidRDefault="00B669CB" w:rsidP="00B669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669C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numri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punonjësve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gjitha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juridiksionet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r</w:t>
      </w:r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regull</w:t>
      </w:r>
      <w:r w:rsid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in</w:t>
      </w:r>
      <w:proofErr w:type="spellEnd"/>
      <w:r w:rsid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</w:t>
      </w:r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k</w:t>
      </w:r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ualifikuar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f</w:t>
      </w:r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itimin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p</w:t>
      </w:r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atatuar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m</w:t>
      </w:r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jaftueshëm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numri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total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punonjësve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gjitha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grupit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shoq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r w:rsid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rive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janë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vendosura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fuqi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r</w:t>
      </w:r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regull</w:t>
      </w:r>
      <w:r w:rsid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in</w:t>
      </w:r>
      <w:proofErr w:type="spellEnd"/>
      <w:r w:rsid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</w:t>
      </w:r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k</w:t>
      </w:r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ualifikuar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f</w:t>
      </w:r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itimin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p</w:t>
      </w:r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atatuar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m</w:t>
      </w:r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jaftueshëm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vitin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64342E" w:rsidRPr="0064342E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14:paraId="33E86DE1" w14:textId="088D71D9" w:rsidR="00B669CB" w:rsidRPr="00B669CB" w:rsidRDefault="00B669CB" w:rsidP="00B669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669C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c)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vlera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totale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neto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aktiveve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materiale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shuma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vlerës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neto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aktiveve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materiale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gjitha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grupit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shoq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r w:rsid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rive</w:t>
      </w:r>
      <w:proofErr w:type="spellEnd"/>
      <w:r w:rsid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vendosura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14:paraId="1BFEE7EA" w14:textId="260E19D1" w:rsidR="00345BF8" w:rsidRDefault="00B669CB" w:rsidP="000110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669C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d)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vlera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totale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neto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aktiveve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materiale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gjitha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juridiksionet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r</w:t>
      </w:r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regull</w:t>
      </w:r>
      <w:r w:rsid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in</w:t>
      </w:r>
      <w:proofErr w:type="spellEnd"/>
      <w:r w:rsid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</w:t>
      </w:r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k</w:t>
      </w:r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ualifikuar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f</w:t>
      </w:r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itimin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p</w:t>
      </w:r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atatuar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m</w:t>
      </w:r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jaftueshëm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shuma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vlerës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neto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aktiveve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materiale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gjitha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grupit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shoq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r w:rsid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rive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janë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vendosura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fuqi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r</w:t>
      </w:r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regull</w:t>
      </w:r>
      <w:r w:rsid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in</w:t>
      </w:r>
      <w:proofErr w:type="spellEnd"/>
      <w:r w:rsid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</w:t>
      </w:r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k</w:t>
      </w:r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ualifikuar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f</w:t>
      </w:r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itimin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p</w:t>
      </w:r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atatuar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m</w:t>
      </w:r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jaftueshëm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vitin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6676E1" w:rsidRPr="006676E1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7483D6AC" w14:textId="77777777" w:rsidR="00222948" w:rsidRPr="00CE4BE0" w:rsidRDefault="00222948" w:rsidP="004A60B9">
      <w:pPr>
        <w:shd w:val="clear" w:color="auto" w:fill="FFFFFF"/>
        <w:spacing w:after="0"/>
        <w:ind w:firstLine="33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D13BB8D" w14:textId="57776460" w:rsidR="00345BF8" w:rsidRDefault="000308CF" w:rsidP="001A2016">
      <w:pPr>
        <w:pStyle w:val="ListParagraph"/>
        <w:numPr>
          <w:ilvl w:val="0"/>
          <w:numId w:val="15"/>
        </w:numPr>
        <w:shd w:val="clear" w:color="auto" w:fill="FFFFFF"/>
        <w:tabs>
          <w:tab w:val="left" w:pos="27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Numri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punonjësve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përcaktohet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si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numri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punonjësve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bazë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ekuivalentit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kohë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plotë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gjitha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përkatës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duke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përfshirë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kontraktorët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pavarur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kusht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ata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marrin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pjesë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veprimtaritë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zakonshme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operative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Aktivet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materiale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përfshijnë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aktivet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materiale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gjitha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vendosura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përkatës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por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nuk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përfshijnë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mjete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monetare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ekuivalentë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tyre,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aktivet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jo-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materiale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apo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aktivet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Pr="000308CF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29907CE9" w14:textId="77777777" w:rsidR="00222948" w:rsidRPr="00CE4BE0" w:rsidRDefault="00222948" w:rsidP="00011032">
      <w:pPr>
        <w:pStyle w:val="ListParagraph"/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90EC4E6" w14:textId="0577D1C6" w:rsidR="00345BF8" w:rsidRDefault="007E4DCE" w:rsidP="001A2016">
      <w:pPr>
        <w:pStyle w:val="ListParagraph"/>
        <w:numPr>
          <w:ilvl w:val="0"/>
          <w:numId w:val="15"/>
        </w:numPr>
        <w:shd w:val="clear" w:color="auto" w:fill="FFFFFF"/>
        <w:tabs>
          <w:tab w:val="left" w:pos="36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Punonjësit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kostot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pagave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cilëve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përfshihen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pasqyrat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veçanta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selie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përcaktuara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18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L</w:t>
      </w:r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rregulluara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18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L</w:t>
      </w:r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atribuohen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juridiksionit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cilin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ndodhet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selia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njëjtën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mënyrë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aktivet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materiale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përfshira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pasqyrat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veçanta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selisë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së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përcaktuara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18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L</w:t>
      </w:r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igji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rregulluara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18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L</w:t>
      </w:r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atribuohen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juridiksionit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cilin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ndodhet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selia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Numri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punonjësve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aktivet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materiale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atribuara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juridiksionit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selisë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së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nuk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merren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konsideratë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numrin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punonjësve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aktivet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materiale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juridiksionit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njësisë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kryesore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Numri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punonjësve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vlera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kontabël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aktiveve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materiale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mbajtura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investimi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përjashtohen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elementet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formulës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së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përmendur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Numri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punonjësve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vlera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kontabël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aktiveve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materiale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transparent</w:t>
      </w:r>
      <w:r w:rsidR="00222E3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22E37">
        <w:rPr>
          <w:rFonts w:ascii="Times New Roman" w:eastAsia="Times New Roman" w:hAnsi="Times New Roman" w:cs="Times New Roman"/>
          <w:sz w:val="24"/>
          <w:szCs w:val="24"/>
          <w:lang w:val="en-GB"/>
        </w:rPr>
        <w:t>tatimor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përjashtohen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elementet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formulës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së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caktuar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përveç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rasteve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kur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ato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atribuohen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selie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mungesë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selie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cilin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krijuar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transparent</w:t>
      </w:r>
      <w:r w:rsidR="00222E3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22E37">
        <w:rPr>
          <w:rFonts w:ascii="Times New Roman" w:eastAsia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645280FE" w14:textId="77777777" w:rsidR="00222948" w:rsidRPr="00CE4BE0" w:rsidRDefault="00222948" w:rsidP="00011032">
      <w:pPr>
        <w:pStyle w:val="ListParagraph"/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6A479A1" w14:textId="5319308C" w:rsidR="00345BF8" w:rsidRDefault="007E4DCE" w:rsidP="001A2016">
      <w:pPr>
        <w:pStyle w:val="ListParagraph"/>
        <w:numPr>
          <w:ilvl w:val="0"/>
          <w:numId w:val="15"/>
        </w:numPr>
        <w:shd w:val="clear" w:color="auto" w:fill="FFFFFF"/>
        <w:tabs>
          <w:tab w:val="left" w:pos="27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rjashtim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paragrafi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5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përqindja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atribuohet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juridiksioni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r</w:t>
      </w:r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regullit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f</w:t>
      </w:r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itimin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</w:t>
      </w:r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atatuar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m</w:t>
      </w:r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jaftueshëm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lidhje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grup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shoq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rie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caktuar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konsiderohet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zero,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si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rezultat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shumës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së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B16EE1">
        <w:rPr>
          <w:rFonts w:ascii="Times New Roman" w:eastAsia="Times New Roman" w:hAnsi="Times New Roman" w:cs="Times New Roman"/>
          <w:sz w:val="24"/>
          <w:szCs w:val="24"/>
          <w:lang w:val="en-GB"/>
        </w:rPr>
        <w:t>RFN-</w:t>
      </w:r>
      <w:proofErr w:type="spellStart"/>
      <w:r w:rsidR="00B16EE1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="00AB7580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16EE1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alokuar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atë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paraardhës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atij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atë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nuk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kanë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shpenzim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para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gatshme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total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shumën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B16EE1">
        <w:rPr>
          <w:rFonts w:ascii="Times New Roman" w:eastAsia="Times New Roman" w:hAnsi="Times New Roman" w:cs="Times New Roman"/>
          <w:sz w:val="24"/>
          <w:szCs w:val="24"/>
          <w:lang w:val="en-GB"/>
        </w:rPr>
        <w:t>RFN-</w:t>
      </w:r>
      <w:proofErr w:type="spellStart"/>
      <w:r w:rsidR="00B16EE1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="00AB7580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atë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paraardhës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alokuar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atë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Numri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punonjësve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vlera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kontabël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aktiveve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materiale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16EE1">
        <w:rPr>
          <w:rFonts w:ascii="Times New Roman" w:eastAsia="Times New Roman" w:hAnsi="Times New Roman" w:cs="Times New Roman"/>
          <w:sz w:val="24"/>
          <w:szCs w:val="24"/>
          <w:lang w:val="en-GB"/>
        </w:rPr>
        <w:t>shoq</w:t>
      </w:r>
      <w:r w:rsidR="00FA0FBD" w:rsidRPr="00B16EE1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r w:rsidRPr="00B16EE1">
        <w:rPr>
          <w:rFonts w:ascii="Times New Roman" w:eastAsia="Times New Roman" w:hAnsi="Times New Roman" w:cs="Times New Roman"/>
          <w:sz w:val="24"/>
          <w:szCs w:val="24"/>
          <w:lang w:val="en-GB"/>
        </w:rPr>
        <w:t>rie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vendosur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përqindje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B16EE1">
        <w:rPr>
          <w:rFonts w:ascii="Times New Roman" w:eastAsia="Times New Roman" w:hAnsi="Times New Roman" w:cs="Times New Roman"/>
          <w:sz w:val="24"/>
          <w:szCs w:val="24"/>
          <w:lang w:val="en-GB"/>
        </w:rPr>
        <w:t>RFN-</w:t>
      </w:r>
      <w:proofErr w:type="spellStart"/>
      <w:r w:rsidR="00B16EE1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="00AB7580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zero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caktuar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përjashtohen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elementet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formulës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ndarjen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total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B16EE1">
        <w:rPr>
          <w:rFonts w:ascii="Times New Roman" w:eastAsia="Times New Roman" w:hAnsi="Times New Roman" w:cs="Times New Roman"/>
          <w:sz w:val="24"/>
          <w:szCs w:val="24"/>
          <w:lang w:val="en-GB"/>
        </w:rPr>
        <w:t>RFN-</w:t>
      </w:r>
      <w:proofErr w:type="spellStart"/>
      <w:r w:rsidR="00B16EE1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="00AB7580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B16E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atë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grup</w:t>
      </w:r>
      <w:proofErr w:type="spellEnd"/>
      <w:r w:rsidR="00B16E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atë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69EC2BA8" w14:textId="77777777" w:rsidR="00222948" w:rsidRPr="00CE4BE0" w:rsidRDefault="00222948" w:rsidP="00011032">
      <w:pPr>
        <w:pStyle w:val="ListParagraph"/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34E0A2E" w14:textId="605055BF" w:rsidR="00222948" w:rsidRDefault="00624EDE" w:rsidP="001A2016">
      <w:pPr>
        <w:pStyle w:val="ListParagraph"/>
        <w:numPr>
          <w:ilvl w:val="0"/>
          <w:numId w:val="15"/>
        </w:numPr>
        <w:shd w:val="clear" w:color="auto" w:fill="FFFFFF"/>
        <w:tabs>
          <w:tab w:val="left" w:pos="0"/>
          <w:tab w:val="left" w:pos="27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Paragra</w:t>
      </w:r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fi</w:t>
      </w:r>
      <w:proofErr w:type="spellEnd"/>
      <w:r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8, </w:t>
      </w:r>
      <w:proofErr w:type="spellStart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neni</w:t>
      </w:r>
      <w:proofErr w:type="spellEnd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nuk</w:t>
      </w:r>
      <w:proofErr w:type="spellEnd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zbatohet</w:t>
      </w:r>
      <w:proofErr w:type="spellEnd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nëse</w:t>
      </w:r>
      <w:proofErr w:type="spellEnd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gjitha</w:t>
      </w:r>
      <w:proofErr w:type="spellEnd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juridiksionet</w:t>
      </w:r>
      <w:proofErr w:type="spellEnd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kanë</w:t>
      </w:r>
      <w:proofErr w:type="spellEnd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fuqi</w:t>
      </w:r>
      <w:proofErr w:type="spellEnd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r</w:t>
      </w:r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regull</w:t>
      </w:r>
      <w:proofErr w:type="spellEnd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k</w:t>
      </w:r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ualifikuar</w:t>
      </w:r>
      <w:proofErr w:type="spellEnd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f</w:t>
      </w:r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itimin</w:t>
      </w:r>
      <w:proofErr w:type="spellEnd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p</w:t>
      </w:r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atatuar</w:t>
      </w:r>
      <w:proofErr w:type="spellEnd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m</w:t>
      </w:r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jaftueshëm</w:t>
      </w:r>
      <w:proofErr w:type="spellEnd"/>
      <w:r w:rsid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kanë</w:t>
      </w:r>
      <w:proofErr w:type="spellEnd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përqindje</w:t>
      </w:r>
      <w:proofErr w:type="spellEnd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zero </w:t>
      </w:r>
      <w:proofErr w:type="spellStart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sipas</w:t>
      </w:r>
      <w:proofErr w:type="spellEnd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rregulli</w:t>
      </w:r>
      <w:proofErr w:type="spellEnd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lidhje</w:t>
      </w:r>
      <w:proofErr w:type="spellEnd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grupin</w:t>
      </w:r>
      <w:proofErr w:type="spellEnd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ndërmarrjeve</w:t>
      </w:r>
      <w:proofErr w:type="spellEnd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atë</w:t>
      </w:r>
      <w:proofErr w:type="spellEnd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7E4DCE" w:rsidRPr="007E4DCE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7E9BFEF0" w14:textId="77777777" w:rsidR="00C73554" w:rsidRPr="007E4DCE" w:rsidRDefault="00C73554" w:rsidP="00C73554">
      <w:pPr>
        <w:pStyle w:val="ListParagraph"/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1A8E957" w14:textId="7E0F3EBD" w:rsidR="00345BF8" w:rsidRPr="00C73554" w:rsidRDefault="00C73554" w:rsidP="001A2016">
      <w:pPr>
        <w:pStyle w:val="ListParagraph"/>
        <w:numPr>
          <w:ilvl w:val="0"/>
          <w:numId w:val="15"/>
        </w:numPr>
        <w:shd w:val="clear" w:color="auto" w:fill="FFFFFF"/>
        <w:tabs>
          <w:tab w:val="left" w:pos="36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Shuma e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r</w:t>
      </w:r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regullit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f</w:t>
      </w:r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itimin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</w:t>
      </w:r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atatuar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m</w:t>
      </w:r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jaftueshëm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alokohet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vendosur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pjesën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tij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totale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2DED4828" w14:textId="77777777" w:rsidR="00222948" w:rsidRPr="00CE4BE0" w:rsidRDefault="00222948" w:rsidP="00011032">
      <w:pPr>
        <w:pStyle w:val="ListParagraph"/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DCDF613" w14:textId="02FDE7B2" w:rsidR="00333CD9" w:rsidRPr="00C04520" w:rsidRDefault="00C73554" w:rsidP="00C04520">
      <w:pPr>
        <w:pStyle w:val="ListParagraph"/>
        <w:numPr>
          <w:ilvl w:val="0"/>
          <w:numId w:val="15"/>
        </w:numPr>
        <w:shd w:val="clear" w:color="auto" w:fill="FFFFFF"/>
        <w:tabs>
          <w:tab w:val="left" w:pos="90"/>
          <w:tab w:val="left" w:pos="36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Pavarësisht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dispozitave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kapitulli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alokuar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konsiderohet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zero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shoq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rive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vendosur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kualifikohet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10F7C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010F7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përjashtimin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010F7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</w:t>
      </w:r>
      <w:proofErr w:type="gramEnd"/>
      <w:r w:rsidR="00010F7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10F7C">
        <w:rPr>
          <w:rFonts w:ascii="Times New Roman" w:eastAsia="Times New Roman" w:hAnsi="Times New Roman" w:cs="Times New Roman"/>
          <w:sz w:val="24"/>
          <w:szCs w:val="24"/>
          <w:lang w:val="en-GB"/>
        </w:rPr>
        <w:t>Masave</w:t>
      </w:r>
      <w:proofErr w:type="spellEnd"/>
      <w:r w:rsidR="00010F7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10F7C">
        <w:rPr>
          <w:rFonts w:ascii="Times New Roman" w:eastAsia="Times New Roman" w:hAnsi="Times New Roman" w:cs="Times New Roman"/>
          <w:sz w:val="24"/>
          <w:szCs w:val="24"/>
          <w:lang w:val="en-GB"/>
        </w:rPr>
        <w:t>Lehtësuese</w:t>
      </w:r>
      <w:proofErr w:type="spellEnd"/>
      <w:r w:rsidR="00010F7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10F7C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010F7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010F7C"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EMP</w:t>
      </w:r>
      <w:r w:rsidR="006574E3"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eastAsia="Times New Roman" w:hAnsi="Times New Roman" w:cs="Times New Roman"/>
          <w:sz w:val="24"/>
          <w:szCs w:val="24"/>
          <w:lang w:val="en-GB"/>
        </w:rPr>
        <w:t>përjashtimin</w:t>
      </w:r>
      <w:proofErr w:type="spellEnd"/>
      <w:r w:rsidR="00AA5EB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A5EBD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="00010F7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A5EBD" w:rsidRPr="00AA5EBD">
        <w:rPr>
          <w:rFonts w:ascii="Times New Roman" w:eastAsia="Times New Roman" w:hAnsi="Times New Roman" w:cs="Times New Roman"/>
          <w:sz w:val="24"/>
          <w:szCs w:val="24"/>
          <w:lang w:val="en-GB"/>
        </w:rPr>
        <w:t>masat</w:t>
      </w:r>
      <w:proofErr w:type="spellEnd"/>
      <w:r w:rsidR="00AA5EBD" w:rsidRPr="00AA5EB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A5EBD" w:rsidRPr="00AA5EBD">
        <w:rPr>
          <w:rFonts w:ascii="Times New Roman" w:eastAsia="Times New Roman" w:hAnsi="Times New Roman" w:cs="Times New Roman"/>
          <w:sz w:val="24"/>
          <w:szCs w:val="24"/>
          <w:lang w:val="en-GB"/>
        </w:rPr>
        <w:t>lehtësuese</w:t>
      </w:r>
      <w:proofErr w:type="spellEnd"/>
      <w:r w:rsidR="00AA5EBD" w:rsidRPr="00AA5EB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A5EBD" w:rsidRPr="00AA5EBD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A5EBD" w:rsidRPr="00AA5EB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A5EBD" w:rsidRPr="00AA5EBD">
        <w:rPr>
          <w:rFonts w:ascii="Times New Roman" w:eastAsia="Times New Roman" w:hAnsi="Times New Roman" w:cs="Times New Roman"/>
          <w:sz w:val="24"/>
          <w:szCs w:val="24"/>
          <w:lang w:val="en-GB"/>
        </w:rPr>
        <w:t>krahasimit</w:t>
      </w:r>
      <w:proofErr w:type="spellEnd"/>
      <w:r w:rsidR="00AA5EBD" w:rsidRPr="00AA5EB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A5EBD" w:rsidRPr="00AA5EBD">
        <w:rPr>
          <w:rFonts w:ascii="Times New Roman" w:eastAsia="Times New Roman" w:hAnsi="Times New Roman" w:cs="Times New Roman"/>
          <w:sz w:val="24"/>
          <w:szCs w:val="24"/>
          <w:lang w:val="en-GB"/>
        </w:rPr>
        <w:t>paralel</w:t>
      </w:r>
      <w:proofErr w:type="spellEnd"/>
      <w:r w:rsidR="00AA5EBD" w:rsidRPr="00AA5EB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“Side-by-Side” Safe Harbour.</w:t>
      </w:r>
    </w:p>
    <w:p w14:paraId="64076874" w14:textId="77777777" w:rsidR="00867F72" w:rsidRPr="00CE4BE0" w:rsidRDefault="00867F72" w:rsidP="004A60B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608B038" w14:textId="4A10512F" w:rsidR="00BD23B1" w:rsidRPr="00CE4BE0" w:rsidRDefault="00C73554" w:rsidP="00C73554">
      <w:pPr>
        <w:pStyle w:val="NormalWeb"/>
        <w:spacing w:before="0" w:beforeAutospacing="0" w:after="0" w:afterAutospacing="0" w:line="276" w:lineRule="auto"/>
        <w:jc w:val="center"/>
        <w:rPr>
          <w:lang w:val="en-GB"/>
        </w:rPr>
      </w:pPr>
      <w:bookmarkStart w:id="5" w:name="_Hlk213240654"/>
      <w:bookmarkEnd w:id="3"/>
      <w:r>
        <w:rPr>
          <w:lang w:val="en-GB"/>
        </w:rPr>
        <w:t>KAPITULLI</w:t>
      </w:r>
      <w:r w:rsidR="00BD23B1" w:rsidRPr="00CE4BE0">
        <w:rPr>
          <w:lang w:val="en-GB"/>
        </w:rPr>
        <w:t xml:space="preserve"> III</w:t>
      </w:r>
    </w:p>
    <w:p w14:paraId="0B6D33CD" w14:textId="1FEE3566" w:rsidR="004A60B9" w:rsidRDefault="00C73554" w:rsidP="00C73554">
      <w:pPr>
        <w:pStyle w:val="NormalWeb"/>
        <w:spacing w:before="0" w:beforeAutospacing="0" w:after="0" w:afterAutospacing="0" w:line="276" w:lineRule="auto"/>
        <w:jc w:val="center"/>
        <w:rPr>
          <w:b/>
          <w:bCs/>
          <w:lang w:val="en-GB"/>
        </w:rPr>
      </w:pPr>
      <w:r w:rsidRPr="00C73554">
        <w:rPr>
          <w:b/>
          <w:bCs/>
          <w:lang w:val="en-GB"/>
        </w:rPr>
        <w:t>LLOGARITJA E TË ARDHURAVE OSE HUMBJES SË KUALIFIKUAR</w:t>
      </w:r>
    </w:p>
    <w:p w14:paraId="1715ADFC" w14:textId="77777777" w:rsidR="00C73554" w:rsidRPr="00C73554" w:rsidRDefault="00C73554" w:rsidP="00C73554">
      <w:pPr>
        <w:pStyle w:val="NormalWeb"/>
        <w:spacing w:before="0" w:beforeAutospacing="0" w:after="0" w:afterAutospacing="0" w:line="276" w:lineRule="auto"/>
        <w:jc w:val="center"/>
        <w:rPr>
          <w:b/>
          <w:bCs/>
          <w:lang w:val="en-GB"/>
        </w:rPr>
      </w:pPr>
    </w:p>
    <w:p w14:paraId="71659124" w14:textId="22CD4755" w:rsidR="00D30E7B" w:rsidRPr="00CE4BE0" w:rsidRDefault="00C73554" w:rsidP="00D30E7B">
      <w:pPr>
        <w:pStyle w:val="Heading3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GB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GB"/>
        </w:rPr>
        <w:t>Neni</w:t>
      </w:r>
      <w:r w:rsidR="00BD23B1" w:rsidRPr="00CE4BE0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GB"/>
        </w:rPr>
        <w:t xml:space="preserve"> 1</w:t>
      </w:r>
      <w:r w:rsidR="00476187" w:rsidRPr="00CE4BE0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GB"/>
        </w:rPr>
        <w:t>4</w:t>
      </w:r>
    </w:p>
    <w:p w14:paraId="028F357B" w14:textId="77777777" w:rsidR="00C04520" w:rsidRDefault="00C73554" w:rsidP="00D30E7B">
      <w:pPr>
        <w:pStyle w:val="Heading3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proofErr w:type="spellStart"/>
      <w:r w:rsidRPr="00C73554">
        <w:rPr>
          <w:rFonts w:ascii="Times New Roman" w:hAnsi="Times New Roman" w:cs="Times New Roman"/>
          <w:color w:val="auto"/>
          <w:sz w:val="24"/>
          <w:szCs w:val="24"/>
          <w:lang w:val="en-GB"/>
        </w:rPr>
        <w:t>Parimet</w:t>
      </w:r>
      <w:proofErr w:type="spellEnd"/>
      <w:r w:rsidRPr="00C73554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GB"/>
        </w:rPr>
        <w:t>P</w:t>
      </w:r>
      <w:r w:rsidRPr="00C73554">
        <w:rPr>
          <w:rFonts w:ascii="Times New Roman" w:hAnsi="Times New Roman" w:cs="Times New Roman"/>
          <w:color w:val="auto"/>
          <w:sz w:val="24"/>
          <w:szCs w:val="24"/>
          <w:lang w:val="en-GB"/>
        </w:rPr>
        <w:t>ërgjithshme</w:t>
      </w:r>
      <w:proofErr w:type="spellEnd"/>
      <w:r w:rsidRPr="00C73554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hAnsi="Times New Roman" w:cs="Times New Roman"/>
          <w:color w:val="auto"/>
          <w:sz w:val="24"/>
          <w:szCs w:val="24"/>
          <w:lang w:val="en-GB"/>
        </w:rPr>
        <w:t>për</w:t>
      </w:r>
      <w:proofErr w:type="spellEnd"/>
      <w:r w:rsidRPr="00C73554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GB"/>
        </w:rPr>
        <w:t>P</w:t>
      </w:r>
      <w:r w:rsidRPr="00C73554">
        <w:rPr>
          <w:rFonts w:ascii="Times New Roman" w:hAnsi="Times New Roman" w:cs="Times New Roman"/>
          <w:color w:val="auto"/>
          <w:sz w:val="24"/>
          <w:szCs w:val="24"/>
          <w:lang w:val="en-GB"/>
        </w:rPr>
        <w:t>ërcaktimin</w:t>
      </w:r>
      <w:proofErr w:type="spellEnd"/>
      <w:r w:rsidRPr="00C73554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</w:t>
      </w:r>
      <w:proofErr w:type="spellStart"/>
      <w:r w:rsidRPr="00C73554">
        <w:rPr>
          <w:rFonts w:ascii="Times New Roman" w:hAnsi="Times New Roman" w:cs="Times New Roman"/>
          <w:color w:val="auto"/>
          <w:sz w:val="24"/>
          <w:szCs w:val="24"/>
          <w:lang w:val="en-GB"/>
        </w:rPr>
        <w:t>të</w:t>
      </w:r>
      <w:proofErr w:type="spellEnd"/>
      <w:r w:rsidRPr="00C73554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GB"/>
        </w:rPr>
        <w:t>A</w:t>
      </w:r>
      <w:r w:rsidRPr="00C73554">
        <w:rPr>
          <w:rFonts w:ascii="Times New Roman" w:hAnsi="Times New Roman" w:cs="Times New Roman"/>
          <w:color w:val="auto"/>
          <w:sz w:val="24"/>
          <w:szCs w:val="24"/>
          <w:lang w:val="en-GB"/>
        </w:rPr>
        <w:t>rdhurave</w:t>
      </w:r>
      <w:proofErr w:type="spellEnd"/>
      <w:r w:rsidRPr="00C73554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</w:p>
    <w:p w14:paraId="60656B5F" w14:textId="0FBDE1E1" w:rsidR="00BD23B1" w:rsidRPr="00CE4BE0" w:rsidRDefault="00C73554" w:rsidP="00D30E7B">
      <w:pPr>
        <w:pStyle w:val="Heading3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proofErr w:type="spellStart"/>
      <w:r w:rsidRPr="00C73554">
        <w:rPr>
          <w:rFonts w:ascii="Times New Roman" w:hAnsi="Times New Roman" w:cs="Times New Roman"/>
          <w:color w:val="auto"/>
          <w:sz w:val="24"/>
          <w:szCs w:val="24"/>
          <w:lang w:val="en-GB"/>
        </w:rPr>
        <w:t>ose</w:t>
      </w:r>
      <w:proofErr w:type="spellEnd"/>
      <w:r w:rsidRPr="00C73554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GB"/>
        </w:rPr>
        <w:t>H</w:t>
      </w:r>
      <w:r w:rsidRPr="00C73554">
        <w:rPr>
          <w:rFonts w:ascii="Times New Roman" w:hAnsi="Times New Roman" w:cs="Times New Roman"/>
          <w:color w:val="auto"/>
          <w:sz w:val="24"/>
          <w:szCs w:val="24"/>
          <w:lang w:val="en-GB"/>
        </w:rPr>
        <w:t>umbjes</w:t>
      </w:r>
      <w:proofErr w:type="spellEnd"/>
      <w:r w:rsidRPr="00C73554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C73554">
        <w:rPr>
          <w:rFonts w:ascii="Times New Roman" w:hAnsi="Times New Roman" w:cs="Times New Roman"/>
          <w:color w:val="auto"/>
          <w:sz w:val="24"/>
          <w:szCs w:val="24"/>
          <w:lang w:val="en-GB"/>
        </w:rPr>
        <w:t>së</w:t>
      </w:r>
      <w:proofErr w:type="spellEnd"/>
      <w:r w:rsidRPr="00C73554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GB"/>
        </w:rPr>
        <w:t>K</w:t>
      </w:r>
      <w:r w:rsidRPr="00C73554">
        <w:rPr>
          <w:rFonts w:ascii="Times New Roman" w:hAnsi="Times New Roman" w:cs="Times New Roman"/>
          <w:color w:val="auto"/>
          <w:sz w:val="24"/>
          <w:szCs w:val="24"/>
          <w:lang w:val="en-GB"/>
        </w:rPr>
        <w:t>ualifikuar</w:t>
      </w:r>
      <w:proofErr w:type="spellEnd"/>
    </w:p>
    <w:p w14:paraId="5F53C8B1" w14:textId="77777777" w:rsidR="00D30E7B" w:rsidRPr="00CE4BE0" w:rsidRDefault="00D30E7B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DD5168C" w14:textId="14065A26" w:rsidR="00BD23B1" w:rsidRDefault="00BD23B1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1.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humbja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llogariten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duke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bërë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rregullimet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përcaktuara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nenet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15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deri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19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ndaj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përpara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rregullimi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konsolidues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eliminimin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transaksioneve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brenda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siç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përcaktohet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standardit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përdorur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përgatitjen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pasqyrave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konsoliduara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2545713" w14:textId="77777777" w:rsidR="00C837D0" w:rsidRPr="00CE4BE0" w:rsidRDefault="00C837D0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B59B27D" w14:textId="742EEA0C" w:rsidR="005B4EF3" w:rsidRDefault="005B4EF3" w:rsidP="005B4EF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7D6712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Kur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mënyrë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arsyeshme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mundur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përcaktohet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humbja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bazë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standardit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pranueshëm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kontabilitetit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financiar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standardit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autorizuar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kontabilitetit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financiar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përdorur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përgatitjen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pasqyrave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konsoliduara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humbja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mund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përcaktohen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duke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përdorur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tjetër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standard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pranueshëm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kontabilitetit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financiar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standard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autorizuar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kontabilitetit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financiar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kusht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985C93D" w14:textId="77777777" w:rsidR="005B4EF3" w:rsidRPr="005B4EF3" w:rsidRDefault="005B4EF3" w:rsidP="005B4EF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AAC2C44" w14:textId="569CF744" w:rsidR="000F7575" w:rsidRPr="000F7575" w:rsidRDefault="000F7575" w:rsidP="000F757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F7575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llogaritë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mbahen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bazë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atij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standardi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C73554" w:rsidRPr="00C73554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A2B0052" w14:textId="2586FBDC" w:rsidR="000F7575" w:rsidRPr="000F7575" w:rsidRDefault="000F7575" w:rsidP="000F757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F7575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informacioni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përfshirë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llogaritë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besueshëm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18A4F399" w14:textId="528DFC42" w:rsidR="007D6712" w:rsidRDefault="000F757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F7575">
        <w:rPr>
          <w:rFonts w:ascii="Times New Roman" w:hAnsi="Times New Roman" w:cs="Times New Roman"/>
          <w:sz w:val="24"/>
          <w:szCs w:val="24"/>
          <w:lang w:val="en-GB"/>
        </w:rPr>
        <w:t xml:space="preserve">c)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diferencat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1.000.000 euro,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lindin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zbatimi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parimi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standardi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caktuar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ndaj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zërave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shpenzimeve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apo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transaksioneve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parim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standard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ndryshon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standardi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financiar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përdorur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përgatitjen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pasqyrave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konsoliduara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rregullohen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t’u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përshtatur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trajtimin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kërkuar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zë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standardit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përdorur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përgatitjen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pasqyrave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konsoliduara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81C1B24" w14:textId="77777777" w:rsidR="00C837D0" w:rsidRPr="00CE4BE0" w:rsidRDefault="00C837D0" w:rsidP="007D671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25CB041" w14:textId="24106E95" w:rsidR="007D6712" w:rsidRDefault="00EF49A3" w:rsidP="007D671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7D6712" w:rsidRPr="00CE4BE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A75618" w:rsidRPr="00A75618">
        <w:t xml:space="preserve"> </w:t>
      </w:r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 xml:space="preserve">Kur </w:t>
      </w:r>
      <w:proofErr w:type="spellStart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>përgatitur</w:t>
      </w:r>
      <w:proofErr w:type="spellEnd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>pasqyrat</w:t>
      </w:r>
      <w:proofErr w:type="spellEnd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>konsoliduara</w:t>
      </w:r>
      <w:proofErr w:type="spellEnd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 xml:space="preserve"> standard </w:t>
      </w:r>
      <w:proofErr w:type="spellStart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>pranueshëm</w:t>
      </w:r>
      <w:proofErr w:type="spellEnd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>kontabilitetit</w:t>
      </w:r>
      <w:proofErr w:type="spellEnd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06992" w:rsidRPr="00506992">
        <w:rPr>
          <w:rFonts w:ascii="Times New Roman" w:hAnsi="Times New Roman" w:cs="Times New Roman"/>
          <w:sz w:val="24"/>
          <w:szCs w:val="24"/>
          <w:lang w:val="en-GB"/>
        </w:rPr>
        <w:t>siç</w:t>
      </w:r>
      <w:proofErr w:type="spellEnd"/>
      <w:r w:rsidR="00506992" w:rsidRPr="0050699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6992" w:rsidRPr="00506992">
        <w:rPr>
          <w:rFonts w:ascii="Times New Roman" w:hAnsi="Times New Roman" w:cs="Times New Roman"/>
          <w:sz w:val="24"/>
          <w:szCs w:val="24"/>
          <w:lang w:val="en-GB"/>
        </w:rPr>
        <w:t>përcaktohet</w:t>
      </w:r>
      <w:proofErr w:type="spellEnd"/>
      <w:r w:rsidR="00506992" w:rsidRPr="0050699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6992" w:rsidRPr="0050699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506992" w:rsidRPr="0050699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6992" w:rsidRPr="00506992">
        <w:rPr>
          <w:rFonts w:ascii="Times New Roman" w:hAnsi="Times New Roman" w:cs="Times New Roman"/>
          <w:sz w:val="24"/>
          <w:szCs w:val="24"/>
          <w:lang w:val="en-GB"/>
        </w:rPr>
        <w:t>shkronjën</w:t>
      </w:r>
      <w:proofErr w:type="spellEnd"/>
      <w:r w:rsidR="00506992" w:rsidRPr="00506992">
        <w:rPr>
          <w:rFonts w:ascii="Times New Roman" w:hAnsi="Times New Roman" w:cs="Times New Roman"/>
          <w:sz w:val="24"/>
          <w:szCs w:val="24"/>
          <w:lang w:val="en-GB"/>
        </w:rPr>
        <w:t xml:space="preserve"> ‘c’ </w:t>
      </w:r>
      <w:proofErr w:type="spellStart"/>
      <w:r w:rsidR="00506992" w:rsidRPr="0050699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06992" w:rsidRPr="0050699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6992" w:rsidRPr="00506992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="00506992" w:rsidRPr="00506992">
        <w:rPr>
          <w:rFonts w:ascii="Times New Roman" w:hAnsi="Times New Roman" w:cs="Times New Roman"/>
          <w:sz w:val="24"/>
          <w:szCs w:val="24"/>
          <w:lang w:val="en-GB"/>
        </w:rPr>
        <w:t xml:space="preserve"> 6</w:t>
      </w:r>
      <w:r w:rsidR="0050699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06992" w:rsidRPr="0050699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06992" w:rsidRPr="0050699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6992" w:rsidRPr="00506992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="00506992" w:rsidRPr="00506992">
        <w:rPr>
          <w:rFonts w:ascii="Times New Roman" w:hAnsi="Times New Roman" w:cs="Times New Roman"/>
          <w:sz w:val="24"/>
          <w:szCs w:val="24"/>
          <w:lang w:val="en-GB"/>
        </w:rPr>
        <w:t xml:space="preserve"> 4 </w:t>
      </w:r>
      <w:proofErr w:type="spellStart"/>
      <w:r w:rsidR="00506992" w:rsidRPr="0050699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06992" w:rsidRPr="0050699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6992" w:rsidRPr="00506992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506992" w:rsidRPr="0050699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6992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="0050699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06992">
        <w:rPr>
          <w:rFonts w:ascii="Times New Roman" w:hAnsi="Times New Roman" w:cs="Times New Roman"/>
          <w:sz w:val="24"/>
          <w:szCs w:val="24"/>
          <w:lang w:val="en-GB"/>
        </w:rPr>
        <w:t>pasqyrat</w:t>
      </w:r>
      <w:proofErr w:type="spellEnd"/>
      <w:r w:rsidR="0050699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>konsoliduara</w:t>
      </w:r>
      <w:proofErr w:type="spellEnd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>entiteti</w:t>
      </w:r>
      <w:r w:rsidR="00A75618">
        <w:rPr>
          <w:rFonts w:ascii="Times New Roman" w:hAnsi="Times New Roman" w:cs="Times New Roman"/>
          <w:sz w:val="24"/>
          <w:szCs w:val="24"/>
          <w:lang w:val="en-GB"/>
        </w:rPr>
        <w:t>t</w:t>
      </w:r>
      <w:proofErr w:type="spellEnd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>duhet</w:t>
      </w:r>
      <w:proofErr w:type="spellEnd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>rregullohen</w:t>
      </w:r>
      <w:proofErr w:type="spellEnd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>parandaluar</w:t>
      </w:r>
      <w:proofErr w:type="spellEnd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>dëmtim</w:t>
      </w:r>
      <w:proofErr w:type="spellEnd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>rëndësishëm</w:t>
      </w:r>
      <w:proofErr w:type="spellEnd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>konkurrencës</w:t>
      </w:r>
      <w:proofErr w:type="spellEnd"/>
      <w:r w:rsidR="00A75618" w:rsidRPr="00A7561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7D6712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4D6FEEB" w14:textId="77777777" w:rsidR="00C57CCE" w:rsidRPr="00CE4BE0" w:rsidRDefault="00C57CCE" w:rsidP="007D671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25CF8CF" w14:textId="4625C0E6" w:rsidR="00C02E44" w:rsidRDefault="00EF49A3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7D6712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Kur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përgatit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pasqyra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konsoliduara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siç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referohet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shkronjat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“a”, “b”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“c”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6</w:t>
      </w:r>
      <w:r w:rsidR="00A75618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4</w:t>
      </w:r>
      <w:r w:rsidR="00A75618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5618">
        <w:rPr>
          <w:rFonts w:ascii="Times New Roman" w:hAnsi="Times New Roman" w:cs="Times New Roman"/>
          <w:sz w:val="24"/>
          <w:szCs w:val="24"/>
          <w:lang w:val="en-GB"/>
        </w:rPr>
        <w:t>Li</w:t>
      </w:r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gji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pasqyrat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lastRenderedPageBreak/>
        <w:t>konsoliduara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referuara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shkronjën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“d”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6</w:t>
      </w:r>
      <w:r w:rsidR="00A75618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4</w:t>
      </w:r>
      <w:r w:rsidR="00A75618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ato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ishin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përgatitur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ishte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detyruar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përgatiste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këto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pasqyra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konsoliduara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me:</w:t>
      </w:r>
    </w:p>
    <w:p w14:paraId="7980303C" w14:textId="77777777" w:rsidR="00C02E44" w:rsidRDefault="00C02E44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B0FB9F7" w14:textId="27D377FA" w:rsidR="00C02E44" w:rsidRPr="00C02E44" w:rsidRDefault="00C02E44" w:rsidP="00C02E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02E44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standard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pranueshëm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kontabilitetit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financiar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</w:p>
    <w:p w14:paraId="45C76FB9" w14:textId="5B02C125" w:rsidR="00C02E44" w:rsidRDefault="00C02E44" w:rsidP="00C02E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02E44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standard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autorizuar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kontabilitetit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financiar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kusht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këto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pasqyra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konsoliduara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rregullohen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shmangur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D17">
        <w:rPr>
          <w:rFonts w:ascii="Times New Roman" w:hAnsi="Times New Roman" w:cs="Times New Roman"/>
          <w:sz w:val="24"/>
          <w:szCs w:val="24"/>
          <w:lang w:val="en-GB"/>
        </w:rPr>
        <w:t>dëmtim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material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konkurrencës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075875B" w14:textId="77777777" w:rsidR="00363E7F" w:rsidRDefault="00363E7F" w:rsidP="00C02E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7D6723E" w14:textId="1E175C95" w:rsidR="00363E7F" w:rsidRDefault="00363E7F" w:rsidP="00C02E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5. </w:t>
      </w:r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Kur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tatim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zbatohet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Republika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vendi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tretë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humbja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vendit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tretë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mund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përcaktohen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standard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pranueshëm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kontabilitetit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financiar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standard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autorizuar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kontabilitetit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financiar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cili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ndryshëm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standardi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përdorur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përgatitjen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pasqyrave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konsoliduara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kusht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këto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ardhura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humbje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rregullohen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shmangur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D17">
        <w:rPr>
          <w:rFonts w:ascii="Times New Roman" w:hAnsi="Times New Roman" w:cs="Times New Roman"/>
          <w:sz w:val="24"/>
          <w:szCs w:val="24"/>
          <w:lang w:val="en-GB"/>
        </w:rPr>
        <w:t>dëmtim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material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konkurrencës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BC2F3B9" w14:textId="77777777" w:rsidR="00C02E44" w:rsidRDefault="00C02E44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5D2F8E2" w14:textId="5ECB96B4" w:rsidR="00BD23B1" w:rsidRPr="00CE4BE0" w:rsidRDefault="00C71625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6. </w:t>
      </w:r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Kur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zbatimi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parimi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procedure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caktuar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parimesh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pranuara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kontabilitetit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rezulton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0D17">
        <w:rPr>
          <w:rFonts w:ascii="Times New Roman" w:hAnsi="Times New Roman" w:cs="Times New Roman"/>
          <w:sz w:val="24"/>
          <w:szCs w:val="24"/>
          <w:lang w:val="en-GB"/>
        </w:rPr>
        <w:t>dëmtim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material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konkurrencës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trajtimi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zëri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transaksioni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atij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parimi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procedure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rregullohet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t’u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përshtatur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trajtimin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kërkuar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zë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transaksion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Standardeve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Ndërkombëtare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Raportimit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>Financiar</w:t>
      </w:r>
      <w:proofErr w:type="spellEnd"/>
      <w:r w:rsidR="00C57CCE" w:rsidRPr="00C57C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57CCE" w:rsidRPr="00AB4D02">
        <w:rPr>
          <w:rFonts w:ascii="Times New Roman" w:hAnsi="Times New Roman" w:cs="Times New Roman"/>
          <w:sz w:val="24"/>
          <w:szCs w:val="24"/>
          <w:lang w:val="en-GB"/>
        </w:rPr>
        <w:t>(SNRF).</w:t>
      </w:r>
    </w:p>
    <w:p w14:paraId="6A3D81B9" w14:textId="1B951041" w:rsidR="003E58AA" w:rsidRPr="00CE4BE0" w:rsidRDefault="00C57CCE" w:rsidP="003E58AA">
      <w:pPr>
        <w:pStyle w:val="Heading3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GB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GB"/>
        </w:rPr>
        <w:t>Neni</w:t>
      </w:r>
      <w:r w:rsidR="00BD23B1" w:rsidRPr="00CE4BE0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GB"/>
        </w:rPr>
        <w:t xml:space="preserve"> 1</w:t>
      </w:r>
      <w:r w:rsidR="00476187" w:rsidRPr="00CE4BE0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GB"/>
        </w:rPr>
        <w:t>5</w:t>
      </w:r>
    </w:p>
    <w:p w14:paraId="2DCC37D7" w14:textId="04F6A461" w:rsidR="00BD23B1" w:rsidRPr="00CE4BE0" w:rsidRDefault="00C57CCE" w:rsidP="003E58AA">
      <w:pPr>
        <w:pStyle w:val="Heading3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proofErr w:type="spellStart"/>
      <w:r w:rsidRPr="00C57CCE">
        <w:rPr>
          <w:rFonts w:ascii="Times New Roman" w:hAnsi="Times New Roman" w:cs="Times New Roman"/>
          <w:color w:val="auto"/>
          <w:sz w:val="24"/>
          <w:szCs w:val="24"/>
          <w:lang w:val="en-GB"/>
        </w:rPr>
        <w:t>Rregullime</w:t>
      </w:r>
      <w:proofErr w:type="spellEnd"/>
      <w:r w:rsidRPr="00C57CCE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hAnsi="Times New Roman" w:cs="Times New Roman"/>
          <w:color w:val="auto"/>
          <w:sz w:val="24"/>
          <w:szCs w:val="24"/>
          <w:lang w:val="en-GB"/>
        </w:rPr>
        <w:t>specifike</w:t>
      </w:r>
      <w:proofErr w:type="spellEnd"/>
      <w:r w:rsidRPr="00C57CCE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hAnsi="Times New Roman" w:cs="Times New Roman"/>
          <w:color w:val="auto"/>
          <w:sz w:val="24"/>
          <w:szCs w:val="24"/>
          <w:lang w:val="en-GB"/>
        </w:rPr>
        <w:t>të</w:t>
      </w:r>
      <w:proofErr w:type="spellEnd"/>
      <w:r w:rsidRPr="00C57CCE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hAnsi="Times New Roman" w:cs="Times New Roman"/>
          <w:color w:val="auto"/>
          <w:sz w:val="24"/>
          <w:szCs w:val="24"/>
          <w:lang w:val="en-GB"/>
        </w:rPr>
        <w:t>të</w:t>
      </w:r>
      <w:proofErr w:type="spellEnd"/>
      <w:r w:rsidRPr="00C57CCE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hAnsi="Times New Roman" w:cs="Times New Roman"/>
          <w:color w:val="auto"/>
          <w:sz w:val="24"/>
          <w:szCs w:val="24"/>
          <w:lang w:val="en-GB"/>
        </w:rPr>
        <w:t>ardhurave</w:t>
      </w:r>
      <w:proofErr w:type="spellEnd"/>
      <w:r w:rsidRPr="00C57CCE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hAnsi="Times New Roman" w:cs="Times New Roman"/>
          <w:color w:val="auto"/>
          <w:sz w:val="24"/>
          <w:szCs w:val="24"/>
          <w:lang w:val="en-GB"/>
        </w:rPr>
        <w:t>ose</w:t>
      </w:r>
      <w:proofErr w:type="spellEnd"/>
      <w:r w:rsidRPr="00C57CCE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hAnsi="Times New Roman" w:cs="Times New Roman"/>
          <w:color w:val="auto"/>
          <w:sz w:val="24"/>
          <w:szCs w:val="24"/>
          <w:lang w:val="en-GB"/>
        </w:rPr>
        <w:t>humbjes</w:t>
      </w:r>
      <w:proofErr w:type="spellEnd"/>
      <w:r w:rsidRPr="00C57CCE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hAnsi="Times New Roman" w:cs="Times New Roman"/>
          <w:color w:val="auto"/>
          <w:sz w:val="24"/>
          <w:szCs w:val="24"/>
          <w:lang w:val="en-GB"/>
        </w:rPr>
        <w:t>neto</w:t>
      </w:r>
      <w:proofErr w:type="spellEnd"/>
      <w:r w:rsidRPr="00C57CCE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hAnsi="Times New Roman" w:cs="Times New Roman"/>
          <w:color w:val="auto"/>
          <w:sz w:val="24"/>
          <w:szCs w:val="24"/>
          <w:lang w:val="en-GB"/>
        </w:rPr>
        <w:t>kontabël</w:t>
      </w:r>
      <w:proofErr w:type="spellEnd"/>
    </w:p>
    <w:p w14:paraId="10F72498" w14:textId="77777777" w:rsidR="003E58AA" w:rsidRPr="00CE4BE0" w:rsidRDefault="003E58AA" w:rsidP="003E58AA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0EEA6FED" w14:textId="3074DDB3" w:rsidR="0063026A" w:rsidRDefault="00BD23B1" w:rsidP="0063026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1. </w:t>
      </w:r>
      <w:proofErr w:type="spellStart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>humbja</w:t>
      </w:r>
      <w:proofErr w:type="spellEnd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>kontabilitetit</w:t>
      </w:r>
      <w:proofErr w:type="spellEnd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>financiar</w:t>
      </w:r>
      <w:proofErr w:type="spellEnd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>rregullohen</w:t>
      </w:r>
      <w:proofErr w:type="spellEnd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>zërave</w:t>
      </w:r>
      <w:proofErr w:type="spellEnd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>mëposhtëm</w:t>
      </w:r>
      <w:proofErr w:type="spellEnd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>përcaktuar</w:t>
      </w:r>
      <w:proofErr w:type="spellEnd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>fitimin</w:t>
      </w:r>
      <w:proofErr w:type="spellEnd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>humbjen</w:t>
      </w:r>
      <w:proofErr w:type="spellEnd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BC47E6" w:rsidRPr="00BC47E6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5E528F1" w14:textId="77777777" w:rsidR="00FD620D" w:rsidRPr="0063026A" w:rsidRDefault="00FD620D" w:rsidP="0063026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556B15C" w14:textId="77777777" w:rsidR="00C57CCE" w:rsidRPr="00C57CCE" w:rsidRDefault="00C57CCE" w:rsidP="00C57C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shpenzimet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taksa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14:paraId="39DEDF1A" w14:textId="27E75862" w:rsidR="00C57CCE" w:rsidRPr="00C57CCE" w:rsidRDefault="00C57CCE" w:rsidP="00C57C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dividen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d</w:t>
      </w:r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ët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përjashtuar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14:paraId="3621C9A1" w14:textId="77777777" w:rsidR="00C57CCE" w:rsidRPr="00C57CCE" w:rsidRDefault="00C57CCE" w:rsidP="00C57C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c)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fitimet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humbjet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përjashtuara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kapitali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14:paraId="4940EF84" w14:textId="77777777" w:rsidR="00C57CCE" w:rsidRPr="00C57CCE" w:rsidRDefault="00C57CCE" w:rsidP="00C57C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d)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fitimet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humbjet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metoda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rivlerësimit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përfshira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14:paraId="5B318679" w14:textId="75670CA3" w:rsidR="00C57CCE" w:rsidRPr="00C57CCE" w:rsidRDefault="00C57CCE" w:rsidP="00C57C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e)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fitimet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humbjet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shitja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aktiveve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detyrimeve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përjashtuara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38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L</w:t>
      </w:r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14:paraId="1600C2E6" w14:textId="77777777" w:rsidR="00C57CCE" w:rsidRPr="00C57CCE" w:rsidRDefault="00C57CCE" w:rsidP="00C57C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f)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fitimet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humbjet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asimetrike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kursi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këmbimit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valutor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14:paraId="3641BD75" w14:textId="77777777" w:rsidR="00C57CCE" w:rsidRPr="00C57CCE" w:rsidRDefault="00C57CCE" w:rsidP="00C57C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g)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shpenzimet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ndaluara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politikave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kontabël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14:paraId="130E0B6C" w14:textId="77777777" w:rsidR="00C57CCE" w:rsidRPr="00C57CCE" w:rsidRDefault="00C57CCE" w:rsidP="00C57C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h)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gabimet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periudhave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mëparshme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ndryshimet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parimet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kontabël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14:paraId="6B4DDF8A" w14:textId="1CD8E084" w:rsidR="00BE5E84" w:rsidRDefault="00C57CCE" w:rsidP="00C57C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shpenzimi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përllogaritur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pensione.</w:t>
      </w:r>
    </w:p>
    <w:p w14:paraId="3BE43CD4" w14:textId="77777777" w:rsidR="00C57CCE" w:rsidRDefault="00C57CCE" w:rsidP="00C57C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6B4161B" w14:textId="10424A8B" w:rsidR="00EE2B46" w:rsidRPr="00EE2B46" w:rsidRDefault="00AE07EE" w:rsidP="00EE2B4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2.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qëllimet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neni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termat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mëposhtëm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nënkuptojnë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14:paraId="3D2AAAFC" w14:textId="77777777" w:rsidR="00B87C23" w:rsidRDefault="00B87C23" w:rsidP="00EE2B4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85EF3E5" w14:textId="1F208A37" w:rsidR="0015316A" w:rsidRPr="0015316A" w:rsidRDefault="0015316A" w:rsidP="00A5200B">
      <w:pPr>
        <w:shd w:val="clear" w:color="auto" w:fill="FFFFFF"/>
        <w:tabs>
          <w:tab w:val="left" w:pos="180"/>
          <w:tab w:val="left" w:pos="27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5316A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 xml:space="preserve">a) </w:t>
      </w:r>
      <w:r w:rsid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“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Shpenzime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neto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taksa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”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nënkupton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shumën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neto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elementeve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14:paraId="1DBF971F" w14:textId="78708628" w:rsidR="0015316A" w:rsidRPr="0015316A" w:rsidRDefault="0015316A" w:rsidP="001531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5316A">
        <w:rPr>
          <w:rFonts w:ascii="Times New Roman" w:eastAsia="Times New Roman" w:hAnsi="Times New Roman" w:cs="Times New Roman"/>
          <w:sz w:val="24"/>
          <w:szCs w:val="24"/>
          <w:lang w:val="en-GB"/>
        </w:rPr>
        <w:t>(</w:t>
      </w:r>
      <w:proofErr w:type="spellStart"/>
      <w:r w:rsidRPr="0015316A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1531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çdo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tatim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47E6">
        <w:rPr>
          <w:rFonts w:ascii="Times New Roman" w:eastAsia="Times New Roman" w:hAnsi="Times New Roman" w:cs="Times New Roman"/>
          <w:sz w:val="24"/>
          <w:szCs w:val="24"/>
          <w:lang w:val="en-GB"/>
        </w:rPr>
        <w:t>mbuluar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përllogaritur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si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shpenzim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çdo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tatim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aktual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shtyrë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47E6">
        <w:rPr>
          <w:rFonts w:ascii="Times New Roman" w:eastAsia="Times New Roman" w:hAnsi="Times New Roman" w:cs="Times New Roman"/>
          <w:sz w:val="24"/>
          <w:szCs w:val="24"/>
          <w:lang w:val="en-GB"/>
        </w:rPr>
        <w:t>mbuluar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shpenzimin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mbi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përfshirë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tatimet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përfshira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mbi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përjashtohen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llogaritja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humbjes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së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14:paraId="5A154E8F" w14:textId="670DA85E" w:rsidR="0015316A" w:rsidRPr="0015316A" w:rsidRDefault="0015316A" w:rsidP="001531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531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(ii)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çdo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aktiv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tatimor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shtyrë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atribuohet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humbjeje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vitin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14:paraId="7E73BD08" w14:textId="7461DC98" w:rsidR="0015316A" w:rsidRPr="0015316A" w:rsidRDefault="0015316A" w:rsidP="001531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531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(iii)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çdo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tatim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47E6">
        <w:rPr>
          <w:rFonts w:ascii="Times New Roman" w:eastAsia="Times New Roman" w:hAnsi="Times New Roman" w:cs="Times New Roman"/>
          <w:sz w:val="24"/>
          <w:szCs w:val="24"/>
          <w:lang w:val="en-GB"/>
        </w:rPr>
        <w:t>vendas</w:t>
      </w:r>
      <w:proofErr w:type="spellEnd"/>
      <w:r w:rsidR="00BC47E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kontabilizuar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si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shpenzim</w:t>
      </w:r>
      <w:proofErr w:type="spellEnd"/>
      <w:r w:rsidR="00C57CCE" w:rsidRPr="00C57CCE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14:paraId="3927CA20" w14:textId="611B568A" w:rsidR="0015316A" w:rsidRPr="0015316A" w:rsidRDefault="0015316A" w:rsidP="001531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531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(iv)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çdo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tatim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lind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bazë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rregullave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47E6">
        <w:rPr>
          <w:rFonts w:ascii="Times New Roman" w:eastAsia="Times New Roman" w:hAnsi="Times New Roman" w:cs="Times New Roman"/>
          <w:sz w:val="24"/>
          <w:szCs w:val="24"/>
          <w:lang w:val="en-GB"/>
        </w:rPr>
        <w:t>L</w:t>
      </w:r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igji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juridiksionet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vendeve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treta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Rregullave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Model</w:t>
      </w:r>
      <w:r w:rsid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it</w:t>
      </w:r>
      <w:proofErr w:type="spellEnd"/>
      <w:r w:rsid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OECD-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së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kontabilizuar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si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shpenzim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20F3638F" w14:textId="4FED923F" w:rsidR="00EE2B46" w:rsidRDefault="0015316A" w:rsidP="00EE2B4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531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(v)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çdo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B4D02">
        <w:rPr>
          <w:rFonts w:ascii="Times New Roman" w:eastAsia="Times New Roman" w:hAnsi="Times New Roman" w:cs="Times New Roman"/>
          <w:sz w:val="24"/>
          <w:szCs w:val="24"/>
          <w:lang w:val="en-GB"/>
        </w:rPr>
        <w:t>tatim</w:t>
      </w:r>
      <w:proofErr w:type="spellEnd"/>
      <w:r w:rsidR="005A78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A788C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5A78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A788C">
        <w:rPr>
          <w:rFonts w:ascii="Times New Roman" w:eastAsia="Times New Roman" w:hAnsi="Times New Roman" w:cs="Times New Roman"/>
          <w:sz w:val="24"/>
          <w:szCs w:val="24"/>
          <w:lang w:val="en-GB"/>
        </w:rPr>
        <w:t>imputuar</w:t>
      </w:r>
      <w:proofErr w:type="spellEnd"/>
      <w:r w:rsidR="00A5200B" w:rsidRPr="00AB4D0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47E6" w:rsidRPr="00AB4D02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A5200B" w:rsidRPr="00AB4D0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B4D02">
        <w:rPr>
          <w:rFonts w:ascii="Times New Roman" w:eastAsia="Times New Roman" w:hAnsi="Times New Roman" w:cs="Times New Roman"/>
          <w:sz w:val="24"/>
          <w:szCs w:val="24"/>
          <w:lang w:val="en-GB"/>
        </w:rPr>
        <w:t>rimbursueshëm</w:t>
      </w:r>
      <w:proofErr w:type="spellEnd"/>
      <w:r w:rsidR="00A5200B" w:rsidRPr="00AB4D0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A788C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5A78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A788C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kontabilizuar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si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shpenzim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050DBCE4" w14:textId="77777777" w:rsidR="003B0BEA" w:rsidRPr="00EE2B46" w:rsidRDefault="003B0BEA" w:rsidP="00EE2B4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B7A02EC" w14:textId="77B4BD9E" w:rsidR="00A5200B" w:rsidRPr="00A5200B" w:rsidRDefault="0015316A" w:rsidP="00A5200B">
      <w:pPr>
        <w:shd w:val="clear" w:color="auto" w:fill="FFFFFF"/>
        <w:tabs>
          <w:tab w:val="left" w:pos="1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5316A">
        <w:rPr>
          <w:rFonts w:ascii="Times New Roman" w:eastAsia="Times New Roman" w:hAnsi="Times New Roman" w:cs="Times New Roman"/>
          <w:sz w:val="24"/>
          <w:szCs w:val="24"/>
          <w:lang w:val="en-GB"/>
        </w:rPr>
        <w:t>b)</w:t>
      </w:r>
      <w:r w:rsid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“Dividend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përjashtuar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”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nënkupton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dividend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shpërndarje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tjetër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marrë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përllogaritur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lidhje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pjesëmarrje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pronësi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përveç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dividendit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shpërndarjes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tjetër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marrë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përllogaritur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lidhje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me:</w:t>
      </w:r>
    </w:p>
    <w:p w14:paraId="12CF23EE" w14:textId="77777777" w:rsidR="00A5200B" w:rsidRPr="00A5200B" w:rsidRDefault="00A5200B" w:rsidP="00A520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A8808B8" w14:textId="2FA20F3E" w:rsidR="0015316A" w:rsidRPr="0015316A" w:rsidRDefault="00A5200B" w:rsidP="00A520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(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pjesëmarrje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pronësi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mbajtur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e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cila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jep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drejta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më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pak se 10%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fitimeve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kapitalit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rezervave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apo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drejtave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votës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atij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datën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shpërndarjes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tjetërsimit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“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pjesëmarrje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portofoli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”);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pronësi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ekonomike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merr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përllogarit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dividendin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shpërndarjen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tjetër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më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pak se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datën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shpërndarjes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</w:p>
    <w:p w14:paraId="1E5BEB63" w14:textId="3E433BC5" w:rsidR="0015316A" w:rsidRDefault="0015316A" w:rsidP="00EE2B4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531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(ii)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pjesëmarrje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pronësi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investimi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zgjedhjeje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nenin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46</w:t>
      </w:r>
      <w:r w:rsid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L</w:t>
      </w:r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igji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3D2D8A85" w14:textId="77777777" w:rsidR="003B0BEA" w:rsidRDefault="003B0BEA" w:rsidP="00EE2B4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4FC889D" w14:textId="5289892B" w:rsidR="0015316A" w:rsidRPr="0015316A" w:rsidRDefault="0015316A" w:rsidP="001531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531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c) </w:t>
      </w:r>
      <w:r w:rsidR="00330920">
        <w:rPr>
          <w:rFonts w:ascii="Times New Roman" w:eastAsia="Times New Roman" w:hAnsi="Times New Roman" w:cs="Times New Roman"/>
          <w:sz w:val="24"/>
          <w:szCs w:val="24"/>
          <w:lang w:val="en-GB"/>
        </w:rPr>
        <w:t>“</w:t>
      </w:r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Fitim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humbje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përjashtuar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kapitali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” </w:t>
      </w:r>
      <w:r w:rsidR="00BC47E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 w:rsidR="00BC47E6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BC47E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47E6">
        <w:rPr>
          <w:rFonts w:ascii="Times New Roman" w:eastAsia="Times New Roman" w:hAnsi="Times New Roman" w:cs="Times New Roman"/>
          <w:sz w:val="24"/>
          <w:szCs w:val="24"/>
          <w:lang w:val="en-GB"/>
        </w:rPr>
        <w:t>thot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fitim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BC47E6">
        <w:rPr>
          <w:rFonts w:ascii="Times New Roman" w:eastAsia="Times New Roman" w:hAnsi="Times New Roman" w:cs="Times New Roman"/>
          <w:sz w:val="24"/>
          <w:szCs w:val="24"/>
          <w:lang w:val="en-GB"/>
        </w:rPr>
        <w:t>e</w:t>
      </w:r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ardhur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humbje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BC47E6">
        <w:rPr>
          <w:rFonts w:ascii="Times New Roman" w:eastAsia="Times New Roman" w:hAnsi="Times New Roman" w:cs="Times New Roman"/>
          <w:sz w:val="24"/>
          <w:szCs w:val="24"/>
          <w:lang w:val="en-GB"/>
        </w:rPr>
        <w:t>e</w:t>
      </w:r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përfshirë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humbjen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neto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rrjedh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14:paraId="494D8B2F" w14:textId="77777777" w:rsidR="009E62B7" w:rsidRDefault="009E62B7" w:rsidP="00A520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E577F64" w14:textId="5E3906F8" w:rsidR="00A5200B" w:rsidRPr="00A5200B" w:rsidRDefault="00A5200B" w:rsidP="00A520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(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fitimet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humbjet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rezultojnë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ndryshimet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vlerën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drejtë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pjesëmarrjeje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pronësi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përveç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pjesëmarrjeve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portofoli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14:paraId="60C60B2C" w14:textId="5A225667" w:rsidR="00A5200B" w:rsidRPr="00A5200B" w:rsidRDefault="00A5200B" w:rsidP="00A520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(ii)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fitimet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humbjet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lidhje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pjesëmarrje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pronësi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kontabilizohet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metodës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kapitalit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31C19062" w14:textId="3E7CF3D6" w:rsidR="003B0BEA" w:rsidRDefault="00A5200B" w:rsidP="00A520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(iii)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fitimet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humbjet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tjetërsimi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pjesëmarrjeje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pronësi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përveç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tjetërsimit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pjesëmarrjeje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portofoli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0162A7DE" w14:textId="77777777" w:rsidR="00A5200B" w:rsidRDefault="00A5200B" w:rsidP="001531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06AFDB5" w14:textId="2B3A7ABF" w:rsidR="0015316A" w:rsidRPr="0015316A" w:rsidRDefault="0015316A" w:rsidP="001531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531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d) </w:t>
      </w:r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“Fitim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humbje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metoda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rivlerësimit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përfshirë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” </w:t>
      </w:r>
      <w:r w:rsidR="00BC47E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 w:rsidR="00BC47E6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BC47E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47E6">
        <w:rPr>
          <w:rFonts w:ascii="Times New Roman" w:eastAsia="Times New Roman" w:hAnsi="Times New Roman" w:cs="Times New Roman"/>
          <w:sz w:val="24"/>
          <w:szCs w:val="24"/>
          <w:lang w:val="en-GB"/>
        </w:rPr>
        <w:t>thot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fitim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humbje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neto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rritur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ulur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çdo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tatim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47E6">
        <w:rPr>
          <w:rFonts w:ascii="Times New Roman" w:eastAsia="Times New Roman" w:hAnsi="Times New Roman" w:cs="Times New Roman"/>
          <w:sz w:val="24"/>
          <w:szCs w:val="24"/>
          <w:lang w:val="en-GB"/>
        </w:rPr>
        <w:t>mbuluar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lidhur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vitin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rezulton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zbatimi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metode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praktike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cila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lidhje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gjitha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pasuritë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impiantet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pajisjet</w:t>
      </w:r>
      <w:proofErr w:type="spellEnd"/>
      <w:r w:rsidR="00BC47E6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14:paraId="2B85661E" w14:textId="38A94D2C" w:rsidR="00A5200B" w:rsidRPr="00A5200B" w:rsidRDefault="009E62B7" w:rsidP="00A520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(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përshtat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periodikisht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vlerën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këtyre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aktiveve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vlerën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tyre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00B"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drejtë</w:t>
      </w:r>
      <w:proofErr w:type="spellEnd"/>
      <w:r w:rsid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14:paraId="40A90AD9" w14:textId="001EAC0B" w:rsidR="00A5200B" w:rsidRPr="00A5200B" w:rsidRDefault="00A5200B" w:rsidP="00A520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(ii)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regjistron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ndryshimet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vlerë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tjera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gjithëpërfshirëse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4FEF1BA0" w14:textId="3D4BFCAF" w:rsidR="003B0BEA" w:rsidRDefault="00A5200B" w:rsidP="00A520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(iii)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nuk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raporton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më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pas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fitimin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humbjen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përllogaritur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tjera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gjithëpërfshirëse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përmes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fitimit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humbjes</w:t>
      </w:r>
      <w:proofErr w:type="spellEnd"/>
      <w:r w:rsidRPr="00A5200B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4324C2AD" w14:textId="77777777" w:rsidR="009E62B7" w:rsidRDefault="009E62B7" w:rsidP="00A520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7B60A59" w14:textId="19FFFB61" w:rsidR="0015316A" w:rsidRPr="0015316A" w:rsidRDefault="0015316A" w:rsidP="001531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5316A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 xml:space="preserve">e) </w:t>
      </w:r>
      <w:r w:rsidR="00330920">
        <w:rPr>
          <w:rFonts w:ascii="Times New Roman" w:eastAsia="Times New Roman" w:hAnsi="Times New Roman" w:cs="Times New Roman"/>
          <w:sz w:val="24"/>
          <w:szCs w:val="24"/>
          <w:lang w:val="en-GB"/>
        </w:rPr>
        <w:t>“</w:t>
      </w:r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Fitim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humbje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asimetrike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kursi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këmbimit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valutor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”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nënkupton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fitim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humbje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kursi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këmbimit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valutor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valuta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funksionale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cilit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valuta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funksionale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janë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ndryshme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14:paraId="07D6EA6A" w14:textId="6B435ED2" w:rsidR="00CC3DD5" w:rsidRPr="00CC3DD5" w:rsidRDefault="00CC3DD5" w:rsidP="00CC3D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(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përfshihet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humbjes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së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tatueshme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atribuohet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luhatjeve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kursit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këmbimit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ndërmjet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valutës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funksionale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kontabël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valutës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funksionale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14:paraId="192A27A1" w14:textId="129981A6" w:rsidR="00CC3DD5" w:rsidRPr="00CC3DD5" w:rsidRDefault="00CC3DD5" w:rsidP="00CC3D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(ii)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përfshihet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humbjes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kontabël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atribuohet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luhatjeve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kursit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këmbimit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ndërmjet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valutës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funksionale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kontabël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valutës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funksionale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14:paraId="2C87A2E7" w14:textId="013F0F87" w:rsidR="00CC3DD5" w:rsidRDefault="00CC3DD5" w:rsidP="00CC3D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(iii)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përfshihet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humbjes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kontabël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atribuohet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luhatjeve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kursit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këmbimit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ndërmjet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valute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tretë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huaj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valutës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funksionale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kontabël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08A218E3" w14:textId="421B78A2" w:rsidR="00EE2B46" w:rsidRPr="00EE2B46" w:rsidRDefault="0015316A" w:rsidP="00EE2B4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531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(iv)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atribuohet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luhatjeve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kursit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këmbimit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ndërmjet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valute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tretë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huaj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valutës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funksionale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pavarësisht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nëse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fitim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humbje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tillë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valuta e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tretë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përfshihet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apo jo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tatueshme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r w:rsid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r</w:t>
      </w:r>
      <w:proofErr w:type="spellEnd"/>
      <w:r w:rsidRPr="001531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qëllimet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kësaj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shkronje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valuta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funksionale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valuta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funksionale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përdorur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përcaktimin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humbjes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së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tatueshme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tatim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4D2B">
        <w:rPr>
          <w:rFonts w:ascii="Times New Roman" w:eastAsia="Times New Roman" w:hAnsi="Times New Roman" w:cs="Times New Roman"/>
          <w:sz w:val="24"/>
          <w:szCs w:val="24"/>
          <w:lang w:val="en-GB"/>
        </w:rPr>
        <w:t>mbuluar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</w:t>
      </w:r>
      <w:r w:rsidR="00B94D2B">
        <w:rPr>
          <w:rFonts w:ascii="Times New Roman" w:eastAsia="Times New Roman" w:hAnsi="Times New Roman" w:cs="Times New Roman"/>
          <w:sz w:val="24"/>
          <w:szCs w:val="24"/>
          <w:lang w:val="en-GB"/>
        </w:rPr>
        <w:t>ga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juridiksioni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cilin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vendosur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; valuta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funksionale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nënkupton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valutën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funksionale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përdorur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përcaktimin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humbjes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neto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valutë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tretë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huaj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valutë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nuk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valuta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funksionale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valuta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funksionale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5202738B" w14:textId="77777777" w:rsidR="00222616" w:rsidRDefault="00222616" w:rsidP="00EE2B4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2425856" w14:textId="77777777" w:rsidR="00CC3DD5" w:rsidRPr="00CC3DD5" w:rsidRDefault="00CC3DD5" w:rsidP="00CC3D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f) “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Shpenzime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ndaluara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politikave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”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nënkuptojnë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14:paraId="46437F82" w14:textId="77777777" w:rsidR="00CC3DD5" w:rsidRPr="00CC3DD5" w:rsidRDefault="00CC3DD5" w:rsidP="00CC3D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67F74C6" w14:textId="59F66965" w:rsidR="00CC3DD5" w:rsidRPr="00CC3DD5" w:rsidRDefault="00CC3DD5" w:rsidP="00CC3D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(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shpenzime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përllogaritura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pagesa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paligjshme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përfshirë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ryshfete</w:t>
      </w:r>
      <w:proofErr w:type="spellEnd"/>
      <w:r w:rsidRPr="00C917A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917A1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Pr="00C917A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C917A1" w:rsidRPr="00C917A1">
        <w:rPr>
          <w:rFonts w:ascii="Times New Roman" w:eastAsia="Times New Roman" w:hAnsi="Times New Roman" w:cs="Times New Roman"/>
          <w:sz w:val="24"/>
          <w:szCs w:val="24"/>
          <w:lang w:val="en-GB"/>
        </w:rPr>
        <w:t>shpërblime</w:t>
      </w:r>
      <w:proofErr w:type="spellEnd"/>
      <w:r w:rsidR="00C917A1" w:rsidRPr="00C917A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C917A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917A1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proofErr w:type="gramEnd"/>
      <w:r w:rsidRPr="00C917A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917A1">
        <w:rPr>
          <w:rFonts w:ascii="Times New Roman" w:eastAsia="Times New Roman" w:hAnsi="Times New Roman" w:cs="Times New Roman"/>
          <w:sz w:val="24"/>
          <w:szCs w:val="24"/>
          <w:lang w:val="en-GB"/>
        </w:rPr>
        <w:t>fshehta</w:t>
      </w:r>
      <w:proofErr w:type="spellEnd"/>
      <w:r w:rsidR="00C917A1" w:rsidRPr="00C917A1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  <w:r w:rsidR="00C917A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917A1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11D7A402" w14:textId="2495A455" w:rsidR="00222616" w:rsidRDefault="00CC3DD5" w:rsidP="00CC3D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(ii)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shpenzime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përllogaritura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gjoba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penalitete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janë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barabarta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tejkalojnë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50.000 euro</w:t>
      </w:r>
      <w:proofErr w:type="gram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ekuivalente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valutën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funksionale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cilën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llogariten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humbja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kontabël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4B336C98" w14:textId="77777777" w:rsidR="00CC3DD5" w:rsidRDefault="00CC3DD5" w:rsidP="00CC3D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22BA7C3" w14:textId="2335A575" w:rsidR="00CC3DD5" w:rsidRPr="00CC3DD5" w:rsidRDefault="00CC3DD5" w:rsidP="00CC3D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g) “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Gabime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periudhave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mëparshme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ndryshime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parimet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kontabël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”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nënkupto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n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ndryshim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kapitalin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fillestar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fillim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viti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atribuohet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14:paraId="3FCFD355" w14:textId="77777777" w:rsidR="00CC3DD5" w:rsidRPr="00CC3DD5" w:rsidRDefault="00CC3DD5" w:rsidP="00CC3D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2EB4882" w14:textId="7ED435B2" w:rsidR="00CC3DD5" w:rsidRPr="00CC3DD5" w:rsidRDefault="00CC3DD5" w:rsidP="00CC3D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(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korrigjimit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gabimi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përcaktimin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humbjes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kontabël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mëparshëm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cili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ndikuar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shpenzimet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përfshira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humbjes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së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atë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mëparshëm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përveç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rastit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kur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korrigjim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tillë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sjellë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ulje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materiale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detyrimi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tatime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4D2B">
        <w:rPr>
          <w:rFonts w:ascii="Times New Roman" w:eastAsia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nënshtrohen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25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75290085" w14:textId="34D75431" w:rsidR="00222616" w:rsidRDefault="00CC3DD5" w:rsidP="00CC3D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(ii)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ndryshim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parimet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politikat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kontabël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ndikuar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shpenzimet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përfshira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humbjes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së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104C837B" w14:textId="77777777" w:rsidR="00CC3DD5" w:rsidRDefault="00CC3DD5" w:rsidP="00EE2B4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2A6CE0E" w14:textId="7B018552" w:rsidR="003B0BEA" w:rsidRPr="00CE4BE0" w:rsidRDefault="0015316A" w:rsidP="00EE2B4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5316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h) </w:t>
      </w:r>
      <w:r w:rsidR="00330920">
        <w:rPr>
          <w:rFonts w:ascii="Times New Roman" w:eastAsia="Times New Roman" w:hAnsi="Times New Roman" w:cs="Times New Roman"/>
          <w:sz w:val="24"/>
          <w:szCs w:val="24"/>
          <w:lang w:val="en-GB"/>
        </w:rPr>
        <w:t>“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Shpenzim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përllogaritur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pensione”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nënkupton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diferencën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ndërmjet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shumës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së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shpenzimit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detyrime</w:t>
      </w:r>
      <w:r w:rsid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proofErr w:type="spellEnd"/>
      <w:r w:rsid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pension</w:t>
      </w:r>
      <w:r w:rsid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it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përfshirë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humbjen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neto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shumës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së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kontribuar</w:t>
      </w:r>
      <w:proofErr w:type="spellEnd"/>
      <w:r w:rsidR="00506992" w:rsidRPr="00506992">
        <w:t xml:space="preserve"> </w:t>
      </w:r>
      <w:proofErr w:type="spellStart"/>
      <w:r w:rsidR="00506992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="005069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6992">
        <w:rPr>
          <w:rFonts w:ascii="Times New Roman" w:eastAsia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5069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06992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fond pension</w:t>
      </w:r>
      <w:r w:rsid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vitin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CC3DD5" w:rsidRPr="00CC3DD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4F3EA07C" w14:textId="74853DDC" w:rsidR="00920386" w:rsidRPr="00CE4BE0" w:rsidRDefault="00920386" w:rsidP="00EE2B4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2F67D39" w14:textId="7D00E855" w:rsidR="0015316A" w:rsidRDefault="00282423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BD23B1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Me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zgjedhjen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A6037D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A6037D" w:rsidRPr="00A6037D">
        <w:rPr>
          <w:rFonts w:ascii="Times New Roman" w:hAnsi="Times New Roman" w:cs="Times New Roman"/>
          <w:sz w:val="24"/>
          <w:szCs w:val="24"/>
          <w:lang w:val="en-GB"/>
        </w:rPr>
        <w:t>eklarues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mund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zëvendësojë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lejuar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zbritje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tatueshme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ndodhet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shpenzuar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pasqyrat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kosto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shpenzim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tillë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cili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paguar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CC3DD5" w:rsidRPr="00C04520">
        <w:rPr>
          <w:rFonts w:ascii="Times New Roman" w:hAnsi="Times New Roman" w:cs="Times New Roman"/>
          <w:sz w:val="24"/>
          <w:szCs w:val="24"/>
          <w:lang w:val="en-GB"/>
        </w:rPr>
        <w:t>kompensim</w:t>
      </w:r>
      <w:proofErr w:type="spellEnd"/>
      <w:r w:rsidR="00CC3DD5" w:rsidRPr="00C0452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04520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 w:rsidRPr="00C0452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CC3DD5" w:rsidRPr="00C0452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04520">
        <w:rPr>
          <w:rFonts w:ascii="Times New Roman" w:hAnsi="Times New Roman" w:cs="Times New Roman"/>
          <w:sz w:val="24"/>
          <w:szCs w:val="24"/>
          <w:lang w:val="en-GB"/>
        </w:rPr>
        <w:t>bazuar</w:t>
      </w:r>
      <w:proofErr w:type="spellEnd"/>
      <w:r w:rsidR="00CC3DD5" w:rsidRPr="00C0452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0452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C3DD5" w:rsidRPr="00C0452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04520">
        <w:rPr>
          <w:rFonts w:ascii="Times New Roman" w:hAnsi="Times New Roman" w:cs="Times New Roman"/>
          <w:sz w:val="24"/>
          <w:szCs w:val="24"/>
          <w:lang w:val="en-GB"/>
        </w:rPr>
        <w:t>aksione</w:t>
      </w:r>
      <w:proofErr w:type="spellEnd"/>
      <w:r w:rsidR="00CC3DD5" w:rsidRPr="00C0452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zbatim</w:t>
      </w:r>
      <w:proofErr w:type="spellEnd"/>
      <w:r w:rsid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paragrafi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zbatohen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rregullat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="00CC3DD5" w:rsidRPr="00CC3DD5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5F37298A" w14:textId="77777777" w:rsidR="0015316A" w:rsidRDefault="0015316A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63BC5C8" w14:textId="164A9210" w:rsidR="0015316A" w:rsidRPr="0015316A" w:rsidRDefault="0015316A" w:rsidP="0015316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5316A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opsioni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përdorimin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opsioneve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aksionet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ushtruar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kostos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shpenzimit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kompensimit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bazuar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aksione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zbritur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humbja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vitet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fiskale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mëparshme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përfshihet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opsion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skaduar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2A91241" w14:textId="50F5287F" w:rsidR="009E62B7" w:rsidRDefault="0015316A" w:rsidP="0015316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5316A">
        <w:rPr>
          <w:rFonts w:ascii="Times New Roman" w:hAnsi="Times New Roman" w:cs="Times New Roman"/>
          <w:sz w:val="24"/>
          <w:szCs w:val="24"/>
          <w:lang w:val="en-GB"/>
        </w:rPr>
        <w:t>b)</w:t>
      </w:r>
      <w:r w:rsidR="00362CA5" w:rsidRPr="00362CA5"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pjesë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shumës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kostos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shpenzimit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kompensimit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bazuar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aksione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regjistruar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llogaritë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vitet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fiskale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para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bëhet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zgjedhja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diferencën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ndërmjet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shumës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totale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kostos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shpenzimit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kompensimit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bazuar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aksione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zbritur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ato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vite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mëparshme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fiskale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shumës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totale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kostos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shpenzimit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kompensimit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bazuar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aksione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ishte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zbritur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ato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vite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mëparshme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fiskale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zgjedhja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ishte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bërë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ato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vite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fiskale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përfshihet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15316A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6CE4DE4" w14:textId="681F7E5B" w:rsidR="009E62B7" w:rsidRDefault="0015316A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5316A">
        <w:rPr>
          <w:rFonts w:ascii="Times New Roman" w:hAnsi="Times New Roman" w:cs="Times New Roman"/>
          <w:sz w:val="24"/>
          <w:szCs w:val="24"/>
          <w:lang w:val="en-GB"/>
        </w:rPr>
        <w:t xml:space="preserve">c)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zgjedhja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bëhet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1</w:t>
      </w:r>
      <w:r w:rsidR="00362C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55</w:t>
      </w:r>
      <w:r w:rsidR="00362C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zbatohet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mënyrë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qëndrueshme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njëjtin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bëhet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zgjedhja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vitet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fiskale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pasuese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C5B5598" w14:textId="3B2E35AF" w:rsidR="00D61E35" w:rsidRPr="00CE4BE0" w:rsidRDefault="0015316A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5316A">
        <w:rPr>
          <w:rFonts w:ascii="Times New Roman" w:hAnsi="Times New Roman" w:cs="Times New Roman"/>
          <w:sz w:val="24"/>
          <w:szCs w:val="24"/>
          <w:lang w:val="en-GB"/>
        </w:rPr>
        <w:t xml:space="preserve">d)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zgjedhja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revokohet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kompensimit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papaguar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bazuar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aksione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, e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zbritur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bazë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zgjedhjes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tejkalon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shpenzimin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përllogaritur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përfshihet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54F19B1" w14:textId="77777777" w:rsidR="009E62B7" w:rsidRDefault="009E62B7" w:rsidP="0015316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A98F019" w14:textId="638F236E" w:rsidR="0015316A" w:rsidRDefault="00B947D4" w:rsidP="0015316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E57DD8" w:rsidRPr="00CE4BE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D23B1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Kapitulli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zbatohen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rregullat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transaksionet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brenda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="0015316A" w:rsidRPr="0015316A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1CD9F1D6" w14:textId="77777777" w:rsidR="00A84A16" w:rsidRPr="0015316A" w:rsidRDefault="00A84A16" w:rsidP="0015316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29B1807" w14:textId="1B3F4A51" w:rsidR="009E62B7" w:rsidRDefault="0015316A" w:rsidP="0015316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5316A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transaksion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ndërmjet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juridiksione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ndryshme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cili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regjistruar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njëjtën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llogaritë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dy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parimin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çmimit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tregut</w:t>
      </w:r>
      <w:proofErr w:type="spellEnd"/>
      <w:r w:rsidR="00362C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rregullohet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mënyrë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pasqyrohet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njëjtën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parimin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çmimit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tregut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034F087" w14:textId="6612D66C" w:rsidR="009E62B7" w:rsidRDefault="0015316A" w:rsidP="0015316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5316A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humbje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shitja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transferimi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tjetër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aktivi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ndërmjet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dy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njëjtin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, e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cila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regjistruar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parimin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çmimit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lastRenderedPageBreak/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tregut</w:t>
      </w:r>
      <w:proofErr w:type="spellEnd"/>
      <w:r w:rsidR="00362CA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rregullohet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bazë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parimi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kjo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humbje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përfshihet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F5E3C60" w14:textId="29A1BF77" w:rsidR="00BD23B1" w:rsidRPr="00CE4BE0" w:rsidRDefault="0015316A" w:rsidP="0015316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5316A">
        <w:rPr>
          <w:rFonts w:ascii="Times New Roman" w:hAnsi="Times New Roman" w:cs="Times New Roman"/>
          <w:sz w:val="24"/>
          <w:szCs w:val="24"/>
          <w:lang w:val="en-GB"/>
        </w:rPr>
        <w:t xml:space="preserve">c) </w:t>
      </w:r>
      <w:proofErr w:type="spellStart"/>
      <w:r w:rsidR="00362CA5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ër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paragrafi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, “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parimi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çmimit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tregut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nënkupton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parimin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cilit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transaksionet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ndërmjet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regjistrohen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duke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iu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referuar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kushteve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ishin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zbatuar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ndërmjet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362CA5"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pavarura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transaksione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krahasueshme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rrethana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krahasueshme</w:t>
      </w:r>
      <w:proofErr w:type="spellEnd"/>
      <w:r w:rsidR="00362CA5" w:rsidRPr="00362CA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C748118" w14:textId="77777777" w:rsidR="00D61E35" w:rsidRDefault="00D61E35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D3EFAB4" w14:textId="083456F3" w:rsidR="00BD23B1" w:rsidRPr="00CE4BE0" w:rsidRDefault="00B947D4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BD23B1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Kreditë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rimbursueshme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përmendura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39</w:t>
      </w:r>
      <w:r w:rsidR="006F29A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4</w:t>
      </w:r>
      <w:r w:rsidR="006F29A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trajtohen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ardhura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Kreditë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rimbursueshme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jo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trajtohen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ardhura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0E80B9F" w14:textId="77777777" w:rsidR="00D61E35" w:rsidRDefault="00D61E35" w:rsidP="00D10B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A6E2043" w14:textId="6B104D50" w:rsidR="00A84A16" w:rsidRDefault="00B947D4" w:rsidP="00A84A1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BD23B1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Me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zgjedhjen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depozitues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fitimet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humbjet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aktivet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detyrimet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nënshtrohen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kontabilitetit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vlerë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drejtë</w:t>
      </w:r>
      <w:proofErr w:type="spellEnd"/>
      <w:r w:rsidR="006F29A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kontabilitetit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zhvlerësim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pasqyrat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konsoliduara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mund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përcaktohen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bazë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parimit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realizimit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varësi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rregullave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EB1291E" w14:textId="77777777" w:rsidR="00A84A16" w:rsidRPr="00A84A16" w:rsidRDefault="00A84A16" w:rsidP="00A84A1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DD895A2" w14:textId="51B02964" w:rsidR="00A84A16" w:rsidRPr="00A84A16" w:rsidRDefault="00A84A16" w:rsidP="00A84A1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84A16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fitimet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humbjet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rezultojnë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zbatimi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kontabilitetit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vlerë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drejtë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kontabilitetit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zhvlerësim</w:t>
      </w:r>
      <w:proofErr w:type="spellEnd"/>
      <w:r w:rsid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aktiv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detyrim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përjashtohen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llogaritja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paragrafi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8F16C40" w14:textId="57E08A02" w:rsidR="00A84A16" w:rsidRPr="00A84A16" w:rsidRDefault="00A84A16" w:rsidP="00A84A1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84A16">
        <w:rPr>
          <w:rFonts w:ascii="Times New Roman" w:hAnsi="Times New Roman" w:cs="Times New Roman"/>
          <w:sz w:val="24"/>
          <w:szCs w:val="24"/>
          <w:lang w:val="en-GB"/>
        </w:rPr>
        <w:t>b)</w:t>
      </w:r>
      <w:r w:rsidR="006F29A6" w:rsidRPr="006F29A6"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vlera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aktivi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detyrimi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qëllime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përcaktimit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fitimit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paragrafi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vlera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momentin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aktivi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blerë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detyrimi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marrë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përsipër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ditën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parë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bëhet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zgjedhja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cilado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datë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vonshme</w:t>
      </w:r>
      <w:proofErr w:type="spellEnd"/>
      <w:r w:rsidRPr="00A84A16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0D2AB97" w14:textId="0FEA43B7" w:rsidR="00A84A16" w:rsidRPr="00A84A16" w:rsidRDefault="00A84A16" w:rsidP="00A84A1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84A16">
        <w:rPr>
          <w:rFonts w:ascii="Times New Roman" w:hAnsi="Times New Roman" w:cs="Times New Roman"/>
          <w:sz w:val="24"/>
          <w:szCs w:val="24"/>
          <w:lang w:val="en-GB"/>
        </w:rPr>
        <w:t xml:space="preserve">c)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zgjedhja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bëhet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1</w:t>
      </w:r>
      <w:r w:rsidR="006F29A6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55</w:t>
      </w:r>
      <w:r w:rsidR="006F29A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zbatohet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bëhet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zgjedhja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përveç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rastit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depozitues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zgjedh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ta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kufizojë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zgjedhjen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vetëm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aktivet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materiale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investimit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6359426" w14:textId="05AC813A" w:rsidR="00D10BAE" w:rsidRPr="00CE4BE0" w:rsidRDefault="00A84A16" w:rsidP="00A84A1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84A16">
        <w:rPr>
          <w:rFonts w:ascii="Times New Roman" w:hAnsi="Times New Roman" w:cs="Times New Roman"/>
          <w:sz w:val="24"/>
          <w:szCs w:val="24"/>
          <w:lang w:val="en-GB"/>
        </w:rPr>
        <w:t>d)</w:t>
      </w:r>
      <w:r w:rsidR="006F29A6" w:rsidRPr="006F29A6"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zgjedhja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revokohet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diferencën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ndërmjet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vlerës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drejtë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aktivit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detyrimit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vlerës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aktivit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detyrimit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ditën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parë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bëhet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revokimi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, e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përcaktuar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bazë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zgjedhjes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përfshihet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vlera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drejtë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tejkalon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vlerën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zbritet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vlera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tejkalon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vlerën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drejtë</w:t>
      </w:r>
      <w:proofErr w:type="spellEnd"/>
      <w:r w:rsidRPr="00A84A1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B3F0A4E" w14:textId="77777777" w:rsidR="00D61E35" w:rsidRDefault="00D61E35" w:rsidP="00D10B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C2B27F8" w14:textId="3C1266A7" w:rsidR="0026715B" w:rsidRDefault="00D10BAE" w:rsidP="0026715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7. </w:t>
      </w:r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Me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zgjedhjen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F29A6" w:rsidRPr="00AB7580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6F29A6" w:rsidRPr="00AB75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AB7580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6F29A6" w:rsidRPr="00AB75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AB7580">
        <w:rPr>
          <w:rFonts w:ascii="Times New Roman" w:hAnsi="Times New Roman" w:cs="Times New Roman"/>
          <w:sz w:val="24"/>
          <w:szCs w:val="24"/>
          <w:lang w:val="en-GB"/>
        </w:rPr>
        <w:t>de</w:t>
      </w:r>
      <w:r w:rsidR="00AB7580" w:rsidRPr="00AB7580">
        <w:rPr>
          <w:rFonts w:ascii="Times New Roman" w:hAnsi="Times New Roman" w:cs="Times New Roman"/>
          <w:sz w:val="24"/>
          <w:szCs w:val="24"/>
          <w:lang w:val="en-GB"/>
        </w:rPr>
        <w:t>klarues</w:t>
      </w:r>
      <w:proofErr w:type="spellEnd"/>
      <w:r w:rsidR="006F29A6" w:rsidRPr="00AB758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humbja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rrjedhin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tjetërsimi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aktiveve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materiale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vendore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ky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palë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treta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ndryshme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anëtar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mund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rregullohen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paragrafi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paragrafi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lastRenderedPageBreak/>
        <w:t>aktivet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materiale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vendore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pasuri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paluajtshme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njëjtin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entitetin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Rregullimi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bëhet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rregullat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="006F29A6" w:rsidRPr="006F29A6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80C36B3" w14:textId="77777777" w:rsidR="0026715B" w:rsidRPr="0026715B" w:rsidRDefault="0026715B" w:rsidP="0026715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EA92D81" w14:textId="409CDEEF" w:rsidR="0026715B" w:rsidRPr="0026715B" w:rsidRDefault="0026715B" w:rsidP="0026715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6715B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fitimi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rrjedh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tjetërsimi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aktiveve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materiale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vendore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paragrafi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bëhet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zgjedhja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kompensohet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humbje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rrjedh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tjetërsimi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aktiveve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materiale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vendore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paragrafi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bëhet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zgjedhja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katër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vitet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fiskale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paraprijnë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atij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viti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(“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periudha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pesëvjeçare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”).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Fitimi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kompensohet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fillimisht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humbjen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ka,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krijuar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hershëm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periudhës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pesëvjeçare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mbetur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fitimit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bartet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kompensohet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humbje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krijuar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vitet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fiskale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pasuese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periudhës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pesëvjeçare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B43BAF4" w14:textId="08828349" w:rsidR="0026715B" w:rsidRPr="0026715B" w:rsidRDefault="0026715B" w:rsidP="0026715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6715B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mbetur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fitimit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mbetet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pas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zbatimit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shkronjës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“a”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paragrafi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shpërndahet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mënyrë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përgjatë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periudhës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pesëvjeçare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secilit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cili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realizuar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fitim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tjetërsimi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aktiveve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materiale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vendore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paragrafi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bëhet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zgjedhja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. Shuma e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mbetur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fitimit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alokohet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përcaktohet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përpjesëtim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fitimin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atij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ndaj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fitimit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total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067FDAE" w14:textId="2FF07C98" w:rsidR="0026715B" w:rsidRPr="0026715B" w:rsidRDefault="0026715B" w:rsidP="0026715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6715B">
        <w:rPr>
          <w:rFonts w:ascii="Times New Roman" w:hAnsi="Times New Roman" w:cs="Times New Roman"/>
          <w:sz w:val="24"/>
          <w:szCs w:val="24"/>
          <w:lang w:val="en-GB"/>
        </w:rPr>
        <w:t>c)</w:t>
      </w:r>
      <w:r w:rsidR="00AE1F60" w:rsidRPr="00AE1F60"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asnjë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realizuar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fitim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tjetërsimi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aktiveve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materiale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vendore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paragrafi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bëhet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zgjedhja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mbetur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fitimit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, e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përmendur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shkronjën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“b”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paragrafi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, u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alokohet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mënyrë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secilit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shpërndahet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mënyrë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njëtrajtshme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përgjatë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periudhës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pesëvjeçare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secilit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prej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këtyre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26715B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BDB2601" w14:textId="397D1009" w:rsidR="00BD23B1" w:rsidRPr="00CE4BE0" w:rsidRDefault="0026715B" w:rsidP="0026715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6715B">
        <w:rPr>
          <w:rFonts w:ascii="Times New Roman" w:hAnsi="Times New Roman" w:cs="Times New Roman"/>
          <w:sz w:val="24"/>
          <w:szCs w:val="24"/>
          <w:lang w:val="en-GB"/>
        </w:rPr>
        <w:t xml:space="preserve">d)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rregullim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paragrafi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vitet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fiskale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paraprijnë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bëhet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zgjedhja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rregullimeve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1</w:t>
      </w:r>
      <w:r w:rsidR="00AE1F6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32</w:t>
      </w:r>
      <w:r w:rsidR="00AE1F6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Zgjedhja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bëhet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3</w:t>
      </w:r>
      <w:r w:rsidR="00AE1F6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55</w:t>
      </w:r>
      <w:r w:rsidR="00AE1F6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DDAD1D5" w14:textId="77777777" w:rsidR="00D61E35" w:rsidRDefault="00D61E35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7545E1F" w14:textId="1D211F56" w:rsidR="00191A12" w:rsidRDefault="00B947D4" w:rsidP="00191A1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8</w:t>
      </w:r>
      <w:r w:rsidR="00BD23B1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shpenzim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lidhet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marrëveshje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financimi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nëpërmjet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cilës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entitete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japin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kredi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kryejnë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mënyrë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tjetër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investim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entitete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tjera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njëjtit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(“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marrëveshje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financimi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brenda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”),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merret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konsideratë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plotësohen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kushtet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3A8CEF23" w14:textId="77777777" w:rsidR="00191A12" w:rsidRPr="00191A12" w:rsidRDefault="00191A12" w:rsidP="00191A1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AAB8555" w14:textId="7BD1016B" w:rsidR="00191A12" w:rsidRPr="00191A12" w:rsidRDefault="00191A12" w:rsidP="00191A1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91A12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nivel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konsiderohej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nivel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shpenzimi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ishte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përllogaritur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126DEF4" w14:textId="5808AD08" w:rsidR="00191A12" w:rsidRPr="00191A12" w:rsidRDefault="00191A12" w:rsidP="00191A1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91A12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mund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pritet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mënyrë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arsyeshme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gjatë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periudhës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pritshme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marrëveshjes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financimit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brenda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kjo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marrëveshje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rrisë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shpenzimeve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merren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konsideratë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atij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, pa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sjellë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rritje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lastRenderedPageBreak/>
        <w:t>përkatëse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tatueshme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jep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kredinë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vijim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pala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kundërpartnere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”);</w:t>
      </w:r>
    </w:p>
    <w:p w14:paraId="014DC943" w14:textId="356BB959" w:rsidR="00BD23B1" w:rsidRPr="00CE4BE0" w:rsidRDefault="00191A12" w:rsidP="00191A1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91A12">
        <w:rPr>
          <w:rFonts w:ascii="Times New Roman" w:hAnsi="Times New Roman" w:cs="Times New Roman"/>
          <w:sz w:val="24"/>
          <w:szCs w:val="24"/>
          <w:lang w:val="en-GB"/>
        </w:rPr>
        <w:t xml:space="preserve">c)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pala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kundërpartnere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nivel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konsiderohej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nivel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lidhen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shpenzimin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ishin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përllogaritur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pala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kundërpartnere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E0A368B" w14:textId="77777777" w:rsidR="00D61E35" w:rsidRDefault="00D61E35" w:rsidP="003141D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16F96B1" w14:textId="2018A1D4" w:rsidR="000A5FF5" w:rsidRDefault="00B947D4" w:rsidP="000A5FF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9</w:t>
      </w:r>
      <w:r w:rsidR="00BD23B1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mund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zgjedhë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zbatojë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trajtimin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konsoliduar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eliminuar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shpenzimet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fitimet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humbjet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rrjedhin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transaksionet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ndërmjet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njëjtin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përfshira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konsoliduar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qëllime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qëllim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këtyre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Kjo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zgjedhje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rregullave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024A55AB" w14:textId="77777777" w:rsidR="000A5FF5" w:rsidRPr="000A5FF5" w:rsidRDefault="000A5FF5" w:rsidP="000A5FF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0F4CEB4" w14:textId="36EC4192" w:rsidR="000A5FF5" w:rsidRPr="000A5FF5" w:rsidRDefault="000A5FF5" w:rsidP="000A5FF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5FF5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zgjedhja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bëhet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1</w:t>
      </w:r>
      <w:r w:rsidR="00AE1F6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55</w:t>
      </w:r>
      <w:r w:rsidR="00AE1F6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52DCD04" w14:textId="3368F44F" w:rsidR="003141D1" w:rsidRPr="00CE4BE0" w:rsidRDefault="000A5FF5" w:rsidP="000A5FF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5FF5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zgjedhja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bëhet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revokohet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kryhen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rregullimet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nevojshme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siguruar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elementet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mos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merren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konsideratë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herë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mos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përjashtohen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llogaritja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rezultat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kësaj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zgjedhjeje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revokimi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757C877" w14:textId="77777777" w:rsidR="00D61E35" w:rsidRDefault="00D61E35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603A669" w14:textId="51030ACC" w:rsidR="00750E18" w:rsidRPr="00CE4BE0" w:rsidRDefault="001E5C20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10.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Ministri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përgjegjës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financat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nxjerr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udhëzim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përcaktimin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rregullave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hollësishme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kritereve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kushteve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ushtrimin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zgjedhjeve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metodologjive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zbatimin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rregullimeve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specifike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parashikuara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paragrafët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3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deri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9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Rregullat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GloBE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 xml:space="preserve"> OECD-</w:t>
      </w:r>
      <w:proofErr w:type="spellStart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AE1F60" w:rsidRPr="00AE1F6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7923562" w14:textId="77777777" w:rsidR="004E0F09" w:rsidRPr="00CE4BE0" w:rsidRDefault="004E0F09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5A76CEF" w14:textId="61423E37" w:rsidR="00900BCD" w:rsidRPr="00CE4BE0" w:rsidRDefault="00AE1F60" w:rsidP="00900BC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Neni</w:t>
      </w:r>
      <w:r w:rsidR="00A3472B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 16</w:t>
      </w:r>
    </w:p>
    <w:p w14:paraId="6E143C1C" w14:textId="497E4484" w:rsidR="00750E18" w:rsidRPr="00CE4BE0" w:rsidRDefault="00AE1F60" w:rsidP="00900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AE1F60">
        <w:rPr>
          <w:rFonts w:ascii="Times New Roman" w:hAnsi="Times New Roman" w:cs="Times New Roman"/>
          <w:b/>
          <w:bCs/>
          <w:sz w:val="24"/>
          <w:szCs w:val="24"/>
          <w:lang w:val="en-GB"/>
        </w:rPr>
        <w:t>Rregulla</w:t>
      </w:r>
      <w:proofErr w:type="spellEnd"/>
      <w:r w:rsidRPr="00AE1F6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E1F60">
        <w:rPr>
          <w:rFonts w:ascii="Times New Roman" w:hAnsi="Times New Roman" w:cs="Times New Roman"/>
          <w:b/>
          <w:bCs/>
          <w:sz w:val="24"/>
          <w:szCs w:val="24"/>
          <w:lang w:val="en-GB"/>
        </w:rPr>
        <w:t>të</w:t>
      </w:r>
      <w:proofErr w:type="spellEnd"/>
      <w:r w:rsidRPr="00AE1F6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E1F60">
        <w:rPr>
          <w:rFonts w:ascii="Times New Roman" w:hAnsi="Times New Roman" w:cs="Times New Roman"/>
          <w:b/>
          <w:bCs/>
          <w:sz w:val="24"/>
          <w:szCs w:val="24"/>
          <w:lang w:val="en-GB"/>
        </w:rPr>
        <w:t>veçanta</w:t>
      </w:r>
      <w:proofErr w:type="spellEnd"/>
      <w:r w:rsidRPr="00AE1F6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E1F60">
        <w:rPr>
          <w:rFonts w:ascii="Times New Roman" w:hAnsi="Times New Roman" w:cs="Times New Roman"/>
          <w:b/>
          <w:bCs/>
          <w:sz w:val="24"/>
          <w:szCs w:val="24"/>
          <w:lang w:val="en-GB"/>
        </w:rPr>
        <w:t>për</w:t>
      </w:r>
      <w:proofErr w:type="spellEnd"/>
      <w:r w:rsidRPr="00AE1F6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E1F60">
        <w:rPr>
          <w:rFonts w:ascii="Times New Roman" w:hAnsi="Times New Roman" w:cs="Times New Roman"/>
          <w:b/>
          <w:bCs/>
          <w:sz w:val="24"/>
          <w:szCs w:val="24"/>
          <w:lang w:val="en-GB"/>
        </w:rPr>
        <w:t>shoqëritë</w:t>
      </w:r>
      <w:proofErr w:type="spellEnd"/>
      <w:r w:rsidRPr="00AE1F6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 </w:t>
      </w:r>
      <w:proofErr w:type="spellStart"/>
      <w:r w:rsidRPr="00AE1F60">
        <w:rPr>
          <w:rFonts w:ascii="Times New Roman" w:hAnsi="Times New Roman" w:cs="Times New Roman"/>
          <w:b/>
          <w:bCs/>
          <w:sz w:val="24"/>
          <w:szCs w:val="24"/>
          <w:lang w:val="en-GB"/>
        </w:rPr>
        <w:t>sigurimit</w:t>
      </w:r>
      <w:proofErr w:type="spellEnd"/>
      <w:r w:rsidRPr="00AE1F6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E1F60">
        <w:rPr>
          <w:rFonts w:ascii="Times New Roman" w:hAnsi="Times New Roman" w:cs="Times New Roman"/>
          <w:b/>
          <w:bCs/>
          <w:sz w:val="24"/>
          <w:szCs w:val="24"/>
          <w:lang w:val="en-GB"/>
        </w:rPr>
        <w:t>dhe</w:t>
      </w:r>
      <w:proofErr w:type="spellEnd"/>
      <w:r w:rsidRPr="00AE1F6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E1F60">
        <w:rPr>
          <w:rFonts w:ascii="Times New Roman" w:hAnsi="Times New Roman" w:cs="Times New Roman"/>
          <w:b/>
          <w:bCs/>
          <w:sz w:val="24"/>
          <w:szCs w:val="24"/>
          <w:lang w:val="en-GB"/>
        </w:rPr>
        <w:t>bankat</w:t>
      </w:r>
      <w:proofErr w:type="spellEnd"/>
    </w:p>
    <w:p w14:paraId="6F7190C7" w14:textId="77777777" w:rsidR="00900BCD" w:rsidRPr="00CE4BE0" w:rsidRDefault="00900BCD" w:rsidP="004A60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A522163" w14:textId="4FD0ED2D" w:rsidR="0039264A" w:rsidRDefault="0039264A" w:rsidP="004A60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1.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shoqëri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sigurimi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përjashton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llogaritja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humbjes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së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çdo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shumë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ngarkohet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mbajtësve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policave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sigurimit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tatimet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paguara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shoqëria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sigurimit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lidhje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p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r w:rsid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r</w:t>
      </w:r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fitimet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atribuohen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këtyre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mbajtësve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policave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shoqëri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sigurimi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përfshin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humbjes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së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çdo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p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r w:rsid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r</w:t>
      </w:r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fitim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atribuohet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mbajtësve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policave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nuk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pasqyrohet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humbjen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neto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saj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masën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rritja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ulja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përkatëse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detyrimit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ndaj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mbajtësve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policave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pasqyrohet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humbjen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neto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saj</w:t>
      </w:r>
      <w:proofErr w:type="spellEnd"/>
      <w:r w:rsidR="00AE1F60" w:rsidRPr="00AE1F60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78F2AA6A" w14:textId="77777777" w:rsidR="004D134C" w:rsidRDefault="004D134C" w:rsidP="004A60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6311DD3" w14:textId="21105EDE" w:rsidR="004D134C" w:rsidRDefault="004D134C" w:rsidP="004A60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2.</w:t>
      </w:r>
      <w:r w:rsidRPr="000110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Ç</w:t>
      </w:r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do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shumë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njihet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si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ulje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kapitalit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rrjedh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shpërndarjet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bëra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detyrueshme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lidhje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Kapitalin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Nivelit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</w:t>
      </w:r>
      <w:r w:rsid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emetuar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trajtohet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si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shpenzim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humbjes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së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tij</w:t>
      </w:r>
      <w:proofErr w:type="spellEnd"/>
      <w:r w:rsidR="00771F73" w:rsidRPr="00771F73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332129E8" w14:textId="77777777" w:rsidR="00771F73" w:rsidRDefault="00771F73" w:rsidP="004A60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F3C2F5E" w14:textId="7E3B8D6C" w:rsidR="00771F73" w:rsidRPr="00771F73" w:rsidRDefault="00771F73" w:rsidP="00771F7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3.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njihet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rritje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kapitalit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rrjedh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shpërndarjet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marra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duhet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merren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Kapitalin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Nivelit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mbajtur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përfshihet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2F21A23" w14:textId="77777777" w:rsidR="00771F73" w:rsidRPr="00771F73" w:rsidRDefault="00771F73" w:rsidP="00771F7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EAF40D5" w14:textId="0D559FB9" w:rsidR="00083E69" w:rsidRDefault="00771F73" w:rsidP="00771F7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4.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>, “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Kapitali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Nivelit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1”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instrument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emetuar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kërkesat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rregullatore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prudenciale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cili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konvertueshëm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kapital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shlyer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ndodh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ngjarje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paracaktuar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nxitëse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karakteristika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tjera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projektuara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rritur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aftësinë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absorbimit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humbjeve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rast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krize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6A69353" w14:textId="77777777" w:rsidR="00771F73" w:rsidRPr="00CE4BE0" w:rsidRDefault="00771F73" w:rsidP="00771F7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D9514A5" w14:textId="793B5400" w:rsidR="00503A5B" w:rsidRPr="00CE4BE0" w:rsidRDefault="00771F73" w:rsidP="00771F7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Neni</w:t>
      </w:r>
      <w:r w:rsidR="00BD23B1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 17</w:t>
      </w:r>
    </w:p>
    <w:p w14:paraId="14F79CDA" w14:textId="3659BE7B" w:rsidR="00503A5B" w:rsidRDefault="00771F73" w:rsidP="00771F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771F73">
        <w:rPr>
          <w:rFonts w:ascii="Times New Roman" w:hAnsi="Times New Roman" w:cs="Times New Roman"/>
          <w:b/>
          <w:bCs/>
          <w:sz w:val="24"/>
          <w:szCs w:val="24"/>
          <w:lang w:val="en-GB"/>
        </w:rPr>
        <w:t>Përjashtimi</w:t>
      </w:r>
      <w:proofErr w:type="spellEnd"/>
      <w:r w:rsidRPr="00771F7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proofErr w:type="spellEnd"/>
      <w:r w:rsidRPr="00771F7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b/>
          <w:bCs/>
          <w:sz w:val="24"/>
          <w:szCs w:val="24"/>
          <w:lang w:val="en-GB"/>
        </w:rPr>
        <w:t>të</w:t>
      </w:r>
      <w:proofErr w:type="spellEnd"/>
      <w:r w:rsidRPr="00771F7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b/>
          <w:bCs/>
          <w:sz w:val="24"/>
          <w:szCs w:val="24"/>
          <w:lang w:val="en-GB"/>
        </w:rPr>
        <w:t>ardhurave</w:t>
      </w:r>
      <w:proofErr w:type="spellEnd"/>
      <w:r w:rsidRPr="00771F7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b/>
          <w:bCs/>
          <w:sz w:val="24"/>
          <w:szCs w:val="24"/>
          <w:lang w:val="en-GB"/>
        </w:rPr>
        <w:t>nga</w:t>
      </w:r>
      <w:proofErr w:type="spellEnd"/>
      <w:r w:rsidRPr="00771F7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b/>
          <w:bCs/>
          <w:sz w:val="24"/>
          <w:szCs w:val="24"/>
          <w:lang w:val="en-GB"/>
        </w:rPr>
        <w:t>transporti</w:t>
      </w:r>
      <w:proofErr w:type="spellEnd"/>
      <w:r w:rsidRPr="00771F7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b/>
          <w:bCs/>
          <w:sz w:val="24"/>
          <w:szCs w:val="24"/>
          <w:lang w:val="en-GB"/>
        </w:rPr>
        <w:t>detar</w:t>
      </w:r>
      <w:proofErr w:type="spellEnd"/>
      <w:r w:rsidRPr="00771F7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b/>
          <w:bCs/>
          <w:sz w:val="24"/>
          <w:szCs w:val="24"/>
          <w:lang w:val="en-GB"/>
        </w:rPr>
        <w:t>ndërkombëtar</w:t>
      </w:r>
      <w:proofErr w:type="spellEnd"/>
    </w:p>
    <w:p w14:paraId="467AA3ED" w14:textId="77777777" w:rsidR="00771F73" w:rsidRPr="00771F73" w:rsidRDefault="00771F73" w:rsidP="004A60B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2E5E1A9" w14:textId="04593FFF" w:rsidR="00FA0A8A" w:rsidRDefault="006D7612" w:rsidP="00FA0A8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1. </w:t>
      </w:r>
      <w:proofErr w:type="spellStart"/>
      <w:r w:rsidR="00771F73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771F73" w:rsidRPr="00771F73">
        <w:rPr>
          <w:rFonts w:ascii="Times New Roman" w:hAnsi="Times New Roman" w:cs="Times New Roman"/>
          <w:sz w:val="24"/>
          <w:szCs w:val="24"/>
          <w:lang w:val="en-GB"/>
        </w:rPr>
        <w:t>ër</w:t>
      </w:r>
      <w:proofErr w:type="spellEnd"/>
      <w:r w:rsidR="00771F73"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 w:rsidRPr="00771F73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="00771F73"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771F73" w:rsidRPr="00771F7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771F73"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 w:rsidRPr="00771F73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771F73"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771F73" w:rsidRPr="00771F73">
        <w:rPr>
          <w:rFonts w:ascii="Times New Roman" w:hAnsi="Times New Roman" w:cs="Times New Roman"/>
          <w:sz w:val="24"/>
          <w:szCs w:val="24"/>
          <w:lang w:val="en-GB"/>
        </w:rPr>
        <w:t>zbatohen</w:t>
      </w:r>
      <w:proofErr w:type="spellEnd"/>
      <w:r w:rsidR="00771F73"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1F73" w:rsidRPr="00771F73">
        <w:rPr>
          <w:rFonts w:ascii="Times New Roman" w:hAnsi="Times New Roman" w:cs="Times New Roman"/>
          <w:sz w:val="24"/>
          <w:szCs w:val="24"/>
          <w:lang w:val="en-GB"/>
        </w:rPr>
        <w:t>përkufizimet</w:t>
      </w:r>
      <w:proofErr w:type="spellEnd"/>
      <w:r w:rsidR="00771F73"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771F73" w:rsidRPr="00771F73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="00C865FE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57E8427" w14:textId="77777777" w:rsidR="00FA0A8A" w:rsidRPr="00FA0A8A" w:rsidRDefault="00FA0A8A" w:rsidP="00FA0A8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68DA049" w14:textId="7BB8D4A2" w:rsidR="00771F73" w:rsidRPr="00771F73" w:rsidRDefault="00771F73" w:rsidP="00771F7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71F73">
        <w:rPr>
          <w:rFonts w:ascii="Times New Roman" w:hAnsi="Times New Roman" w:cs="Times New Roman"/>
          <w:sz w:val="24"/>
          <w:szCs w:val="24"/>
          <w:lang w:val="en-GB"/>
        </w:rPr>
        <w:t>a) “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ardhura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transporti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detar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ndërkombëtar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nënkupton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përfituara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veprimtaritë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kusht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transporti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mos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kryhet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përmes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rrugëve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ujore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brendshme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brenda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njëjtit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3681D88C" w14:textId="50174075" w:rsidR="00771F73" w:rsidRDefault="00771F73" w:rsidP="00771F7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71F73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transporti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pasagjerëve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mallrave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anije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trafikun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ndërkombëtar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pavarësisht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anija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pronësi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, e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marrë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qira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dispozicion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1F7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771F73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1F5CC77" w14:textId="6B058F25" w:rsidR="00FA0A8A" w:rsidRPr="00FA4CA2" w:rsidRDefault="00FA0A8A" w:rsidP="00FA0A8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(ii) </w:t>
      </w:r>
      <w:proofErr w:type="spellStart"/>
      <w:r w:rsidR="00D547DD" w:rsidRPr="00FA4CA2">
        <w:rPr>
          <w:rFonts w:ascii="Times New Roman" w:hAnsi="Times New Roman" w:cs="Times New Roman"/>
          <w:sz w:val="24"/>
          <w:szCs w:val="24"/>
          <w:lang w:val="en-GB"/>
        </w:rPr>
        <w:t>transporti</w:t>
      </w:r>
      <w:proofErr w:type="spellEnd"/>
      <w:r w:rsidR="00D547DD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FA4CA2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D547DD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FA4CA2">
        <w:rPr>
          <w:rFonts w:ascii="Times New Roman" w:hAnsi="Times New Roman" w:cs="Times New Roman"/>
          <w:sz w:val="24"/>
          <w:szCs w:val="24"/>
          <w:lang w:val="en-GB"/>
        </w:rPr>
        <w:t>pasagjerëve</w:t>
      </w:r>
      <w:proofErr w:type="spellEnd"/>
      <w:r w:rsidR="00D547DD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FA4CA2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D547DD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FA4CA2">
        <w:rPr>
          <w:rFonts w:ascii="Times New Roman" w:hAnsi="Times New Roman" w:cs="Times New Roman"/>
          <w:sz w:val="24"/>
          <w:szCs w:val="24"/>
          <w:lang w:val="en-GB"/>
        </w:rPr>
        <w:t>mallrave</w:t>
      </w:r>
      <w:proofErr w:type="spellEnd"/>
      <w:r w:rsidR="00D547DD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D547DD" w:rsidRPr="00FA4CA2">
        <w:rPr>
          <w:rFonts w:ascii="Times New Roman" w:hAnsi="Times New Roman" w:cs="Times New Roman"/>
          <w:sz w:val="24"/>
          <w:szCs w:val="24"/>
          <w:lang w:val="en-GB"/>
        </w:rPr>
        <w:t>anije</w:t>
      </w:r>
      <w:proofErr w:type="spellEnd"/>
      <w:r w:rsidR="00D547DD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FA4CA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D547DD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FA4CA2">
        <w:rPr>
          <w:rFonts w:ascii="Times New Roman" w:hAnsi="Times New Roman" w:cs="Times New Roman"/>
          <w:sz w:val="24"/>
          <w:szCs w:val="24"/>
          <w:lang w:val="en-GB"/>
        </w:rPr>
        <w:t>trafikun</w:t>
      </w:r>
      <w:proofErr w:type="spellEnd"/>
      <w:r w:rsidR="00D547DD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FA4CA2">
        <w:rPr>
          <w:rFonts w:ascii="Times New Roman" w:hAnsi="Times New Roman" w:cs="Times New Roman"/>
          <w:sz w:val="24"/>
          <w:szCs w:val="24"/>
          <w:lang w:val="en-GB"/>
        </w:rPr>
        <w:t>ndërkombëtar</w:t>
      </w:r>
      <w:proofErr w:type="spellEnd"/>
      <w:r w:rsidR="00D547DD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FA4CA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D547DD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FA4CA2">
        <w:rPr>
          <w:rFonts w:ascii="Times New Roman" w:hAnsi="Times New Roman" w:cs="Times New Roman"/>
          <w:sz w:val="24"/>
          <w:szCs w:val="24"/>
          <w:lang w:val="en-GB"/>
        </w:rPr>
        <w:t>kuadër</w:t>
      </w:r>
      <w:proofErr w:type="spellEnd"/>
      <w:r w:rsidR="00D547DD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FA4CA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547DD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FA4CA2">
        <w:rPr>
          <w:rFonts w:ascii="Times New Roman" w:hAnsi="Times New Roman" w:cs="Times New Roman"/>
          <w:sz w:val="24"/>
          <w:szCs w:val="24"/>
          <w:lang w:val="en-GB"/>
        </w:rPr>
        <w:t>marrëveshjeve</w:t>
      </w:r>
      <w:proofErr w:type="spellEnd"/>
      <w:r w:rsidR="00D547DD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>marrjes</w:t>
      </w:r>
      <w:proofErr w:type="spellEnd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>qira</w:t>
      </w:r>
      <w:proofErr w:type="spellEnd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>pjesore</w:t>
      </w:r>
      <w:proofErr w:type="spellEnd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>anije</w:t>
      </w:r>
      <w:proofErr w:type="spellEnd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D547DD" w:rsidRPr="00FA4CA2">
        <w:rPr>
          <w:rFonts w:ascii="Times New Roman" w:hAnsi="Times New Roman" w:cs="Times New Roman"/>
          <w:sz w:val="24"/>
          <w:szCs w:val="24"/>
          <w:lang w:val="en-GB"/>
        </w:rPr>
        <w:t>slot-chartering</w:t>
      </w:r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7ED981D2" w14:textId="48B6D8E2" w:rsidR="00D547DD" w:rsidRPr="00D547DD" w:rsidRDefault="00D547DD" w:rsidP="00D547D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(iii)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dhënia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qira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anijeje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përdorim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F2FC5" w:rsidRPr="00FA4CA2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3D1EB8" w:rsidRPr="00FA4CA2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1F2FC5" w:rsidRPr="00FA4CA2">
        <w:rPr>
          <w:rFonts w:ascii="Times New Roman" w:hAnsi="Times New Roman" w:cs="Times New Roman"/>
          <w:sz w:val="24"/>
          <w:szCs w:val="24"/>
          <w:lang w:val="en-GB"/>
        </w:rPr>
        <w:t>r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transporti</w:t>
      </w:r>
      <w:r w:rsidR="00E10A85" w:rsidRPr="00FA4CA2">
        <w:rPr>
          <w:rFonts w:ascii="Times New Roman" w:hAnsi="Times New Roman" w:cs="Times New Roman"/>
          <w:sz w:val="24"/>
          <w:szCs w:val="24"/>
          <w:lang w:val="en-GB"/>
        </w:rPr>
        <w:t>min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pasagjerëve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mallrave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>pajisur</w:t>
      </w:r>
      <w:proofErr w:type="spellEnd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plotë</w:t>
      </w:r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>sisht</w:t>
      </w:r>
      <w:proofErr w:type="spellEnd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me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ekuipazh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furniz</w:t>
      </w:r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>ime</w:t>
      </w:r>
      <w:proofErr w:type="spellEnd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>transportin</w:t>
      </w:r>
      <w:proofErr w:type="spellEnd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>pasagjerëve</w:t>
      </w:r>
      <w:proofErr w:type="spellEnd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>mallrave</w:t>
      </w:r>
      <w:proofErr w:type="spellEnd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>trafikun</w:t>
      </w:r>
      <w:proofErr w:type="spellEnd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>ndërkombëtar</w:t>
      </w:r>
      <w:proofErr w:type="spellEnd"/>
      <w:proofErr w:type="gramEnd"/>
      <w:r w:rsidRPr="00FA4CA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D68B38E" w14:textId="2C85AD08" w:rsidR="00D547DD" w:rsidRPr="00D547DD" w:rsidRDefault="00D547DD" w:rsidP="00D547D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547DD">
        <w:rPr>
          <w:rFonts w:ascii="Times New Roman" w:hAnsi="Times New Roman" w:cs="Times New Roman"/>
          <w:sz w:val="24"/>
          <w:szCs w:val="24"/>
          <w:lang w:val="en-GB"/>
        </w:rPr>
        <w:t>(iv</w:t>
      </w:r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dhënia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qira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anijeje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përdor</w:t>
      </w:r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>im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transporti</w:t>
      </w:r>
      <w:r w:rsidR="00E10A85" w:rsidRPr="00FA4CA2">
        <w:rPr>
          <w:rFonts w:ascii="Times New Roman" w:hAnsi="Times New Roman" w:cs="Times New Roman"/>
          <w:sz w:val="24"/>
          <w:szCs w:val="24"/>
          <w:lang w:val="en-GB"/>
        </w:rPr>
        <w:t>min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pasagjerëve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mallrave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trafikun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ndërkombëtar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>bazë</w:t>
      </w:r>
      <w:proofErr w:type="spellEnd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>kontrate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pa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ekuipazh</w:t>
      </w:r>
      <w:proofErr w:type="spellEnd"/>
      <w:r w:rsidR="00135464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(Bareboat Charter)</w:t>
      </w:r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tjetër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3F95770" w14:textId="1A86527A" w:rsidR="00D547DD" w:rsidRDefault="00D547DD" w:rsidP="00D547D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(v)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pjesëmarrja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>marrëveshje</w:t>
      </w:r>
      <w:proofErr w:type="spellEnd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>përbashkët</w:t>
      </w:r>
      <w:proofErr w:type="spellEnd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>operimi</w:t>
      </w:r>
      <w:proofErr w:type="spellEnd"/>
      <w:r w:rsidR="00B2323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ri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përbashkët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agjenci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ndërkombëtare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operuese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transportin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pasagjerëve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mallrave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anije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trafikun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ndërkombëtar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E71E1C6" w14:textId="4594ECB4" w:rsidR="00FA0A8A" w:rsidRPr="00FA0A8A" w:rsidRDefault="00FA0A8A" w:rsidP="00FA0A8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A0A8A">
        <w:rPr>
          <w:rFonts w:ascii="Times New Roman" w:hAnsi="Times New Roman" w:cs="Times New Roman"/>
          <w:sz w:val="24"/>
          <w:szCs w:val="24"/>
          <w:lang w:val="en-GB"/>
        </w:rPr>
        <w:t xml:space="preserve">(vi)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shitja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anijeje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përdorur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transportin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pasagjerëve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mallrave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trafikun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ndërkombëtar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kusht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anija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ketë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qenë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mbajtur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përdorim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periudhë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minimale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prej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viti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1EF367B" w14:textId="636D90B5" w:rsidR="00FA0A8A" w:rsidRPr="00FA0A8A" w:rsidRDefault="00FA0A8A" w:rsidP="00FA0A8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A0A8A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r w:rsidR="00D547DD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ardhura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ndihmëse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transporti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detar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ndërkombëtar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nënkupton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përfituara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veprimtaritë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kusht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këto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veprimtari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kryhen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kryesisht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transportin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pasagjerëve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mallrave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anije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trafikun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ndërkombëtar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2F040FEE" w14:textId="2BCE4D2A" w:rsidR="00D547DD" w:rsidRPr="00D547DD" w:rsidRDefault="00D547DD" w:rsidP="00D547D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A4CA2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1F5E7C" w:rsidRPr="00FA4CA2">
        <w:t xml:space="preserve"> </w:t>
      </w:r>
      <w:proofErr w:type="spellStart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>dhënia</w:t>
      </w:r>
      <w:proofErr w:type="spellEnd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>qira</w:t>
      </w:r>
      <w:proofErr w:type="spellEnd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>anijeje</w:t>
      </w:r>
      <w:proofErr w:type="spellEnd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>përdorim</w:t>
      </w:r>
      <w:proofErr w:type="spellEnd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>transportimin</w:t>
      </w:r>
      <w:proofErr w:type="spellEnd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>pasagjerëve</w:t>
      </w:r>
      <w:proofErr w:type="spellEnd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>mallrave</w:t>
      </w:r>
      <w:proofErr w:type="spellEnd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>trafikun</w:t>
      </w:r>
      <w:proofErr w:type="spellEnd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>ndërkombëtar</w:t>
      </w:r>
      <w:proofErr w:type="spellEnd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>bazë</w:t>
      </w:r>
      <w:proofErr w:type="spellEnd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>kontrate</w:t>
      </w:r>
      <w:proofErr w:type="spellEnd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pa </w:t>
      </w:r>
      <w:proofErr w:type="spellStart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>ekuipazh</w:t>
      </w:r>
      <w:proofErr w:type="spellEnd"/>
      <w:r w:rsidR="001F5E7C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(Bareboat Charter)</w:t>
      </w:r>
      <w:r w:rsidR="00006E50"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6E50" w:rsidRPr="00FA4CA2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3D1EB8" w:rsidRPr="00FA4CA2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006E50" w:rsidRPr="00FA4CA2">
        <w:rPr>
          <w:rFonts w:ascii="Times New Roman" w:hAnsi="Times New Roman" w:cs="Times New Roman"/>
          <w:sz w:val="24"/>
          <w:szCs w:val="24"/>
          <w:lang w:val="en-GB"/>
        </w:rPr>
        <w:t>rie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tjetër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transporti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detar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kusht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kohëzgjatja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mos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tejkalojë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tre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A4CA2">
        <w:rPr>
          <w:rFonts w:ascii="Times New Roman" w:hAnsi="Times New Roman" w:cs="Times New Roman"/>
          <w:sz w:val="24"/>
          <w:szCs w:val="24"/>
          <w:lang w:val="en-GB"/>
        </w:rPr>
        <w:t>vjet</w:t>
      </w:r>
      <w:proofErr w:type="spellEnd"/>
      <w:r w:rsidRPr="00FA4CA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6F834A6" w14:textId="5433D689" w:rsidR="00D547DD" w:rsidRPr="00D547DD" w:rsidRDefault="00D547DD" w:rsidP="00D547D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(ii)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shitja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biletave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lëshuara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ndërmarrje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tjera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transportit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detar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segmentin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brendshëm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udhëtimi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ndërkombëtar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4238910" w14:textId="48F93A10" w:rsidR="00D547DD" w:rsidRPr="00D547DD" w:rsidRDefault="00D547DD" w:rsidP="00D547D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547DD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(iii)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dhënia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qira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magazinimi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afatshkurtër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kontejnerëve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pagesat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vonesë</w:t>
      </w:r>
      <w:proofErr w:type="spellEnd"/>
      <w:r w:rsidR="00AB758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kthimin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vonesë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kontejnerëve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5ADD0FF" w14:textId="6C371469" w:rsidR="00D547DD" w:rsidRPr="00D547DD" w:rsidRDefault="00D547DD" w:rsidP="00D547D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(iv)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ofrimi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shërbimeve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ri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tjera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transportit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detar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inxhinierë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personel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mirëmbajtjeje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punonjës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ngarkim-shkarkimit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personel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kateringu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personel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shërbimit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ndaj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klientit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01B084D3" w14:textId="68379B14" w:rsidR="00FA0A8A" w:rsidRDefault="00D547DD" w:rsidP="00D547D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(v)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investimet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investimi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gjeneron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këto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ardhura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kryhet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pjesë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veprimtarisë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operimit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anijeve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trafikun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47DD">
        <w:rPr>
          <w:rFonts w:ascii="Times New Roman" w:hAnsi="Times New Roman" w:cs="Times New Roman"/>
          <w:sz w:val="24"/>
          <w:szCs w:val="24"/>
          <w:lang w:val="en-GB"/>
        </w:rPr>
        <w:t>ndërkombëtar</w:t>
      </w:r>
      <w:proofErr w:type="spellEnd"/>
      <w:r w:rsidRPr="00D547D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8804CEC" w14:textId="2A5877C2" w:rsidR="006D7612" w:rsidRDefault="00FA0A8A" w:rsidP="006D761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2.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transporti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detar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ndërkombëtar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ndihmëse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transporti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detar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ndërkombëtar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përjashtohen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llogaritja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kusht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provojë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menaxhimi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strategjik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tregtar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anijeve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përkatëse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kryhet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mënyrë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efektive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juridiksioni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ndodhet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E9EABBB" w14:textId="77777777" w:rsidR="00784E1F" w:rsidRPr="00CE4BE0" w:rsidRDefault="00784E1F" w:rsidP="006D761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A8378C6" w14:textId="3422620F" w:rsidR="006D7612" w:rsidRDefault="00FA0A8A" w:rsidP="006D761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6D7612" w:rsidRPr="00CE4BE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Kur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llogaritja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transporti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detar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ndërkombëtar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ndihmëse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transporti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detar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ndërkombëtar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rezulton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humbje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kjo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humbje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përjashtohet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llogaritja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15F61B5" w14:textId="77777777" w:rsidR="00784E1F" w:rsidRPr="00CE4BE0" w:rsidRDefault="00784E1F" w:rsidP="006D761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5145EBF" w14:textId="22AE1F03" w:rsidR="006D7612" w:rsidRPr="00CE4BE0" w:rsidRDefault="00FA0A8A" w:rsidP="006D761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6D7612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ndihmëse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transporti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detar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ndërkombëtar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99225B">
        <w:rPr>
          <w:rFonts w:ascii="Times New Roman" w:hAnsi="Times New Roman" w:cs="Times New Roman"/>
          <w:sz w:val="24"/>
          <w:szCs w:val="24"/>
          <w:lang w:val="en-GB"/>
        </w:rPr>
        <w:t>rmbledhura</w:t>
      </w:r>
      <w:proofErr w:type="spellEnd"/>
      <w:r w:rsid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mund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tejkalojnë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50%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transporti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detar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ndërkombëtar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99225B">
        <w:rPr>
          <w:rFonts w:ascii="Times New Roman" w:hAnsi="Times New Roman" w:cs="Times New Roman"/>
          <w:sz w:val="24"/>
          <w:szCs w:val="24"/>
          <w:lang w:val="en-GB"/>
        </w:rPr>
        <w:t>rmbledhura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këtyre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D547DD" w:rsidRPr="00D547D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011B116" w14:textId="77777777" w:rsidR="00784E1F" w:rsidRDefault="00784E1F" w:rsidP="006D761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A0CD842" w14:textId="09D3F5DB" w:rsidR="004533AE" w:rsidRDefault="0049652A" w:rsidP="006D761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6D7612" w:rsidRPr="00CE4BE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CC31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Kostot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kryera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cilat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atribuohen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drejtpërdrejt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veprimtarive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transportit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detar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ndërkombëtar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renditura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shkronjën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“a”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1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veprimtarive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ndihmëse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transportit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detar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ndërkombëtar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renditura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shkronjën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“b”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1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, u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alokohen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këtyre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veprimtarive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qëllimin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llogaritjes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transporti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detar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ndërkombëtar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ndihmëse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transporti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detar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ndërkombëtar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CB965B0" w14:textId="77777777" w:rsidR="004533AE" w:rsidRDefault="004533AE" w:rsidP="006D761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AE4334E" w14:textId="2D10DA62" w:rsidR="004533AE" w:rsidRDefault="004533AE" w:rsidP="006D761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6.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Kostot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kryera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cilat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rrjedhin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mënyrë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indirekte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veprimtaritë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transportit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detar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ndërkombëtar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veprimtaritë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ndihmëse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transportit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detar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ndërkombëtar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zbriten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këto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veprimtari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llogaritur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transporti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detar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ndërkombëtar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ndihmëse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transporti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detar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ndërkombëtar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bazë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raportit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këto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veprimtari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ndaj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totale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95B7365" w14:textId="77777777" w:rsidR="004533AE" w:rsidRDefault="004533AE" w:rsidP="006D761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4B4DCF7" w14:textId="0812F44D" w:rsidR="006D7612" w:rsidRPr="00CE4BE0" w:rsidRDefault="004533AE" w:rsidP="006D761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7.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kostot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direkte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indirekte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atribuuara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transporti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detar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ndërkombëtar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ndihmëse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transporti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detar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ndërkombëtar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paragrafët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5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6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përjashtohen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llogaritja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7EDAACE" w14:textId="77777777" w:rsidR="00784E1F" w:rsidRDefault="00784E1F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4DA42F3" w14:textId="177061D5" w:rsidR="00BD23B1" w:rsidRPr="00CE4BE0" w:rsidRDefault="0099225B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8</w:t>
      </w:r>
      <w:r w:rsidR="006D7612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Ministri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përgjegjës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financat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nxjerr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udhëzim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përcaktimin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përkufizimeve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detajuara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kushteve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metodologjive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alokimin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transporti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detar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ndërkombëtar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ndihmëse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transporti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detar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ndërkombëtar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kostove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përkatëse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tyre,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Direktivën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Këshillit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(BE) 2022/2523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rregullat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GloBE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OECD-</w:t>
      </w:r>
      <w:proofErr w:type="spellStart"/>
      <w:r w:rsidRPr="0099225B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99225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58760BF" w14:textId="77777777" w:rsidR="009E6B97" w:rsidRPr="00CE4BE0" w:rsidRDefault="009E6B97" w:rsidP="004A60B9">
      <w:pPr>
        <w:pStyle w:val="Heading3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</w:p>
    <w:p w14:paraId="796CF93E" w14:textId="77777777" w:rsidR="0099225B" w:rsidRPr="0099225B" w:rsidRDefault="0099225B" w:rsidP="0099225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99225B">
        <w:rPr>
          <w:rFonts w:ascii="Times New Roman" w:hAnsi="Times New Roman" w:cs="Times New Roman"/>
          <w:sz w:val="24"/>
          <w:szCs w:val="24"/>
          <w:lang w:val="en-GB"/>
        </w:rPr>
        <w:t>Neni 18</w:t>
      </w:r>
    </w:p>
    <w:p w14:paraId="1FCDBCA0" w14:textId="4B129241" w:rsidR="0099225B" w:rsidRPr="0099225B" w:rsidRDefault="0099225B" w:rsidP="0099225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99225B">
        <w:rPr>
          <w:rFonts w:ascii="Times New Roman" w:hAnsi="Times New Roman" w:cs="Times New Roman"/>
          <w:b/>
          <w:bCs/>
          <w:sz w:val="24"/>
          <w:szCs w:val="24"/>
          <w:lang w:val="en-GB"/>
        </w:rPr>
        <w:t>Ndarja</w:t>
      </w:r>
      <w:proofErr w:type="spellEnd"/>
      <w:r w:rsidRPr="0099225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99225B">
        <w:rPr>
          <w:rFonts w:ascii="Times New Roman" w:hAnsi="Times New Roman" w:cs="Times New Roman"/>
          <w:b/>
          <w:bCs/>
          <w:sz w:val="24"/>
          <w:szCs w:val="24"/>
          <w:lang w:val="en-GB"/>
        </w:rPr>
        <w:t>ndërmjet</w:t>
      </w:r>
      <w:proofErr w:type="spellEnd"/>
      <w:r w:rsidRPr="0099225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Entitetit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K</w:t>
      </w:r>
      <w:r w:rsidRPr="0099225B">
        <w:rPr>
          <w:rFonts w:ascii="Times New Roman" w:hAnsi="Times New Roman" w:cs="Times New Roman"/>
          <w:b/>
          <w:bCs/>
          <w:sz w:val="24"/>
          <w:szCs w:val="24"/>
          <w:lang w:val="en-GB"/>
        </w:rPr>
        <w:t>ryesor</w:t>
      </w:r>
      <w:proofErr w:type="spellEnd"/>
      <w:r w:rsidRPr="0099225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99225B">
        <w:rPr>
          <w:rFonts w:ascii="Times New Roman" w:hAnsi="Times New Roman" w:cs="Times New Roman"/>
          <w:b/>
          <w:bCs/>
          <w:sz w:val="24"/>
          <w:szCs w:val="24"/>
          <w:lang w:val="en-GB"/>
        </w:rPr>
        <w:t>dhe</w:t>
      </w:r>
      <w:proofErr w:type="spellEnd"/>
      <w:r w:rsidRPr="0099225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Seli</w:t>
      </w:r>
      <w:r w:rsidRPr="0099225B">
        <w:rPr>
          <w:rFonts w:ascii="Times New Roman" w:hAnsi="Times New Roman" w:cs="Times New Roman"/>
          <w:b/>
          <w:bCs/>
          <w:sz w:val="24"/>
          <w:szCs w:val="24"/>
          <w:lang w:val="en-GB"/>
        </w:rPr>
        <w:t>së</w:t>
      </w:r>
      <w:proofErr w:type="spellEnd"/>
      <w:r w:rsidRPr="0099225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s</w:t>
      </w:r>
      <w:r w:rsidR="00FA0FBD">
        <w:rPr>
          <w:rFonts w:ascii="Times New Roman" w:hAnsi="Times New Roman" w:cs="Times New Roman"/>
          <w:b/>
          <w:bCs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P</w:t>
      </w:r>
      <w:r w:rsidRPr="0099225B">
        <w:rPr>
          <w:rFonts w:ascii="Times New Roman" w:hAnsi="Times New Roman" w:cs="Times New Roman"/>
          <w:b/>
          <w:bCs/>
          <w:sz w:val="24"/>
          <w:szCs w:val="24"/>
          <w:lang w:val="en-GB"/>
        </w:rPr>
        <w:t>ërhershme</w:t>
      </w:r>
      <w:proofErr w:type="spellEnd"/>
    </w:p>
    <w:p w14:paraId="2846BA3A" w14:textId="77777777" w:rsidR="0099225B" w:rsidRDefault="0099225B" w:rsidP="0099225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39D69557" w14:textId="3E5105C3" w:rsidR="002C4372" w:rsidRDefault="002C4372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1.</w:t>
      </w:r>
      <w:r w:rsidR="00B66D2A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Kur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>
        <w:rPr>
          <w:rFonts w:ascii="Times New Roman" w:hAnsi="Times New Roman" w:cs="Times New Roman"/>
          <w:sz w:val="24"/>
          <w:szCs w:val="24"/>
          <w:lang w:val="en-GB"/>
        </w:rPr>
        <w:t>seli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="0099225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siç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përcaktohet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shkronjat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“a”, “b”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“c”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13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4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humbja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humbja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pasqyrohen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pasqyrat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veçanta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. Kur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>
        <w:rPr>
          <w:rFonts w:ascii="Times New Roman" w:hAnsi="Times New Roman" w:cs="Times New Roman"/>
          <w:sz w:val="24"/>
          <w:szCs w:val="24"/>
          <w:lang w:val="en-GB"/>
        </w:rPr>
        <w:t>seli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pasqyra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veçanta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humbja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saj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ishte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pasqyruar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pasqyrat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saj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veçanta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ato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ishin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përgatitur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mënyrë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pavarur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standardin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përdorur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përgatitjen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pasqyrave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konsoliduara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11D7A27" w14:textId="77777777" w:rsidR="00170D6F" w:rsidRPr="00CE4BE0" w:rsidRDefault="00170D6F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E07BD43" w14:textId="597DA935" w:rsidR="002C4372" w:rsidRPr="00CE4BE0" w:rsidRDefault="002C4372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2.</w:t>
      </w:r>
      <w:r w:rsidR="00B66D2A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Kur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plotëson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përkufizimin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>
        <w:rPr>
          <w:rFonts w:ascii="Times New Roman" w:hAnsi="Times New Roman" w:cs="Times New Roman"/>
          <w:sz w:val="24"/>
          <w:szCs w:val="24"/>
          <w:lang w:val="en-GB"/>
        </w:rPr>
        <w:t>selie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shkronjave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“a”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“b”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13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4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humbja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rregullohen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pasqyruar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vetëm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shumat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elementet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shpenzimeve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atribuohen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atij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marrëveshjen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zbatueshme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legjislacionin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brendshëm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juridiksionit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ndodhet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pavarësisht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shumës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nënshtrohen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shumës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shpenzimeve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zbritshme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. Kur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plotëson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përkufizimin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9225B">
        <w:rPr>
          <w:rFonts w:ascii="Times New Roman" w:hAnsi="Times New Roman" w:cs="Times New Roman"/>
          <w:sz w:val="24"/>
          <w:szCs w:val="24"/>
          <w:lang w:val="en-GB"/>
        </w:rPr>
        <w:t>selie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shkronjës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“c”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13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4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humbja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rregullohen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pasqyruar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vetëm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shumat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elementet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shpenzimeve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t’i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ishin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atribuar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atij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nenin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7</w:t>
      </w:r>
      <w:r w:rsidR="0099225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Modelit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Konventës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OECD-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Kapitalin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ndryshuar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AA86AC6" w14:textId="77777777" w:rsidR="00170D6F" w:rsidRDefault="00170D6F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6E1637C" w14:textId="177D50BC" w:rsidR="002C4372" w:rsidRPr="00CE4BE0" w:rsidRDefault="002C4372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3.</w:t>
      </w:r>
      <w:r w:rsidR="002C78EF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Kur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plotëson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përkufizimin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>
        <w:rPr>
          <w:rFonts w:ascii="Times New Roman" w:hAnsi="Times New Roman" w:cs="Times New Roman"/>
          <w:sz w:val="24"/>
          <w:szCs w:val="24"/>
          <w:lang w:val="en-GB"/>
        </w:rPr>
        <w:t>selie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shkronjës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“d”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13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4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humbja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llogariten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bazë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shumave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elementeve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përjashtuara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ndodhet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>
        <w:rPr>
          <w:rFonts w:ascii="Times New Roman" w:hAnsi="Times New Roman" w:cs="Times New Roman"/>
          <w:sz w:val="24"/>
          <w:szCs w:val="24"/>
          <w:lang w:val="en-GB"/>
        </w:rPr>
        <w:t>selia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kryesore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atribuohen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veprimtarive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kryera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jashtë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atij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juridiksioni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shumave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elementeve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shpenzimeve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zbriten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qëllime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ndodhet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>
        <w:rPr>
          <w:rFonts w:ascii="Times New Roman" w:hAnsi="Times New Roman" w:cs="Times New Roman"/>
          <w:sz w:val="24"/>
          <w:szCs w:val="24"/>
          <w:lang w:val="en-GB"/>
        </w:rPr>
        <w:t>selia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kryesore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atribuohen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këtyre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veprimtarive</w:t>
      </w:r>
      <w:proofErr w:type="spellEnd"/>
      <w:r w:rsidR="0099225B" w:rsidRPr="0099225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52C2CA5" w14:textId="77777777" w:rsidR="00170D6F" w:rsidRDefault="00170D6F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A96C028" w14:textId="609D6203" w:rsidR="002C4372" w:rsidRPr="00CE4BE0" w:rsidRDefault="002C4372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4.</w:t>
      </w:r>
      <w:r w:rsidR="002C78EF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humbja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>
        <w:rPr>
          <w:rFonts w:ascii="Times New Roman" w:hAnsi="Times New Roman" w:cs="Times New Roman"/>
          <w:sz w:val="24"/>
          <w:szCs w:val="24"/>
          <w:lang w:val="en-GB"/>
        </w:rPr>
        <w:t>selie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merren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konsideratë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përcaktimin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>
        <w:rPr>
          <w:rFonts w:ascii="Times New Roman" w:hAnsi="Times New Roman" w:cs="Times New Roman"/>
          <w:sz w:val="24"/>
          <w:szCs w:val="24"/>
          <w:lang w:val="en-GB"/>
        </w:rPr>
        <w:t>selis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kryesore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përveç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rasteve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parashikuara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5</w:t>
      </w:r>
      <w:r w:rsidR="009B14E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00028ED" w14:textId="77777777" w:rsidR="00170D6F" w:rsidRDefault="00170D6F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3C53FF3" w14:textId="38FD02C3" w:rsidR="002C4372" w:rsidRPr="00CE4BE0" w:rsidRDefault="002C4372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lastRenderedPageBreak/>
        <w:t>5.</w:t>
      </w:r>
      <w:r w:rsidR="002C78EF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humbje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>
        <w:rPr>
          <w:rFonts w:ascii="Times New Roman" w:hAnsi="Times New Roman" w:cs="Times New Roman"/>
          <w:sz w:val="24"/>
          <w:szCs w:val="24"/>
          <w:lang w:val="en-GB"/>
        </w:rPr>
        <w:t>selie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trajtohet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shpenzim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>
        <w:rPr>
          <w:rFonts w:ascii="Times New Roman" w:hAnsi="Times New Roman" w:cs="Times New Roman"/>
          <w:sz w:val="24"/>
          <w:szCs w:val="24"/>
          <w:lang w:val="en-GB"/>
        </w:rPr>
        <w:t>selis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kryesore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saj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masën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humbja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B14E0">
        <w:rPr>
          <w:rFonts w:ascii="Times New Roman" w:hAnsi="Times New Roman" w:cs="Times New Roman"/>
          <w:sz w:val="24"/>
          <w:szCs w:val="24"/>
          <w:lang w:val="en-GB"/>
        </w:rPr>
        <w:t>selis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trajtohet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shpenzim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tatueshme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>
        <w:rPr>
          <w:rFonts w:ascii="Times New Roman" w:hAnsi="Times New Roman" w:cs="Times New Roman"/>
          <w:sz w:val="24"/>
          <w:szCs w:val="24"/>
          <w:lang w:val="en-GB"/>
        </w:rPr>
        <w:t>vendase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>
        <w:rPr>
          <w:rFonts w:ascii="Times New Roman" w:hAnsi="Times New Roman" w:cs="Times New Roman"/>
          <w:sz w:val="24"/>
          <w:szCs w:val="24"/>
          <w:lang w:val="en-GB"/>
        </w:rPr>
        <w:t>selis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kryesore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kompensohet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element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tatueshme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>
        <w:rPr>
          <w:rFonts w:ascii="Times New Roman" w:hAnsi="Times New Roman" w:cs="Times New Roman"/>
          <w:sz w:val="24"/>
          <w:szCs w:val="24"/>
          <w:lang w:val="en-GB"/>
        </w:rPr>
        <w:t>vendase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BA28C5">
        <w:rPr>
          <w:rFonts w:ascii="Times New Roman" w:hAnsi="Times New Roman" w:cs="Times New Roman"/>
          <w:sz w:val="24"/>
          <w:szCs w:val="24"/>
          <w:lang w:val="en-GB"/>
        </w:rPr>
        <w:t>selis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kryesore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ashtu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edhe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BA28C5">
        <w:rPr>
          <w:rFonts w:ascii="Times New Roman" w:hAnsi="Times New Roman" w:cs="Times New Roman"/>
          <w:sz w:val="24"/>
          <w:szCs w:val="24"/>
          <w:lang w:val="en-GB"/>
        </w:rPr>
        <w:t>selis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gjenerohen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pas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>
        <w:rPr>
          <w:rFonts w:ascii="Times New Roman" w:hAnsi="Times New Roman" w:cs="Times New Roman"/>
          <w:sz w:val="24"/>
          <w:szCs w:val="24"/>
          <w:lang w:val="en-GB"/>
        </w:rPr>
        <w:t>selia</w:t>
      </w:r>
      <w:proofErr w:type="spellEnd"/>
      <w:r w:rsid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e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trajtohen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ardhura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>
        <w:rPr>
          <w:rFonts w:ascii="Times New Roman" w:hAnsi="Times New Roman" w:cs="Times New Roman"/>
          <w:sz w:val="24"/>
          <w:szCs w:val="24"/>
          <w:lang w:val="en-GB"/>
        </w:rPr>
        <w:t>selis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kryesore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deri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masën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parë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trajtuar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shpenzim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>
        <w:rPr>
          <w:rFonts w:ascii="Times New Roman" w:hAnsi="Times New Roman" w:cs="Times New Roman"/>
          <w:sz w:val="24"/>
          <w:szCs w:val="24"/>
          <w:lang w:val="en-GB"/>
        </w:rPr>
        <w:t>selis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kryesore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fjalisë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parë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paragrafi</w:t>
      </w:r>
      <w:proofErr w:type="spellEnd"/>
      <w:r w:rsidR="009B14E0" w:rsidRPr="009B14E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00BF214" w14:textId="77777777" w:rsidR="002C78EF" w:rsidRPr="00CE4BE0" w:rsidRDefault="002C78EF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AA3043F" w14:textId="77777777" w:rsidR="00BA28C5" w:rsidRPr="00BA28C5" w:rsidRDefault="00BA28C5" w:rsidP="00BA28C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BA28C5">
        <w:rPr>
          <w:rFonts w:ascii="Times New Roman" w:hAnsi="Times New Roman" w:cs="Times New Roman"/>
          <w:sz w:val="24"/>
          <w:szCs w:val="24"/>
          <w:lang w:val="en-GB"/>
        </w:rPr>
        <w:t>Neni 19</w:t>
      </w:r>
    </w:p>
    <w:p w14:paraId="46BF5F97" w14:textId="7F0AFA27" w:rsidR="002C78EF" w:rsidRDefault="00BA28C5" w:rsidP="00BA28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BA28C5">
        <w:rPr>
          <w:rFonts w:ascii="Times New Roman" w:hAnsi="Times New Roman" w:cs="Times New Roman"/>
          <w:b/>
          <w:bCs/>
          <w:sz w:val="24"/>
          <w:szCs w:val="24"/>
          <w:lang w:val="en-GB"/>
        </w:rPr>
        <w:t>Ndarja</w:t>
      </w:r>
      <w:proofErr w:type="spellEnd"/>
      <w:r w:rsidRPr="00BA28C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 </w:t>
      </w:r>
      <w:proofErr w:type="spellStart"/>
      <w:r w:rsidRPr="00BA28C5">
        <w:rPr>
          <w:rFonts w:ascii="Times New Roman" w:hAnsi="Times New Roman" w:cs="Times New Roman"/>
          <w:b/>
          <w:bCs/>
          <w:sz w:val="24"/>
          <w:szCs w:val="24"/>
          <w:lang w:val="en-GB"/>
        </w:rPr>
        <w:t>të</w:t>
      </w:r>
      <w:proofErr w:type="spellEnd"/>
      <w:r w:rsidRPr="00BA28C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BA28C5">
        <w:rPr>
          <w:rFonts w:ascii="Times New Roman" w:hAnsi="Times New Roman" w:cs="Times New Roman"/>
          <w:b/>
          <w:bCs/>
          <w:sz w:val="24"/>
          <w:szCs w:val="24"/>
          <w:lang w:val="en-GB"/>
        </w:rPr>
        <w:t>ardhurave</w:t>
      </w:r>
      <w:proofErr w:type="spellEnd"/>
      <w:r w:rsidRPr="00BA28C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BA28C5">
        <w:rPr>
          <w:rFonts w:ascii="Times New Roman" w:hAnsi="Times New Roman" w:cs="Times New Roman"/>
          <w:b/>
          <w:bCs/>
          <w:sz w:val="24"/>
          <w:szCs w:val="24"/>
          <w:lang w:val="en-GB"/>
        </w:rPr>
        <w:t>ose</w:t>
      </w:r>
      <w:proofErr w:type="spellEnd"/>
      <w:r w:rsidRPr="00BA28C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BA28C5">
        <w:rPr>
          <w:rFonts w:ascii="Times New Roman" w:hAnsi="Times New Roman" w:cs="Times New Roman"/>
          <w:b/>
          <w:bCs/>
          <w:sz w:val="24"/>
          <w:szCs w:val="24"/>
          <w:lang w:val="en-GB"/>
        </w:rPr>
        <w:t>humbje</w:t>
      </w:r>
      <w:r w:rsidR="00222E37">
        <w:rPr>
          <w:rFonts w:ascii="Times New Roman" w:hAnsi="Times New Roman" w:cs="Times New Roman"/>
          <w:b/>
          <w:bCs/>
          <w:sz w:val="24"/>
          <w:szCs w:val="24"/>
          <w:lang w:val="en-GB"/>
        </w:rPr>
        <w:t>ve</w:t>
      </w:r>
      <w:proofErr w:type="spellEnd"/>
      <w:r w:rsidRPr="00BA28C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222E37">
        <w:rPr>
          <w:rFonts w:ascii="Times New Roman" w:hAnsi="Times New Roman" w:cs="Times New Roman"/>
          <w:b/>
          <w:bCs/>
          <w:sz w:val="24"/>
          <w:szCs w:val="24"/>
          <w:lang w:val="en-GB"/>
        </w:rPr>
        <w:t>t</w:t>
      </w:r>
      <w:r w:rsidRPr="00BA28C5">
        <w:rPr>
          <w:rFonts w:ascii="Times New Roman" w:hAnsi="Times New Roman" w:cs="Times New Roman"/>
          <w:b/>
          <w:bCs/>
          <w:sz w:val="24"/>
          <w:szCs w:val="24"/>
          <w:lang w:val="en-GB"/>
        </w:rPr>
        <w:t>ë</w:t>
      </w:r>
      <w:proofErr w:type="spellEnd"/>
      <w:r w:rsidRPr="00BA28C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BA28C5">
        <w:rPr>
          <w:rFonts w:ascii="Times New Roman" w:hAnsi="Times New Roman" w:cs="Times New Roman"/>
          <w:b/>
          <w:bCs/>
          <w:sz w:val="24"/>
          <w:szCs w:val="24"/>
          <w:lang w:val="en-GB"/>
        </w:rPr>
        <w:t>entitetit</w:t>
      </w:r>
      <w:proofErr w:type="spellEnd"/>
      <w:r w:rsidRPr="00BA28C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transparent </w:t>
      </w:r>
      <w:proofErr w:type="spellStart"/>
      <w:r w:rsidR="00222E37">
        <w:rPr>
          <w:rFonts w:ascii="Times New Roman" w:hAnsi="Times New Roman" w:cs="Times New Roman"/>
          <w:b/>
          <w:bCs/>
          <w:sz w:val="24"/>
          <w:szCs w:val="24"/>
          <w:lang w:val="en-GB"/>
        </w:rPr>
        <w:t>taimor</w:t>
      </w:r>
      <w:proofErr w:type="spellEnd"/>
    </w:p>
    <w:p w14:paraId="5EC2ECDE" w14:textId="77777777" w:rsidR="00BA28C5" w:rsidRPr="00BA28C5" w:rsidRDefault="00BA28C5" w:rsidP="00BA28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03EE2F7" w14:textId="50506A62" w:rsidR="00EF5189" w:rsidRDefault="00EF5189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1.</w:t>
      </w:r>
      <w:r w:rsidR="00593CD9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humbja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transparent </w:t>
      </w:r>
      <w:proofErr w:type="spellStart"/>
      <w:r w:rsidR="00222E37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="00222E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7F72">
        <w:rPr>
          <w:rFonts w:ascii="Times New Roman" w:hAnsi="Times New Roman" w:cs="Times New Roman"/>
          <w:sz w:val="24"/>
          <w:szCs w:val="24"/>
          <w:lang w:val="en-GB"/>
        </w:rPr>
        <w:t>reduktohet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atribuohet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pronarëve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entitete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mbajnë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interesin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e tyre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pronësor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transparent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drejtpërdrejt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përmes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zinxhiri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222E37">
        <w:rPr>
          <w:rFonts w:ascii="Times New Roman" w:hAnsi="Times New Roman" w:cs="Times New Roman"/>
          <w:sz w:val="24"/>
          <w:szCs w:val="24"/>
          <w:lang w:val="en-GB"/>
        </w:rPr>
        <w:t>entitetesh</w:t>
      </w:r>
      <w:proofErr w:type="spellEnd"/>
      <w:r w:rsidR="00BA28C5" w:rsidRPr="00222E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85A8A" w:rsidRPr="00222E37">
        <w:rPr>
          <w:rFonts w:ascii="Times New Roman" w:hAnsi="Times New Roman" w:cs="Times New Roman"/>
          <w:sz w:val="24"/>
          <w:szCs w:val="24"/>
          <w:lang w:val="en-GB"/>
        </w:rPr>
        <w:t xml:space="preserve">me </w:t>
      </w:r>
      <w:proofErr w:type="spellStart"/>
      <w:r w:rsidR="00BA28C5" w:rsidRPr="00222E37">
        <w:rPr>
          <w:rFonts w:ascii="Times New Roman" w:hAnsi="Times New Roman" w:cs="Times New Roman"/>
          <w:sz w:val="24"/>
          <w:szCs w:val="24"/>
          <w:lang w:val="en-GB"/>
        </w:rPr>
        <w:t>transparen</w:t>
      </w:r>
      <w:r w:rsidR="00085A8A" w:rsidRPr="00222E37">
        <w:rPr>
          <w:rFonts w:ascii="Times New Roman" w:hAnsi="Times New Roman" w:cs="Times New Roman"/>
          <w:sz w:val="24"/>
          <w:szCs w:val="24"/>
          <w:lang w:val="en-GB"/>
        </w:rPr>
        <w:t>cë</w:t>
      </w:r>
      <w:proofErr w:type="spellEnd"/>
      <w:r w:rsidR="00085A8A" w:rsidRPr="00222E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85A8A" w:rsidRPr="00222E37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përveç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rasteve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67ED486D" w14:textId="77777777" w:rsidR="00466978" w:rsidRPr="00CE4BE0" w:rsidRDefault="00466978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2ACDB98" w14:textId="462AB4E0" w:rsidR="00BA28C5" w:rsidRPr="00BA28C5" w:rsidRDefault="00BA28C5" w:rsidP="00BA28C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BA28C5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transparent </w:t>
      </w:r>
      <w:proofErr w:type="spellStart"/>
      <w:r w:rsidR="00222E37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A28C5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A28C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A28C5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A28C5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A28C5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BA28C5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</w:p>
    <w:p w14:paraId="704445FF" w14:textId="07B846D1" w:rsidR="00BA28C5" w:rsidRDefault="00BA28C5" w:rsidP="00BA28C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A28C5">
        <w:rPr>
          <w:rFonts w:ascii="Times New Roman" w:hAnsi="Times New Roman" w:cs="Times New Roman"/>
          <w:sz w:val="24"/>
          <w:szCs w:val="24"/>
          <w:lang w:val="en-GB"/>
        </w:rPr>
        <w:t>b)</w:t>
      </w:r>
      <w:r w:rsid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A28C5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transparent </w:t>
      </w:r>
      <w:proofErr w:type="spellStart"/>
      <w:r w:rsidR="00222E37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A28C5">
        <w:rPr>
          <w:rFonts w:ascii="Times New Roman" w:hAnsi="Times New Roman" w:cs="Times New Roman"/>
          <w:sz w:val="24"/>
          <w:szCs w:val="24"/>
          <w:lang w:val="en-GB"/>
        </w:rPr>
        <w:t>mbahet</w:t>
      </w:r>
      <w:proofErr w:type="spellEnd"/>
      <w:r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A28C5">
        <w:rPr>
          <w:rFonts w:ascii="Times New Roman" w:hAnsi="Times New Roman" w:cs="Times New Roman"/>
          <w:sz w:val="24"/>
          <w:szCs w:val="24"/>
          <w:lang w:val="en-GB"/>
        </w:rPr>
        <w:t>drejtpërdrejt</w:t>
      </w:r>
      <w:proofErr w:type="spellEnd"/>
      <w:r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A28C5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A28C5">
        <w:rPr>
          <w:rFonts w:ascii="Times New Roman" w:hAnsi="Times New Roman" w:cs="Times New Roman"/>
          <w:sz w:val="24"/>
          <w:szCs w:val="24"/>
          <w:lang w:val="en-GB"/>
        </w:rPr>
        <w:t>përmes</w:t>
      </w:r>
      <w:proofErr w:type="spellEnd"/>
      <w:r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A28C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A28C5">
        <w:rPr>
          <w:rFonts w:ascii="Times New Roman" w:hAnsi="Times New Roman" w:cs="Times New Roman"/>
          <w:sz w:val="24"/>
          <w:szCs w:val="24"/>
          <w:lang w:val="en-GB"/>
        </w:rPr>
        <w:t>zinxhiri</w:t>
      </w:r>
      <w:proofErr w:type="spellEnd"/>
      <w:r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A28C5">
        <w:rPr>
          <w:rFonts w:ascii="Times New Roman" w:hAnsi="Times New Roman" w:cs="Times New Roman"/>
          <w:sz w:val="24"/>
          <w:szCs w:val="24"/>
          <w:lang w:val="en-GB"/>
        </w:rPr>
        <w:t>entitetesh</w:t>
      </w:r>
      <w:proofErr w:type="spellEnd"/>
      <w:r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A28C5">
        <w:rPr>
          <w:rFonts w:ascii="Times New Roman" w:hAnsi="Times New Roman" w:cs="Times New Roman"/>
          <w:sz w:val="24"/>
          <w:szCs w:val="24"/>
          <w:lang w:val="en-GB"/>
        </w:rPr>
        <w:t>tatimisht</w:t>
      </w:r>
      <w:proofErr w:type="spellEnd"/>
      <w:r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A28C5">
        <w:rPr>
          <w:rFonts w:ascii="Times New Roman" w:hAnsi="Times New Roman" w:cs="Times New Roman"/>
          <w:sz w:val="24"/>
          <w:szCs w:val="24"/>
          <w:lang w:val="en-GB"/>
        </w:rPr>
        <w:t>transparente</w:t>
      </w:r>
      <w:proofErr w:type="spellEnd"/>
      <w:r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A28C5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A28C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A28C5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A28C5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A28C5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A28C5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A28C5">
        <w:rPr>
          <w:rFonts w:ascii="Times New Roman" w:hAnsi="Times New Roman" w:cs="Times New Roman"/>
          <w:sz w:val="24"/>
          <w:szCs w:val="24"/>
          <w:lang w:val="en-GB"/>
        </w:rPr>
        <w:t>për</w:t>
      </w:r>
      <w:r>
        <w:rPr>
          <w:rFonts w:ascii="Times New Roman" w:hAnsi="Times New Roman" w:cs="Times New Roman"/>
          <w:sz w:val="24"/>
          <w:szCs w:val="24"/>
          <w:lang w:val="en-GB"/>
        </w:rPr>
        <w:t>caktuar</w:t>
      </w:r>
      <w:proofErr w:type="spellEnd"/>
      <w:r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A28C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A28C5">
        <w:rPr>
          <w:rFonts w:ascii="Times New Roman" w:hAnsi="Times New Roman" w:cs="Times New Roman"/>
          <w:sz w:val="24"/>
          <w:szCs w:val="24"/>
          <w:lang w:val="en-GB"/>
        </w:rPr>
        <w:t>shkronjën</w:t>
      </w:r>
      <w:proofErr w:type="spellEnd"/>
      <w:r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“a” </w:t>
      </w:r>
      <w:proofErr w:type="spellStart"/>
      <w:r w:rsidRPr="00BA28C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A28C5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A28C5">
        <w:rPr>
          <w:rFonts w:ascii="Times New Roman" w:hAnsi="Times New Roman" w:cs="Times New Roman"/>
          <w:sz w:val="24"/>
          <w:szCs w:val="24"/>
          <w:lang w:val="en-GB"/>
        </w:rPr>
        <w:t>paragrafi</w:t>
      </w:r>
      <w:proofErr w:type="spellEnd"/>
      <w:r w:rsidRPr="00BA28C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77190E2" w14:textId="77777777" w:rsidR="00222E37" w:rsidRDefault="00222E37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42D2C44" w14:textId="267C5E54" w:rsidR="00EF5189" w:rsidRDefault="00EF5189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2.</w:t>
      </w:r>
      <w:r w:rsidR="00593CD9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humbja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transparent </w:t>
      </w:r>
      <w:proofErr w:type="spellStart"/>
      <w:r w:rsidR="00222E37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="00BA28C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ulen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humbjen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alokohet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tjetër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ED9A855" w14:textId="77777777" w:rsidR="00466978" w:rsidRPr="00CE4BE0" w:rsidRDefault="00466978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722E3E0" w14:textId="450AF3B1" w:rsidR="00EF5189" w:rsidRPr="00CE4BE0" w:rsidRDefault="00EF5189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3.</w:t>
      </w:r>
      <w:r w:rsidR="00593CD9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Kur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transparent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ushtron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plotësisht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pjesërisht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veprimtarinë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përmes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>
        <w:rPr>
          <w:rFonts w:ascii="Times New Roman" w:hAnsi="Times New Roman" w:cs="Times New Roman"/>
          <w:sz w:val="24"/>
          <w:szCs w:val="24"/>
          <w:lang w:val="en-GB"/>
        </w:rPr>
        <w:t>selie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humbja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mbeten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pas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zbatimit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1</w:t>
      </w:r>
      <w:r w:rsidR="00BA28C5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BA28C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alokohen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asaj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>
        <w:rPr>
          <w:rFonts w:ascii="Times New Roman" w:hAnsi="Times New Roman" w:cs="Times New Roman"/>
          <w:sz w:val="24"/>
          <w:szCs w:val="24"/>
          <w:lang w:val="en-GB"/>
        </w:rPr>
        <w:t>selie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nenin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18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A9A2487" w14:textId="77777777" w:rsidR="00466978" w:rsidRDefault="00466978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7C68A0A" w14:textId="08AEB23D" w:rsidR="00EF5189" w:rsidRPr="00CE4BE0" w:rsidRDefault="00EF5189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4.</w:t>
      </w:r>
      <w:r w:rsidR="00593CD9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Kur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>transparencë</w:t>
      </w:r>
      <w:proofErr w:type="spellEnd"/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humbja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transparent </w:t>
      </w:r>
      <w:proofErr w:type="spellStart"/>
      <w:r w:rsidR="00222E37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="00BA28C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mbeten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pas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zbatimit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paragrafëve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1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3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, u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alokohen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pronarëve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entitete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interesat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e tyre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pronësore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entitetin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bookmarkStart w:id="6" w:name="_Hlk231319264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transparent </w:t>
      </w:r>
      <w:proofErr w:type="spellStart"/>
      <w:r w:rsidR="005961ED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="00BA28C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bookmarkEnd w:id="6"/>
    <w:p w14:paraId="1580BB87" w14:textId="77777777" w:rsidR="00466978" w:rsidRDefault="00466978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718AE12" w14:textId="40BA87D0" w:rsidR="00EF5189" w:rsidRPr="00CE4BE0" w:rsidRDefault="00EF5189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5.</w:t>
      </w:r>
      <w:r w:rsidR="00593CD9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Kur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transparent </w:t>
      </w:r>
      <w:proofErr w:type="spellStart"/>
      <w:r w:rsidR="005961ED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me </w:t>
      </w:r>
      <w:proofErr w:type="spellStart"/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>transparencë</w:t>
      </w:r>
      <w:proofErr w:type="spellEnd"/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hibrid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kundërt</w:t>
      </w:r>
      <w:proofErr w:type="spellEnd"/>
      <w:r w:rsidR="00F72B3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ardhur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humbje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transparent </w:t>
      </w:r>
      <w:proofErr w:type="spellStart"/>
      <w:r w:rsidR="005961ED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="00F72B3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mbetet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pas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zbatimit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paragrafëve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1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3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alokohet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hibrid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kundërt</w:t>
      </w:r>
      <w:proofErr w:type="spellEnd"/>
      <w:r w:rsidR="00BA28C5" w:rsidRPr="00BA28C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C6FF343" w14:textId="77777777" w:rsidR="00466978" w:rsidRDefault="00466978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8DA9891" w14:textId="1DC29C41" w:rsidR="00EF5189" w:rsidRPr="00CE4BE0" w:rsidRDefault="00EF5189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6.</w:t>
      </w:r>
      <w:r w:rsidR="00593CD9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>Paragrafët</w:t>
      </w:r>
      <w:proofErr w:type="spellEnd"/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3, 4 </w:t>
      </w:r>
      <w:proofErr w:type="spellStart"/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5 </w:t>
      </w:r>
      <w:proofErr w:type="spellStart"/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>zbatohen</w:t>
      </w:r>
      <w:proofErr w:type="spellEnd"/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>mënyrë</w:t>
      </w:r>
      <w:proofErr w:type="spellEnd"/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>veçantë</w:t>
      </w:r>
      <w:proofErr w:type="spellEnd"/>
      <w:r w:rsid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>interes</w:t>
      </w:r>
      <w:proofErr w:type="spellEnd"/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>pronësor</w:t>
      </w:r>
      <w:proofErr w:type="spellEnd"/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>entitetin</w:t>
      </w:r>
      <w:proofErr w:type="spellEnd"/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transparent </w:t>
      </w:r>
      <w:proofErr w:type="spellStart"/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F72B34" w:rsidRPr="00F72B3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D4C0B27" w14:textId="77777777" w:rsidR="00EF5189" w:rsidRPr="00CE4BE0" w:rsidRDefault="00EF5189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4E9285F" w14:textId="77777777" w:rsidR="00F72B34" w:rsidRPr="00F72B34" w:rsidRDefault="00F72B34" w:rsidP="00F72B3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bookmarkStart w:id="7" w:name="_Hlk213241219"/>
      <w:bookmarkEnd w:id="5"/>
      <w:r w:rsidRPr="00F72B34">
        <w:rPr>
          <w:rFonts w:ascii="Times New Roman" w:hAnsi="Times New Roman" w:cs="Times New Roman"/>
          <w:sz w:val="24"/>
          <w:szCs w:val="24"/>
          <w:lang w:val="en-GB"/>
        </w:rPr>
        <w:t>KAPITULLI IV</w:t>
      </w:r>
    </w:p>
    <w:p w14:paraId="7FBE7643" w14:textId="68104F07" w:rsidR="00F72B34" w:rsidRPr="00F72B34" w:rsidRDefault="00F72B34" w:rsidP="00F72B3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72B3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LLOGARITJA E TATIMEVE TË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MBULUARA</w:t>
      </w:r>
      <w:r w:rsidRPr="00F72B3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TË </w:t>
      </w:r>
      <w:r w:rsidR="00350AFB">
        <w:rPr>
          <w:rFonts w:ascii="Times New Roman" w:hAnsi="Times New Roman" w:cs="Times New Roman"/>
          <w:b/>
          <w:bCs/>
          <w:sz w:val="24"/>
          <w:szCs w:val="24"/>
          <w:lang w:val="en-GB"/>
        </w:rPr>
        <w:t>KORRIGJUARA</w:t>
      </w:r>
    </w:p>
    <w:p w14:paraId="48CBD98E" w14:textId="77777777" w:rsidR="00F72B34" w:rsidRPr="00F72B34" w:rsidRDefault="00F72B34" w:rsidP="00F72B3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4F66081B" w14:textId="77777777" w:rsidR="00F72B34" w:rsidRPr="00F72B34" w:rsidRDefault="00F72B34" w:rsidP="00F72B3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F72B34">
        <w:rPr>
          <w:rFonts w:ascii="Times New Roman" w:hAnsi="Times New Roman" w:cs="Times New Roman"/>
          <w:sz w:val="24"/>
          <w:szCs w:val="24"/>
          <w:lang w:val="en-GB"/>
        </w:rPr>
        <w:t>Neni 20</w:t>
      </w:r>
    </w:p>
    <w:p w14:paraId="422B07B9" w14:textId="3512F539" w:rsidR="00A40AE0" w:rsidRPr="00F72B34" w:rsidRDefault="004D113F" w:rsidP="00F72B3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T</w:t>
      </w:r>
      <w:r w:rsidR="00F72B34" w:rsidRPr="00F72B34">
        <w:rPr>
          <w:rFonts w:ascii="Times New Roman" w:hAnsi="Times New Roman" w:cs="Times New Roman"/>
          <w:b/>
          <w:bCs/>
          <w:sz w:val="24"/>
          <w:szCs w:val="24"/>
          <w:lang w:val="en-GB"/>
        </w:rPr>
        <w:t>atime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</w:t>
      </w:r>
      <w:r w:rsidR="00F72B34" w:rsidRPr="00F72B3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F72B34">
        <w:rPr>
          <w:rFonts w:ascii="Times New Roman" w:hAnsi="Times New Roman" w:cs="Times New Roman"/>
          <w:b/>
          <w:bCs/>
          <w:sz w:val="24"/>
          <w:szCs w:val="24"/>
          <w:lang w:val="en-GB"/>
        </w:rPr>
        <w:t>mbuluara</w:t>
      </w:r>
      <w:proofErr w:type="spellEnd"/>
    </w:p>
    <w:p w14:paraId="4DE12395" w14:textId="77777777" w:rsidR="00F72B34" w:rsidRPr="00CE4BE0" w:rsidRDefault="00F72B34" w:rsidP="00F72B3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BE68E48" w14:textId="70AB7003" w:rsidR="00F72B34" w:rsidRPr="00F72B34" w:rsidRDefault="00F72B34" w:rsidP="00F72B3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1.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përfshijnë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6ED1A60" w14:textId="77777777" w:rsidR="00F72B34" w:rsidRPr="00F72B34" w:rsidRDefault="00F72B34" w:rsidP="00F72B3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216CB3B" w14:textId="3074EA80" w:rsidR="00F72B34" w:rsidRPr="00F72B34" w:rsidRDefault="00F72B34" w:rsidP="00F72B3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regjistruara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llogaritë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fitimet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pjesën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fitimeve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mban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interes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pronësor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4933B2B" w14:textId="1054FF8D" w:rsidR="00F72B34" w:rsidRPr="00F72B34" w:rsidRDefault="00F72B34" w:rsidP="00F72B3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fitimet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shpërndara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shpërndarjet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supozuara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fitimit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shpenzimet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jo-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biznesore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sistemi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pranueshëm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shpërndarjet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96320F7" w14:textId="27DC8FE7" w:rsidR="00F72B34" w:rsidRPr="00F72B34" w:rsidRDefault="00F72B34" w:rsidP="00F72B3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c)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vend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korporatave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zbatim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përgjithshëm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734B2BEB" w14:textId="5ACB3B3C" w:rsidR="006104D9" w:rsidRDefault="00F72B34" w:rsidP="00F72B3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d)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bazë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fitimeve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pashpërndara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kapitalit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shoqërisë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përfshirë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komponentë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shumëfishtë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bazuar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ardhura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2B34">
        <w:rPr>
          <w:rFonts w:ascii="Times New Roman" w:hAnsi="Times New Roman" w:cs="Times New Roman"/>
          <w:sz w:val="24"/>
          <w:szCs w:val="24"/>
          <w:lang w:val="en-GB"/>
        </w:rPr>
        <w:t>kapital</w:t>
      </w:r>
      <w:proofErr w:type="spellEnd"/>
      <w:r w:rsidRPr="00F72B3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29E8E5C" w14:textId="7EC2C9C3" w:rsidR="00674691" w:rsidRPr="00674691" w:rsidRDefault="00674691" w:rsidP="00674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2.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përfshijnë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57C834B0" w14:textId="77777777" w:rsidR="00674691" w:rsidRPr="00674691" w:rsidRDefault="00674691" w:rsidP="00674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585BE26" w14:textId="12311D61" w:rsidR="00674691" w:rsidRPr="00674691" w:rsidRDefault="00674691" w:rsidP="00674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përllogaritur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bazë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667C0" w:rsidRPr="005961ED">
        <w:rPr>
          <w:rFonts w:ascii="Times New Roman" w:hAnsi="Times New Roman" w:cs="Times New Roman"/>
          <w:sz w:val="24"/>
          <w:szCs w:val="24"/>
          <w:lang w:val="en-GB"/>
        </w:rPr>
        <w:t>RPA</w:t>
      </w:r>
      <w:r w:rsidRPr="005961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61E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61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61ED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5961ED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761B1E3" w14:textId="62A2CD17" w:rsidR="00674691" w:rsidRPr="00674691" w:rsidRDefault="00674691" w:rsidP="00674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përllogaritur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bazë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CC4465E" w14:textId="1AA2D4B5" w:rsidR="00674691" w:rsidRPr="00674691" w:rsidRDefault="00674691" w:rsidP="00674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c)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atribuohen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rregullimi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bërë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rezultat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zbatimit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16EE1" w:rsidRPr="00B16EE1">
        <w:rPr>
          <w:rFonts w:ascii="Times New Roman" w:hAnsi="Times New Roman" w:cs="Times New Roman"/>
          <w:sz w:val="24"/>
          <w:szCs w:val="24"/>
          <w:lang w:val="en-GB"/>
        </w:rPr>
        <w:t>RFN-je</w:t>
      </w:r>
      <w:r w:rsidRPr="00B16E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16EE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B16E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16EE1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B16EE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A6F8DE5" w14:textId="73C6E610" w:rsidR="00674691" w:rsidRPr="00674691" w:rsidRDefault="00674691" w:rsidP="00674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d)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kreditë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rimbursueshme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skualifikuara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75DA46DC" w14:textId="5C2BDB53" w:rsidR="006104D9" w:rsidRDefault="00674691" w:rsidP="00674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e)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paguara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shoqëri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sigurimi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pagesat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mbajtësit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policave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sigurimit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90B71CC" w14:textId="77777777" w:rsidR="00674691" w:rsidRDefault="00674691" w:rsidP="00674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63CBA2A" w14:textId="63786D15" w:rsidR="00104152" w:rsidRPr="00CE4BE0" w:rsidRDefault="001E2974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3.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B94D2B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fitim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humbje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rrjedh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tjetërsimi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aktiveve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materiale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vendore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siç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përcaktohet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nënparagrafin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parë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7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15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bëhet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zgjedhja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parashikuar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nënparagraf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përjashtohen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llogaritja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tatimeve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E1B72EC" w14:textId="77777777" w:rsidR="002C293C" w:rsidRPr="00CE4BE0" w:rsidRDefault="002C293C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4796A09" w14:textId="77777777" w:rsidR="00674691" w:rsidRPr="00674691" w:rsidRDefault="00674691" w:rsidP="0067469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674691">
        <w:rPr>
          <w:rFonts w:ascii="Times New Roman" w:hAnsi="Times New Roman" w:cs="Times New Roman"/>
          <w:sz w:val="24"/>
          <w:szCs w:val="24"/>
          <w:lang w:val="en-GB"/>
        </w:rPr>
        <w:t>Neni 21</w:t>
      </w:r>
    </w:p>
    <w:p w14:paraId="2942423C" w14:textId="04C32050" w:rsidR="00AE7DC6" w:rsidRPr="00674691" w:rsidRDefault="004D113F" w:rsidP="006746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T</w:t>
      </w:r>
      <w:r w:rsidR="00674691" w:rsidRPr="00674691">
        <w:rPr>
          <w:rFonts w:ascii="Times New Roman" w:hAnsi="Times New Roman" w:cs="Times New Roman"/>
          <w:b/>
          <w:bCs/>
          <w:sz w:val="24"/>
          <w:szCs w:val="24"/>
          <w:lang w:val="en-GB"/>
        </w:rPr>
        <w:t>atime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 </w:t>
      </w:r>
      <w:proofErr w:type="spellStart"/>
      <w:r w:rsidR="00674691">
        <w:rPr>
          <w:rFonts w:ascii="Times New Roman" w:hAnsi="Times New Roman" w:cs="Times New Roman"/>
          <w:b/>
          <w:bCs/>
          <w:sz w:val="24"/>
          <w:szCs w:val="24"/>
          <w:lang w:val="en-GB"/>
        </w:rPr>
        <w:t>mbuluara</w:t>
      </w:r>
      <w:proofErr w:type="spellEnd"/>
      <w:r w:rsidR="00674691" w:rsidRPr="0067469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b/>
          <w:bCs/>
          <w:sz w:val="24"/>
          <w:szCs w:val="24"/>
          <w:lang w:val="en-GB"/>
        </w:rPr>
        <w:t>të</w:t>
      </w:r>
      <w:proofErr w:type="spellEnd"/>
      <w:r w:rsidR="00674691" w:rsidRPr="0067469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2C5BA4">
        <w:rPr>
          <w:rFonts w:ascii="Times New Roman" w:hAnsi="Times New Roman" w:cs="Times New Roman"/>
          <w:b/>
          <w:bCs/>
          <w:sz w:val="24"/>
          <w:szCs w:val="24"/>
          <w:lang w:val="en-GB"/>
        </w:rPr>
        <w:t>korrigjuara</w:t>
      </w:r>
      <w:proofErr w:type="spellEnd"/>
    </w:p>
    <w:p w14:paraId="150EE308" w14:textId="77777777" w:rsidR="00674691" w:rsidRPr="00CE4BE0" w:rsidRDefault="00674691" w:rsidP="0067469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4281BA26" w14:textId="4CBB62AC" w:rsidR="00674691" w:rsidRPr="00674691" w:rsidRDefault="00674691" w:rsidP="00674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1.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C5BA4">
        <w:rPr>
          <w:rFonts w:ascii="Times New Roman" w:hAnsi="Times New Roman" w:cs="Times New Roman"/>
          <w:sz w:val="24"/>
          <w:szCs w:val="24"/>
          <w:lang w:val="en-GB"/>
        </w:rPr>
        <w:t>korrigjuara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përcaktohen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duke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rregulluar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shpenzimit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aktual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përllogaritur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humbjen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>, me:</w:t>
      </w:r>
    </w:p>
    <w:p w14:paraId="05CF10C3" w14:textId="77777777" w:rsidR="00674691" w:rsidRPr="00674691" w:rsidRDefault="00674691" w:rsidP="00674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E217F3C" w14:textId="0D3FD2A0" w:rsidR="00674691" w:rsidRPr="00674691" w:rsidRDefault="00674691" w:rsidP="00674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shtesave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zbritjeve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ndaj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tatimeve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4D2B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siç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përcaktohet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paragrafët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2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3</w:t>
      </w:r>
      <w:r w:rsidR="00B94D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E6B11CF" w14:textId="28C92289" w:rsidR="00674691" w:rsidRPr="00674691" w:rsidRDefault="00674691" w:rsidP="00674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totale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rregullimit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tatimeve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shtyra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siç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përcaktohet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nenin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22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674691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045C4CDB" w14:textId="44A5C04F" w:rsidR="00D811F4" w:rsidRDefault="00674691" w:rsidP="00674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c)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rritje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ulje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tatimeve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4D2B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regjistruara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kapital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tjera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61ED">
        <w:rPr>
          <w:rFonts w:ascii="Times New Roman" w:hAnsi="Times New Roman" w:cs="Times New Roman"/>
          <w:sz w:val="24"/>
          <w:szCs w:val="24"/>
          <w:lang w:val="en-GB"/>
        </w:rPr>
        <w:t>gjithëpërfshirëse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shumat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përfshira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cilat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t’i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nënshtrohen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rregullave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vendase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46192BB" w14:textId="77777777" w:rsidR="00674691" w:rsidRPr="00CE4BE0" w:rsidRDefault="00674691" w:rsidP="00674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5E8E0F2" w14:textId="6242B042" w:rsidR="00674691" w:rsidRPr="00674691" w:rsidRDefault="00674691" w:rsidP="00674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2.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Shtesat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përfshijnë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520A5E5B" w14:textId="77777777" w:rsidR="00674691" w:rsidRPr="00674691" w:rsidRDefault="00674691" w:rsidP="00674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9A87639" w14:textId="538955ED" w:rsidR="00674691" w:rsidRPr="00674691" w:rsidRDefault="00674691" w:rsidP="00674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tatimeve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përllogaritura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shpenzim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fitimin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para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pasqyrat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B0A454B" w14:textId="1091DB60" w:rsidR="00674691" w:rsidRDefault="00674691" w:rsidP="00674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aktivit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lidhet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humbjen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përdorur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23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674691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35DCD18" w14:textId="67FC559F" w:rsidR="00674691" w:rsidRPr="0054429F" w:rsidRDefault="0054429F" w:rsidP="0054429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4429F">
        <w:rPr>
          <w:rFonts w:ascii="Times New Roman" w:hAnsi="Times New Roman" w:cs="Times New Roman"/>
          <w:sz w:val="24"/>
          <w:szCs w:val="24"/>
          <w:lang w:val="en-GB"/>
        </w:rPr>
        <w:t xml:space="preserve">c)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tatimeve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lidhet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pozicion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pasigurt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, e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përjashtuar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parë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shkronjës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“d”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3</w:t>
      </w:r>
      <w:r w:rsidR="0067469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paguhet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0116C7E5" w14:textId="77777777" w:rsidR="00674691" w:rsidRDefault="0054429F" w:rsidP="00674691">
      <w:pPr>
        <w:spacing w:after="0"/>
        <w:jc w:val="both"/>
      </w:pPr>
      <w:r w:rsidRPr="0054429F">
        <w:rPr>
          <w:rFonts w:ascii="Times New Roman" w:hAnsi="Times New Roman" w:cs="Times New Roman"/>
          <w:sz w:val="24"/>
          <w:szCs w:val="24"/>
          <w:lang w:val="en-GB"/>
        </w:rPr>
        <w:t xml:space="preserve">d)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kredie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rimbursimi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kredi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rimbursueshme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, e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cila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përllogaritur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ulje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shpenzimit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aktual</w:t>
      </w:r>
      <w:proofErr w:type="spellEnd"/>
      <w:r w:rsidR="00674691" w:rsidRPr="0067469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674691" w:rsidRPr="00674691">
        <w:t xml:space="preserve"> </w:t>
      </w:r>
    </w:p>
    <w:p w14:paraId="197AF1FD" w14:textId="77777777" w:rsidR="00674691" w:rsidRDefault="00674691" w:rsidP="00674691">
      <w:pPr>
        <w:spacing w:after="0"/>
        <w:jc w:val="both"/>
      </w:pPr>
    </w:p>
    <w:p w14:paraId="76622370" w14:textId="1210D682" w:rsidR="00674691" w:rsidRPr="00674691" w:rsidRDefault="00674691" w:rsidP="00674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Reduktimet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përfshijnë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2DF667B0" w14:textId="77777777" w:rsidR="00674691" w:rsidRPr="00674691" w:rsidRDefault="00674691" w:rsidP="00674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50EB035" w14:textId="56B24A1A" w:rsidR="00674691" w:rsidRPr="00674691" w:rsidRDefault="00674691" w:rsidP="00674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shpenzimit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aktual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përjashtuara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llogaritja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Kapitullit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III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674691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597B7A7" w14:textId="10D19B98" w:rsidR="00674691" w:rsidRPr="00674691" w:rsidRDefault="00674691" w:rsidP="00674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kredie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rimbursimi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kredi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rimbursueshme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jo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regjistruar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redkutim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shpenzimit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aktual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714539F" w14:textId="544AC905" w:rsidR="00674691" w:rsidRPr="00674691" w:rsidRDefault="00674691" w:rsidP="00674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c)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tatimesh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rimbursuara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kredituara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trajtuar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rregullim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shpenzimit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aktual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pasqyrat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përveç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rasteve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lidhen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kredi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rimbursueshme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707A21E" w14:textId="540EA480" w:rsidR="00674691" w:rsidRPr="00674691" w:rsidRDefault="00674691" w:rsidP="00674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d)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shpenzimit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aktual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lidhet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pozicion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pasigurt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6F9695D2" w14:textId="647F8DB6" w:rsidR="004F59C6" w:rsidRPr="00CE4BE0" w:rsidRDefault="00674691" w:rsidP="009B5F7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e)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shpenzimit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aktual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pritet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paguhet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brenda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tre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viteve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pas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përfundimit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4691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67469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46A72AD" w14:textId="77777777" w:rsidR="00674691" w:rsidRDefault="00674691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B9E6082" w14:textId="4BC53082" w:rsidR="00D811F4" w:rsidRPr="00CE4BE0" w:rsidRDefault="00D811F4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4.</w:t>
      </w:r>
      <w:r w:rsidR="000766AC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llogaritjes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tatimeve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50AFB">
        <w:rPr>
          <w:rFonts w:ascii="Times New Roman" w:hAnsi="Times New Roman" w:cs="Times New Roman"/>
          <w:sz w:val="24"/>
          <w:szCs w:val="24"/>
          <w:lang w:val="en-GB"/>
        </w:rPr>
        <w:t>korrigjuara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4D2B">
        <w:rPr>
          <w:rFonts w:ascii="Times New Roman" w:hAnsi="Times New Roman" w:cs="Times New Roman"/>
          <w:sz w:val="24"/>
          <w:szCs w:val="24"/>
          <w:lang w:val="en-GB"/>
        </w:rPr>
        <w:t>mbuluar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përshkruhet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pikë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paragrafët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1, 2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3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ajo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merret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konsideratë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vetëm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herë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404AF83" w14:textId="77777777" w:rsidR="004F59C6" w:rsidRDefault="004F59C6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F90DFE4" w14:textId="5B51DB03" w:rsidR="00D811F4" w:rsidRPr="00CE4BE0" w:rsidRDefault="00D811F4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5.</w:t>
      </w:r>
      <w:r w:rsidR="000766AC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Kur,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ardhura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tatimeve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51B7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="00E051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51B7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E051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51B7">
        <w:rPr>
          <w:rFonts w:ascii="Times New Roman" w:hAnsi="Times New Roman" w:cs="Times New Roman"/>
          <w:sz w:val="24"/>
          <w:szCs w:val="24"/>
          <w:lang w:val="en-GB"/>
        </w:rPr>
        <w:t>korrigjuara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negative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vogël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humbjen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shumëzuar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normën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minimale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( “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B5F75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51B7">
        <w:rPr>
          <w:rFonts w:ascii="Times New Roman" w:hAnsi="Times New Roman" w:cs="Times New Roman"/>
          <w:sz w:val="24"/>
          <w:szCs w:val="24"/>
          <w:lang w:val="en-GB"/>
        </w:rPr>
        <w:t>korrigjuara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pritshme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”),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diferenca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midis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shumës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tatimeve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51B7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51B7">
        <w:rPr>
          <w:rFonts w:ascii="Times New Roman" w:hAnsi="Times New Roman" w:cs="Times New Roman"/>
          <w:sz w:val="24"/>
          <w:szCs w:val="24"/>
          <w:lang w:val="en-GB"/>
        </w:rPr>
        <w:t>korrigjuara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shumës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tatimeve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51B7">
        <w:rPr>
          <w:rFonts w:ascii="Times New Roman" w:hAnsi="Times New Roman" w:cs="Times New Roman"/>
          <w:sz w:val="24"/>
          <w:szCs w:val="24"/>
          <w:lang w:val="en-GB"/>
        </w:rPr>
        <w:t>korrigjuara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pritshme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trajtohet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tatim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51B7">
        <w:rPr>
          <w:rFonts w:ascii="Times New Roman" w:hAnsi="Times New Roman" w:cs="Times New Roman"/>
          <w:sz w:val="24"/>
          <w:szCs w:val="24"/>
          <w:lang w:val="en-GB"/>
        </w:rPr>
        <w:lastRenderedPageBreak/>
        <w:t>plot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E051B7">
        <w:rPr>
          <w:rFonts w:ascii="Times New Roman" w:hAnsi="Times New Roman" w:cs="Times New Roman"/>
          <w:sz w:val="24"/>
          <w:szCs w:val="24"/>
          <w:lang w:val="en-GB"/>
        </w:rPr>
        <w:t>sues</w:t>
      </w:r>
      <w:proofErr w:type="spellEnd"/>
      <w:r w:rsid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. Shuma e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E051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51B7">
        <w:rPr>
          <w:rFonts w:ascii="Times New Roman" w:hAnsi="Times New Roman" w:cs="Times New Roman"/>
          <w:sz w:val="24"/>
          <w:szCs w:val="24"/>
          <w:lang w:val="en-GB"/>
        </w:rPr>
        <w:t>plot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E051B7">
        <w:rPr>
          <w:rFonts w:ascii="Times New Roman" w:hAnsi="Times New Roman" w:cs="Times New Roman"/>
          <w:sz w:val="24"/>
          <w:szCs w:val="24"/>
          <w:lang w:val="en-GB"/>
        </w:rPr>
        <w:t>sues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51B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E051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51B7">
        <w:rPr>
          <w:rFonts w:ascii="Times New Roman" w:hAnsi="Times New Roman" w:cs="Times New Roman"/>
          <w:sz w:val="24"/>
          <w:szCs w:val="24"/>
          <w:lang w:val="en-GB"/>
        </w:rPr>
        <w:t>shp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E051B7">
        <w:rPr>
          <w:rFonts w:ascii="Times New Roman" w:hAnsi="Times New Roman" w:cs="Times New Roman"/>
          <w:sz w:val="24"/>
          <w:szCs w:val="24"/>
          <w:lang w:val="en-GB"/>
        </w:rPr>
        <w:t>rndahet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3</w:t>
      </w:r>
      <w:r w:rsidR="009B5F75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32</w:t>
      </w:r>
      <w:r w:rsidR="009B5F75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5F75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="009B5F75" w:rsidRPr="009B5F7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612C29A" w14:textId="77777777" w:rsidR="009B5F75" w:rsidRDefault="009B5F75" w:rsidP="009B5F7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45A75157" w14:textId="7750E94A" w:rsidR="009B5F75" w:rsidRPr="009B5F75" w:rsidRDefault="009B5F75" w:rsidP="009B5F7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9B5F75">
        <w:rPr>
          <w:rFonts w:ascii="Times New Roman" w:hAnsi="Times New Roman" w:cs="Times New Roman"/>
          <w:sz w:val="24"/>
          <w:szCs w:val="24"/>
          <w:lang w:val="en-GB"/>
        </w:rPr>
        <w:t>Neni 22</w:t>
      </w:r>
    </w:p>
    <w:p w14:paraId="3EE8607B" w14:textId="25B85AD4" w:rsidR="009B5F75" w:rsidRPr="009B5F75" w:rsidRDefault="009B5F75" w:rsidP="009B5F7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9B5F7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Shuma </w:t>
      </w:r>
      <w:proofErr w:type="spellStart"/>
      <w:r w:rsidRPr="009B5F75">
        <w:rPr>
          <w:rFonts w:ascii="Times New Roman" w:hAnsi="Times New Roman" w:cs="Times New Roman"/>
          <w:b/>
          <w:bCs/>
          <w:sz w:val="24"/>
          <w:szCs w:val="24"/>
          <w:lang w:val="en-GB"/>
        </w:rPr>
        <w:t>totale</w:t>
      </w:r>
      <w:proofErr w:type="spellEnd"/>
      <w:r w:rsidRPr="009B5F7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 </w:t>
      </w:r>
      <w:proofErr w:type="spellStart"/>
      <w:r w:rsidRPr="009B5F75">
        <w:rPr>
          <w:rFonts w:ascii="Times New Roman" w:hAnsi="Times New Roman" w:cs="Times New Roman"/>
          <w:b/>
          <w:bCs/>
          <w:sz w:val="24"/>
          <w:szCs w:val="24"/>
          <w:lang w:val="en-GB"/>
        </w:rPr>
        <w:t>tatimit</w:t>
      </w:r>
      <w:proofErr w:type="spellEnd"/>
      <w:r w:rsidRPr="009B5F7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b/>
          <w:bCs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b/>
          <w:bCs/>
          <w:sz w:val="24"/>
          <w:szCs w:val="24"/>
          <w:lang w:val="en-GB"/>
        </w:rPr>
        <w:t>shtyrë</w:t>
      </w:r>
      <w:proofErr w:type="spellEnd"/>
      <w:r w:rsidR="00AB758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AB7580">
        <w:rPr>
          <w:rFonts w:ascii="Times New Roman" w:hAnsi="Times New Roman" w:cs="Times New Roman"/>
          <w:b/>
          <w:bCs/>
          <w:sz w:val="24"/>
          <w:szCs w:val="24"/>
          <w:lang w:val="en-GB"/>
        </w:rPr>
        <w:t>të</w:t>
      </w:r>
      <w:proofErr w:type="spellEnd"/>
      <w:r w:rsidR="00AB758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AB7580">
        <w:rPr>
          <w:rFonts w:ascii="Times New Roman" w:hAnsi="Times New Roman" w:cs="Times New Roman"/>
          <w:b/>
          <w:bCs/>
          <w:sz w:val="24"/>
          <w:szCs w:val="24"/>
          <w:lang w:val="en-GB"/>
        </w:rPr>
        <w:t>korrigjuar</w:t>
      </w:r>
      <w:proofErr w:type="spellEnd"/>
    </w:p>
    <w:p w14:paraId="73CA1B68" w14:textId="77777777" w:rsidR="009B5F75" w:rsidRPr="009B5F75" w:rsidRDefault="009B5F75" w:rsidP="009B5F7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7D977BA" w14:textId="2B8A64FC" w:rsidR="00B01C4C" w:rsidRPr="009B5F75" w:rsidRDefault="009B5F75" w:rsidP="009B5F7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1.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zbatohen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përkufizimet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38DC257A" w14:textId="77777777" w:rsidR="009B5F75" w:rsidRDefault="009B5F75" w:rsidP="005007C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C0AC2C9" w14:textId="77777777" w:rsidR="009B5F75" w:rsidRPr="009B5F75" w:rsidRDefault="009B5F75" w:rsidP="005908B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B5F75">
        <w:rPr>
          <w:rFonts w:ascii="Times New Roman" w:hAnsi="Times New Roman" w:cs="Times New Roman"/>
          <w:sz w:val="24"/>
          <w:szCs w:val="24"/>
          <w:lang w:val="en-GB"/>
        </w:rPr>
        <w:t>a) “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akumulim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palejuar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nënkupton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3DF8BF5" w14:textId="77777777" w:rsidR="009B5F75" w:rsidRPr="009B5F75" w:rsidRDefault="009B5F75" w:rsidP="005908B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B5F75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lëvizje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shpenzimin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përllogaritur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pasqyrat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, e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cila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lidhet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pozicion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pasigurt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146078CD" w14:textId="613D6A40" w:rsidR="009B5F75" w:rsidRPr="009B5F75" w:rsidRDefault="009B5F75" w:rsidP="005908B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(ii)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lëvizje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shpenzimin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përllogaritur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pasqyrat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, e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cila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lidhet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shpërndarjet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3251183" w14:textId="71C989FB" w:rsidR="00FE3D8F" w:rsidRDefault="009B5F75" w:rsidP="005908B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B5F75">
        <w:rPr>
          <w:rFonts w:ascii="Times New Roman" w:hAnsi="Times New Roman" w:cs="Times New Roman"/>
          <w:sz w:val="24"/>
          <w:szCs w:val="24"/>
          <w:lang w:val="en-GB"/>
        </w:rPr>
        <w:t>b) “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akumulim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pa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kërkuar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nënkupton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rritje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detyrimi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regjistruar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pasqyrat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, e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cila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pritet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paguhet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brenda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periudhës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kohore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përcaktuar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7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cilën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paraqitës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zgjedh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vit,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3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55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9B5F75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mos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përfshijë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totale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rregullimit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77A6746" w14:textId="77777777" w:rsidR="009B5F75" w:rsidRPr="00CE4BE0" w:rsidRDefault="009B5F75" w:rsidP="009B5F7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ED3FC58" w14:textId="66E2C4C4" w:rsidR="005007C9" w:rsidRPr="009B5F75" w:rsidRDefault="009B5F75" w:rsidP="001A2016">
      <w:pPr>
        <w:pStyle w:val="ListParagraph"/>
        <w:numPr>
          <w:ilvl w:val="0"/>
          <w:numId w:val="18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shumës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totale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rregullimit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shtohet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tatimeve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50AFB">
        <w:rPr>
          <w:rFonts w:ascii="Times New Roman" w:hAnsi="Times New Roman" w:cs="Times New Roman"/>
          <w:sz w:val="24"/>
          <w:szCs w:val="24"/>
          <w:lang w:val="en-GB"/>
        </w:rPr>
        <w:t>korrigjuara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shkronjën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“b”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1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21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9B5F75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zbatohen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rregullat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3AD5B37A" w14:textId="77777777" w:rsidR="005007C9" w:rsidRDefault="005007C9" w:rsidP="0001103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8090EFF" w14:textId="50C99A9D" w:rsidR="009B5F75" w:rsidRPr="009B5F75" w:rsidRDefault="009B5F75" w:rsidP="00006E5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norma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zbatuar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qëllime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llogaritjes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shpenzimit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se norma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minimale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totale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rregullimit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shpenzimi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përllogaritur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pasqyrat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B94D2B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rregullimeve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parashikuara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paragrafët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3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deri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6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4B4C505" w14:textId="7A76184A" w:rsidR="00FE3D8F" w:rsidRDefault="009B5F75" w:rsidP="009B5F7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norma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zbatuar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qëllime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llogaritjes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shpenzimit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lartë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se norma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minimale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totale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rregullimit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shpenzimi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përllogaritur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pasqyrat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B94D2B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rillogaritur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normën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minimale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B7580">
        <w:rPr>
          <w:rFonts w:ascii="Times New Roman" w:hAnsi="Times New Roman" w:cs="Times New Roman"/>
          <w:sz w:val="24"/>
          <w:szCs w:val="24"/>
          <w:lang w:val="en-GB"/>
        </w:rPr>
        <w:t>rregullimeve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parashikuara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paragrafët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3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deri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6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D09423A" w14:textId="77777777" w:rsidR="009B5F75" w:rsidRPr="00CE4BE0" w:rsidRDefault="009B5F75" w:rsidP="009B5F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A29F94D" w14:textId="77777777" w:rsidR="009B5F75" w:rsidRPr="009B5F75" w:rsidRDefault="009B5F75" w:rsidP="009B5F7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3. Shuma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totale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rregullimit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rritet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me:</w:t>
      </w:r>
    </w:p>
    <w:p w14:paraId="174DD85D" w14:textId="77777777" w:rsidR="009B5F75" w:rsidRPr="009B5F75" w:rsidRDefault="009B5F75" w:rsidP="009B5F7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88EDCD7" w14:textId="0C2204B3" w:rsidR="009B5F75" w:rsidRPr="009B5F75" w:rsidRDefault="009B5F75" w:rsidP="009B5F7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akumulimit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palejuar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akumulimit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pa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kërkuar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paguar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gjatë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6819749F" w14:textId="1296589D" w:rsidR="00FE3D8F" w:rsidRDefault="009B5F75" w:rsidP="009B5F7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detyrimit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rikthyer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përcaktuar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mëparshëm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paguar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gjatë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5F75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9B5F7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6A0DC35" w14:textId="77777777" w:rsidR="009B5F75" w:rsidRPr="00CE4BE0" w:rsidRDefault="009B5F75" w:rsidP="009B5F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AC9363D" w14:textId="46E2D4E5" w:rsidR="00154D66" w:rsidRDefault="005908BD" w:rsidP="005908B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4.</w:t>
      </w:r>
      <w:r w:rsidRPr="005908BD">
        <w:t xml:space="preserve"> </w:t>
      </w:r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Kur,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aktiv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humbje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njihet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pasqyrat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sepse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plotësohen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kriteret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njohjes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totale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rregullimit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zvogëlohet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do ta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kishte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reduktuar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totale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aktiv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humbje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ishte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përllogaritur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694DCEE" w14:textId="77777777" w:rsidR="00FE3D8F" w:rsidRPr="00CE4BE0" w:rsidRDefault="00FE3D8F" w:rsidP="0001103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35CF84A" w14:textId="7347FD29" w:rsidR="008E63C7" w:rsidRPr="005908BD" w:rsidRDefault="005908BD" w:rsidP="005908B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908BD">
        <w:rPr>
          <w:rFonts w:ascii="Times New Roman" w:hAnsi="Times New Roman" w:cs="Times New Roman"/>
          <w:sz w:val="24"/>
          <w:szCs w:val="24"/>
        </w:rPr>
        <w:t xml:space="preserve">5. </w:t>
      </w:r>
      <w:r w:rsidR="008B7FFA" w:rsidRPr="005908BD">
        <w:rPr>
          <w:rFonts w:ascii="Times New Roman" w:hAnsi="Times New Roman" w:cs="Times New Roman"/>
          <w:sz w:val="24"/>
          <w:szCs w:val="24"/>
        </w:rPr>
        <w:t xml:space="preserve"> </w:t>
      </w:r>
      <w:r w:rsidRPr="005908BD">
        <w:rPr>
          <w:rFonts w:ascii="Times New Roman" w:hAnsi="Times New Roman" w:cs="Times New Roman"/>
          <w:sz w:val="24"/>
          <w:szCs w:val="24"/>
        </w:rPr>
        <w:t xml:space="preserve">Shuma </w:t>
      </w:r>
      <w:proofErr w:type="spellStart"/>
      <w:r w:rsidRPr="005908BD">
        <w:rPr>
          <w:rFonts w:ascii="Times New Roman" w:hAnsi="Times New Roman" w:cs="Times New Roman"/>
          <w:sz w:val="24"/>
          <w:szCs w:val="24"/>
        </w:rPr>
        <w:t>totale</w:t>
      </w:r>
      <w:proofErr w:type="spellEnd"/>
      <w:r w:rsidRPr="005908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908BD">
        <w:rPr>
          <w:rFonts w:ascii="Times New Roman" w:hAnsi="Times New Roman" w:cs="Times New Roman"/>
          <w:sz w:val="24"/>
          <w:szCs w:val="24"/>
        </w:rPr>
        <w:t>rregullimit</w:t>
      </w:r>
      <w:proofErr w:type="spellEnd"/>
      <w:r w:rsidRPr="00590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</w:rPr>
        <w:t>tatimit</w:t>
      </w:r>
      <w:proofErr w:type="spellEnd"/>
      <w:r w:rsidRPr="00590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</w:rPr>
        <w:t>shtyrë</w:t>
      </w:r>
      <w:proofErr w:type="spellEnd"/>
      <w:r w:rsidRPr="00590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590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</w:rPr>
        <w:t>përfshin</w:t>
      </w:r>
      <w:proofErr w:type="spellEnd"/>
      <w:r w:rsidRPr="005908BD">
        <w:rPr>
          <w:rFonts w:ascii="Times New Roman" w:hAnsi="Times New Roman" w:cs="Times New Roman"/>
          <w:sz w:val="24"/>
          <w:szCs w:val="24"/>
        </w:rPr>
        <w:t>:</w:t>
      </w:r>
    </w:p>
    <w:p w14:paraId="060D2556" w14:textId="77777777" w:rsidR="008E63C7" w:rsidRPr="008E63C7" w:rsidRDefault="008E63C7" w:rsidP="00A8740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9B4691B" w14:textId="229C0957" w:rsidR="005908BD" w:rsidRPr="005908BD" w:rsidRDefault="005908BD" w:rsidP="005908B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shpenzimit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elementet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përjashtuara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llogaritja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Kapitullit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III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5908BD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F9C6CFB" w14:textId="77777777" w:rsidR="005908BD" w:rsidRPr="005908BD" w:rsidRDefault="005908BD" w:rsidP="005908B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shpenzimit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akumulimet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palejuara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akumulimet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e pa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kërkuara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5EE2029" w14:textId="77777777" w:rsidR="005908BD" w:rsidRPr="005908BD" w:rsidRDefault="005908BD" w:rsidP="005908B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c)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ndikimi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rregullimi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vlerësimi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rregullimi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njohjes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aktiv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C487125" w14:textId="101B0CA4" w:rsidR="005908BD" w:rsidRPr="005908BD" w:rsidRDefault="005908BD" w:rsidP="005908B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d)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shpenzimit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rrjedh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ri-llogaritje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ndryshim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normës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zbatueshme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vendase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02A27DCA" w14:textId="72296E02" w:rsidR="00FE3D8F" w:rsidRDefault="005908BD" w:rsidP="005908B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e)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shpenzimit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krijimin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përdorimin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kredive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FC8DBB7" w14:textId="77777777" w:rsidR="005908BD" w:rsidRPr="00CE4BE0" w:rsidRDefault="005908BD" w:rsidP="005908B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B0DDEDE" w14:textId="426ED6D9" w:rsidR="005908BD" w:rsidRPr="005908BD" w:rsidRDefault="005908BD" w:rsidP="005908BD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Aktivi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atribuohet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humbjeje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rregullave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6E2BC9CE" w14:textId="77777777" w:rsidR="005908BD" w:rsidRPr="005908BD" w:rsidRDefault="005908BD" w:rsidP="005908B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60C7A55" w14:textId="78C0993C" w:rsidR="005908BD" w:rsidRPr="005908BD" w:rsidRDefault="005908BD" w:rsidP="005908B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aktiv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atribuohet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humbjeje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regjistruar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normë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se norma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minimale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, ai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mund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rillogaritet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normën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minimale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njëjtin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kusht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tatimpaguesi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jetë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gjendje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provojë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aktivi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atribuohet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humbjeje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4CB665C" w14:textId="67BDD84E" w:rsidR="00FE3D8F" w:rsidRDefault="005908BD" w:rsidP="005908B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aktiv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rritet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shkronjën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“a”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paragrafi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totale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rregullimit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zvogëlohet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mënyrë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përkatëse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5E12335" w14:textId="77777777" w:rsidR="005908BD" w:rsidRPr="00CE4BE0" w:rsidRDefault="005908BD" w:rsidP="005908B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A067FF5" w14:textId="30117C87" w:rsidR="005908BD" w:rsidRPr="005908BD" w:rsidRDefault="005908BD" w:rsidP="005908B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7</w:t>
      </w:r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Rikthimi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detyrimi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rregullave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667AD8C" w14:textId="77777777" w:rsidR="005908BD" w:rsidRPr="005908BD" w:rsidRDefault="005908BD" w:rsidP="005908B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4147ACE" w14:textId="0FC392B4" w:rsidR="005908BD" w:rsidRPr="005908BD" w:rsidRDefault="005908BD" w:rsidP="005908B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detyrim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anulohet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cilit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paguhet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brenda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pesë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viteve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fiskale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pasuese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rikthehet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masën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marrë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konsideratë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totale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rregullimit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B2049D4" w14:textId="5CDFB943" w:rsidR="005908BD" w:rsidRPr="005908BD" w:rsidRDefault="005908BD" w:rsidP="005908B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detyrimit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rikthyer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përcaktuar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aktual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trajtohet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ulje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tatimeve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4D2B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pestë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paraprin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aktual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norma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efektive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atij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viti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rillogariten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32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5908BD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3A5BE5B" w14:textId="6C316F5C" w:rsidR="00FE3D8F" w:rsidRDefault="005908BD" w:rsidP="005908B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c)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detyrimi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rikthyer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aktual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rritjes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kategorinë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detyrimeve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shtyra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përfshirë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totale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rregullimit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pestë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para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aktual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, e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cila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anuluar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deri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fund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ditës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fundit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08BD">
        <w:rPr>
          <w:rFonts w:ascii="Times New Roman" w:hAnsi="Times New Roman" w:cs="Times New Roman"/>
          <w:sz w:val="24"/>
          <w:szCs w:val="24"/>
          <w:lang w:val="en-GB"/>
        </w:rPr>
        <w:t>aktual</w:t>
      </w:r>
      <w:proofErr w:type="spellEnd"/>
      <w:r w:rsidRPr="005908B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9EC43AD" w14:textId="77777777" w:rsidR="00006E50" w:rsidRPr="00CE4BE0" w:rsidRDefault="00006E50" w:rsidP="005908B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33C26AB" w14:textId="34EF3E80" w:rsidR="004A4A0C" w:rsidRPr="005908BD" w:rsidRDefault="00085A8A" w:rsidP="001A2016">
      <w:pPr>
        <w:pStyle w:val="ListParagraph"/>
        <w:numPr>
          <w:ilvl w:val="0"/>
          <w:numId w:val="19"/>
        </w:numPr>
        <w:tabs>
          <w:tab w:val="left" w:pos="27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Me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përjashtim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paragrafi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7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detyrim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përbën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73E3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E873E3">
        <w:rPr>
          <w:rFonts w:ascii="Times New Roman" w:hAnsi="Times New Roman" w:cs="Times New Roman"/>
          <w:sz w:val="24"/>
          <w:szCs w:val="24"/>
          <w:lang w:val="en-GB"/>
        </w:rPr>
        <w:t>rllogaritje</w:t>
      </w:r>
      <w:proofErr w:type="spellEnd"/>
      <w:r w:rsid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73E3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përjasht</w:t>
      </w:r>
      <w:r w:rsidR="00E873E3">
        <w:rPr>
          <w:rFonts w:ascii="Times New Roman" w:hAnsi="Times New Roman" w:cs="Times New Roman"/>
          <w:sz w:val="24"/>
          <w:szCs w:val="24"/>
          <w:lang w:val="en-GB"/>
        </w:rPr>
        <w:t>uar</w:t>
      </w:r>
      <w:proofErr w:type="spellEnd"/>
      <w:r w:rsid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rik</w:t>
      </w:r>
      <w:r w:rsidR="00E873E3">
        <w:rPr>
          <w:rFonts w:ascii="Times New Roman" w:hAnsi="Times New Roman" w:cs="Times New Roman"/>
          <w:sz w:val="24"/>
          <w:szCs w:val="24"/>
          <w:lang w:val="en-GB"/>
        </w:rPr>
        <w:t>uperimi</w:t>
      </w:r>
      <w:proofErr w:type="spellEnd"/>
      <w:r w:rsidR="00E873E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73E3">
        <w:rPr>
          <w:rFonts w:ascii="Times New Roman" w:hAnsi="Times New Roman" w:cs="Times New Roman"/>
          <w:sz w:val="24"/>
          <w:szCs w:val="24"/>
          <w:lang w:val="en-GB"/>
        </w:rPr>
        <w:t>rikuperohet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edhe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anulohet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paguhet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brenda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pesë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viteve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pasuese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E873E3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E873E3">
        <w:rPr>
          <w:rFonts w:ascii="Times New Roman" w:hAnsi="Times New Roman" w:cs="Times New Roman"/>
          <w:sz w:val="24"/>
          <w:szCs w:val="24"/>
          <w:lang w:val="en-GB"/>
        </w:rPr>
        <w:t>rllogaritja</w:t>
      </w:r>
      <w:proofErr w:type="spellEnd"/>
      <w:r w:rsidR="00E873E3">
        <w:rPr>
          <w:rFonts w:ascii="Times New Roman" w:hAnsi="Times New Roman" w:cs="Times New Roman"/>
          <w:sz w:val="24"/>
          <w:szCs w:val="24"/>
          <w:lang w:val="en-GB"/>
        </w:rPr>
        <w:t xml:space="preserve"> e</w:t>
      </w:r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përjashtuar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rik</w:t>
      </w:r>
      <w:r w:rsidR="00E873E3">
        <w:rPr>
          <w:rFonts w:ascii="Times New Roman" w:hAnsi="Times New Roman" w:cs="Times New Roman"/>
          <w:sz w:val="24"/>
          <w:szCs w:val="24"/>
          <w:lang w:val="en-GB"/>
        </w:rPr>
        <w:t>uperimi</w:t>
      </w:r>
      <w:proofErr w:type="spellEnd"/>
      <w:r w:rsid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shpenzimit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73E3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E873E3">
        <w:rPr>
          <w:rFonts w:ascii="Times New Roman" w:hAnsi="Times New Roman" w:cs="Times New Roman"/>
          <w:sz w:val="24"/>
          <w:szCs w:val="24"/>
          <w:lang w:val="en-GB"/>
        </w:rPr>
        <w:t>rllogaritur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atribuohet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ndryshimeve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detyrimet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shtyra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përkatëse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lidhur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zërat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085A8A">
        <w:rPr>
          <w:rFonts w:ascii="Times New Roman" w:hAnsi="Times New Roman" w:cs="Times New Roman"/>
          <w:sz w:val="24"/>
          <w:szCs w:val="24"/>
          <w:lang w:val="en-GB"/>
        </w:rPr>
        <w:t>mëposhtëm</w:t>
      </w:r>
      <w:proofErr w:type="spellEnd"/>
      <w:r w:rsidRPr="00085A8A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2E9A6FBB" w14:textId="77777777" w:rsidR="004A4A0C" w:rsidRPr="004A4A0C" w:rsidRDefault="004A4A0C" w:rsidP="005950B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DFF08AF" w14:textId="77ED446C" w:rsidR="00E873E3" w:rsidRPr="00E873E3" w:rsidRDefault="00E873E3" w:rsidP="00E873E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amortizimi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zbritjet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tjera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rikuperimin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kostos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aktiveve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materiale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FD36AE2" w14:textId="6466D7BF" w:rsidR="00E873E3" w:rsidRPr="00E873E3" w:rsidRDefault="00E873E3" w:rsidP="00E873E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kostoja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licence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marrëveshjeje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ngjashme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dhënë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qeveria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përdorimin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pasurisë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paluajtshme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shfrytëzimin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burimeve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natyrore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, e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cila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kërkon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investime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konsiderueshme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aktive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materiale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265A64B" w14:textId="586FA59C" w:rsidR="00E873E3" w:rsidRPr="00E873E3" w:rsidRDefault="00E873E3" w:rsidP="00E873E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c)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shpenzimet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kërkim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zhvillim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BE8A210" w14:textId="4E3128BD" w:rsidR="00E873E3" w:rsidRPr="00E873E3" w:rsidRDefault="00E873E3" w:rsidP="00E873E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d)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shpenzimet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çmontim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mbyllje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rehabilitim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mjedisit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AE066B1" w14:textId="4EF4B70C" w:rsidR="00E873E3" w:rsidRPr="00E873E3" w:rsidRDefault="00E873E3" w:rsidP="00E873E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e)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kontabilizimi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vlerën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drejtë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fitimeve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parealizuara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DB9E84C" w14:textId="1D1F1FC7" w:rsidR="00E873E3" w:rsidRPr="00E873E3" w:rsidRDefault="00E873E3" w:rsidP="00E873E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f)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fitimet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kursi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këmbimit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valutor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A78C71D" w14:textId="4E12D5A8" w:rsidR="00E873E3" w:rsidRPr="00E873E3" w:rsidRDefault="00E873E3" w:rsidP="00E873E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g)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rezervat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sigurimit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kostot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shtyra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përvetësimit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policave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sigurimit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B96BEE7" w14:textId="439B68FF" w:rsidR="00E873E3" w:rsidRPr="00E873E3" w:rsidRDefault="00E873E3" w:rsidP="00E873E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h)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fitimet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shitja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aktiveve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materiale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vendosur</w:t>
      </w:r>
      <w:r w:rsidR="00266D43">
        <w:rPr>
          <w:rFonts w:ascii="Times New Roman" w:hAnsi="Times New Roman" w:cs="Times New Roman"/>
          <w:sz w:val="24"/>
          <w:szCs w:val="24"/>
          <w:lang w:val="en-GB"/>
        </w:rPr>
        <w:t>a</w:t>
      </w:r>
      <w:proofErr w:type="spellEnd"/>
      <w:r w:rsid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njëjtin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266D43">
        <w:rPr>
          <w:rFonts w:ascii="Times New Roman" w:hAnsi="Times New Roman" w:cs="Times New Roman"/>
          <w:sz w:val="24"/>
          <w:szCs w:val="24"/>
          <w:lang w:val="en-GB"/>
        </w:rPr>
        <w:t>entitetin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cilat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riinvestohen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>
        <w:rPr>
          <w:rFonts w:ascii="Times New Roman" w:hAnsi="Times New Roman" w:cs="Times New Roman"/>
          <w:sz w:val="24"/>
          <w:szCs w:val="24"/>
          <w:lang w:val="en-GB"/>
        </w:rPr>
        <w:t>aktive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materiale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njëjtin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40B6D157" w14:textId="100563D9" w:rsidR="000766AC" w:rsidRDefault="00E873E3" w:rsidP="00E873E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66D43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përllogaritu</w:t>
      </w:r>
      <w:r w:rsidR="00266D43">
        <w:rPr>
          <w:rFonts w:ascii="Times New Roman" w:hAnsi="Times New Roman" w:cs="Times New Roman"/>
          <w:sz w:val="24"/>
          <w:szCs w:val="24"/>
          <w:lang w:val="en-GB"/>
        </w:rPr>
        <w:t>r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rezultat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ndryshimeve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parimet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zërat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përcaktuar</w:t>
      </w:r>
      <w:r w:rsidR="00266D43">
        <w:rPr>
          <w:rFonts w:ascii="Times New Roman" w:hAnsi="Times New Roman" w:cs="Times New Roman"/>
          <w:sz w:val="24"/>
          <w:szCs w:val="24"/>
          <w:lang w:val="en-GB"/>
        </w:rPr>
        <w:t>a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shkronjat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“a”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deri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“h”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3E3">
        <w:rPr>
          <w:rFonts w:ascii="Times New Roman" w:hAnsi="Times New Roman" w:cs="Times New Roman"/>
          <w:sz w:val="24"/>
          <w:szCs w:val="24"/>
          <w:lang w:val="en-GB"/>
        </w:rPr>
        <w:t>paragrafi</w:t>
      </w:r>
      <w:proofErr w:type="spellEnd"/>
      <w:r w:rsidRPr="00E873E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0A6F33A" w14:textId="77777777" w:rsidR="00266D43" w:rsidRPr="00CE4BE0" w:rsidRDefault="00266D43" w:rsidP="00E873E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3526CFE" w14:textId="77777777" w:rsidR="00266D43" w:rsidRPr="00266D43" w:rsidRDefault="00266D43" w:rsidP="00266D4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66D43">
        <w:rPr>
          <w:rFonts w:ascii="Times New Roman" w:hAnsi="Times New Roman" w:cs="Times New Roman"/>
          <w:sz w:val="24"/>
          <w:szCs w:val="24"/>
          <w:lang w:val="en-GB"/>
        </w:rPr>
        <w:t>Neni 23</w:t>
      </w:r>
    </w:p>
    <w:p w14:paraId="03DA6266" w14:textId="7CA5A517" w:rsidR="000766AC" w:rsidRDefault="00266D43" w:rsidP="00266D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266D43">
        <w:rPr>
          <w:rFonts w:ascii="Times New Roman" w:hAnsi="Times New Roman" w:cs="Times New Roman"/>
          <w:b/>
          <w:bCs/>
          <w:sz w:val="24"/>
          <w:szCs w:val="24"/>
          <w:lang w:val="en-GB"/>
        </w:rPr>
        <w:t>Zgjedhja</w:t>
      </w:r>
      <w:proofErr w:type="spellEnd"/>
      <w:r w:rsidRPr="00266D4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266D43">
        <w:rPr>
          <w:rFonts w:ascii="Times New Roman" w:hAnsi="Times New Roman" w:cs="Times New Roman"/>
          <w:b/>
          <w:bCs/>
          <w:sz w:val="24"/>
          <w:szCs w:val="24"/>
          <w:lang w:val="en-GB"/>
        </w:rPr>
        <w:t>për</w:t>
      </w:r>
      <w:proofErr w:type="spellEnd"/>
      <w:r w:rsidRPr="00266D4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266D43">
        <w:rPr>
          <w:rFonts w:ascii="Times New Roman" w:hAnsi="Times New Roman" w:cs="Times New Roman"/>
          <w:b/>
          <w:bCs/>
          <w:sz w:val="24"/>
          <w:szCs w:val="24"/>
          <w:lang w:val="en-GB"/>
        </w:rPr>
        <w:t>humbjen</w:t>
      </w:r>
      <w:proofErr w:type="spellEnd"/>
      <w:r w:rsidRPr="00266D4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 </w:t>
      </w:r>
      <w:proofErr w:type="spellStart"/>
      <w:r w:rsidRPr="00266D43">
        <w:rPr>
          <w:rFonts w:ascii="Times New Roman" w:hAnsi="Times New Roman" w:cs="Times New Roman"/>
          <w:b/>
          <w:bCs/>
          <w:sz w:val="24"/>
          <w:szCs w:val="24"/>
          <w:lang w:val="en-GB"/>
        </w:rPr>
        <w:t>kualifikuar</w:t>
      </w:r>
      <w:proofErr w:type="spellEnd"/>
    </w:p>
    <w:p w14:paraId="79BB595D" w14:textId="77777777" w:rsidR="00266D43" w:rsidRPr="00CE4BE0" w:rsidRDefault="00266D43" w:rsidP="00266D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61520FF" w14:textId="7598479E" w:rsidR="00501368" w:rsidRDefault="00501368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1.</w:t>
      </w:r>
      <w:r w:rsidR="00C10C06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66D43">
        <w:rPr>
          <w:rFonts w:ascii="Times New Roman" w:hAnsi="Times New Roman" w:cs="Times New Roman"/>
          <w:sz w:val="24"/>
          <w:szCs w:val="24"/>
          <w:lang w:val="en-GB"/>
        </w:rPr>
        <w:t>Me</w:t>
      </w:r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përjashtim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22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5961ED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266D43" w:rsidRPr="005961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266D43" w:rsidRPr="005961ED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266D43" w:rsidRPr="005961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26F3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26F39">
        <w:rPr>
          <w:rFonts w:ascii="Times New Roman" w:hAnsi="Times New Roman" w:cs="Times New Roman"/>
          <w:sz w:val="24"/>
          <w:szCs w:val="24"/>
          <w:lang w:val="en-GB"/>
        </w:rPr>
        <w:t>deklarues</w:t>
      </w:r>
      <w:proofErr w:type="spellEnd"/>
      <w:proofErr w:type="gram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mund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zgjedhë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trajtimin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cilit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përcaktohet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aktiv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humbje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ekziston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humbje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qëllim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aktivi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humbje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humbjen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përkatës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shumëzuar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normën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minimale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Zgjedhja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trajtimit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mund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bëhet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zbaton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regjim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pranueshëm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shpërndarje</w:t>
      </w:r>
      <w:r w:rsidR="00266D43">
        <w:rPr>
          <w:rFonts w:ascii="Times New Roman" w:hAnsi="Times New Roman" w:cs="Times New Roman"/>
          <w:sz w:val="24"/>
          <w:szCs w:val="24"/>
          <w:lang w:val="en-GB"/>
        </w:rPr>
        <w:t>n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43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3A54CA0" w14:textId="77777777" w:rsidR="005408FF" w:rsidRPr="00CE4BE0" w:rsidRDefault="005408FF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3CC3163" w14:textId="32E5553C" w:rsidR="00501368" w:rsidRDefault="00501368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2.</w:t>
      </w:r>
      <w:r w:rsidR="00C10C06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Aktivi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humbje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përcaktuar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1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përdoret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pasues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>
        <w:rPr>
          <w:rFonts w:ascii="Times New Roman" w:hAnsi="Times New Roman" w:cs="Times New Roman"/>
          <w:sz w:val="24"/>
          <w:szCs w:val="24"/>
          <w:lang w:val="en-GB"/>
        </w:rPr>
        <w:t>gja</w:t>
      </w:r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cili</w:t>
      </w:r>
      <w:r w:rsidR="00266D43">
        <w:rPr>
          <w:rFonts w:ascii="Times New Roman" w:hAnsi="Times New Roman" w:cs="Times New Roman"/>
          <w:sz w:val="24"/>
          <w:szCs w:val="24"/>
          <w:lang w:val="en-GB"/>
        </w:rPr>
        <w:t>t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juridiksioni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>
        <w:rPr>
          <w:rFonts w:ascii="Times New Roman" w:hAnsi="Times New Roman" w:cs="Times New Roman"/>
          <w:sz w:val="24"/>
          <w:szCs w:val="24"/>
          <w:lang w:val="en-GB"/>
        </w:rPr>
        <w:t>realizon</w:t>
      </w:r>
      <w:proofErr w:type="spellEnd"/>
      <w:r w:rsid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ardhura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shumëzuara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normën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minimale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kjo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masën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aktivit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humbje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B4CC6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disponueshëm</w:t>
      </w:r>
      <w:proofErr w:type="spellEnd"/>
      <w:r w:rsidR="00266D43" w:rsidRPr="00266D4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BB8AAF6" w14:textId="08D028E8" w:rsidR="00501368" w:rsidRDefault="00501368" w:rsidP="00BB4CC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94D5136" w14:textId="77777777" w:rsidR="00BB4CC6" w:rsidRPr="00BB4CC6" w:rsidRDefault="00BB4CC6" w:rsidP="00BB4CC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CC6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3.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Aktivi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humbje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përcaktuar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1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zvogëlohet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masën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përdoret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gjendja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mbetur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bartet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vitet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fiskale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pasuese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6317A09" w14:textId="77777777" w:rsidR="00BB4CC6" w:rsidRPr="00BB4CC6" w:rsidRDefault="00BB4CC6" w:rsidP="00BB4CC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3235096" w14:textId="77777777" w:rsidR="00BB4CC6" w:rsidRPr="00BB4CC6" w:rsidRDefault="00BB4CC6" w:rsidP="00BB4CC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4. Kur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zgjedhja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humbjen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revokohet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aktiv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humbje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mbetur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përcaktuar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1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reduktohet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zero duke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filluar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dita e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parë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parë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zgjedhja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humbjen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zbatueshme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CD74F80" w14:textId="77777777" w:rsidR="00BB4CC6" w:rsidRPr="00BB4CC6" w:rsidRDefault="00BB4CC6" w:rsidP="00BB4CC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736F35D" w14:textId="68BFA073" w:rsidR="005408FF" w:rsidRPr="00CE4BE0" w:rsidRDefault="00BB4CC6" w:rsidP="00BB4CC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5.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Zgjedhja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humbjen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paraqitet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bashku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deklaratën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parë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informacionit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rcaktuar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nenin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54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BB4CC6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61ED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5961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61ED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 w:rsidRPr="005961E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5961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61ED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Pr="005961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61ED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përfshin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bërë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kjo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4CC6">
        <w:rPr>
          <w:rFonts w:ascii="Times New Roman" w:hAnsi="Times New Roman" w:cs="Times New Roman"/>
          <w:sz w:val="24"/>
          <w:szCs w:val="24"/>
          <w:lang w:val="en-GB"/>
        </w:rPr>
        <w:t>zgjedhje</w:t>
      </w:r>
      <w:proofErr w:type="spellEnd"/>
      <w:r w:rsidRPr="00BB4CC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5FD07B5" w14:textId="77777777" w:rsidR="00BB4CC6" w:rsidRDefault="00BB4CC6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0C71841" w14:textId="6D9AE2AC" w:rsidR="00154D66" w:rsidRDefault="0039611D" w:rsidP="0039611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6. Kur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fiskalisht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transparent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selia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përfundimtare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39611D">
        <w:rPr>
          <w:rFonts w:ascii="Times New Roman" w:hAnsi="Times New Roman" w:cs="Times New Roman"/>
          <w:sz w:val="24"/>
          <w:szCs w:val="24"/>
          <w:lang w:val="en-GB"/>
        </w:rPr>
        <w:t>rie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61ED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5961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61ED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 w:rsidRPr="005961E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5961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61ED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Pr="005961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61ED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bën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zgjedhjen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humbjen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aktivi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humbje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llogaritet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duke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iu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referuar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transparent</w:t>
      </w:r>
      <w:r w:rsidR="005961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961ED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, pas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zbritjes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kryer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2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41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88E4AF9" w14:textId="3D26A2E9" w:rsidR="0039611D" w:rsidRDefault="0039611D" w:rsidP="003961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F56BE68" w14:textId="77777777" w:rsidR="0039611D" w:rsidRPr="0039611D" w:rsidRDefault="0039611D" w:rsidP="0039611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39611D">
        <w:rPr>
          <w:rFonts w:ascii="Times New Roman" w:hAnsi="Times New Roman" w:cs="Times New Roman"/>
          <w:sz w:val="24"/>
          <w:szCs w:val="24"/>
          <w:lang w:val="en-GB"/>
        </w:rPr>
        <w:t>Neni 24</w:t>
      </w:r>
    </w:p>
    <w:p w14:paraId="0E449472" w14:textId="7BEEB49E" w:rsidR="0039611D" w:rsidRPr="00CE4BE0" w:rsidRDefault="0039611D" w:rsidP="0039611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39611D">
        <w:rPr>
          <w:rFonts w:ascii="Times New Roman" w:hAnsi="Times New Roman" w:cs="Times New Roman"/>
          <w:b/>
          <w:bCs/>
          <w:sz w:val="24"/>
          <w:szCs w:val="24"/>
          <w:lang w:val="en-GB"/>
        </w:rPr>
        <w:t>Shpërndarja</w:t>
      </w:r>
      <w:proofErr w:type="spellEnd"/>
      <w:r w:rsidRPr="0039611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 </w:t>
      </w:r>
      <w:proofErr w:type="spellStart"/>
      <w:r w:rsidRPr="0039611D">
        <w:rPr>
          <w:rFonts w:ascii="Times New Roman" w:hAnsi="Times New Roman" w:cs="Times New Roman"/>
          <w:b/>
          <w:bCs/>
          <w:sz w:val="24"/>
          <w:szCs w:val="24"/>
          <w:lang w:val="en-GB"/>
        </w:rPr>
        <w:t>tatimeve</w:t>
      </w:r>
      <w:proofErr w:type="spellEnd"/>
      <w:r w:rsidRPr="0039611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b/>
          <w:bCs/>
          <w:sz w:val="24"/>
          <w:szCs w:val="24"/>
          <w:lang w:val="en-GB"/>
        </w:rPr>
        <w:t>të</w:t>
      </w:r>
      <w:proofErr w:type="spellEnd"/>
      <w:r w:rsidRPr="0039611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b/>
          <w:bCs/>
          <w:sz w:val="24"/>
          <w:szCs w:val="24"/>
          <w:lang w:val="en-GB"/>
        </w:rPr>
        <w:t>mbuluara</w:t>
      </w:r>
      <w:proofErr w:type="spellEnd"/>
      <w:r w:rsidRPr="0039611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b/>
          <w:bCs/>
          <w:sz w:val="24"/>
          <w:szCs w:val="24"/>
          <w:lang w:val="en-GB"/>
        </w:rPr>
        <w:t>për</w:t>
      </w:r>
      <w:proofErr w:type="spellEnd"/>
      <w:r w:rsidRPr="0039611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b/>
          <w:bCs/>
          <w:sz w:val="24"/>
          <w:szCs w:val="24"/>
          <w:lang w:val="en-GB"/>
        </w:rPr>
        <w:t>lloje</w:t>
      </w:r>
      <w:proofErr w:type="spellEnd"/>
      <w:r w:rsidRPr="0039611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b/>
          <w:bCs/>
          <w:sz w:val="24"/>
          <w:szCs w:val="24"/>
          <w:lang w:val="en-GB"/>
        </w:rPr>
        <w:t>të</w:t>
      </w:r>
      <w:proofErr w:type="spellEnd"/>
      <w:r w:rsidRPr="0039611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b/>
          <w:bCs/>
          <w:sz w:val="24"/>
          <w:szCs w:val="24"/>
          <w:lang w:val="en-GB"/>
        </w:rPr>
        <w:t>caktuara</w:t>
      </w:r>
      <w:proofErr w:type="spellEnd"/>
      <w:r w:rsidRPr="0039611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b/>
          <w:bCs/>
          <w:sz w:val="24"/>
          <w:szCs w:val="24"/>
          <w:lang w:val="en-GB"/>
        </w:rPr>
        <w:t>të</w:t>
      </w:r>
      <w:proofErr w:type="spellEnd"/>
      <w:r w:rsidRPr="0039611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entiteteve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b/>
          <w:bCs/>
          <w:sz w:val="24"/>
          <w:szCs w:val="24"/>
          <w:lang w:val="en-GB"/>
        </w:rPr>
        <w:t>përbërëse</w:t>
      </w:r>
      <w:proofErr w:type="spellEnd"/>
    </w:p>
    <w:p w14:paraId="10EAC519" w14:textId="77777777" w:rsidR="00C10C06" w:rsidRPr="00CE4BE0" w:rsidRDefault="00C10C06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36FB795" w14:textId="753C96CC" w:rsidR="0039611D" w:rsidRPr="0039611D" w:rsidRDefault="0039611D" w:rsidP="0039611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1.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seli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ngarkohet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mbuluar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përfshihet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pasqyrat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lidhet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humbjen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saj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selie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FE2A7D8" w14:textId="77777777" w:rsidR="0039611D" w:rsidRPr="0039611D" w:rsidRDefault="0039611D" w:rsidP="0039611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54DE5B5" w14:textId="22EE5E8D" w:rsidR="0039611D" w:rsidRPr="0039611D" w:rsidRDefault="0039611D" w:rsidP="0039611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2.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B7580">
        <w:rPr>
          <w:rFonts w:ascii="Times New Roman" w:hAnsi="Times New Roman" w:cs="Times New Roman"/>
          <w:sz w:val="24"/>
          <w:szCs w:val="24"/>
          <w:lang w:val="en-GB"/>
        </w:rPr>
        <w:t>pronar</w:t>
      </w:r>
      <w:proofErr w:type="spellEnd"/>
      <w:r w:rsidRPr="00AB75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B758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B75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B7580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AB75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B7580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ngarkohet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mbuluar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përfshihet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pasqyrat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me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transparen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tatimor</w:t>
      </w:r>
      <w:r>
        <w:rPr>
          <w:rFonts w:ascii="Times New Roman" w:hAnsi="Times New Roman" w:cs="Times New Roman"/>
          <w:sz w:val="24"/>
          <w:szCs w:val="24"/>
          <w:lang w:val="en-GB"/>
        </w:rPr>
        <w:t>e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lidhet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humbjen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alokuar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a</w:t>
      </w:r>
      <w:r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pronar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entitetir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39611D">
        <w:rPr>
          <w:rFonts w:ascii="Times New Roman" w:hAnsi="Times New Roman" w:cs="Times New Roman"/>
          <w:sz w:val="24"/>
          <w:szCs w:val="24"/>
          <w:lang w:val="en-GB"/>
        </w:rPr>
        <w:t>ërbërës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4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19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39611D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8721B3C" w14:textId="77777777" w:rsidR="0039611D" w:rsidRPr="0039611D" w:rsidRDefault="0039611D" w:rsidP="0039611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E644F47" w14:textId="0F181AE8" w:rsidR="00DB468F" w:rsidRDefault="0039611D" w:rsidP="0039611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3.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ngarkohet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mbuluar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përfshirë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pasqyrat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pronarëve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saj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drejtpërdrejtë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tërthortë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regjimi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shoqëritë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kontrolluara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huaja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pjesën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e tyre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shoqërisë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kontrolluar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huaj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709F252" w14:textId="77777777" w:rsidR="00006E50" w:rsidRDefault="00006E50" w:rsidP="0039611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796998B" w14:textId="78BD2C3F" w:rsidR="0039611D" w:rsidRPr="0039611D" w:rsidRDefault="00DC46B1" w:rsidP="0039611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4.</w:t>
      </w:r>
      <w:r w:rsidR="00C10C06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hibrid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ngarkohet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mbuluar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përfshihet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pasqyrat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>
        <w:rPr>
          <w:rFonts w:ascii="Times New Roman" w:hAnsi="Times New Roman" w:cs="Times New Roman"/>
          <w:sz w:val="24"/>
          <w:szCs w:val="24"/>
          <w:lang w:val="en-GB"/>
        </w:rPr>
        <w:t>pronarit</w:t>
      </w:r>
      <w:proofErr w:type="spellEnd"/>
      <w:r w:rsid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lidhet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hibrid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paragrafi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, “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hibrid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nënkupton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lastRenderedPageBreak/>
        <w:t>që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trajtohet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person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veçantë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qëllime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ndodhet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por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fiskalisht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transparent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ndodhet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pronari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39611D" w:rsidRPr="0039611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78D2A89" w14:textId="77777777" w:rsidR="0039611D" w:rsidRPr="0039611D" w:rsidRDefault="0039611D" w:rsidP="0039611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361A9C3" w14:textId="2C85E330" w:rsidR="00DC46B1" w:rsidRDefault="0039611D" w:rsidP="0039611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5.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bërë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shpërndarje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gjatë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ngarkohet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mbuluar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regjistruar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pasqyrat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pronarëve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saj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drejtpërdrejtë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lidhur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611D">
        <w:rPr>
          <w:rFonts w:ascii="Times New Roman" w:hAnsi="Times New Roman" w:cs="Times New Roman"/>
          <w:sz w:val="24"/>
          <w:szCs w:val="24"/>
          <w:lang w:val="en-GB"/>
        </w:rPr>
        <w:t>shpërndarje</w:t>
      </w:r>
      <w:proofErr w:type="spellEnd"/>
      <w:r w:rsidRPr="0039611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7697B16" w14:textId="77777777" w:rsidR="005D02F4" w:rsidRPr="00CE4BE0" w:rsidRDefault="005D02F4" w:rsidP="0039611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3DA72A1" w14:textId="77777777" w:rsidR="005D02F4" w:rsidRPr="005D02F4" w:rsidRDefault="005D02F4" w:rsidP="005D02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6.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Shpërndarja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tatimeve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lidhje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pasive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rregullave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14:paraId="6E6C42C2" w14:textId="77777777" w:rsidR="005D02F4" w:rsidRPr="005D02F4" w:rsidRDefault="005D02F4" w:rsidP="005D02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42D15FE" w14:textId="24A36F5E" w:rsidR="005D02F4" w:rsidRPr="005D02F4" w:rsidRDefault="005D02F4" w:rsidP="005D02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cil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it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janë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ngarkuar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tatime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paragrafëve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3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4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lidhje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pasive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përfshin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këto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tatime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tatimet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350A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mbuluara</w:t>
      </w:r>
      <w:proofErr w:type="spellEnd"/>
      <w:r w:rsidR="00350A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50AFB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350A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50AFB">
        <w:rPr>
          <w:rFonts w:ascii="Times New Roman" w:eastAsia="Times New Roman" w:hAnsi="Times New Roman" w:cs="Times New Roman"/>
          <w:sz w:val="24"/>
          <w:szCs w:val="24"/>
          <w:lang w:val="en-GB"/>
        </w:rPr>
        <w:t>korrigjuara</w:t>
      </w:r>
      <w:proofErr w:type="spellEnd"/>
      <w:r w:rsidR="00350A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50AFB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350A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50AFB">
        <w:rPr>
          <w:rFonts w:ascii="Times New Roman" w:eastAsia="Times New Roman" w:hAnsi="Times New Roman" w:cs="Times New Roman"/>
          <w:sz w:val="24"/>
          <w:szCs w:val="24"/>
          <w:lang w:val="en-GB"/>
        </w:rPr>
        <w:t>saj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tatimet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ngarkuara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këto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ardhura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pasive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14:paraId="52BA712B" w14:textId="2CF42CA9" w:rsidR="005D02F4" w:rsidRPr="005D02F4" w:rsidRDefault="005D02F4" w:rsidP="005D02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përjashtim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shkronja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“a” e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paragrafi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përmendur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shkronjën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“a”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përfshin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tatimet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saj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50AFB">
        <w:rPr>
          <w:rFonts w:ascii="Times New Roman" w:eastAsia="Times New Roman" w:hAnsi="Times New Roman" w:cs="Times New Roman"/>
          <w:sz w:val="24"/>
          <w:szCs w:val="24"/>
          <w:lang w:val="en-GB"/>
        </w:rPr>
        <w:t>korrigjuara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shumën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rezulton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shumëzimi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përqindjes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së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shumën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pasive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përfshihen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regjimi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shoqëritë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kontrolluara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huaja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rregulli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transparencës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fiskale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kur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ky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rezultat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më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ulët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shuma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përcaktuar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shkronjës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“a”;</w:t>
      </w:r>
    </w:p>
    <w:p w14:paraId="381DCC83" w14:textId="76A3B0CE" w:rsidR="005D02F4" w:rsidRPr="005D02F4" w:rsidRDefault="005D02F4" w:rsidP="005D02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c)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qëllimet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shkronjës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“b”,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përqindja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përcaktohet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pa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marrë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parasysh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tatimet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proofErr w:type="gram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proofErr w:type="gram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lidhje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këto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ardhura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pasive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pronari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enitetit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14:paraId="0B2A48C4" w14:textId="00C2D7E2" w:rsidR="005D02F4" w:rsidRPr="005D02F4" w:rsidRDefault="005D02F4" w:rsidP="005D02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d)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tatim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mbuluar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pronarit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lidhje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këto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ardhura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pasive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mbetet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pas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zbatimit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paragrafi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nuk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shpërndahet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paragrafëve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3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4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14:paraId="70363E59" w14:textId="46C8DFCA" w:rsidR="005D02F4" w:rsidRPr="005D02F4" w:rsidRDefault="005D02F4" w:rsidP="005D02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e)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qëllimet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paragrafi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, “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ardhura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pasive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”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nënkuptojnë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këto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kategori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përfshira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masën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pronar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entitetit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tatuar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regjimi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shoqëritë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kontrolluara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huaja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si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rezultat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pjesëmarrjeje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hibrid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14:paraId="6C02D08B" w14:textId="77777777" w:rsidR="005D02F4" w:rsidRPr="005D02F4" w:rsidRDefault="005D02F4" w:rsidP="005D02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(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dividendë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ekuivalentë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dividendëve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14:paraId="43075A35" w14:textId="77777777" w:rsidR="005D02F4" w:rsidRPr="005D02F4" w:rsidRDefault="005D02F4" w:rsidP="005D02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(ii)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interesa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ekuivalentë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interesave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14:paraId="0C1C8AE2" w14:textId="77777777" w:rsidR="005D02F4" w:rsidRPr="005D02F4" w:rsidRDefault="005D02F4" w:rsidP="005D02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(iii)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qira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14:paraId="3E08BB98" w14:textId="7671C9B5" w:rsidR="005D02F4" w:rsidRPr="005D02F4" w:rsidRDefault="005D02F4" w:rsidP="005D02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(iv)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honorare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14:paraId="70119899" w14:textId="77777777" w:rsidR="005D02F4" w:rsidRPr="005D02F4" w:rsidRDefault="005D02F4" w:rsidP="005D02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(v) pensione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vjetore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</w:p>
    <w:p w14:paraId="78E5A392" w14:textId="6E181260" w:rsidR="00DB468F" w:rsidRDefault="005D02F4" w:rsidP="005D02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(vi)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fitime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pasuri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lloji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gjeneron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ardhura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përmendura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pikat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deri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(v)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kësaj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shkronje</w:t>
      </w:r>
      <w:proofErr w:type="spellEnd"/>
      <w:r w:rsidRPr="005D02F4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7BD0F07E" w14:textId="77777777" w:rsidR="00881C8C" w:rsidRDefault="00881C8C" w:rsidP="005D02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DB1BB11" w14:textId="3E1E61CA" w:rsidR="007346B3" w:rsidRPr="00CE4BE0" w:rsidRDefault="007346B3" w:rsidP="0071658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eastAsia="Times New Roman" w:hAnsi="Times New Roman" w:cs="Times New Roman"/>
          <w:sz w:val="24"/>
          <w:szCs w:val="24"/>
          <w:lang w:val="en-GB"/>
        </w:rPr>
        <w:t>7</w:t>
      </w:r>
      <w:r w:rsidR="00716585" w:rsidRPr="00CE4BE0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881C8C" w:rsidRPr="00881C8C">
        <w:t xml:space="preserve"> </w:t>
      </w:r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Kur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selie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trajtohen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si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ardhura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kryesor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5</w:t>
      </w:r>
      <w:r w:rsid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nenit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18</w:t>
      </w:r>
      <w:r w:rsid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L</w:t>
      </w:r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igji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çdo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tatim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mbuluar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lind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ku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ndodhet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selia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lidhet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këto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ardhura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trajtohet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si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tatim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4D2B">
        <w:rPr>
          <w:rFonts w:ascii="Times New Roman" w:eastAsia="Times New Roman" w:hAnsi="Times New Roman" w:cs="Times New Roman"/>
          <w:sz w:val="24"/>
          <w:szCs w:val="24"/>
          <w:lang w:val="en-GB"/>
        </w:rPr>
        <w:t>mbuluar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kryesor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deri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shumë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nuk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tejkalon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produktin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këtyre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 xml:space="preserve">me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normën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më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lartë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mbi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zakonshme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ku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ndodhet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kryesor</w:t>
      </w:r>
      <w:proofErr w:type="spellEnd"/>
      <w:r w:rsidR="00881C8C" w:rsidRPr="00881C8C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2CA82624" w14:textId="77777777" w:rsidR="00DC46B1" w:rsidRPr="00CE4BE0" w:rsidRDefault="00DC46B1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FE60B33" w14:textId="77777777" w:rsidR="00881C8C" w:rsidRPr="00881C8C" w:rsidRDefault="00881C8C" w:rsidP="00881C8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881C8C">
        <w:rPr>
          <w:rFonts w:ascii="Times New Roman" w:hAnsi="Times New Roman" w:cs="Times New Roman"/>
          <w:sz w:val="24"/>
          <w:szCs w:val="24"/>
          <w:lang w:val="en-GB"/>
        </w:rPr>
        <w:t>Neni 25</w:t>
      </w:r>
    </w:p>
    <w:p w14:paraId="75CF33BB" w14:textId="0E93F344" w:rsidR="00716585" w:rsidRPr="00881C8C" w:rsidRDefault="00881C8C" w:rsidP="00881C8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AB4D02">
        <w:rPr>
          <w:rFonts w:ascii="Times New Roman" w:hAnsi="Times New Roman" w:cs="Times New Roman"/>
          <w:b/>
          <w:bCs/>
          <w:sz w:val="24"/>
          <w:szCs w:val="24"/>
          <w:lang w:val="en-GB"/>
        </w:rPr>
        <w:t>Korrigjimet</w:t>
      </w:r>
      <w:proofErr w:type="spellEnd"/>
      <w:r w:rsidRPr="00881C8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pas </w:t>
      </w:r>
      <w:proofErr w:type="spellStart"/>
      <w:r w:rsidRPr="00881C8C">
        <w:rPr>
          <w:rFonts w:ascii="Times New Roman" w:hAnsi="Times New Roman" w:cs="Times New Roman"/>
          <w:b/>
          <w:bCs/>
          <w:sz w:val="24"/>
          <w:szCs w:val="24"/>
          <w:lang w:val="en-GB"/>
        </w:rPr>
        <w:t>paraqitjes</w:t>
      </w:r>
      <w:proofErr w:type="spellEnd"/>
      <w:r w:rsidRPr="00881C8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b/>
          <w:bCs/>
          <w:sz w:val="24"/>
          <w:szCs w:val="24"/>
          <w:lang w:val="en-GB"/>
        </w:rPr>
        <w:t>së</w:t>
      </w:r>
      <w:proofErr w:type="spellEnd"/>
      <w:r w:rsidRPr="00881C8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B4D02">
        <w:rPr>
          <w:rFonts w:ascii="Times New Roman" w:hAnsi="Times New Roman" w:cs="Times New Roman"/>
          <w:b/>
          <w:bCs/>
          <w:sz w:val="24"/>
          <w:szCs w:val="24"/>
          <w:lang w:val="en-GB"/>
        </w:rPr>
        <w:t>deklaratës</w:t>
      </w:r>
      <w:proofErr w:type="spellEnd"/>
      <w:r w:rsidRPr="00881C8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b/>
          <w:bCs/>
          <w:sz w:val="24"/>
          <w:szCs w:val="24"/>
          <w:lang w:val="en-GB"/>
        </w:rPr>
        <w:t>dhe</w:t>
      </w:r>
      <w:proofErr w:type="spellEnd"/>
      <w:r w:rsidRPr="00881C8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b/>
          <w:bCs/>
          <w:sz w:val="24"/>
          <w:szCs w:val="24"/>
          <w:lang w:val="en-GB"/>
        </w:rPr>
        <w:t>ndryshimet</w:t>
      </w:r>
      <w:proofErr w:type="spellEnd"/>
      <w:r w:rsidRPr="00881C8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 </w:t>
      </w:r>
      <w:proofErr w:type="spellStart"/>
      <w:r w:rsidRPr="00881C8C">
        <w:rPr>
          <w:rFonts w:ascii="Times New Roman" w:hAnsi="Times New Roman" w:cs="Times New Roman"/>
          <w:b/>
          <w:bCs/>
          <w:sz w:val="24"/>
          <w:szCs w:val="24"/>
          <w:lang w:val="en-GB"/>
        </w:rPr>
        <w:t>normës</w:t>
      </w:r>
      <w:proofErr w:type="spellEnd"/>
      <w:r w:rsidRPr="00881C8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b/>
          <w:bCs/>
          <w:sz w:val="24"/>
          <w:szCs w:val="24"/>
          <w:lang w:val="en-GB"/>
        </w:rPr>
        <w:t>tatimore</w:t>
      </w:r>
      <w:proofErr w:type="spellEnd"/>
    </w:p>
    <w:p w14:paraId="3E1B52A4" w14:textId="77777777" w:rsidR="00881C8C" w:rsidRPr="00CE4BE0" w:rsidRDefault="00881C8C" w:rsidP="00881C8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1BFF37B" w14:textId="4FC61154" w:rsidR="00881C8C" w:rsidRPr="00881C8C" w:rsidRDefault="00881C8C" w:rsidP="00881C8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Korrigjimet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pas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dorëzimit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deklaratës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lidhen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E62B7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nënshtrohen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rregullave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5BEC84F5" w14:textId="77777777" w:rsidR="00881C8C" w:rsidRPr="00881C8C" w:rsidRDefault="00881C8C" w:rsidP="00881C8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EB8D881" w14:textId="7F0A10E8" w:rsidR="00881C8C" w:rsidRPr="00881C8C" w:rsidRDefault="00881C8C" w:rsidP="00881C8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regjistron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pasqyrat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74110">
        <w:rPr>
          <w:rFonts w:ascii="Times New Roman" w:hAnsi="Times New Roman" w:cs="Times New Roman"/>
          <w:sz w:val="24"/>
          <w:szCs w:val="24"/>
          <w:lang w:val="en-GB"/>
        </w:rPr>
        <w:t>korrigjim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tatimeve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vit</w:t>
      </w:r>
      <w:r>
        <w:rPr>
          <w:rFonts w:ascii="Times New Roman" w:hAnsi="Times New Roman" w:cs="Times New Roman"/>
          <w:sz w:val="24"/>
          <w:szCs w:val="24"/>
          <w:lang w:val="en-GB"/>
        </w:rPr>
        <w:t>in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mëparshëm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ky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trajtohet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74110">
        <w:rPr>
          <w:rFonts w:ascii="Times New Roman" w:hAnsi="Times New Roman" w:cs="Times New Roman"/>
          <w:sz w:val="24"/>
          <w:szCs w:val="24"/>
          <w:lang w:val="en-GB"/>
        </w:rPr>
        <w:t>korrigjim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tatimeve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74110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kryhet</w:t>
      </w:r>
      <w:proofErr w:type="spellEnd"/>
      <w:r w:rsidR="009E62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62B7">
        <w:rPr>
          <w:rFonts w:ascii="Times New Roman" w:hAnsi="Times New Roman" w:cs="Times New Roman"/>
          <w:sz w:val="24"/>
          <w:szCs w:val="24"/>
          <w:lang w:val="en-GB"/>
        </w:rPr>
        <w:t>korrigjimi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përveç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rastit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74110">
        <w:rPr>
          <w:rFonts w:ascii="Times New Roman" w:hAnsi="Times New Roman" w:cs="Times New Roman"/>
          <w:sz w:val="24"/>
          <w:szCs w:val="24"/>
          <w:lang w:val="en-GB"/>
        </w:rPr>
        <w:t>korrigjimi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lidhet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ulje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tatimeve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74110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03981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r w:rsidR="00203981" w:rsidRPr="00203981">
        <w:rPr>
          <w:rFonts w:ascii="Times New Roman" w:hAnsi="Times New Roman" w:cs="Times New Roman"/>
          <w:sz w:val="24"/>
          <w:szCs w:val="24"/>
          <w:lang w:val="en-GB"/>
        </w:rPr>
        <w:t>in</w:t>
      </w:r>
      <w:proofErr w:type="spellEnd"/>
      <w:r w:rsidRPr="0020398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75DC611" w14:textId="40377DDB" w:rsidR="00881C8C" w:rsidRPr="00881C8C" w:rsidRDefault="00881C8C" w:rsidP="00881C8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ulje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tatimeve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B6E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përfshirë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F27D7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Pr="006F27D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80B6E" w:rsidRPr="006F27D7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6F27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F27D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F27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7D7" w:rsidRPr="006F27D7">
        <w:rPr>
          <w:rFonts w:ascii="Times New Roman" w:hAnsi="Times New Roman" w:cs="Times New Roman"/>
          <w:sz w:val="24"/>
          <w:szCs w:val="24"/>
          <w:lang w:val="en-GB"/>
        </w:rPr>
        <w:t>korrigjuara</w:t>
      </w:r>
      <w:proofErr w:type="spellEnd"/>
      <w:r w:rsidRPr="006F27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F27D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F27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F27D7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6F27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F27D7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6F27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F27D7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6F27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F27D7">
        <w:rPr>
          <w:rFonts w:ascii="Times New Roman" w:hAnsi="Times New Roman" w:cs="Times New Roman"/>
          <w:sz w:val="24"/>
          <w:szCs w:val="24"/>
          <w:lang w:val="en-GB"/>
        </w:rPr>
        <w:t>vit</w:t>
      </w:r>
      <w:r w:rsidR="006F27D7" w:rsidRPr="006F27D7">
        <w:rPr>
          <w:rFonts w:ascii="Times New Roman" w:hAnsi="Times New Roman" w:cs="Times New Roman"/>
          <w:sz w:val="24"/>
          <w:szCs w:val="24"/>
          <w:lang w:val="en-GB"/>
        </w:rPr>
        <w:t>in</w:t>
      </w:r>
      <w:proofErr w:type="spellEnd"/>
      <w:r w:rsidRPr="006F27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F27D7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6F27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F27D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F27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F27D7">
        <w:rPr>
          <w:rFonts w:ascii="Times New Roman" w:hAnsi="Times New Roman" w:cs="Times New Roman"/>
          <w:sz w:val="24"/>
          <w:szCs w:val="24"/>
          <w:lang w:val="en-GB"/>
        </w:rPr>
        <w:t>mëparshëm</w:t>
      </w:r>
      <w:proofErr w:type="spellEnd"/>
      <w:r w:rsidRPr="006F27D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norma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efektive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rillogariten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1</w:t>
      </w:r>
      <w:r w:rsidR="00980B6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32</w:t>
      </w:r>
      <w:r w:rsidR="00980B6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B6E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881C8C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, duke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ulur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80B6E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B6E">
        <w:rPr>
          <w:rFonts w:ascii="Times New Roman" w:hAnsi="Times New Roman" w:cs="Times New Roman"/>
          <w:sz w:val="24"/>
          <w:szCs w:val="24"/>
          <w:lang w:val="en-GB"/>
        </w:rPr>
        <w:t>korrigjuara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uljes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tatimeve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A0040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8BA16A0" w14:textId="2BE411DA" w:rsidR="00881C8C" w:rsidRPr="00881C8C" w:rsidRDefault="00881C8C" w:rsidP="00881C8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c)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vit</w:t>
      </w:r>
      <w:r w:rsidR="009A0040">
        <w:rPr>
          <w:rFonts w:ascii="Times New Roman" w:hAnsi="Times New Roman" w:cs="Times New Roman"/>
          <w:sz w:val="24"/>
          <w:szCs w:val="24"/>
          <w:lang w:val="en-GB"/>
        </w:rPr>
        <w:t>in</w:t>
      </w:r>
      <w:proofErr w:type="spellEnd"/>
      <w:r w:rsidR="009A00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mëparshëm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A0040">
        <w:rPr>
          <w:rFonts w:ascii="Times New Roman" w:hAnsi="Times New Roman" w:cs="Times New Roman"/>
          <w:sz w:val="24"/>
          <w:szCs w:val="24"/>
          <w:lang w:val="en-GB"/>
        </w:rPr>
        <w:t>korrigjohen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9A0040">
        <w:rPr>
          <w:rFonts w:ascii="Times New Roman" w:hAnsi="Times New Roman" w:cs="Times New Roman"/>
          <w:sz w:val="24"/>
          <w:szCs w:val="24"/>
          <w:lang w:val="en-GB"/>
        </w:rPr>
        <w:t>rrethanat</w:t>
      </w:r>
      <w:proofErr w:type="spellEnd"/>
      <w:r w:rsidR="009A004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602EF1C" w14:textId="1B044B6D" w:rsidR="00881C8C" w:rsidRPr="00881C8C" w:rsidRDefault="00881C8C" w:rsidP="00881C8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d) me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zgjedhjen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vjetore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A0040">
        <w:rPr>
          <w:rFonts w:ascii="Times New Roman" w:hAnsi="Times New Roman" w:cs="Times New Roman"/>
          <w:sz w:val="24"/>
          <w:szCs w:val="24"/>
          <w:lang w:val="en-GB"/>
        </w:rPr>
        <w:t>deklarues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bërë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3</w:t>
      </w:r>
      <w:r w:rsidR="009A004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55</w:t>
      </w:r>
      <w:r w:rsidR="009A004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7D7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881C8C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ulje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jomateriale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tatimeve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A0040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mund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trajtohet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A0040">
        <w:rPr>
          <w:rFonts w:ascii="Times New Roman" w:hAnsi="Times New Roman" w:cs="Times New Roman"/>
          <w:sz w:val="24"/>
          <w:szCs w:val="24"/>
          <w:lang w:val="en-GB"/>
        </w:rPr>
        <w:t>korrigjim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tatimeve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A00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A0040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F562E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1F562E">
        <w:rPr>
          <w:rFonts w:ascii="Times New Roman" w:hAnsi="Times New Roman" w:cs="Times New Roman"/>
          <w:sz w:val="24"/>
          <w:szCs w:val="24"/>
          <w:lang w:val="en-GB"/>
        </w:rPr>
        <w:t>r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kryhet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A0040">
        <w:rPr>
          <w:rFonts w:ascii="Times New Roman" w:hAnsi="Times New Roman" w:cs="Times New Roman"/>
          <w:sz w:val="24"/>
          <w:szCs w:val="24"/>
          <w:lang w:val="en-GB"/>
        </w:rPr>
        <w:t>korrigjimi</w:t>
      </w:r>
      <w:proofErr w:type="spellEnd"/>
      <w:r w:rsidR="009A0040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="009A0040">
        <w:rPr>
          <w:rFonts w:ascii="Times New Roman" w:hAnsi="Times New Roman" w:cs="Times New Roman"/>
          <w:sz w:val="24"/>
          <w:szCs w:val="24"/>
          <w:lang w:val="en-GB"/>
        </w:rPr>
        <w:t>n</w:t>
      </w:r>
      <w:r w:rsidRPr="00881C8C">
        <w:rPr>
          <w:rFonts w:ascii="Times New Roman" w:hAnsi="Times New Roman" w:cs="Times New Roman"/>
          <w:sz w:val="24"/>
          <w:szCs w:val="24"/>
          <w:lang w:val="en-GB"/>
        </w:rPr>
        <w:t>jë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ulje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jomateriale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tatimeve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F562E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1F562E">
        <w:rPr>
          <w:rFonts w:ascii="Times New Roman" w:hAnsi="Times New Roman" w:cs="Times New Roman"/>
          <w:sz w:val="24"/>
          <w:szCs w:val="24"/>
          <w:lang w:val="en-GB"/>
        </w:rPr>
        <w:t>sht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ulje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F562E">
        <w:rPr>
          <w:rFonts w:ascii="Times New Roman" w:hAnsi="Times New Roman" w:cs="Times New Roman"/>
          <w:sz w:val="24"/>
          <w:szCs w:val="24"/>
          <w:lang w:val="en-GB"/>
        </w:rPr>
        <w:t xml:space="preserve">e </w:t>
      </w:r>
      <w:proofErr w:type="spellStart"/>
      <w:r w:rsidR="001F562E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1F562E">
        <w:rPr>
          <w:rFonts w:ascii="Times New Roman" w:hAnsi="Times New Roman" w:cs="Times New Roman"/>
          <w:sz w:val="24"/>
          <w:szCs w:val="24"/>
          <w:lang w:val="en-GB"/>
        </w:rPr>
        <w:t>rgjithshme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prej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pak se 1 000 000 euro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1F562E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F562E">
        <w:rPr>
          <w:rFonts w:ascii="Times New Roman" w:hAnsi="Times New Roman" w:cs="Times New Roman"/>
          <w:sz w:val="24"/>
          <w:szCs w:val="24"/>
          <w:lang w:val="en-GB"/>
        </w:rPr>
        <w:t>korrigjuara</w:t>
      </w:r>
      <w:proofErr w:type="spellEnd"/>
      <w:r w:rsidR="001F562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përcaktuara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="001F562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vit</w:t>
      </w:r>
      <w:r w:rsidR="001F562E">
        <w:rPr>
          <w:rFonts w:ascii="Times New Roman" w:hAnsi="Times New Roman" w:cs="Times New Roman"/>
          <w:sz w:val="24"/>
          <w:szCs w:val="24"/>
          <w:lang w:val="en-GB"/>
        </w:rPr>
        <w:t>in</w:t>
      </w:r>
      <w:proofErr w:type="spellEnd"/>
      <w:r w:rsidR="001F56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1C8C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881C8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99BF017" w14:textId="77777777" w:rsidR="00881C8C" w:rsidRPr="00881C8C" w:rsidRDefault="00881C8C" w:rsidP="00881C8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01D8D34" w14:textId="1EB20468" w:rsidR="0004541D" w:rsidRPr="00CE4BE0" w:rsidRDefault="0004541D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2.</w:t>
      </w:r>
      <w:r w:rsidR="0051402E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Kur norma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>
        <w:rPr>
          <w:rFonts w:ascii="Times New Roman" w:hAnsi="Times New Roman" w:cs="Times New Roman"/>
          <w:sz w:val="24"/>
          <w:szCs w:val="24"/>
          <w:lang w:val="en-GB"/>
        </w:rPr>
        <w:t>vendase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123842">
        <w:rPr>
          <w:rFonts w:ascii="Times New Roman" w:hAnsi="Times New Roman" w:cs="Times New Roman"/>
          <w:sz w:val="24"/>
          <w:szCs w:val="24"/>
          <w:lang w:val="en-GB"/>
        </w:rPr>
        <w:t>zbatueshme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ulet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nën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normën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minimale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kjo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ulje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sjell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shpenzim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shpenzimit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>
        <w:rPr>
          <w:rFonts w:ascii="Times New Roman" w:hAnsi="Times New Roman" w:cs="Times New Roman"/>
          <w:sz w:val="24"/>
          <w:szCs w:val="24"/>
          <w:lang w:val="en-GB"/>
        </w:rPr>
        <w:t>krijuar</w:t>
      </w:r>
      <w:proofErr w:type="spellEnd"/>
      <w:r w:rsid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rezul</w:t>
      </w:r>
      <w:r w:rsidR="00123842">
        <w:rPr>
          <w:rFonts w:ascii="Times New Roman" w:hAnsi="Times New Roman" w:cs="Times New Roman"/>
          <w:sz w:val="24"/>
          <w:szCs w:val="24"/>
          <w:lang w:val="en-GB"/>
        </w:rPr>
        <w:t>tat</w:t>
      </w:r>
      <w:proofErr w:type="spellEnd"/>
      <w:r w:rsidR="00123842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="00123842">
        <w:rPr>
          <w:rFonts w:ascii="Times New Roman" w:hAnsi="Times New Roman" w:cs="Times New Roman"/>
          <w:sz w:val="24"/>
          <w:szCs w:val="24"/>
          <w:lang w:val="en-GB"/>
        </w:rPr>
        <w:t>k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123842">
        <w:rPr>
          <w:rFonts w:ascii="Times New Roman" w:hAnsi="Times New Roman" w:cs="Times New Roman"/>
          <w:sz w:val="24"/>
          <w:szCs w:val="24"/>
          <w:lang w:val="en-GB"/>
        </w:rPr>
        <w:t>saj</w:t>
      </w:r>
      <w:proofErr w:type="spellEnd"/>
      <w:r w:rsid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>
        <w:rPr>
          <w:rFonts w:ascii="Times New Roman" w:hAnsi="Times New Roman" w:cs="Times New Roman"/>
          <w:sz w:val="24"/>
          <w:szCs w:val="24"/>
          <w:lang w:val="en-GB"/>
        </w:rPr>
        <w:t>uljeje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trajtohet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>
        <w:rPr>
          <w:rFonts w:ascii="Times New Roman" w:hAnsi="Times New Roman" w:cs="Times New Roman"/>
          <w:sz w:val="24"/>
          <w:szCs w:val="24"/>
          <w:lang w:val="en-GB"/>
        </w:rPr>
        <w:t>korrigjim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detyrimit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cilat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merren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konsideratë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nenin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2</w:t>
      </w:r>
      <w:r w:rsidR="00123842">
        <w:rPr>
          <w:rFonts w:ascii="Times New Roman" w:hAnsi="Times New Roman" w:cs="Times New Roman"/>
          <w:sz w:val="24"/>
          <w:szCs w:val="24"/>
          <w:lang w:val="en-GB"/>
        </w:rPr>
        <w:t xml:space="preserve">1,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mëparshëm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2E5F7CA" w14:textId="77777777" w:rsidR="007813F1" w:rsidRDefault="007813F1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DC4E299" w14:textId="77777777" w:rsidR="00123842" w:rsidRPr="00123842" w:rsidRDefault="00123842" w:rsidP="0012384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3. Kur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shpenzim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marrë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konsideratë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normë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se norma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minimale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norma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zbatueshme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rritet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pas,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zbatohen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rregullat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2535D6A2" w14:textId="77777777" w:rsidR="00123842" w:rsidRPr="00123842" w:rsidRDefault="00123842" w:rsidP="0012384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887B66B" w14:textId="678DA31F" w:rsidR="00123842" w:rsidRPr="00123842" w:rsidRDefault="00123842" w:rsidP="0012384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shpenzimit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rezulton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kjo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rritje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trajtohet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momentin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pagesës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korrigjim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detyrimit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njohura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mëparshëm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nenin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21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123842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6E2FD36" w14:textId="296DE583" w:rsidR="00746DEC" w:rsidRDefault="00123842" w:rsidP="0012384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korrigjimi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shkronjës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“a”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paragrafi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mund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tejkalojë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shpenzimin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rillogaritur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normës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minimale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3842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12384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1207A14" w14:textId="77777777" w:rsidR="00123842" w:rsidRDefault="00123842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5A38B4F" w14:textId="7A761982" w:rsidR="0004541D" w:rsidRPr="00CE4BE0" w:rsidRDefault="0004541D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lastRenderedPageBreak/>
        <w:t>4.</w:t>
      </w:r>
      <w:r w:rsidR="0051402E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Kur </w:t>
      </w:r>
      <w:proofErr w:type="spellStart"/>
      <w:r w:rsidR="00123842">
        <w:rPr>
          <w:rFonts w:ascii="Times New Roman" w:hAnsi="Times New Roman" w:cs="Times New Roman"/>
          <w:sz w:val="24"/>
          <w:szCs w:val="24"/>
          <w:lang w:val="en-GB"/>
        </w:rPr>
        <w:t>nj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5437D">
        <w:rPr>
          <w:rFonts w:ascii="Times New Roman" w:hAnsi="Times New Roman" w:cs="Times New Roman"/>
          <w:sz w:val="24"/>
          <w:szCs w:val="24"/>
          <w:lang w:val="en-GB"/>
        </w:rPr>
        <w:t>prej</w:t>
      </w:r>
      <w:proofErr w:type="spellEnd"/>
      <w:r w:rsid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5437D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5437D">
        <w:rPr>
          <w:rFonts w:ascii="Times New Roman" w:hAnsi="Times New Roman" w:cs="Times New Roman"/>
          <w:sz w:val="24"/>
          <w:szCs w:val="24"/>
          <w:lang w:val="en-GB"/>
        </w:rPr>
        <w:t>shum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se 1 000 000 euro</w:t>
      </w:r>
      <w:r w:rsidR="0055437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e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përllogaritur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shpenzim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aktual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përfshirë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korrigjuara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55437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paguhet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brenda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tre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vjetëve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5437D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përfundimi</w:t>
      </w:r>
      <w:proofErr w:type="spellEnd"/>
      <w:r w:rsid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5437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atij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viti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, norma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efektive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kjo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papaguar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njohur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tatim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mbuluar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rillogariten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1</w:t>
      </w:r>
      <w:r w:rsidR="0055437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32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5437D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, duke </w:t>
      </w:r>
      <w:r w:rsidR="0055437D">
        <w:rPr>
          <w:rFonts w:ascii="Times New Roman" w:hAnsi="Times New Roman" w:cs="Times New Roman"/>
          <w:sz w:val="24"/>
          <w:szCs w:val="24"/>
          <w:lang w:val="en-GB"/>
        </w:rPr>
        <w:t xml:space="preserve">e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përjashtuar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papaguar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korrigjuara</w:t>
      </w:r>
      <w:proofErr w:type="spellEnd"/>
      <w:r w:rsidR="00123842" w:rsidRPr="0012384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74A0087" w14:textId="77777777" w:rsidR="00C928B1" w:rsidRPr="00CE4BE0" w:rsidRDefault="00C928B1" w:rsidP="004A60B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8" w:name="_Hlk213241828"/>
      <w:bookmarkEnd w:id="7"/>
    </w:p>
    <w:p w14:paraId="7237ED06" w14:textId="77777777" w:rsidR="0055437D" w:rsidRPr="0055437D" w:rsidRDefault="0055437D" w:rsidP="0055437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55437D">
        <w:rPr>
          <w:rFonts w:ascii="Times New Roman" w:hAnsi="Times New Roman" w:cs="Times New Roman"/>
          <w:sz w:val="24"/>
          <w:szCs w:val="24"/>
          <w:lang w:val="en-GB"/>
        </w:rPr>
        <w:t>KREU V</w:t>
      </w:r>
    </w:p>
    <w:p w14:paraId="668CFE55" w14:textId="0989A9AE" w:rsidR="0055437D" w:rsidRPr="0055437D" w:rsidRDefault="0055437D" w:rsidP="005543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5437D">
        <w:rPr>
          <w:rFonts w:ascii="Times New Roman" w:hAnsi="Times New Roman" w:cs="Times New Roman"/>
          <w:b/>
          <w:bCs/>
          <w:sz w:val="24"/>
          <w:szCs w:val="24"/>
          <w:lang w:val="en-GB"/>
        </w:rPr>
        <w:t>LLOGARITJA E NORMËS EFEKTIVE TË TATIMIT DHE TATIMIT SHTESË</w:t>
      </w:r>
    </w:p>
    <w:p w14:paraId="4A05E629" w14:textId="77777777" w:rsidR="0055437D" w:rsidRPr="0055437D" w:rsidRDefault="0055437D" w:rsidP="005543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F5B8038" w14:textId="77777777" w:rsidR="0055437D" w:rsidRPr="0055437D" w:rsidRDefault="0055437D" w:rsidP="0055437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55437D">
        <w:rPr>
          <w:rFonts w:ascii="Times New Roman" w:hAnsi="Times New Roman" w:cs="Times New Roman"/>
          <w:sz w:val="24"/>
          <w:szCs w:val="24"/>
          <w:lang w:val="en-GB"/>
        </w:rPr>
        <w:t>Neni 26</w:t>
      </w:r>
    </w:p>
    <w:p w14:paraId="5011ABEF" w14:textId="5452CF91" w:rsidR="0051402E" w:rsidRDefault="0055437D" w:rsidP="005543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55437D">
        <w:rPr>
          <w:rFonts w:ascii="Times New Roman" w:hAnsi="Times New Roman" w:cs="Times New Roman"/>
          <w:b/>
          <w:bCs/>
          <w:sz w:val="24"/>
          <w:szCs w:val="24"/>
          <w:lang w:val="en-GB"/>
        </w:rPr>
        <w:t>Përcaktimi</w:t>
      </w:r>
      <w:proofErr w:type="spellEnd"/>
      <w:r w:rsidRPr="0055437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proofErr w:type="spellEnd"/>
      <w:r w:rsidRPr="0055437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b/>
          <w:bCs/>
          <w:sz w:val="24"/>
          <w:szCs w:val="24"/>
          <w:lang w:val="en-GB"/>
        </w:rPr>
        <w:t>Normës</w:t>
      </w:r>
      <w:proofErr w:type="spellEnd"/>
      <w:r w:rsidRPr="0055437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b/>
          <w:bCs/>
          <w:sz w:val="24"/>
          <w:szCs w:val="24"/>
          <w:lang w:val="en-GB"/>
        </w:rPr>
        <w:t>Efektive</w:t>
      </w:r>
      <w:proofErr w:type="spellEnd"/>
      <w:r w:rsidRPr="0055437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b/>
          <w:bCs/>
          <w:sz w:val="24"/>
          <w:szCs w:val="24"/>
          <w:lang w:val="en-GB"/>
        </w:rPr>
        <w:t>të</w:t>
      </w:r>
      <w:proofErr w:type="spellEnd"/>
      <w:r w:rsidRPr="0055437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b/>
          <w:bCs/>
          <w:sz w:val="24"/>
          <w:szCs w:val="24"/>
          <w:lang w:val="en-GB"/>
        </w:rPr>
        <w:t>Tatimit</w:t>
      </w:r>
      <w:proofErr w:type="spellEnd"/>
    </w:p>
    <w:p w14:paraId="61158969" w14:textId="77777777" w:rsidR="0055437D" w:rsidRPr="00CE4BE0" w:rsidRDefault="0055437D" w:rsidP="0055437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D4F8CBB" w14:textId="69F6DB24" w:rsidR="0055437D" w:rsidRPr="0055437D" w:rsidRDefault="0055437D" w:rsidP="0055437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1. Norma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efektive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rie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61ED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5961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357E" w:rsidRPr="005961ED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 w:rsidRPr="005961E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54357E" w:rsidRPr="005961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357E" w:rsidRPr="005961ED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="0054357E" w:rsidRPr="005961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357E" w:rsidRPr="005961ED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llogaritet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kusht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ketë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ardhura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formulës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6FD6D240" w14:textId="77777777" w:rsidR="0055437D" w:rsidRPr="0055437D" w:rsidRDefault="0055437D" w:rsidP="0055437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F4CC5E2" w14:textId="77777777" w:rsidR="0055437D" w:rsidRPr="0054357E" w:rsidRDefault="0055437D" w:rsidP="0055437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Norma </w:t>
      </w:r>
      <w:proofErr w:type="spellStart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>efektive</w:t>
      </w:r>
      <w:proofErr w:type="spellEnd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e </w:t>
      </w:r>
      <w:proofErr w:type="spellStart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>tatimit</w:t>
      </w:r>
      <w:proofErr w:type="spellEnd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= (</w:t>
      </w:r>
      <w:proofErr w:type="spellStart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>Tatimet</w:t>
      </w:r>
      <w:proofErr w:type="spellEnd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e </w:t>
      </w:r>
      <w:proofErr w:type="spellStart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>mbuluara</w:t>
      </w:r>
      <w:proofErr w:type="spellEnd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>të</w:t>
      </w:r>
      <w:proofErr w:type="spellEnd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>korrigjuara</w:t>
      </w:r>
      <w:proofErr w:type="spellEnd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>të</w:t>
      </w:r>
      <w:proofErr w:type="spellEnd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>entiteteve</w:t>
      </w:r>
      <w:proofErr w:type="spellEnd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>përbërëse</w:t>
      </w:r>
      <w:proofErr w:type="spellEnd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>në</w:t>
      </w:r>
      <w:proofErr w:type="spellEnd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>juridiksion</w:t>
      </w:r>
      <w:proofErr w:type="spellEnd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>) / (</w:t>
      </w:r>
      <w:proofErr w:type="spellStart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>Të</w:t>
      </w:r>
      <w:proofErr w:type="spellEnd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>ardhurat</w:t>
      </w:r>
      <w:proofErr w:type="spellEnd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>neto</w:t>
      </w:r>
      <w:proofErr w:type="spellEnd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>të</w:t>
      </w:r>
      <w:proofErr w:type="spellEnd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>kualifikuara</w:t>
      </w:r>
      <w:proofErr w:type="spellEnd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>të</w:t>
      </w:r>
      <w:proofErr w:type="spellEnd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>entiteteve</w:t>
      </w:r>
      <w:proofErr w:type="spellEnd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>përbërëse</w:t>
      </w:r>
      <w:proofErr w:type="spellEnd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>në</w:t>
      </w:r>
      <w:proofErr w:type="spellEnd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>juridiksion</w:t>
      </w:r>
      <w:proofErr w:type="spellEnd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>)</w:t>
      </w:r>
    </w:p>
    <w:p w14:paraId="5F50207A" w14:textId="77777777" w:rsidR="0055437D" w:rsidRPr="0055437D" w:rsidRDefault="0055437D" w:rsidP="0055437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8DD5701" w14:textId="64C7F57E" w:rsidR="00BA2BEE" w:rsidRDefault="0055437D" w:rsidP="0055437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korrigjuara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tatimeve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korrigjuara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përcaktuara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me Kreun IV</w:t>
      </w:r>
      <w:r w:rsidR="0054357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437D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357E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55437D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55437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CECED60" w14:textId="77777777" w:rsidR="00E9334B" w:rsidRPr="00CE4BE0" w:rsidRDefault="00E9334B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2C61980" w14:textId="77777777" w:rsidR="0054357E" w:rsidRPr="0054357E" w:rsidRDefault="0054357E" w:rsidP="0054357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2.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Fitimi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humbja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përcaktohet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formulës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4CD14A6" w14:textId="77777777" w:rsidR="0054357E" w:rsidRPr="0054357E" w:rsidRDefault="0054357E" w:rsidP="0054357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A9DF348" w14:textId="77777777" w:rsidR="0054357E" w:rsidRPr="0054357E" w:rsidRDefault="0054357E" w:rsidP="0054357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proofErr w:type="spellStart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>Fitimi</w:t>
      </w:r>
      <w:proofErr w:type="spellEnd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>ose</w:t>
      </w:r>
      <w:proofErr w:type="spellEnd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>humbja</w:t>
      </w:r>
      <w:proofErr w:type="spellEnd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>neto</w:t>
      </w:r>
      <w:proofErr w:type="spellEnd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e </w:t>
      </w:r>
      <w:proofErr w:type="spellStart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>kualifikuar</w:t>
      </w:r>
      <w:proofErr w:type="spellEnd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= (</w:t>
      </w:r>
      <w:proofErr w:type="spellStart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>Fitimi</w:t>
      </w:r>
      <w:proofErr w:type="spellEnd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>i</w:t>
      </w:r>
      <w:proofErr w:type="spellEnd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>kualifikuar</w:t>
      </w:r>
      <w:proofErr w:type="spellEnd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>i</w:t>
      </w:r>
      <w:proofErr w:type="spellEnd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>entiteteve</w:t>
      </w:r>
      <w:proofErr w:type="spellEnd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>përbërëse</w:t>
      </w:r>
      <w:proofErr w:type="spellEnd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>) − (</w:t>
      </w:r>
      <w:proofErr w:type="spellStart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>Humbjet</w:t>
      </w:r>
      <w:proofErr w:type="spellEnd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e </w:t>
      </w:r>
      <w:proofErr w:type="spellStart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>kualifikuara</w:t>
      </w:r>
      <w:proofErr w:type="spellEnd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>të</w:t>
      </w:r>
      <w:proofErr w:type="spellEnd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>entiteteve</w:t>
      </w:r>
      <w:proofErr w:type="spellEnd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>përbërëse</w:t>
      </w:r>
      <w:proofErr w:type="spellEnd"/>
      <w:r w:rsidRPr="0054357E">
        <w:rPr>
          <w:rFonts w:ascii="Times New Roman" w:hAnsi="Times New Roman" w:cs="Times New Roman"/>
          <w:i/>
          <w:iCs/>
          <w:sz w:val="24"/>
          <w:szCs w:val="24"/>
          <w:lang w:val="en-GB"/>
        </w:rPr>
        <w:t>)</w:t>
      </w:r>
    </w:p>
    <w:p w14:paraId="688AD5DD" w14:textId="77777777" w:rsidR="0054357E" w:rsidRPr="0054357E" w:rsidRDefault="0054357E" w:rsidP="0054357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015ACEC" w14:textId="3FB7CEAD" w:rsidR="0054357E" w:rsidRPr="0054357E" w:rsidRDefault="0054357E" w:rsidP="0054357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587D83D3" w14:textId="0980AAB4" w:rsidR="0054357E" w:rsidRPr="0054357E" w:rsidRDefault="0054357E" w:rsidP="0054357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fitimi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pozitive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ka, e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fitimit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, e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përcaktuar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me Kreun III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54357E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0E80707" w14:textId="562ECDAF" w:rsidR="0054357E" w:rsidRDefault="0054357E" w:rsidP="0054357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humbjet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humbjeve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, e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përcaktuar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me Kreun III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54357E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E09209B" w14:textId="77777777" w:rsidR="0054357E" w:rsidRDefault="0054357E" w:rsidP="0054357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7442114" w14:textId="77777777" w:rsidR="0054357E" w:rsidRPr="0054357E" w:rsidRDefault="0054357E" w:rsidP="0054357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4357E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3.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korrigjuara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fitimi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humbja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entitete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investimi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përjashtohen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llogaritja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normës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efektive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1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llogaritja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fitimit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2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BB5BE93" w14:textId="77777777" w:rsidR="0054357E" w:rsidRPr="0054357E" w:rsidRDefault="0054357E" w:rsidP="0054357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0A62277" w14:textId="1BBF07D0" w:rsidR="0054357E" w:rsidRPr="0054357E" w:rsidRDefault="0054357E" w:rsidP="0054357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4. Norma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efektive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secilin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pa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shtetësi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llogaritet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veçmas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norma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efektive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tjera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357E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54357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95C57F0" w14:textId="55EDB82A" w:rsidR="0054357E" w:rsidRPr="00D41636" w:rsidRDefault="0054357E" w:rsidP="00666B2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D41636">
        <w:rPr>
          <w:rFonts w:ascii="Times New Roman" w:hAnsi="Times New Roman" w:cs="Times New Roman"/>
          <w:sz w:val="24"/>
          <w:szCs w:val="24"/>
          <w:lang w:val="en-GB"/>
        </w:rPr>
        <w:t>Neni 27</w:t>
      </w:r>
    </w:p>
    <w:p w14:paraId="3D01E0EA" w14:textId="542B41FA" w:rsidR="006E328A" w:rsidRDefault="0054357E" w:rsidP="0054357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D41636">
        <w:rPr>
          <w:rFonts w:ascii="Times New Roman" w:hAnsi="Times New Roman" w:cs="Times New Roman"/>
          <w:b/>
          <w:bCs/>
          <w:sz w:val="24"/>
          <w:szCs w:val="24"/>
          <w:lang w:val="en-GB"/>
        </w:rPr>
        <w:t>P</w:t>
      </w:r>
      <w:r w:rsidR="00FA0FBD" w:rsidRPr="00D41636">
        <w:rPr>
          <w:rFonts w:ascii="Times New Roman" w:hAnsi="Times New Roman" w:cs="Times New Roman"/>
          <w:b/>
          <w:bCs/>
          <w:sz w:val="24"/>
          <w:szCs w:val="24"/>
          <w:lang w:val="en-GB"/>
        </w:rPr>
        <w:t>ë</w:t>
      </w:r>
      <w:r w:rsidRPr="00D41636">
        <w:rPr>
          <w:rFonts w:ascii="Times New Roman" w:hAnsi="Times New Roman" w:cs="Times New Roman"/>
          <w:b/>
          <w:bCs/>
          <w:sz w:val="24"/>
          <w:szCs w:val="24"/>
          <w:lang w:val="en-GB"/>
        </w:rPr>
        <w:t>rllogaritja</w:t>
      </w:r>
      <w:proofErr w:type="spellEnd"/>
      <w:r w:rsidRPr="00D4163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 </w:t>
      </w:r>
      <w:proofErr w:type="spellStart"/>
      <w:r w:rsidRPr="00D41636">
        <w:rPr>
          <w:rFonts w:ascii="Times New Roman" w:hAnsi="Times New Roman" w:cs="Times New Roman"/>
          <w:b/>
          <w:bCs/>
          <w:sz w:val="24"/>
          <w:szCs w:val="24"/>
          <w:lang w:val="en-GB"/>
        </w:rPr>
        <w:t>tatimit</w:t>
      </w:r>
      <w:proofErr w:type="spellEnd"/>
      <w:r w:rsidRPr="00D4163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41636">
        <w:rPr>
          <w:rFonts w:ascii="Times New Roman" w:hAnsi="Times New Roman" w:cs="Times New Roman"/>
          <w:b/>
          <w:bCs/>
          <w:sz w:val="24"/>
          <w:szCs w:val="24"/>
          <w:lang w:val="en-GB"/>
        </w:rPr>
        <w:t>shtesë</w:t>
      </w:r>
      <w:proofErr w:type="spellEnd"/>
    </w:p>
    <w:p w14:paraId="1A8F0364" w14:textId="7B81D88F" w:rsidR="004024A7" w:rsidRDefault="004024A7" w:rsidP="0054357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FE819B1" w14:textId="0723490F" w:rsidR="004024A7" w:rsidRPr="004024A7" w:rsidRDefault="004024A7" w:rsidP="004024A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1. </w:t>
      </w:r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Kur norma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efektive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se norma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minimale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shoqërive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llogarit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veçmas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secilin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prej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ardhura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përfshira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atij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juridiksioni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llogaritet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bazë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juridiksioni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1F991FC" w14:textId="77777777" w:rsidR="004024A7" w:rsidRDefault="004024A7" w:rsidP="004024A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62E4C61" w14:textId="683A0951" w:rsidR="004024A7" w:rsidRPr="004024A7" w:rsidRDefault="004024A7" w:rsidP="004024A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2.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Përqindja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diferenca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pozitive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pikë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përqindjeje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ka, e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llogaritur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formulës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934FE1A" w14:textId="77777777" w:rsidR="004024A7" w:rsidRPr="004024A7" w:rsidRDefault="004024A7" w:rsidP="004024A7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1105159F" w14:textId="77777777" w:rsidR="004024A7" w:rsidRPr="004024A7" w:rsidRDefault="004024A7" w:rsidP="004024A7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proofErr w:type="spellStart"/>
      <w:r w:rsidRPr="004024A7">
        <w:rPr>
          <w:rFonts w:ascii="Times New Roman" w:hAnsi="Times New Roman" w:cs="Times New Roman"/>
          <w:i/>
          <w:iCs/>
          <w:sz w:val="24"/>
          <w:szCs w:val="24"/>
          <w:lang w:val="en-GB"/>
        </w:rPr>
        <w:t>Përqindja</w:t>
      </w:r>
      <w:proofErr w:type="spellEnd"/>
      <w:r w:rsidRPr="004024A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e </w:t>
      </w:r>
      <w:proofErr w:type="spellStart"/>
      <w:r w:rsidRPr="004024A7">
        <w:rPr>
          <w:rFonts w:ascii="Times New Roman" w:hAnsi="Times New Roman" w:cs="Times New Roman"/>
          <w:i/>
          <w:iCs/>
          <w:sz w:val="24"/>
          <w:szCs w:val="24"/>
          <w:lang w:val="en-GB"/>
        </w:rPr>
        <w:t>tatimit</w:t>
      </w:r>
      <w:proofErr w:type="spellEnd"/>
      <w:r w:rsidRPr="004024A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i/>
          <w:iCs/>
          <w:sz w:val="24"/>
          <w:szCs w:val="24"/>
          <w:lang w:val="en-GB"/>
        </w:rPr>
        <w:t>shtesë</w:t>
      </w:r>
      <w:proofErr w:type="spellEnd"/>
      <w:r w:rsidRPr="004024A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= norma </w:t>
      </w:r>
      <w:proofErr w:type="spellStart"/>
      <w:r w:rsidRPr="004024A7">
        <w:rPr>
          <w:rFonts w:ascii="Times New Roman" w:hAnsi="Times New Roman" w:cs="Times New Roman"/>
          <w:i/>
          <w:iCs/>
          <w:sz w:val="24"/>
          <w:szCs w:val="24"/>
          <w:lang w:val="en-GB"/>
        </w:rPr>
        <w:t>minimale</w:t>
      </w:r>
      <w:proofErr w:type="spellEnd"/>
      <w:r w:rsidRPr="004024A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e </w:t>
      </w:r>
      <w:proofErr w:type="spellStart"/>
      <w:r w:rsidRPr="004024A7">
        <w:rPr>
          <w:rFonts w:ascii="Times New Roman" w:hAnsi="Times New Roman" w:cs="Times New Roman"/>
          <w:i/>
          <w:iCs/>
          <w:sz w:val="24"/>
          <w:szCs w:val="24"/>
          <w:lang w:val="en-GB"/>
        </w:rPr>
        <w:t>tatimit</w:t>
      </w:r>
      <w:proofErr w:type="spellEnd"/>
      <w:r w:rsidRPr="004024A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– norma </w:t>
      </w:r>
      <w:proofErr w:type="spellStart"/>
      <w:r w:rsidRPr="004024A7">
        <w:rPr>
          <w:rFonts w:ascii="Times New Roman" w:hAnsi="Times New Roman" w:cs="Times New Roman"/>
          <w:i/>
          <w:iCs/>
          <w:sz w:val="24"/>
          <w:szCs w:val="24"/>
          <w:lang w:val="en-GB"/>
        </w:rPr>
        <w:t>efektive</w:t>
      </w:r>
      <w:proofErr w:type="spellEnd"/>
      <w:r w:rsidRPr="004024A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e </w:t>
      </w:r>
      <w:proofErr w:type="spellStart"/>
      <w:r w:rsidRPr="004024A7">
        <w:rPr>
          <w:rFonts w:ascii="Times New Roman" w:hAnsi="Times New Roman" w:cs="Times New Roman"/>
          <w:i/>
          <w:iCs/>
          <w:sz w:val="24"/>
          <w:szCs w:val="24"/>
          <w:lang w:val="en-GB"/>
        </w:rPr>
        <w:t>tatimit</w:t>
      </w:r>
      <w:proofErr w:type="spellEnd"/>
    </w:p>
    <w:p w14:paraId="0B1B3700" w14:textId="77777777" w:rsidR="004024A7" w:rsidRPr="004024A7" w:rsidRDefault="004024A7" w:rsidP="004024A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F5DDFDC" w14:textId="091FFD0B" w:rsidR="004024A7" w:rsidRPr="004024A7" w:rsidRDefault="004024A7" w:rsidP="004024A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norma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efektive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norma e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llogaritur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nenin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26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24A7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4024A7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4024A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5BE23C5" w14:textId="77777777" w:rsidR="007C2FC8" w:rsidRDefault="007C2FC8" w:rsidP="007C2F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0F0BE94" w14:textId="7559166C" w:rsidR="007C2FC8" w:rsidRPr="007C2FC8" w:rsidRDefault="007C2FC8" w:rsidP="007C2F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3.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shuma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pozitive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ka, e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llogaritur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formulës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së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14:paraId="1ECBFE3F" w14:textId="77777777" w:rsidR="007C2FC8" w:rsidRPr="007C2FC8" w:rsidRDefault="007C2FC8" w:rsidP="007C2F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958DEFE" w14:textId="31021940" w:rsidR="007C2FC8" w:rsidRPr="007C2FC8" w:rsidRDefault="007C2FC8" w:rsidP="007C2F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Tatimi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shtesë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për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juridiksionin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= (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përqindja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e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tatimit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shtesë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×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fitimi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i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tepërt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) +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tatimi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shtesë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E051B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plot</w:t>
      </w:r>
      <w:r w:rsidR="00FA0FB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ë</w:t>
      </w:r>
      <w:r w:rsidR="00E051B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sues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−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tatimi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shtesë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E81B4C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i</w:t>
      </w:r>
      <w:proofErr w:type="spellEnd"/>
      <w:r w:rsidR="00E81B4C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E81B4C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brendshëm</w:t>
      </w:r>
      <w:proofErr w:type="spellEnd"/>
    </w:p>
    <w:p w14:paraId="65673D71" w14:textId="77777777" w:rsidR="00C917A1" w:rsidRDefault="00C917A1" w:rsidP="007C2F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1E935B3" w14:textId="067C30C2" w:rsidR="007C2FC8" w:rsidRPr="007C2FC8" w:rsidRDefault="007C2FC8" w:rsidP="007C2F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ku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14:paraId="7EB76CB7" w14:textId="2821656D" w:rsidR="007C2FC8" w:rsidRPr="007C2FC8" w:rsidRDefault="007C2FC8" w:rsidP="007C2F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E051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51B7">
        <w:rPr>
          <w:rFonts w:ascii="Times New Roman" w:eastAsia="Times New Roman" w:hAnsi="Times New Roman" w:cs="Times New Roman"/>
          <w:sz w:val="24"/>
          <w:szCs w:val="24"/>
          <w:lang w:val="en-GB"/>
        </w:rPr>
        <w:t>plot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r w:rsidR="00E051B7">
        <w:rPr>
          <w:rFonts w:ascii="Times New Roman" w:eastAsia="Times New Roman" w:hAnsi="Times New Roman" w:cs="Times New Roman"/>
          <w:sz w:val="24"/>
          <w:szCs w:val="24"/>
          <w:lang w:val="en-GB"/>
        </w:rPr>
        <w:t>sues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shuma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përcaktuar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nenin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32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L</w:t>
      </w:r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14:paraId="13611736" w14:textId="4B28F047" w:rsidR="00F60431" w:rsidRDefault="007C2FC8" w:rsidP="007C2F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vendas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shuma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përcaktuar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Kreun VIII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L</w:t>
      </w:r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vendas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juridiksioni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vendi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tretë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4DE860F4" w14:textId="77777777" w:rsidR="00C30413" w:rsidRPr="00CE4BE0" w:rsidRDefault="00C30413" w:rsidP="007C2F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8487521" w14:textId="77777777" w:rsidR="007C2FC8" w:rsidRPr="007C2FC8" w:rsidRDefault="007C2FC8" w:rsidP="007C2F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4.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Fitimi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tepërt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referuar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3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shuma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pozitive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ka, e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llogaritur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formulës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së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14:paraId="1EC2561F" w14:textId="77777777" w:rsidR="007C2FC8" w:rsidRPr="007C2FC8" w:rsidRDefault="007C2FC8" w:rsidP="007C2F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06EA2A7" w14:textId="77777777" w:rsidR="007C2FC8" w:rsidRPr="007C2FC8" w:rsidRDefault="007C2FC8" w:rsidP="007C2F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</w:pP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Fitimi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i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tepërt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=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fitimi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neto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i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kualifikuar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−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përjashtimi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i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të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ardhurave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mbi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bazën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e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substancës</w:t>
      </w:r>
      <w:proofErr w:type="spellEnd"/>
    </w:p>
    <w:p w14:paraId="4F62ADC5" w14:textId="77777777" w:rsidR="007C2FC8" w:rsidRPr="007C2FC8" w:rsidRDefault="007C2FC8" w:rsidP="007C2F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</w:pPr>
    </w:p>
    <w:p w14:paraId="0446A589" w14:textId="65C344AE" w:rsidR="007C2FC8" w:rsidRPr="007C2FC8" w:rsidRDefault="007C2FC8" w:rsidP="007C2F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ku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14:paraId="0369DC1B" w14:textId="52EF9D85" w:rsidR="007C2FC8" w:rsidRPr="007C2FC8" w:rsidRDefault="007C2FC8" w:rsidP="007C2F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fitimi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fitimi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përcaktuar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26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l</w:t>
      </w:r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14:paraId="67907E77" w14:textId="7E691348" w:rsidR="007C2FC8" w:rsidRDefault="007C2FC8" w:rsidP="007C2F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përjashtimi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baz</w:t>
      </w:r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>uara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>n</w:t>
      </w:r>
      <w:r w:rsidR="00AB7580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substance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shuma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përcaktuar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nenin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28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L</w:t>
      </w:r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6D754078" w14:textId="77777777" w:rsidR="00F60431" w:rsidRDefault="00F60431" w:rsidP="004A60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2563D92" w14:textId="77777777" w:rsidR="007C2FC8" w:rsidRPr="007C2FC8" w:rsidRDefault="007C2FC8" w:rsidP="007C2F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5.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aktual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llogaritet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formulës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së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14:paraId="1184D2A6" w14:textId="77777777" w:rsidR="007C2FC8" w:rsidRPr="007C2FC8" w:rsidRDefault="007C2FC8" w:rsidP="007C2F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F91DE28" w14:textId="77777777" w:rsidR="007C2FC8" w:rsidRPr="007C2FC8" w:rsidRDefault="007C2FC8" w:rsidP="007C2F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</w:pP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Tatimi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shtesë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i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një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entiteti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përbërës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=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Tatimi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shtesë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për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juridiksionin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× (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Fitimi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i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kualifikuar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i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entitetit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përbërës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/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Fitimi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i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përgjithshëm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i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kualifikuar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i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të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gjitha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entiteteve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përbërëse</w:t>
      </w:r>
      <w:proofErr w:type="spellEnd"/>
      <w:r w:rsidRPr="007C2FC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)</w:t>
      </w:r>
    </w:p>
    <w:p w14:paraId="0A0472AF" w14:textId="77777777" w:rsidR="007C2FC8" w:rsidRPr="007C2FC8" w:rsidRDefault="007C2FC8" w:rsidP="007C2F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7B0685B" w14:textId="77777777" w:rsidR="007C2FC8" w:rsidRPr="007C2FC8" w:rsidRDefault="007C2FC8" w:rsidP="007C2F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ku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14:paraId="763475B1" w14:textId="4D7AEA55" w:rsidR="007C2FC8" w:rsidRPr="007C2FC8" w:rsidRDefault="007C2FC8" w:rsidP="007C2F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fitimi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fitimi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përcaktuar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Kreun III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L</w:t>
      </w:r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14:paraId="032E5DFA" w14:textId="5593F18C" w:rsidR="00F60431" w:rsidRDefault="007C2FC8" w:rsidP="007C2F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fitimi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përgjithshëm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gjitha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shuma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fitimit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gjitha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atë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2E4E5AF7" w14:textId="77777777" w:rsidR="007C2FC8" w:rsidRPr="00CE4BE0" w:rsidRDefault="007C2FC8" w:rsidP="007C2F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5BA8C54" w14:textId="0C989205" w:rsidR="007F79E9" w:rsidRDefault="004A7BEE" w:rsidP="004A60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eastAsia="Times New Roman" w:hAnsi="Times New Roman" w:cs="Times New Roman"/>
          <w:sz w:val="24"/>
          <w:szCs w:val="24"/>
          <w:lang w:val="en-GB"/>
        </w:rPr>
        <w:t>6.</w:t>
      </w:r>
      <w:r w:rsidR="007F79E9" w:rsidRPr="00CE4BE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Nëse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tatimi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rezulton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rillogaritje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</w:t>
      </w:r>
      <w:r w:rsid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nenit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32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L</w:t>
      </w:r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igji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nuk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fitim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neto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vitin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tatimi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shpërndahet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secilit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duke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përdorur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formulën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përcaktuar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5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neni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bazuar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fitimin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vitet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fiskale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cilat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kryhen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rillogaritjet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</w:t>
      </w:r>
      <w:r w:rsid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nenit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32</w:t>
      </w:r>
      <w:r w:rsid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L</w:t>
      </w:r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igji</w:t>
      </w:r>
      <w:proofErr w:type="spellEnd"/>
      <w:r w:rsidR="007C2FC8" w:rsidRPr="007C2FC8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1DA4494C" w14:textId="77777777" w:rsidR="000E5C78" w:rsidRDefault="000E5C78" w:rsidP="000E5C78">
      <w:pPr>
        <w:tabs>
          <w:tab w:val="left" w:pos="135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CF43381" w14:textId="07572FAE" w:rsidR="000E5C78" w:rsidRDefault="000E5C78" w:rsidP="000E5C78">
      <w:pPr>
        <w:tabs>
          <w:tab w:val="left" w:pos="135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7.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secilit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pa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shtetësi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llogaritet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n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m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nyr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veçma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nt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gjitha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tjera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36CCD21F" w14:textId="0F6E9CBD" w:rsidR="00D41636" w:rsidRDefault="00D41636" w:rsidP="000E5C78">
      <w:pPr>
        <w:tabs>
          <w:tab w:val="left" w:pos="135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17FA7B9" w14:textId="5DF1E55A" w:rsidR="00D41636" w:rsidRDefault="00D41636" w:rsidP="000E5C78">
      <w:pPr>
        <w:tabs>
          <w:tab w:val="left" w:pos="135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8. Kur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shuma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brendshëm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nuk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paguar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brenda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katër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viteve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fiskale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pas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vitit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cilin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bërë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detyrueshme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shuma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brendshëm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papaguar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shtohet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juridiksionit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llogaritur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3,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nuk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mblidhet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administrata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9B2DB7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181241A5" w14:textId="77777777" w:rsidR="000E5C78" w:rsidRDefault="000E5C78" w:rsidP="00AD088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6F86D25" w14:textId="66DC5C63" w:rsidR="000E5C78" w:rsidRPr="000E5C78" w:rsidRDefault="000E5C78" w:rsidP="00C30413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0E5C78">
        <w:rPr>
          <w:rFonts w:ascii="Times New Roman" w:hAnsi="Times New Roman" w:cs="Times New Roman"/>
          <w:sz w:val="24"/>
          <w:szCs w:val="24"/>
          <w:lang w:val="en-GB"/>
        </w:rPr>
        <w:t>Neni 28</w:t>
      </w:r>
    </w:p>
    <w:p w14:paraId="6935253B" w14:textId="79423F2F" w:rsidR="000E5C78" w:rsidRPr="000E5C78" w:rsidRDefault="000E5C78" w:rsidP="000E5C7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0E5C78">
        <w:rPr>
          <w:rFonts w:ascii="Times New Roman" w:hAnsi="Times New Roman" w:cs="Times New Roman"/>
          <w:b/>
          <w:bCs/>
          <w:sz w:val="24"/>
          <w:szCs w:val="24"/>
          <w:lang w:val="en-GB"/>
        </w:rPr>
        <w:t>Përcaktimi</w:t>
      </w:r>
      <w:proofErr w:type="spellEnd"/>
      <w:r w:rsidRPr="000E5C7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proofErr w:type="spellEnd"/>
      <w:r w:rsidRPr="000E5C7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hAnsi="Times New Roman" w:cs="Times New Roman"/>
          <w:b/>
          <w:bCs/>
          <w:sz w:val="24"/>
          <w:szCs w:val="24"/>
          <w:lang w:val="en-GB"/>
        </w:rPr>
        <w:t>përjashtimit</w:t>
      </w:r>
      <w:proofErr w:type="spellEnd"/>
      <w:r w:rsidRPr="000E5C7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hAnsi="Times New Roman" w:cs="Times New Roman"/>
          <w:b/>
          <w:bCs/>
          <w:sz w:val="24"/>
          <w:szCs w:val="24"/>
          <w:lang w:val="en-GB"/>
        </w:rPr>
        <w:t>të</w:t>
      </w:r>
      <w:proofErr w:type="spellEnd"/>
      <w:r w:rsidRPr="000E5C7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hAnsi="Times New Roman" w:cs="Times New Roman"/>
          <w:b/>
          <w:bCs/>
          <w:sz w:val="24"/>
          <w:szCs w:val="24"/>
          <w:lang w:val="en-GB"/>
        </w:rPr>
        <w:t>të</w:t>
      </w:r>
      <w:proofErr w:type="spellEnd"/>
      <w:r w:rsidRPr="000E5C7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hAnsi="Times New Roman" w:cs="Times New Roman"/>
          <w:b/>
          <w:bCs/>
          <w:sz w:val="24"/>
          <w:szCs w:val="24"/>
          <w:lang w:val="en-GB"/>
        </w:rPr>
        <w:t>ardhurave</w:t>
      </w:r>
      <w:proofErr w:type="spellEnd"/>
      <w:r w:rsidRPr="000E5C7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B92FC9">
        <w:rPr>
          <w:rFonts w:ascii="Times New Roman" w:hAnsi="Times New Roman" w:cs="Times New Roman"/>
          <w:b/>
          <w:bCs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b/>
          <w:bCs/>
          <w:sz w:val="24"/>
          <w:szCs w:val="24"/>
          <w:lang w:val="en-GB"/>
        </w:rPr>
        <w:t>ë</w:t>
      </w:r>
      <w:proofErr w:type="spellEnd"/>
      <w:r w:rsidR="00B92FC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hAnsi="Times New Roman" w:cs="Times New Roman"/>
          <w:b/>
          <w:bCs/>
          <w:sz w:val="24"/>
          <w:szCs w:val="24"/>
          <w:lang w:val="en-GB"/>
        </w:rPr>
        <w:t>baz</w:t>
      </w:r>
      <w:r w:rsidR="00B92FC9">
        <w:rPr>
          <w:rFonts w:ascii="Times New Roman" w:hAnsi="Times New Roman" w:cs="Times New Roman"/>
          <w:b/>
          <w:bCs/>
          <w:sz w:val="24"/>
          <w:szCs w:val="24"/>
          <w:lang w:val="en-GB"/>
        </w:rPr>
        <w:t>uara</w:t>
      </w:r>
      <w:proofErr w:type="spellEnd"/>
      <w:r w:rsidR="00B92FC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B92FC9">
        <w:rPr>
          <w:rFonts w:ascii="Times New Roman" w:hAnsi="Times New Roman" w:cs="Times New Roman"/>
          <w:b/>
          <w:bCs/>
          <w:sz w:val="24"/>
          <w:szCs w:val="24"/>
          <w:lang w:val="en-GB"/>
        </w:rPr>
        <w:t>në</w:t>
      </w:r>
      <w:proofErr w:type="spellEnd"/>
      <w:r w:rsidRPr="000E5C7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hAnsi="Times New Roman" w:cs="Times New Roman"/>
          <w:b/>
          <w:bCs/>
          <w:sz w:val="24"/>
          <w:szCs w:val="24"/>
          <w:lang w:val="en-GB"/>
        </w:rPr>
        <w:t>substancë</w:t>
      </w:r>
      <w:proofErr w:type="spellEnd"/>
    </w:p>
    <w:p w14:paraId="7A816D73" w14:textId="77777777" w:rsidR="000E5C78" w:rsidRDefault="000E5C78" w:rsidP="000E5C7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9CB2608" w14:textId="52802B15" w:rsidR="004B597C" w:rsidRDefault="00317114" w:rsidP="003171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1.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Përveç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rastit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kur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deklarues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3</w:t>
      </w:r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nenit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55</w:t>
      </w:r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>L</w:t>
      </w:r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igji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zgjedh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mos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zbatojë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përjashtimin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baz</w:t>
      </w:r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>uara</w:t>
      </w:r>
      <w:proofErr w:type="spellEnd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>n</w:t>
      </w:r>
      <w:r w:rsidR="00AB7580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substancë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vitin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fitimi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neto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zvogëlohet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qëllime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llogaritjes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së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shumën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përjashtimit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>bazuara</w:t>
      </w:r>
      <w:proofErr w:type="spellEnd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>n</w:t>
      </w:r>
      <w:r w:rsidR="00AB7580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substance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atë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00C268F0" w14:textId="77777777" w:rsidR="000E5C78" w:rsidRPr="00CE4BE0" w:rsidRDefault="000E5C78" w:rsidP="003171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84C8CC8" w14:textId="5DECD335" w:rsidR="00E36992" w:rsidRDefault="00317114" w:rsidP="003171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 xml:space="preserve">2.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Përjashtimi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>bazuara</w:t>
      </w:r>
      <w:proofErr w:type="spellEnd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>n</w:t>
      </w:r>
      <w:r w:rsidR="00AB7580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substancë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gjitha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entitetet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vendosura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shumën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5%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kostove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pagave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punonjësve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5%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vlerës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aktiveve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prekshme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1CD8E5C6" w14:textId="77777777" w:rsidR="004B597C" w:rsidRDefault="004B597C" w:rsidP="003171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A08473E" w14:textId="400B1211" w:rsidR="004B597C" w:rsidRDefault="004B597C" w:rsidP="003171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3.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Kostot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pagave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punonjësve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paguar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si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aktivet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prekshme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pronësi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selie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atribuohen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juridiksionit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cilin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ndodhet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selia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kusht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këto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kosto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aktive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përfshihen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pasqyrat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veçanta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asaj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selie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paragrafët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nenit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18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L</w:t>
      </w:r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igji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Këto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kosto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aktive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nuk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merren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parasysh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kostot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pagave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aktivet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prekshme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kryesor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Kur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selie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janë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përjashtuar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plotësisht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pjesërisht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</w:t>
      </w:r>
      <w:r w:rsid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nenit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19</w:t>
      </w:r>
      <w:r w:rsid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4</w:t>
      </w:r>
      <w:r w:rsid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nenit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41</w:t>
      </w:r>
      <w:r w:rsid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ligji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kostot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pagave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aktivet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prekshme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asaj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selie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përjashtohen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njëjtën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proporcion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llogaritja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sipas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neni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grupin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ndërmarrjeve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grupin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vendas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shkallë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gjerë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19C4F226" w14:textId="77777777" w:rsidR="000E5C78" w:rsidRDefault="000E5C78" w:rsidP="003171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2A1890A" w14:textId="4C9B84CA" w:rsidR="000E5C78" w:rsidRPr="000E5C78" w:rsidRDefault="004B597C" w:rsidP="000E5C7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4.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Kostot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pagave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punonjësve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paguara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si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aktivet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prekshme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pronësi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5961ED">
        <w:rPr>
          <w:rFonts w:ascii="Times New Roman" w:eastAsia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0E5C78" w:rsidRPr="005961E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transparent </w:t>
      </w:r>
      <w:proofErr w:type="spellStart"/>
      <w:r w:rsidR="005961ED">
        <w:rPr>
          <w:rFonts w:ascii="Times New Roman" w:eastAsia="Times New Roman" w:hAnsi="Times New Roman" w:cs="Times New Roman"/>
          <w:sz w:val="24"/>
          <w:szCs w:val="24"/>
          <w:lang w:val="en-GB"/>
        </w:rPr>
        <w:t>tatimor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nuk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janë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shp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rndara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sipas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3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neni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shp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rndahen</w:t>
      </w:r>
      <w:proofErr w:type="spellEnd"/>
      <w:r w:rsidR="000E5C78"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14:paraId="5A12F5B6" w14:textId="77777777" w:rsidR="000E5C78" w:rsidRPr="000E5C78" w:rsidRDefault="000E5C78" w:rsidP="000E5C7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FFCCA5B" w14:textId="2ED12373" w:rsidR="000E5C78" w:rsidRPr="000E5C78" w:rsidRDefault="000E5C78" w:rsidP="000E5C7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pronarëve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transparent </w:t>
      </w:r>
      <w:proofErr w:type="spellStart"/>
      <w:r w:rsidR="005961ED">
        <w:rPr>
          <w:rFonts w:ascii="Times New Roman" w:eastAsia="Times New Roman" w:hAnsi="Times New Roman" w:cs="Times New Roman"/>
          <w:sz w:val="24"/>
          <w:szCs w:val="24"/>
          <w:lang w:val="en-GB"/>
        </w:rPr>
        <w:t>tatimor</w:t>
      </w:r>
      <w:proofErr w:type="spellEnd"/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përpjesëtim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shumën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shp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rndar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4</w:t>
      </w:r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19</w:t>
      </w:r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L</w:t>
      </w:r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kusht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punonjësit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aktivet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prekshme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jenë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pronarëve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291C8774" w14:textId="71FEA56B" w:rsidR="004B597C" w:rsidRDefault="000E5C78" w:rsidP="000E5C7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vetë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transparent </w:t>
      </w:r>
      <w:proofErr w:type="spellStart"/>
      <w:r w:rsidR="005961ED">
        <w:rPr>
          <w:rFonts w:ascii="Times New Roman" w:eastAsia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reduktuara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përpjesëtim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përjashtuara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llogaritja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fitimit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transparent </w:t>
      </w:r>
      <w:proofErr w:type="spellStart"/>
      <w:r w:rsidR="005961ED">
        <w:rPr>
          <w:rFonts w:ascii="Times New Roman" w:eastAsia="Times New Roman" w:hAnsi="Times New Roman" w:cs="Times New Roman"/>
          <w:sz w:val="24"/>
          <w:szCs w:val="24"/>
          <w:lang w:val="en-GB"/>
        </w:rPr>
        <w:t>tatimor</w:t>
      </w:r>
      <w:proofErr w:type="spellEnd"/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paragrafët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</w:t>
      </w:r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41</w:t>
      </w:r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L</w:t>
      </w:r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kusht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punonjësit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aktivet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prekshme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jenë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0E5C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transparent </w:t>
      </w:r>
      <w:proofErr w:type="spellStart"/>
      <w:r w:rsidR="005961ED">
        <w:rPr>
          <w:rFonts w:ascii="Times New Roman" w:eastAsia="Times New Roman" w:hAnsi="Times New Roman" w:cs="Times New Roman"/>
          <w:sz w:val="24"/>
          <w:szCs w:val="24"/>
          <w:lang w:val="en-GB"/>
        </w:rPr>
        <w:t>tatimor</w:t>
      </w:r>
      <w:proofErr w:type="spellEnd"/>
      <w:r w:rsidR="005961ED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65656C6E" w14:textId="77777777" w:rsidR="004B597C" w:rsidRDefault="004B597C" w:rsidP="004B59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39312BC" w14:textId="6B13F541" w:rsidR="004B597C" w:rsidRDefault="004B597C" w:rsidP="004B59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5.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gjitha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kostot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tjera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pagave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punonjësve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aktivet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tjera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prekshme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transparent </w:t>
      </w:r>
      <w:proofErr w:type="spellStart"/>
      <w:r w:rsidR="005961ED">
        <w:rPr>
          <w:rFonts w:ascii="Times New Roman" w:eastAsia="Times New Roman" w:hAnsi="Times New Roman" w:cs="Times New Roman"/>
          <w:sz w:val="24"/>
          <w:szCs w:val="24"/>
          <w:lang w:val="en-GB"/>
        </w:rPr>
        <w:t>tatimor</w:t>
      </w:r>
      <w:proofErr w:type="spellEnd"/>
      <w:r w:rsidR="005961E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nuk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janë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shpërndar</w:t>
      </w:r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4</w:t>
      </w:r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neni</w:t>
      </w:r>
      <w:proofErr w:type="spellEnd"/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përjashtohen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llogaritja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përjashtimit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baz</w:t>
      </w:r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>uara</w:t>
      </w:r>
      <w:proofErr w:type="spellEnd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>n</w:t>
      </w:r>
      <w:r w:rsidR="00AB7580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substance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grupit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shoq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rive</w:t>
      </w:r>
      <w:proofErr w:type="spellEnd"/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grupit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madh</w:t>
      </w:r>
      <w:proofErr w:type="spellEnd"/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vendas</w:t>
      </w:r>
      <w:proofErr w:type="spellEnd"/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0C4AF54B" w14:textId="77777777" w:rsidR="006B221A" w:rsidRDefault="006B22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3E61F2F" w14:textId="62548784" w:rsidR="00845F7D" w:rsidRPr="00011032" w:rsidRDefault="00845F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6.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Përjashtimi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>bazuara</w:t>
      </w:r>
      <w:proofErr w:type="spellEnd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>n</w:t>
      </w:r>
      <w:r w:rsidR="00AB7580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substancë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nuk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përfshin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kostot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pagave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punonjësve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vlerën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aktiveve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prekshme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kur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këta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punonjës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këto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aktive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janë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vendosur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jashtë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juridiksionit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2CCC73DE" w14:textId="77777777" w:rsidR="00845F7D" w:rsidRDefault="00845F7D" w:rsidP="004A60B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BC9CC40" w14:textId="4197C5B5" w:rsidR="00845F7D" w:rsidRDefault="00845F7D" w:rsidP="004A60B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 xml:space="preserve">7.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Përjashtimi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>bazuara</w:t>
      </w:r>
      <w:proofErr w:type="spellEnd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>n</w:t>
      </w:r>
      <w:r w:rsidR="00AB7580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substancë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p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r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secili</w:t>
      </w:r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n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pa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shtetësi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llogaritet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çdo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n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m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nyr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veç</w:t>
      </w:r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>ant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përjashtimi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>bazuara</w:t>
      </w:r>
      <w:proofErr w:type="spellEnd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>n</w:t>
      </w:r>
      <w:r w:rsidR="00AB7580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>substance,</w:t>
      </w:r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gjitha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tjera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563E91B8" w14:textId="77777777" w:rsidR="00845F7D" w:rsidRDefault="00845F7D" w:rsidP="004A60B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F10810F" w14:textId="2E621C1F" w:rsidR="006B221A" w:rsidRPr="00CE4BE0" w:rsidRDefault="00845F7D" w:rsidP="009B2DB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8.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Përjashtimi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>bazuara</w:t>
      </w:r>
      <w:proofErr w:type="spellEnd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>n</w:t>
      </w:r>
      <w:r w:rsidR="00AB7580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B92FC9">
        <w:rPr>
          <w:rFonts w:ascii="Times New Roman" w:eastAsia="Times New Roman" w:hAnsi="Times New Roman" w:cs="Times New Roman"/>
          <w:sz w:val="24"/>
          <w:szCs w:val="24"/>
          <w:lang w:val="en-GB"/>
        </w:rPr>
        <w:t>substance,</w:t>
      </w:r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llogaritur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sipas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neni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nuk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përfshin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përjashtimin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pagat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përjashtimin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aktivet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prekshme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janë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entitete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investimi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atë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6B221A" w:rsidRPr="006B221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2FE057D9" w14:textId="2849B251" w:rsidR="006B221A" w:rsidRPr="006B221A" w:rsidRDefault="006B221A" w:rsidP="00C3041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6B221A">
        <w:rPr>
          <w:rFonts w:ascii="Times New Roman" w:hAnsi="Times New Roman" w:cs="Times New Roman"/>
          <w:sz w:val="24"/>
          <w:szCs w:val="24"/>
          <w:lang w:val="en-GB"/>
        </w:rPr>
        <w:t>Neni 29</w:t>
      </w:r>
    </w:p>
    <w:p w14:paraId="1391DD9C" w14:textId="4C96ED62" w:rsidR="00AD088F" w:rsidRPr="006B221A" w:rsidRDefault="006B221A" w:rsidP="006B221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6B221A">
        <w:rPr>
          <w:rFonts w:ascii="Times New Roman" w:hAnsi="Times New Roman" w:cs="Times New Roman"/>
          <w:b/>
          <w:bCs/>
          <w:sz w:val="24"/>
          <w:szCs w:val="24"/>
          <w:lang w:val="en-GB"/>
        </w:rPr>
        <w:t>Punonjësit</w:t>
      </w:r>
      <w:proofErr w:type="spellEnd"/>
      <w:r w:rsidRPr="006B221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 </w:t>
      </w:r>
      <w:proofErr w:type="spellStart"/>
      <w:r w:rsidRPr="006B221A">
        <w:rPr>
          <w:rFonts w:ascii="Times New Roman" w:hAnsi="Times New Roman" w:cs="Times New Roman"/>
          <w:b/>
          <w:bCs/>
          <w:sz w:val="24"/>
          <w:szCs w:val="24"/>
          <w:lang w:val="en-GB"/>
        </w:rPr>
        <w:t>kualifikuar</w:t>
      </w:r>
      <w:proofErr w:type="spellEnd"/>
      <w:r w:rsidRPr="006B221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B221A">
        <w:rPr>
          <w:rFonts w:ascii="Times New Roman" w:hAnsi="Times New Roman" w:cs="Times New Roman"/>
          <w:b/>
          <w:bCs/>
          <w:sz w:val="24"/>
          <w:szCs w:val="24"/>
          <w:lang w:val="en-GB"/>
        </w:rPr>
        <w:t>dhe</w:t>
      </w:r>
      <w:proofErr w:type="spellEnd"/>
      <w:r w:rsidRPr="006B221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B221A">
        <w:rPr>
          <w:rFonts w:ascii="Times New Roman" w:hAnsi="Times New Roman" w:cs="Times New Roman"/>
          <w:b/>
          <w:bCs/>
          <w:sz w:val="24"/>
          <w:szCs w:val="24"/>
          <w:lang w:val="en-GB"/>
        </w:rPr>
        <w:t>kostot</w:t>
      </w:r>
      <w:proofErr w:type="spellEnd"/>
      <w:r w:rsidRPr="006B221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 </w:t>
      </w:r>
      <w:proofErr w:type="spellStart"/>
      <w:r w:rsidRPr="006B221A">
        <w:rPr>
          <w:rFonts w:ascii="Times New Roman" w:hAnsi="Times New Roman" w:cs="Times New Roman"/>
          <w:b/>
          <w:bCs/>
          <w:sz w:val="24"/>
          <w:szCs w:val="24"/>
          <w:lang w:val="en-GB"/>
        </w:rPr>
        <w:t>kualifikuara</w:t>
      </w:r>
      <w:proofErr w:type="spellEnd"/>
      <w:r w:rsidRPr="006B221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B221A">
        <w:rPr>
          <w:rFonts w:ascii="Times New Roman" w:hAnsi="Times New Roman" w:cs="Times New Roman"/>
          <w:b/>
          <w:bCs/>
          <w:sz w:val="24"/>
          <w:szCs w:val="24"/>
          <w:lang w:val="en-GB"/>
        </w:rPr>
        <w:t>të</w:t>
      </w:r>
      <w:proofErr w:type="spellEnd"/>
      <w:r w:rsidRPr="006B221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B221A">
        <w:rPr>
          <w:rFonts w:ascii="Times New Roman" w:hAnsi="Times New Roman" w:cs="Times New Roman"/>
          <w:b/>
          <w:bCs/>
          <w:sz w:val="24"/>
          <w:szCs w:val="24"/>
          <w:lang w:val="en-GB"/>
        </w:rPr>
        <w:t>pagave</w:t>
      </w:r>
      <w:proofErr w:type="spellEnd"/>
    </w:p>
    <w:p w14:paraId="6CEABAD9" w14:textId="77777777" w:rsidR="006B221A" w:rsidRPr="00CE4BE0" w:rsidRDefault="006B221A" w:rsidP="006B221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4296C8C" w14:textId="51BE399C" w:rsidR="00204998" w:rsidRPr="00CE4BE0" w:rsidRDefault="00341A38" w:rsidP="004A60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1.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qëllimet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Kreu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, “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punonjës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” </w:t>
      </w:r>
      <w:r w:rsid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 w:rsid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thot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punonjës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kohë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plotë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kohë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pjesshme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si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kontraktorë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pavarur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marrin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pjesë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veprimtaritë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operative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zakonshme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grupi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shoq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r w:rsid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rie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grupi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madh</w:t>
      </w:r>
      <w:proofErr w:type="spellEnd"/>
      <w:r w:rsid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vendas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nën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drejtimin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kontrollin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grupit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shoq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r w:rsid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rive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grupit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madh</w:t>
      </w:r>
      <w:proofErr w:type="spellEnd"/>
      <w:r w:rsid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vendas</w:t>
      </w:r>
      <w:proofErr w:type="spellEnd"/>
      <w:r w:rsid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5EA6EAD7" w14:textId="77777777" w:rsidR="00924CC4" w:rsidRDefault="00924CC4" w:rsidP="004A60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435E145" w14:textId="16F3322B" w:rsidR="00204998" w:rsidRPr="00CE4BE0" w:rsidRDefault="00341A38" w:rsidP="004A60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eastAsia="Times New Roman" w:hAnsi="Times New Roman" w:cs="Times New Roman"/>
          <w:sz w:val="24"/>
          <w:szCs w:val="24"/>
          <w:lang w:val="en-GB"/>
        </w:rPr>
        <w:t>2.</w:t>
      </w:r>
      <w:r w:rsid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qëllimet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Kreu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, “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kosto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pagave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” </w:t>
      </w:r>
      <w:r w:rsid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 w:rsid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thot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shpenzimet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kompensimin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punonjësve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duke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përfshirë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pagat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rrogat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shpenzime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tjera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ofrojnë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përfitim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drejtpërdrejtë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veçantë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personal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punonjësin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si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sigurimi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shëndetësor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kontributet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r w:rsid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r</w:t>
      </w:r>
      <w:proofErr w:type="spellEnd"/>
      <w:r w:rsid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pension,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tatimet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mbi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pagat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punësimin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si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kontributet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sigurimeve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shoqërore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punëdhënësit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2F13A927" w14:textId="77777777" w:rsidR="00924CC4" w:rsidRDefault="00924CC4" w:rsidP="004A60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37CCBEB" w14:textId="77777777" w:rsidR="00F04F0A" w:rsidRPr="00F04F0A" w:rsidRDefault="00924CC4" w:rsidP="00F04F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3</w:t>
      </w:r>
      <w:r w:rsidR="00341A38" w:rsidRPr="00CE4BE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Kostot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pagave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punonjësve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nuk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përfshijnë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kostot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14:paraId="65A7A2CD" w14:textId="77777777" w:rsidR="00F04F0A" w:rsidRPr="00F04F0A" w:rsidRDefault="00F04F0A" w:rsidP="00F04F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B1D87A8" w14:textId="77777777" w:rsidR="00F04F0A" w:rsidRPr="00F04F0A" w:rsidRDefault="00F04F0A" w:rsidP="00F04F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kapitalizohen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përfshihen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vlerën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kontabël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aktiveve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prekshme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</w:p>
    <w:p w14:paraId="681E16BE" w14:textId="2E47C71A" w:rsidR="00204998" w:rsidRPr="00CE4BE0" w:rsidRDefault="00F04F0A" w:rsidP="00F04F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atribuohen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përjashtuara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nenin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17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L</w:t>
      </w:r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4E9DB01F" w14:textId="77777777" w:rsidR="00F04F0A" w:rsidRDefault="00F04F0A" w:rsidP="00C30413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3A3EB4C3" w14:textId="2E4AA877" w:rsidR="00F04F0A" w:rsidRPr="00F04F0A" w:rsidRDefault="00F04F0A" w:rsidP="00C30413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F04F0A">
        <w:rPr>
          <w:rFonts w:ascii="Times New Roman" w:hAnsi="Times New Roman" w:cs="Times New Roman"/>
          <w:sz w:val="24"/>
          <w:szCs w:val="24"/>
          <w:lang w:val="en-GB"/>
        </w:rPr>
        <w:t>Neni 30</w:t>
      </w:r>
    </w:p>
    <w:p w14:paraId="5F04C247" w14:textId="7F7F07F4" w:rsidR="009329A7" w:rsidRPr="00F04F0A" w:rsidRDefault="00F04F0A" w:rsidP="00F04F0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F04F0A">
        <w:rPr>
          <w:rFonts w:ascii="Times New Roman" w:hAnsi="Times New Roman" w:cs="Times New Roman"/>
          <w:b/>
          <w:bCs/>
          <w:sz w:val="24"/>
          <w:szCs w:val="24"/>
          <w:lang w:val="en-GB"/>
        </w:rPr>
        <w:t>Aktivet</w:t>
      </w:r>
      <w:proofErr w:type="spellEnd"/>
      <w:r w:rsidRPr="00F04F0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 </w:t>
      </w:r>
      <w:proofErr w:type="spellStart"/>
      <w:r w:rsidRPr="00F04F0A">
        <w:rPr>
          <w:rFonts w:ascii="Times New Roman" w:hAnsi="Times New Roman" w:cs="Times New Roman"/>
          <w:b/>
          <w:bCs/>
          <w:sz w:val="24"/>
          <w:szCs w:val="24"/>
          <w:lang w:val="en-GB"/>
        </w:rPr>
        <w:t>prekshme</w:t>
      </w:r>
      <w:proofErr w:type="spellEnd"/>
      <w:r w:rsidRPr="00F04F0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hAnsi="Times New Roman" w:cs="Times New Roman"/>
          <w:b/>
          <w:bCs/>
          <w:sz w:val="24"/>
          <w:szCs w:val="24"/>
          <w:lang w:val="en-GB"/>
        </w:rPr>
        <w:t>të</w:t>
      </w:r>
      <w:proofErr w:type="spellEnd"/>
      <w:r w:rsidRPr="00F04F0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hAnsi="Times New Roman" w:cs="Times New Roman"/>
          <w:b/>
          <w:bCs/>
          <w:sz w:val="24"/>
          <w:szCs w:val="24"/>
          <w:lang w:val="en-GB"/>
        </w:rPr>
        <w:t>kualifikuara</w:t>
      </w:r>
      <w:proofErr w:type="spellEnd"/>
      <w:r w:rsidRPr="00F04F0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14:paraId="404A4B31" w14:textId="77777777" w:rsidR="00F04F0A" w:rsidRPr="00CE4BE0" w:rsidRDefault="00F04F0A" w:rsidP="004A60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3C6C618" w14:textId="63B58E50" w:rsidR="00F04F0A" w:rsidRPr="00F04F0A" w:rsidRDefault="00DF469F" w:rsidP="00F04F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1. </w:t>
      </w:r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“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Aktivet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prekshme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” </w:t>
      </w:r>
      <w:r w:rsid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 w:rsid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thot</w:t>
      </w:r>
      <w:r w:rsidR="00FA0FBD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14:paraId="7BAA43DB" w14:textId="77777777" w:rsidR="00F04F0A" w:rsidRPr="00F04F0A" w:rsidRDefault="00F04F0A" w:rsidP="00F04F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DFA3127" w14:textId="77777777" w:rsidR="00F04F0A" w:rsidRPr="00F04F0A" w:rsidRDefault="00F04F0A" w:rsidP="00F04F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pronën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objektet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pajisjet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14:paraId="123C841B" w14:textId="77777777" w:rsidR="00F04F0A" w:rsidRPr="00F04F0A" w:rsidRDefault="00F04F0A" w:rsidP="00F04F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burimet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natyrore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14:paraId="36A4B89B" w14:textId="77777777" w:rsidR="00F04F0A" w:rsidRPr="00F04F0A" w:rsidRDefault="00F04F0A" w:rsidP="00F04F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c)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drejtën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përdorimit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nga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qiramarrësi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aktiveve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prekshme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5D77F609" w14:textId="684AE002" w:rsidR="00DF469F" w:rsidRPr="00CE4BE0" w:rsidRDefault="00F04F0A" w:rsidP="00F04F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d)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licencë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marrëveshje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ngjashme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qeverinë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përdorimin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pasurisë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së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paluajtshme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shfrytëzimin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burimeve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natyrore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e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cila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përfshin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investime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konsiderueshme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aktive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prekshme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3B9ED2CA" w14:textId="77777777" w:rsidR="00E338E7" w:rsidRDefault="00E338E7" w:rsidP="004A60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EA4C71C" w14:textId="08C963C6" w:rsidR="00F04F0A" w:rsidRPr="00F04F0A" w:rsidRDefault="009B5F83" w:rsidP="00F04F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2</w:t>
      </w:r>
      <w:r w:rsidR="00DF469F" w:rsidRPr="00CE4BE0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CE4BE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Përjashtimi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5103F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>
        <w:rPr>
          <w:rFonts w:ascii="Times New Roman" w:eastAsia="Times New Roman" w:hAnsi="Times New Roman" w:cs="Times New Roman"/>
          <w:sz w:val="24"/>
          <w:szCs w:val="24"/>
          <w:lang w:val="en-GB"/>
        </w:rPr>
        <w:t>bazuara</w:t>
      </w:r>
      <w:proofErr w:type="spellEnd"/>
      <w:r w:rsidR="005103F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>
        <w:rPr>
          <w:rFonts w:ascii="Times New Roman" w:eastAsia="Times New Roman" w:hAnsi="Times New Roman" w:cs="Times New Roman"/>
          <w:sz w:val="24"/>
          <w:szCs w:val="24"/>
          <w:lang w:val="en-GB"/>
        </w:rPr>
        <w:t>n</w:t>
      </w:r>
      <w:r w:rsidR="00AB7580">
        <w:rPr>
          <w:rFonts w:ascii="Times New Roman" w:eastAsia="Times New Roman" w:hAnsi="Times New Roman" w:cs="Times New Roman"/>
          <w:sz w:val="24"/>
          <w:szCs w:val="24"/>
          <w:lang w:val="en-GB"/>
        </w:rPr>
        <w:t>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5103FE">
        <w:rPr>
          <w:rFonts w:ascii="Times New Roman" w:eastAsia="Times New Roman" w:hAnsi="Times New Roman" w:cs="Times New Roman"/>
          <w:sz w:val="24"/>
          <w:szCs w:val="24"/>
          <w:lang w:val="en-GB"/>
        </w:rPr>
        <w:t>substance,</w:t>
      </w:r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nuk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përfshin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vlerën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aktiveve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prekshme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si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më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poshtë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14:paraId="22776553" w14:textId="77777777" w:rsidR="00F04F0A" w:rsidRPr="00F04F0A" w:rsidRDefault="00F04F0A" w:rsidP="00F04F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976E70F" w14:textId="77777777" w:rsidR="00F04F0A" w:rsidRPr="00F04F0A" w:rsidRDefault="00F04F0A" w:rsidP="00F04F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pasuritë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përfshirë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tokën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ndërtesat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mbahen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shitje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qira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ose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investim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0CACDDF5" w14:textId="7EC641F6" w:rsidR="00DF469F" w:rsidRPr="00CE4BE0" w:rsidRDefault="00F04F0A" w:rsidP="00F04F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aktivet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prekshme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përdoren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gjeneruar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ardhura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përjashtuara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nenin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17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L</w:t>
      </w:r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10D8136A" w14:textId="77777777" w:rsidR="00E338E7" w:rsidRDefault="00E338E7" w:rsidP="004A60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ECBBE0B" w14:textId="36E48EAF" w:rsidR="00DF469F" w:rsidRPr="00CE4BE0" w:rsidRDefault="009B5F83" w:rsidP="004A60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eastAsia="Times New Roman" w:hAnsi="Times New Roman" w:cs="Times New Roman"/>
          <w:sz w:val="24"/>
          <w:szCs w:val="24"/>
          <w:lang w:val="en-GB"/>
        </w:rPr>
        <w:t>3</w:t>
      </w:r>
      <w:r w:rsidR="00DF469F" w:rsidRPr="00CE4BE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Vlera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aktiveve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prekshme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mesataren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vlerës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këtyre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aktiveve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fillim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fund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vitit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siç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regjistrohet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për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qëllime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përgatitjes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së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pasqyrave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konsoliduara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e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reduktuar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çdo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amortizim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akumuluar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zhvlerësim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shterim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si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rritur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çdo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shumë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atribuohet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kapitalizimit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shpenzimeve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të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pagave</w:t>
      </w:r>
      <w:proofErr w:type="spellEnd"/>
      <w:r w:rsidR="00F04F0A" w:rsidRPr="00F04F0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2BDEA70A" w14:textId="77777777" w:rsidR="00900C56" w:rsidRPr="00CE4BE0" w:rsidRDefault="00900C56" w:rsidP="004A60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1B77FED" w14:textId="04DDAB1B" w:rsidR="00F04F0A" w:rsidRPr="00F04F0A" w:rsidRDefault="00F04F0A" w:rsidP="00565E7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F04F0A">
        <w:rPr>
          <w:rFonts w:ascii="Times New Roman" w:hAnsi="Times New Roman" w:cs="Times New Roman"/>
          <w:sz w:val="24"/>
          <w:szCs w:val="24"/>
          <w:lang w:val="en-GB"/>
        </w:rPr>
        <w:t>Neni 31</w:t>
      </w:r>
    </w:p>
    <w:p w14:paraId="085EBCE6" w14:textId="25225DCF" w:rsidR="00F04F0A" w:rsidRPr="00F04F0A" w:rsidRDefault="00F04F0A" w:rsidP="00F04F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F04F0A">
        <w:rPr>
          <w:rFonts w:ascii="Times New Roman" w:hAnsi="Times New Roman" w:cs="Times New Roman"/>
          <w:b/>
          <w:bCs/>
          <w:sz w:val="24"/>
          <w:szCs w:val="24"/>
          <w:lang w:val="en-GB"/>
        </w:rPr>
        <w:t>Lehtësimi</w:t>
      </w:r>
      <w:proofErr w:type="spellEnd"/>
      <w:r w:rsidRPr="00F04F0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p</w:t>
      </w:r>
      <w:r w:rsidR="00FA0FBD">
        <w:rPr>
          <w:rFonts w:ascii="Times New Roman" w:hAnsi="Times New Roman" w:cs="Times New Roman"/>
          <w:b/>
          <w:bCs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rkohsh</w:t>
      </w:r>
      <w:r w:rsidR="00FA0FBD">
        <w:rPr>
          <w:rFonts w:ascii="Times New Roman" w:hAnsi="Times New Roman" w:cs="Times New Roman"/>
          <w:b/>
          <w:bCs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m</w:t>
      </w:r>
      <w:proofErr w:type="spellEnd"/>
      <w:r w:rsidRPr="00F04F0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hAnsi="Times New Roman" w:cs="Times New Roman"/>
          <w:b/>
          <w:bCs/>
          <w:sz w:val="24"/>
          <w:szCs w:val="24"/>
          <w:lang w:val="en-GB"/>
        </w:rPr>
        <w:t>për</w:t>
      </w:r>
      <w:proofErr w:type="spellEnd"/>
      <w:r w:rsidRPr="00F04F0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hAnsi="Times New Roman" w:cs="Times New Roman"/>
          <w:b/>
          <w:bCs/>
          <w:sz w:val="24"/>
          <w:szCs w:val="24"/>
          <w:lang w:val="en-GB"/>
        </w:rPr>
        <w:t>përjashtimin</w:t>
      </w:r>
      <w:proofErr w:type="spellEnd"/>
      <w:r w:rsidRPr="00F04F0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 </w:t>
      </w:r>
      <w:proofErr w:type="spellStart"/>
      <w:r w:rsidRPr="00F04F0A">
        <w:rPr>
          <w:rFonts w:ascii="Times New Roman" w:hAnsi="Times New Roman" w:cs="Times New Roman"/>
          <w:b/>
          <w:bCs/>
          <w:sz w:val="24"/>
          <w:szCs w:val="24"/>
          <w:lang w:val="en-GB"/>
        </w:rPr>
        <w:t>të</w:t>
      </w:r>
      <w:proofErr w:type="spellEnd"/>
      <w:r w:rsidRPr="00F04F0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hAnsi="Times New Roman" w:cs="Times New Roman"/>
          <w:b/>
          <w:bCs/>
          <w:sz w:val="24"/>
          <w:szCs w:val="24"/>
          <w:lang w:val="en-GB"/>
        </w:rPr>
        <w:t>ardhurave</w:t>
      </w:r>
      <w:proofErr w:type="spellEnd"/>
      <w:r w:rsidRPr="00F04F0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5103FE">
        <w:rPr>
          <w:rFonts w:ascii="Times New Roman" w:hAnsi="Times New Roman" w:cs="Times New Roman"/>
          <w:b/>
          <w:bCs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b/>
          <w:bCs/>
          <w:sz w:val="24"/>
          <w:szCs w:val="24"/>
          <w:lang w:val="en-GB"/>
        </w:rPr>
        <w:t>ë</w:t>
      </w:r>
      <w:proofErr w:type="spellEnd"/>
      <w:r w:rsidR="005103F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5103FE">
        <w:rPr>
          <w:rFonts w:ascii="Times New Roman" w:hAnsi="Times New Roman" w:cs="Times New Roman"/>
          <w:b/>
          <w:bCs/>
          <w:sz w:val="24"/>
          <w:szCs w:val="24"/>
          <w:lang w:val="en-GB"/>
        </w:rPr>
        <w:t>bazuara</w:t>
      </w:r>
      <w:proofErr w:type="spellEnd"/>
      <w:r w:rsidR="005103F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5103FE">
        <w:rPr>
          <w:rFonts w:ascii="Times New Roman" w:hAnsi="Times New Roman" w:cs="Times New Roman"/>
          <w:b/>
          <w:bCs/>
          <w:sz w:val="24"/>
          <w:szCs w:val="24"/>
          <w:lang w:val="en-GB"/>
        </w:rPr>
        <w:t>n</w:t>
      </w:r>
      <w:r w:rsidR="00AB7580">
        <w:rPr>
          <w:rFonts w:ascii="Times New Roman" w:hAnsi="Times New Roman" w:cs="Times New Roman"/>
          <w:b/>
          <w:bCs/>
          <w:sz w:val="24"/>
          <w:szCs w:val="24"/>
          <w:lang w:val="en-GB"/>
        </w:rPr>
        <w:t>ë</w:t>
      </w:r>
      <w:proofErr w:type="spellEnd"/>
      <w:r w:rsidRPr="00F04F0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F04F0A">
        <w:rPr>
          <w:rFonts w:ascii="Times New Roman" w:hAnsi="Times New Roman" w:cs="Times New Roman"/>
          <w:b/>
          <w:bCs/>
          <w:sz w:val="24"/>
          <w:szCs w:val="24"/>
          <w:lang w:val="en-GB"/>
        </w:rPr>
        <w:t>substancë</w:t>
      </w:r>
      <w:proofErr w:type="spellEnd"/>
    </w:p>
    <w:p w14:paraId="4547027B" w14:textId="77777777" w:rsidR="00F04F0A" w:rsidRDefault="00F04F0A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93A7F10" w14:textId="296474ED" w:rsidR="00204998" w:rsidRPr="00CE4BE0" w:rsidRDefault="002A2183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1. </w:t>
      </w:r>
      <w:proofErr w:type="spellStart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>zbatimit</w:t>
      </w:r>
      <w:proofErr w:type="spellEnd"/>
      <w:r w:rsidR="00F630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6308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630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6308A" w:rsidRPr="00F6308A">
        <w:rPr>
          <w:rFonts w:ascii="Times New Roman" w:hAnsi="Times New Roman" w:cs="Times New Roman"/>
          <w:sz w:val="24"/>
          <w:szCs w:val="24"/>
          <w:lang w:val="en-GB"/>
        </w:rPr>
        <w:t>paragrafi</w:t>
      </w:r>
      <w:r w:rsidR="00F6308A">
        <w:rPr>
          <w:rFonts w:ascii="Times New Roman" w:hAnsi="Times New Roman" w:cs="Times New Roman"/>
          <w:sz w:val="24"/>
          <w:szCs w:val="24"/>
          <w:lang w:val="en-GB"/>
        </w:rPr>
        <w:t>t</w:t>
      </w:r>
      <w:proofErr w:type="spellEnd"/>
      <w:r w:rsidR="00F6308A" w:rsidRPr="00F6308A">
        <w:rPr>
          <w:rFonts w:ascii="Times New Roman" w:hAnsi="Times New Roman" w:cs="Times New Roman"/>
          <w:sz w:val="24"/>
          <w:szCs w:val="24"/>
          <w:lang w:val="en-GB"/>
        </w:rPr>
        <w:t xml:space="preserve"> 2</w:t>
      </w:r>
      <w:r w:rsidR="00F6308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6308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6308A" w:rsidRPr="00F630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6308A" w:rsidRPr="00F6308A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="00F6308A" w:rsidRPr="00F6308A">
        <w:rPr>
          <w:rFonts w:ascii="Times New Roman" w:hAnsi="Times New Roman" w:cs="Times New Roman"/>
          <w:sz w:val="24"/>
          <w:szCs w:val="24"/>
          <w:lang w:val="en-GB"/>
        </w:rPr>
        <w:t xml:space="preserve"> 28 </w:t>
      </w:r>
      <w:proofErr w:type="spellStart"/>
      <w:r w:rsidR="00F6308A" w:rsidRPr="00F6308A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F6308A" w:rsidRPr="00F630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6308A" w:rsidRPr="00F6308A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F6308A" w:rsidRPr="00F6308A">
        <w:rPr>
          <w:rFonts w:ascii="Times New Roman" w:hAnsi="Times New Roman" w:cs="Times New Roman"/>
          <w:sz w:val="24"/>
          <w:szCs w:val="24"/>
          <w:lang w:val="en-GB"/>
        </w:rPr>
        <w:t xml:space="preserve"> 29</w:t>
      </w:r>
      <w:r w:rsidR="00F6308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D1A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>vlera</w:t>
      </w:r>
      <w:proofErr w:type="spellEnd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>prej</w:t>
      </w:r>
      <w:proofErr w:type="spellEnd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 xml:space="preserve"> 5% </w:t>
      </w:r>
      <w:proofErr w:type="spellStart"/>
      <w:r w:rsidR="00F6308A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F630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6308A" w:rsidRPr="00F6308A">
        <w:rPr>
          <w:rFonts w:ascii="Times New Roman" w:hAnsi="Times New Roman" w:cs="Times New Roman"/>
          <w:sz w:val="24"/>
          <w:szCs w:val="24"/>
          <w:lang w:val="en-GB"/>
        </w:rPr>
        <w:t>lidh</w:t>
      </w:r>
      <w:r w:rsidR="00F6308A">
        <w:rPr>
          <w:rFonts w:ascii="Times New Roman" w:hAnsi="Times New Roman" w:cs="Times New Roman"/>
          <w:sz w:val="24"/>
          <w:szCs w:val="24"/>
          <w:lang w:val="en-GB"/>
        </w:rPr>
        <w:t>je</w:t>
      </w:r>
      <w:proofErr w:type="spellEnd"/>
      <w:r w:rsidR="00F6308A" w:rsidRPr="00F6308A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F6308A" w:rsidRPr="00350AFB">
        <w:rPr>
          <w:rFonts w:ascii="Times New Roman" w:hAnsi="Times New Roman" w:cs="Times New Roman"/>
          <w:sz w:val="24"/>
          <w:szCs w:val="24"/>
          <w:lang w:val="en-GB"/>
        </w:rPr>
        <w:t>kostot</w:t>
      </w:r>
      <w:proofErr w:type="spellEnd"/>
      <w:r w:rsidR="00F6308A" w:rsidRPr="00350AF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154EB1" w:rsidRPr="009B2DB7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F6308A" w:rsidRPr="00350AF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6308A" w:rsidRPr="00350AF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6308A" w:rsidRPr="00350AF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6308A" w:rsidRPr="00350AFB">
        <w:rPr>
          <w:rFonts w:ascii="Times New Roman" w:hAnsi="Times New Roman" w:cs="Times New Roman"/>
          <w:sz w:val="24"/>
          <w:szCs w:val="24"/>
          <w:lang w:val="en-GB"/>
        </w:rPr>
        <w:t>pagave</w:t>
      </w:r>
      <w:proofErr w:type="spellEnd"/>
      <w:r w:rsidR="00F6308A" w:rsidRPr="00350AFB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F630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>zëvendësohet</w:t>
      </w:r>
      <w:proofErr w:type="spellEnd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>fillon</w:t>
      </w:r>
      <w:proofErr w:type="spellEnd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 xml:space="preserve"> 31 </w:t>
      </w:r>
      <w:proofErr w:type="spellStart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>dhjetori</w:t>
      </w:r>
      <w:proofErr w:type="spellEnd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>viteve</w:t>
      </w:r>
      <w:proofErr w:type="spellEnd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>kalendarike</w:t>
      </w:r>
      <w:proofErr w:type="spellEnd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>vijim</w:t>
      </w:r>
      <w:proofErr w:type="spellEnd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>vlerat</w:t>
      </w:r>
      <w:proofErr w:type="spellEnd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>përcaktuara</w:t>
      </w:r>
      <w:proofErr w:type="spellEnd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>tabelën</w:t>
      </w:r>
      <w:proofErr w:type="spellEnd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="00997D1A" w:rsidRPr="00997D1A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3F9C7104" w14:textId="77777777" w:rsidR="00676B49" w:rsidRPr="00CE4BE0" w:rsidRDefault="00676B49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CE4BE0" w:rsidRPr="00CE4BE0" w14:paraId="21118B7A" w14:textId="77777777" w:rsidTr="000E7026">
        <w:tc>
          <w:tcPr>
            <w:tcW w:w="4315" w:type="dxa"/>
          </w:tcPr>
          <w:p w14:paraId="11046604" w14:textId="1C28001E" w:rsidR="000E7026" w:rsidRPr="00CE4BE0" w:rsidRDefault="007C0D54" w:rsidP="004A6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</w:t>
            </w:r>
            <w:r w:rsidRPr="007C0D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eriudha</w:t>
            </w:r>
            <w:proofErr w:type="spellEnd"/>
            <w:r w:rsidRPr="007C0D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0D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fiskale</w:t>
            </w:r>
            <w:proofErr w:type="spellEnd"/>
            <w:r w:rsidRPr="007C0D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0D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që</w:t>
            </w:r>
            <w:proofErr w:type="spellEnd"/>
            <w:r w:rsidRPr="007C0D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0D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fillon</w:t>
            </w:r>
            <w:proofErr w:type="spellEnd"/>
            <w:r w:rsidRPr="007C0D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me </w:t>
            </w:r>
            <w:proofErr w:type="spellStart"/>
            <w:r w:rsidRPr="007C0D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vitin</w:t>
            </w:r>
            <w:proofErr w:type="spellEnd"/>
            <w:r w:rsidRPr="007C0D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0D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kalendarik</w:t>
            </w:r>
            <w:proofErr w:type="spellEnd"/>
          </w:p>
        </w:tc>
        <w:tc>
          <w:tcPr>
            <w:tcW w:w="4315" w:type="dxa"/>
          </w:tcPr>
          <w:p w14:paraId="70CA6F02" w14:textId="3DFAA7E5" w:rsidR="000E7026" w:rsidRPr="00CE4BE0" w:rsidRDefault="0056370A" w:rsidP="004A6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CE4B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</w:t>
            </w:r>
            <w:r w:rsidR="007C0D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ërqindja</w:t>
            </w:r>
            <w:proofErr w:type="spellEnd"/>
          </w:p>
        </w:tc>
      </w:tr>
      <w:tr w:rsidR="00CE4BE0" w:rsidRPr="00CE4BE0" w14:paraId="653B394E" w14:textId="77777777" w:rsidTr="000E7026">
        <w:tc>
          <w:tcPr>
            <w:tcW w:w="4315" w:type="dxa"/>
          </w:tcPr>
          <w:p w14:paraId="741ABD32" w14:textId="15CFB6C0" w:rsidR="006179B6" w:rsidRPr="00CE4BE0" w:rsidRDefault="006179B6" w:rsidP="006179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E4BE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2028</w:t>
            </w:r>
          </w:p>
        </w:tc>
        <w:tc>
          <w:tcPr>
            <w:tcW w:w="4315" w:type="dxa"/>
          </w:tcPr>
          <w:p w14:paraId="40D923B2" w14:textId="1D04E61A" w:rsidR="006179B6" w:rsidRPr="00CE4BE0" w:rsidRDefault="006179B6" w:rsidP="00617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E4B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9,0</w:t>
            </w:r>
            <w:r w:rsidR="000E1E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D0598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%</w:t>
            </w:r>
          </w:p>
        </w:tc>
      </w:tr>
      <w:tr w:rsidR="00CE4BE0" w:rsidRPr="00CE4BE0" w14:paraId="128EC673" w14:textId="77777777" w:rsidTr="000E7026">
        <w:tc>
          <w:tcPr>
            <w:tcW w:w="4315" w:type="dxa"/>
          </w:tcPr>
          <w:p w14:paraId="041556FB" w14:textId="66734803" w:rsidR="006179B6" w:rsidRPr="00CE4BE0" w:rsidRDefault="006179B6" w:rsidP="006179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E4BE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2029</w:t>
            </w:r>
          </w:p>
        </w:tc>
        <w:tc>
          <w:tcPr>
            <w:tcW w:w="4315" w:type="dxa"/>
          </w:tcPr>
          <w:p w14:paraId="41B68811" w14:textId="2355086A" w:rsidR="006179B6" w:rsidRPr="00CE4BE0" w:rsidRDefault="006179B6" w:rsidP="00617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E4B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8,2</w:t>
            </w:r>
            <w:r w:rsidR="000E1E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D0598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%</w:t>
            </w:r>
          </w:p>
        </w:tc>
      </w:tr>
      <w:tr w:rsidR="00CE4BE0" w:rsidRPr="00CE4BE0" w14:paraId="11CC97AE" w14:textId="77777777" w:rsidTr="000E7026">
        <w:tc>
          <w:tcPr>
            <w:tcW w:w="4315" w:type="dxa"/>
          </w:tcPr>
          <w:p w14:paraId="39208297" w14:textId="6024C2B6" w:rsidR="000E7026" w:rsidRPr="00CE4BE0" w:rsidRDefault="008F304D" w:rsidP="004A6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E4B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2030</w:t>
            </w:r>
          </w:p>
        </w:tc>
        <w:tc>
          <w:tcPr>
            <w:tcW w:w="4315" w:type="dxa"/>
          </w:tcPr>
          <w:p w14:paraId="2F3EA855" w14:textId="1EF25091" w:rsidR="000E7026" w:rsidRPr="00CE4BE0" w:rsidRDefault="008F304D" w:rsidP="004A6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E4B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7,4</w:t>
            </w:r>
            <w:r w:rsidR="000E1E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D0598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%</w:t>
            </w:r>
          </w:p>
        </w:tc>
      </w:tr>
      <w:tr w:rsidR="00CE4BE0" w:rsidRPr="00CE4BE0" w14:paraId="46CEA235" w14:textId="77777777" w:rsidTr="000E7026">
        <w:tc>
          <w:tcPr>
            <w:tcW w:w="4315" w:type="dxa"/>
          </w:tcPr>
          <w:p w14:paraId="70E396AB" w14:textId="531A58BD" w:rsidR="000E7026" w:rsidRPr="00CE4BE0" w:rsidRDefault="008F304D" w:rsidP="004A6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E4B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2031</w:t>
            </w:r>
          </w:p>
        </w:tc>
        <w:tc>
          <w:tcPr>
            <w:tcW w:w="4315" w:type="dxa"/>
          </w:tcPr>
          <w:p w14:paraId="6618219E" w14:textId="7000864A" w:rsidR="000E7026" w:rsidRPr="00CE4BE0" w:rsidRDefault="008F304D" w:rsidP="004A6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E4B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6,6</w:t>
            </w:r>
            <w:r w:rsidR="000E1E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D0598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%</w:t>
            </w:r>
          </w:p>
        </w:tc>
      </w:tr>
      <w:tr w:rsidR="00CE4BE0" w:rsidRPr="00CE4BE0" w14:paraId="1109C9E7" w14:textId="77777777" w:rsidTr="000E7026">
        <w:tc>
          <w:tcPr>
            <w:tcW w:w="4315" w:type="dxa"/>
          </w:tcPr>
          <w:p w14:paraId="0031B61B" w14:textId="3282E207" w:rsidR="000E7026" w:rsidRPr="00CE4BE0" w:rsidRDefault="008F304D" w:rsidP="004A6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E4B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2032</w:t>
            </w:r>
          </w:p>
        </w:tc>
        <w:tc>
          <w:tcPr>
            <w:tcW w:w="4315" w:type="dxa"/>
          </w:tcPr>
          <w:p w14:paraId="0E23DE09" w14:textId="1C68BD55" w:rsidR="000E7026" w:rsidRPr="00CE4BE0" w:rsidRDefault="008F304D" w:rsidP="004A6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E4B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5,8</w:t>
            </w:r>
            <w:r w:rsidR="000E1E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D0598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%</w:t>
            </w:r>
          </w:p>
        </w:tc>
      </w:tr>
    </w:tbl>
    <w:p w14:paraId="42A5CE73" w14:textId="77777777" w:rsidR="000169E6" w:rsidRPr="00CE4BE0" w:rsidRDefault="000169E6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864C07E" w14:textId="7268267F" w:rsidR="00A61462" w:rsidRPr="00CE4BE0" w:rsidRDefault="00A61462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t>2.</w:t>
      </w:r>
      <w:r w:rsidR="00676B49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zbatimit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t</w:t>
      </w:r>
      <w:r w:rsidR="00F6308A">
        <w:t xml:space="preserve">ë </w:t>
      </w:r>
      <w:proofErr w:type="spellStart"/>
      <w:r w:rsidR="00F6308A" w:rsidRPr="00F6308A">
        <w:rPr>
          <w:rFonts w:ascii="Times New Roman" w:hAnsi="Times New Roman" w:cs="Times New Roman"/>
          <w:sz w:val="24"/>
          <w:szCs w:val="24"/>
          <w:lang w:val="en-GB"/>
        </w:rPr>
        <w:t>paragrafi</w:t>
      </w:r>
      <w:r w:rsidR="00F6308A">
        <w:rPr>
          <w:rFonts w:ascii="Times New Roman" w:hAnsi="Times New Roman" w:cs="Times New Roman"/>
          <w:sz w:val="24"/>
          <w:szCs w:val="24"/>
          <w:lang w:val="en-GB"/>
        </w:rPr>
        <w:t>t</w:t>
      </w:r>
      <w:proofErr w:type="spellEnd"/>
      <w:r w:rsidR="00F630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6308A" w:rsidRPr="00F6308A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F6308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6308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6308A" w:rsidRPr="00F630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6308A" w:rsidRPr="00F6308A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="00F6308A" w:rsidRPr="00F6308A">
        <w:rPr>
          <w:rFonts w:ascii="Times New Roman" w:hAnsi="Times New Roman" w:cs="Times New Roman"/>
          <w:sz w:val="24"/>
          <w:szCs w:val="24"/>
          <w:lang w:val="en-GB"/>
        </w:rPr>
        <w:t xml:space="preserve"> 28 </w:t>
      </w:r>
      <w:proofErr w:type="spellStart"/>
      <w:r w:rsidR="00F6308A" w:rsidRPr="00F6308A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F6308A" w:rsidRPr="00F630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6308A" w:rsidRPr="00F6308A">
        <w:rPr>
          <w:rFonts w:ascii="Times New Roman" w:hAnsi="Times New Roman" w:cs="Times New Roman"/>
          <w:sz w:val="24"/>
          <w:szCs w:val="24"/>
          <w:lang w:val="en-GB"/>
        </w:rPr>
        <w:t>neni</w:t>
      </w:r>
      <w:r w:rsidR="00F6308A">
        <w:rPr>
          <w:rFonts w:ascii="Times New Roman" w:hAnsi="Times New Roman" w:cs="Times New Roman"/>
          <w:sz w:val="24"/>
          <w:szCs w:val="24"/>
          <w:lang w:val="en-GB"/>
        </w:rPr>
        <w:t>t</w:t>
      </w:r>
      <w:proofErr w:type="spellEnd"/>
      <w:r w:rsidR="00F630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6308A" w:rsidRPr="00F6308A">
        <w:rPr>
          <w:rFonts w:ascii="Times New Roman" w:hAnsi="Times New Roman" w:cs="Times New Roman"/>
          <w:sz w:val="24"/>
          <w:szCs w:val="24"/>
          <w:lang w:val="en-GB"/>
        </w:rPr>
        <w:t>30</w:t>
      </w:r>
      <w:r w:rsidR="007C0D5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0D54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vlera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prej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5% </w:t>
      </w:r>
      <w:proofErr w:type="spellStart"/>
      <w:r w:rsidR="00F6308A" w:rsidRPr="00F6308A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F6308A" w:rsidRPr="00F630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6308A" w:rsidRPr="00F6308A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="00F6308A" w:rsidRPr="00F6308A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F6308A" w:rsidRPr="00F6308A">
        <w:rPr>
          <w:rFonts w:ascii="Times New Roman" w:hAnsi="Times New Roman" w:cs="Times New Roman"/>
          <w:sz w:val="24"/>
          <w:szCs w:val="24"/>
          <w:lang w:val="en-GB"/>
        </w:rPr>
        <w:t>kostot</w:t>
      </w:r>
      <w:proofErr w:type="spellEnd"/>
      <w:r w:rsidR="00F6308A" w:rsidRPr="00F6308A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154EB1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F6308A" w:rsidRPr="00F630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6308A" w:rsidRPr="00F6308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F6308A" w:rsidRPr="00F630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6308A" w:rsidRPr="00F6308A">
        <w:rPr>
          <w:rFonts w:ascii="Times New Roman" w:hAnsi="Times New Roman" w:cs="Times New Roman"/>
          <w:sz w:val="24"/>
          <w:szCs w:val="24"/>
          <w:lang w:val="en-GB"/>
        </w:rPr>
        <w:t>pagave</w:t>
      </w:r>
      <w:proofErr w:type="spellEnd"/>
      <w:r w:rsidR="00F6308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zëvendësohet</w:t>
      </w:r>
      <w:proofErr w:type="spellEnd"/>
      <w:r w:rsidR="00F630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fillon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6308A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31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dhjetor</w:t>
      </w:r>
      <w:r w:rsidR="00F6308A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6308A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F630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viteve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kalendarike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vijim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vlerat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përcaktuara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tabelën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2B774FA4" w14:textId="77777777" w:rsidR="00676B49" w:rsidRPr="00CE4BE0" w:rsidRDefault="00676B49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CE4BE0" w:rsidRPr="00CE4BE0" w14:paraId="046A4C2F" w14:textId="77777777" w:rsidTr="00120B1B">
        <w:tc>
          <w:tcPr>
            <w:tcW w:w="4315" w:type="dxa"/>
          </w:tcPr>
          <w:p w14:paraId="27482B42" w14:textId="00E4F851" w:rsidR="00CB5898" w:rsidRPr="00CE4BE0" w:rsidRDefault="007C0D54" w:rsidP="004A6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</w:t>
            </w:r>
            <w:r w:rsidRPr="007C0D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eriudha</w:t>
            </w:r>
            <w:proofErr w:type="spellEnd"/>
            <w:r w:rsidRPr="007C0D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0D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fiskale</w:t>
            </w:r>
            <w:proofErr w:type="spellEnd"/>
            <w:r w:rsidRPr="007C0D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0D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që</w:t>
            </w:r>
            <w:proofErr w:type="spellEnd"/>
            <w:r w:rsidRPr="007C0D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0D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fillon</w:t>
            </w:r>
            <w:proofErr w:type="spellEnd"/>
            <w:r w:rsidRPr="007C0D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me </w:t>
            </w:r>
            <w:proofErr w:type="spellStart"/>
            <w:r w:rsidRPr="007C0D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vitin</w:t>
            </w:r>
            <w:proofErr w:type="spellEnd"/>
            <w:r w:rsidRPr="007C0D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0D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kalendarik</w:t>
            </w:r>
            <w:proofErr w:type="spellEnd"/>
          </w:p>
        </w:tc>
        <w:tc>
          <w:tcPr>
            <w:tcW w:w="4315" w:type="dxa"/>
          </w:tcPr>
          <w:p w14:paraId="16B04C42" w14:textId="517C5B88" w:rsidR="00CB5898" w:rsidRPr="00CE4BE0" w:rsidRDefault="0056370A" w:rsidP="004A6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CE4B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</w:t>
            </w:r>
            <w:r w:rsidR="007C0D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ërqindja</w:t>
            </w:r>
            <w:proofErr w:type="spellEnd"/>
          </w:p>
        </w:tc>
      </w:tr>
      <w:tr w:rsidR="00CE4BE0" w:rsidRPr="00CE4BE0" w14:paraId="099049F4" w14:textId="77777777" w:rsidTr="00120B1B">
        <w:tc>
          <w:tcPr>
            <w:tcW w:w="4315" w:type="dxa"/>
          </w:tcPr>
          <w:p w14:paraId="53E9CE59" w14:textId="0DE2B100" w:rsidR="006179B6" w:rsidRPr="00CE4BE0" w:rsidRDefault="006179B6" w:rsidP="006179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E4BE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2028</w:t>
            </w:r>
          </w:p>
        </w:tc>
        <w:tc>
          <w:tcPr>
            <w:tcW w:w="4315" w:type="dxa"/>
          </w:tcPr>
          <w:p w14:paraId="4B9E0E1D" w14:textId="3A5838EE" w:rsidR="006179B6" w:rsidRPr="00CE4BE0" w:rsidRDefault="006179B6" w:rsidP="00617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E4B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7,0</w:t>
            </w:r>
            <w:r w:rsidR="000E1E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D0598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%</w:t>
            </w:r>
          </w:p>
        </w:tc>
      </w:tr>
      <w:tr w:rsidR="00CE4BE0" w:rsidRPr="00CE4BE0" w14:paraId="732A9205" w14:textId="77777777" w:rsidTr="00120B1B">
        <w:tc>
          <w:tcPr>
            <w:tcW w:w="4315" w:type="dxa"/>
          </w:tcPr>
          <w:p w14:paraId="3FA748DB" w14:textId="23236390" w:rsidR="006179B6" w:rsidRPr="00CE4BE0" w:rsidRDefault="006179B6" w:rsidP="006179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E4BE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2029</w:t>
            </w:r>
          </w:p>
        </w:tc>
        <w:tc>
          <w:tcPr>
            <w:tcW w:w="4315" w:type="dxa"/>
          </w:tcPr>
          <w:p w14:paraId="0FA2C9F6" w14:textId="1B38EB3B" w:rsidR="006179B6" w:rsidRPr="00CE4BE0" w:rsidRDefault="006179B6" w:rsidP="00617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E4B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6,6</w:t>
            </w:r>
            <w:r w:rsidR="000E1E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D0598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%</w:t>
            </w:r>
          </w:p>
        </w:tc>
      </w:tr>
      <w:tr w:rsidR="00CE4BE0" w:rsidRPr="00CE4BE0" w14:paraId="7D6E3FDA" w14:textId="77777777" w:rsidTr="00120B1B">
        <w:tc>
          <w:tcPr>
            <w:tcW w:w="4315" w:type="dxa"/>
          </w:tcPr>
          <w:p w14:paraId="7CF95022" w14:textId="6040207A" w:rsidR="00CB5898" w:rsidRPr="00CE4BE0" w:rsidRDefault="00CB5898" w:rsidP="004A6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E4B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2030</w:t>
            </w:r>
          </w:p>
        </w:tc>
        <w:tc>
          <w:tcPr>
            <w:tcW w:w="4315" w:type="dxa"/>
          </w:tcPr>
          <w:p w14:paraId="038416E0" w14:textId="7CA4C2ED" w:rsidR="00CB5898" w:rsidRPr="00CE4BE0" w:rsidRDefault="00CB5898" w:rsidP="004A6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E4B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6,2</w:t>
            </w:r>
            <w:r w:rsidR="000E1E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D0598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%</w:t>
            </w:r>
          </w:p>
        </w:tc>
      </w:tr>
      <w:tr w:rsidR="00CE4BE0" w:rsidRPr="00CE4BE0" w14:paraId="3B56117D" w14:textId="77777777" w:rsidTr="00120B1B">
        <w:tc>
          <w:tcPr>
            <w:tcW w:w="4315" w:type="dxa"/>
          </w:tcPr>
          <w:p w14:paraId="09947C0B" w14:textId="2D2BE5F6" w:rsidR="00CB5898" w:rsidRPr="00CE4BE0" w:rsidRDefault="00CB5898" w:rsidP="004A6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E4B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2031</w:t>
            </w:r>
          </w:p>
        </w:tc>
        <w:tc>
          <w:tcPr>
            <w:tcW w:w="4315" w:type="dxa"/>
          </w:tcPr>
          <w:p w14:paraId="20677090" w14:textId="3EBACBA2" w:rsidR="00CB5898" w:rsidRPr="00CE4BE0" w:rsidRDefault="00CB5898" w:rsidP="004A6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E4B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5,8</w:t>
            </w:r>
            <w:r w:rsidR="000E1E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D0598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%</w:t>
            </w:r>
          </w:p>
        </w:tc>
      </w:tr>
      <w:tr w:rsidR="00CE4BE0" w:rsidRPr="00CE4BE0" w14:paraId="472E5818" w14:textId="77777777" w:rsidTr="00120B1B">
        <w:tc>
          <w:tcPr>
            <w:tcW w:w="4315" w:type="dxa"/>
          </w:tcPr>
          <w:p w14:paraId="6FE9C5B1" w14:textId="6EA3D6B2" w:rsidR="00CB5898" w:rsidRPr="00CE4BE0" w:rsidRDefault="00CB5898" w:rsidP="004A6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E4B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2032</w:t>
            </w:r>
          </w:p>
        </w:tc>
        <w:tc>
          <w:tcPr>
            <w:tcW w:w="4315" w:type="dxa"/>
          </w:tcPr>
          <w:p w14:paraId="76521CF8" w14:textId="18776719" w:rsidR="00CB5898" w:rsidRPr="00CE4BE0" w:rsidRDefault="00CB5898" w:rsidP="004A6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E4B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5,4</w:t>
            </w:r>
            <w:r w:rsidR="000E1E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D0598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%</w:t>
            </w:r>
          </w:p>
        </w:tc>
      </w:tr>
    </w:tbl>
    <w:p w14:paraId="4F3D0212" w14:textId="77777777" w:rsidR="00146E50" w:rsidRPr="00CE4BE0" w:rsidRDefault="00146E50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368097A" w14:textId="4CED7868" w:rsidR="002A2183" w:rsidRPr="00CE4BE0" w:rsidRDefault="00146E50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4BE0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3.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Dispozitat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zbatohen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vetëm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vitet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fiskale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përcaktuara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paragrafët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1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2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cilat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fillojnë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pas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datës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zbatimit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0D54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siç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përcaktohet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nenin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62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0D54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="007C0D54" w:rsidRPr="007C0D5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456D627" w14:textId="77777777" w:rsidR="00146E50" w:rsidRPr="00CE4BE0" w:rsidRDefault="00146E50" w:rsidP="004A6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E07D21A" w14:textId="2099DC1C" w:rsidR="007C0D54" w:rsidRPr="007C0D54" w:rsidRDefault="007C0D54" w:rsidP="00350AF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7C0D54">
        <w:rPr>
          <w:rFonts w:ascii="Times New Roman" w:hAnsi="Times New Roman" w:cs="Times New Roman"/>
          <w:sz w:val="24"/>
          <w:szCs w:val="24"/>
          <w:lang w:val="en-GB"/>
        </w:rPr>
        <w:t>Neni 32</w:t>
      </w:r>
    </w:p>
    <w:p w14:paraId="601524FA" w14:textId="6D140DDA" w:rsidR="00960419" w:rsidRPr="007C0D54" w:rsidRDefault="007C0D54" w:rsidP="007C0D5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7C0D54">
        <w:rPr>
          <w:rFonts w:ascii="Times New Roman" w:hAnsi="Times New Roman" w:cs="Times New Roman"/>
          <w:b/>
          <w:bCs/>
          <w:sz w:val="24"/>
          <w:szCs w:val="24"/>
          <w:lang w:val="en-GB"/>
        </w:rPr>
        <w:t>Tatimi</w:t>
      </w:r>
      <w:proofErr w:type="spellEnd"/>
      <w:r w:rsidRPr="007C0D5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b/>
          <w:bCs/>
          <w:sz w:val="24"/>
          <w:szCs w:val="24"/>
          <w:lang w:val="en-GB"/>
        </w:rPr>
        <w:t>shtesë</w:t>
      </w:r>
      <w:proofErr w:type="spellEnd"/>
      <w:r w:rsidRPr="007C0D5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b/>
          <w:bCs/>
          <w:sz w:val="24"/>
          <w:szCs w:val="24"/>
          <w:lang w:val="en-GB"/>
        </w:rPr>
        <w:t>plotësues</w:t>
      </w:r>
      <w:proofErr w:type="spellEnd"/>
      <w:r w:rsidRPr="007C0D5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b/>
          <w:bCs/>
          <w:sz w:val="24"/>
          <w:szCs w:val="24"/>
          <w:lang w:val="en-GB"/>
        </w:rPr>
        <w:t>dhe</w:t>
      </w:r>
      <w:proofErr w:type="spellEnd"/>
      <w:r w:rsidRPr="007C0D5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b/>
          <w:bCs/>
          <w:sz w:val="24"/>
          <w:szCs w:val="24"/>
          <w:lang w:val="en-GB"/>
        </w:rPr>
        <w:t>rillogaritja</w:t>
      </w:r>
      <w:proofErr w:type="spellEnd"/>
    </w:p>
    <w:p w14:paraId="70BCCE4D" w14:textId="77777777" w:rsidR="007C0D54" w:rsidRPr="00CE4BE0" w:rsidRDefault="007C0D54" w:rsidP="004A60B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0162890" w14:textId="330636FD" w:rsidR="005B1C6A" w:rsidRDefault="007C0D54" w:rsidP="001A2016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Kur </w:t>
      </w:r>
      <w:proofErr w:type="spellStart"/>
      <w:r w:rsidR="00E051B7">
        <w:rPr>
          <w:rFonts w:ascii="Times New Roman" w:hAnsi="Times New Roman" w:cs="Times New Roman"/>
          <w:sz w:val="24"/>
          <w:szCs w:val="24"/>
          <w:lang w:val="en-GB"/>
        </w:rPr>
        <w:t>korrigjimet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7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15,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7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22,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paragrafëve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1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4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25,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8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43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7C0D54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kërkojnë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rillogaritje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, norma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efektive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rillogariten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neneve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26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deri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28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7C0D54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51B7">
        <w:rPr>
          <w:rFonts w:ascii="Times New Roman" w:hAnsi="Times New Roman" w:cs="Times New Roman"/>
          <w:sz w:val="24"/>
          <w:szCs w:val="24"/>
          <w:lang w:val="en-GB"/>
        </w:rPr>
        <w:t>plot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E051B7">
        <w:rPr>
          <w:rFonts w:ascii="Times New Roman" w:hAnsi="Times New Roman" w:cs="Times New Roman"/>
          <w:sz w:val="24"/>
          <w:szCs w:val="24"/>
          <w:lang w:val="en-GB"/>
        </w:rPr>
        <w:t>sues</w:t>
      </w:r>
      <w:proofErr w:type="spellEnd"/>
      <w:r w:rsidR="00E051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rezulton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kjo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rillogaritje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trajtohet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tatim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plotësues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3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27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7C0D54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gjatë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cilit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kryhet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rillogaritja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1919ECE" w14:textId="77777777" w:rsidR="006F1DED" w:rsidRPr="00CE4BE0" w:rsidRDefault="006F1DED" w:rsidP="0001103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D1EDE8C" w14:textId="1EBC9AA8" w:rsidR="005B1C6A" w:rsidRDefault="007C0D54" w:rsidP="001A2016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Kur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ekziston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B7580">
        <w:rPr>
          <w:rFonts w:ascii="Times New Roman" w:hAnsi="Times New Roman" w:cs="Times New Roman"/>
          <w:sz w:val="24"/>
          <w:szCs w:val="24"/>
          <w:lang w:val="en-GB"/>
        </w:rPr>
        <w:t>tatim</w:t>
      </w:r>
      <w:proofErr w:type="spellEnd"/>
      <w:r w:rsidRPr="00AB75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B7580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AB75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B7580">
        <w:rPr>
          <w:rFonts w:ascii="Times New Roman" w:hAnsi="Times New Roman" w:cs="Times New Roman"/>
          <w:sz w:val="24"/>
          <w:szCs w:val="24"/>
          <w:lang w:val="en-GB"/>
        </w:rPr>
        <w:t>plotësues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fitim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fitimi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secilit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shp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rndar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kët</w:t>
      </w:r>
      <w:r>
        <w:rPr>
          <w:rFonts w:ascii="Times New Roman" w:hAnsi="Times New Roman" w:cs="Times New Roman"/>
          <w:sz w:val="24"/>
          <w:szCs w:val="24"/>
          <w:lang w:val="en-GB"/>
        </w:rPr>
        <w:t>o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entitete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paragrafët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5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6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27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7C0D54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pjesëtuar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normën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minimale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e Kreut II</w:t>
      </w:r>
      <w:r w:rsidR="00C87A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0D54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7C0D54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7C0D5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89413BD" w14:textId="77777777" w:rsidR="0000299A" w:rsidRPr="00CE4BE0" w:rsidRDefault="0000299A" w:rsidP="0001103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CD70392" w14:textId="06E89C5B" w:rsidR="00691F4F" w:rsidRDefault="00C87A44" w:rsidP="001A2016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Kur </w:t>
      </w:r>
      <w:proofErr w:type="spellStart"/>
      <w:r w:rsidRPr="00C87A44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87A44">
        <w:rPr>
          <w:rFonts w:ascii="Times New Roman" w:hAnsi="Times New Roman" w:cs="Times New Roman"/>
          <w:sz w:val="24"/>
          <w:szCs w:val="24"/>
          <w:lang w:val="en-GB"/>
        </w:rPr>
        <w:t>tatim</w:t>
      </w:r>
      <w:proofErr w:type="spellEnd"/>
      <w:r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87A44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87A44">
        <w:rPr>
          <w:rFonts w:ascii="Times New Roman" w:hAnsi="Times New Roman" w:cs="Times New Roman"/>
          <w:sz w:val="24"/>
          <w:szCs w:val="24"/>
          <w:lang w:val="en-GB"/>
        </w:rPr>
        <w:t>plotësues</w:t>
      </w:r>
      <w:proofErr w:type="spellEnd"/>
      <w:r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87A44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87A44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87A44">
        <w:rPr>
          <w:rFonts w:ascii="Times New Roman" w:hAnsi="Times New Roman" w:cs="Times New Roman"/>
          <w:sz w:val="24"/>
          <w:szCs w:val="24"/>
          <w:lang w:val="en-GB"/>
        </w:rPr>
        <w:t>detyrueshëm</w:t>
      </w:r>
      <w:proofErr w:type="spellEnd"/>
      <w:r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87A4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87A44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C87A44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5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87A4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87A44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21 </w:t>
      </w:r>
      <w:proofErr w:type="spellStart"/>
      <w:r w:rsidRPr="00C87A4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87A44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C87A44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87A44">
        <w:rPr>
          <w:rFonts w:ascii="Times New Roman" w:hAnsi="Times New Roman" w:cs="Times New Roman"/>
          <w:sz w:val="24"/>
          <w:szCs w:val="24"/>
          <w:lang w:val="en-GB"/>
        </w:rPr>
        <w:t>zbatohen</w:t>
      </w:r>
      <w:proofErr w:type="spellEnd"/>
      <w:r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87A44">
        <w:rPr>
          <w:rFonts w:ascii="Times New Roman" w:hAnsi="Times New Roman" w:cs="Times New Roman"/>
          <w:sz w:val="24"/>
          <w:szCs w:val="24"/>
          <w:lang w:val="en-GB"/>
        </w:rPr>
        <w:t>rregullat</w:t>
      </w:r>
      <w:proofErr w:type="spellEnd"/>
      <w:r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87A44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Pr="00C87A44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052FB271" w14:textId="77777777" w:rsidR="0000299A" w:rsidRDefault="0000299A" w:rsidP="0001103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ECFA7BB" w14:textId="012DAB4F" w:rsidR="00C87A44" w:rsidRPr="00763166" w:rsidRDefault="00763166" w:rsidP="00C3041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63166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fitimi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secilit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7A44">
        <w:rPr>
          <w:rFonts w:ascii="Times New Roman" w:hAnsi="Times New Roman" w:cs="Times New Roman"/>
          <w:sz w:val="24"/>
          <w:szCs w:val="24"/>
          <w:lang w:val="en-GB"/>
        </w:rPr>
        <w:t>nj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shum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e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shpërndarë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pjesëtuar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normën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minimale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e Kreut II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7A44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0432BFE" w14:textId="5011B384" w:rsidR="00C87A44" w:rsidRPr="00763166" w:rsidRDefault="00763166" w:rsidP="00C3041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63166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shpërndarja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bëhet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mënyrë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proporcionale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secilin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formulën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: (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fitimi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humbja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× norma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minimale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) −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korrigjuara</w:t>
      </w:r>
      <w:proofErr w:type="spellEnd"/>
      <w:r w:rsidR="00C87A44" w:rsidRPr="00C87A44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DBD665E" w14:textId="00F548A0" w:rsidR="003E4F16" w:rsidRDefault="00763166" w:rsidP="0096041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63166">
        <w:rPr>
          <w:rFonts w:ascii="Times New Roman" w:hAnsi="Times New Roman" w:cs="Times New Roman"/>
          <w:sz w:val="24"/>
          <w:szCs w:val="24"/>
          <w:lang w:val="en-GB"/>
        </w:rPr>
        <w:t>c)</w:t>
      </w:r>
      <w:r w:rsidR="007C3649" w:rsidRPr="007C3649">
        <w:t xml:space="preserve"> </w:t>
      </w:r>
      <w:proofErr w:type="spellStart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>plotësues</w:t>
      </w:r>
      <w:proofErr w:type="spellEnd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364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>shpërndahet</w:t>
      </w:r>
      <w:proofErr w:type="spellEnd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>vetëm</w:t>
      </w:r>
      <w:proofErr w:type="spellEnd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>regjistrojnë</w:t>
      </w:r>
      <w:proofErr w:type="spellEnd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>tatimeve</w:t>
      </w:r>
      <w:proofErr w:type="spellEnd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>korrigjuara</w:t>
      </w:r>
      <w:proofErr w:type="spellEnd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>vogël</w:t>
      </w:r>
      <w:proofErr w:type="spellEnd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se zero </w:t>
      </w:r>
      <w:proofErr w:type="spellStart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>vogël</w:t>
      </w:r>
      <w:proofErr w:type="spellEnd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>fitimi</w:t>
      </w:r>
      <w:proofErr w:type="spellEnd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>humbja</w:t>
      </w:r>
      <w:proofErr w:type="spellEnd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>këtyre</w:t>
      </w:r>
      <w:proofErr w:type="spellEnd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>shumëzuar</w:t>
      </w:r>
      <w:proofErr w:type="spellEnd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>normën</w:t>
      </w:r>
      <w:proofErr w:type="spellEnd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>minimale</w:t>
      </w:r>
      <w:proofErr w:type="spellEnd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7C3649" w:rsidRPr="007C364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40207E5" w14:textId="77777777" w:rsidR="0000299A" w:rsidRPr="00CE4BE0" w:rsidRDefault="0000299A" w:rsidP="0096041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8535EA7" w14:textId="19E9913D" w:rsidR="005B1C6A" w:rsidRPr="00CE4BE0" w:rsidRDefault="007C3649" w:rsidP="001A2016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Kur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tatim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plotësues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shpërndahet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nen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paragrafët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5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6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27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7C3649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ky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trajtohet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tatuar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normë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e Kreut II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7C3649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CEAEB52" w14:textId="77777777" w:rsidR="000B50A8" w:rsidRPr="00CE4BE0" w:rsidRDefault="000B50A8" w:rsidP="000B50A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EE92671" w14:textId="499DEF52" w:rsidR="007C3649" w:rsidRPr="003B2DDD" w:rsidRDefault="007C3649" w:rsidP="00565E76">
      <w:pPr>
        <w:spacing w:after="0"/>
        <w:jc w:val="center"/>
        <w:rPr>
          <w:rFonts w:ascii="Times New Roman" w:hAnsi="Times New Roman" w:cs="Times New Roman"/>
          <w:sz w:val="14"/>
          <w:szCs w:val="14"/>
          <w:lang w:val="en-GB"/>
        </w:rPr>
      </w:pPr>
      <w:r w:rsidRPr="007C3649">
        <w:rPr>
          <w:rFonts w:ascii="Times New Roman" w:hAnsi="Times New Roman" w:cs="Times New Roman"/>
          <w:sz w:val="24"/>
          <w:szCs w:val="24"/>
          <w:lang w:val="en-GB"/>
        </w:rPr>
        <w:t>Neni 33</w:t>
      </w:r>
    </w:p>
    <w:p w14:paraId="3D5D22ED" w14:textId="644B82E9" w:rsidR="000B50A8" w:rsidRPr="007C3649" w:rsidRDefault="007C3649" w:rsidP="003B2DD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7C3649">
        <w:rPr>
          <w:rFonts w:ascii="Times New Roman" w:hAnsi="Times New Roman" w:cs="Times New Roman"/>
          <w:b/>
          <w:bCs/>
          <w:sz w:val="24"/>
          <w:szCs w:val="24"/>
          <w:lang w:val="en-GB"/>
        </w:rPr>
        <w:t>Përjashtim</w:t>
      </w:r>
      <w:r w:rsidR="00350AFB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proofErr w:type="spellEnd"/>
      <w:r w:rsidR="00BA2FB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minimal</w:t>
      </w:r>
    </w:p>
    <w:p w14:paraId="53B3BF0A" w14:textId="77777777" w:rsidR="007C3649" w:rsidRPr="00CE4BE0" w:rsidRDefault="007C3649" w:rsidP="004A60B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E8C910C" w14:textId="16A6C60A" w:rsidR="00950362" w:rsidRDefault="007C3649" w:rsidP="001A2016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Me</w:t>
      </w:r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përjashtim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25722" w:rsidRPr="0042572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425722"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25722" w:rsidRPr="00425722">
        <w:rPr>
          <w:rFonts w:ascii="Times New Roman" w:hAnsi="Times New Roman" w:cs="Times New Roman"/>
          <w:sz w:val="24"/>
          <w:szCs w:val="24"/>
          <w:lang w:val="en-GB"/>
        </w:rPr>
        <w:t>parashikimeve</w:t>
      </w:r>
      <w:proofErr w:type="spellEnd"/>
      <w:r w:rsidR="00425722"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25722" w:rsidRPr="0042572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425722"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25722" w:rsidRPr="00425722">
        <w:rPr>
          <w:rFonts w:ascii="Times New Roman" w:hAnsi="Times New Roman" w:cs="Times New Roman"/>
          <w:sz w:val="24"/>
          <w:szCs w:val="24"/>
          <w:lang w:val="en-GB"/>
        </w:rPr>
        <w:t>neneve</w:t>
      </w:r>
      <w:proofErr w:type="spellEnd"/>
      <w:r w:rsidR="00425722"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26 </w:t>
      </w:r>
      <w:proofErr w:type="spellStart"/>
      <w:r w:rsidR="00425722" w:rsidRPr="00425722">
        <w:rPr>
          <w:rFonts w:ascii="Times New Roman" w:hAnsi="Times New Roman" w:cs="Times New Roman"/>
          <w:sz w:val="24"/>
          <w:szCs w:val="24"/>
          <w:lang w:val="en-GB"/>
        </w:rPr>
        <w:t>deri</w:t>
      </w:r>
      <w:proofErr w:type="spellEnd"/>
      <w:r w:rsidR="00425722"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25722" w:rsidRPr="0042572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425722"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32 </w:t>
      </w:r>
      <w:proofErr w:type="spellStart"/>
      <w:r w:rsidR="00425722" w:rsidRPr="00425722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425722"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25722" w:rsidRPr="00425722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="00425722"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34 </w:t>
      </w:r>
      <w:proofErr w:type="spellStart"/>
      <w:r w:rsidR="00425722" w:rsidRPr="0042572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425722"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25722" w:rsidRPr="00425722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425722"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25722" w:rsidRPr="00425722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="00425722"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me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zgjedhjen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deklarues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detyrueshëm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me zero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2572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25722"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="00425722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="00425722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5CB753A1" w14:textId="77777777" w:rsidR="00950362" w:rsidRPr="00950362" w:rsidRDefault="00950362" w:rsidP="0001103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0703E6B" w14:textId="67BE6FF5" w:rsidR="007C3649" w:rsidRPr="00C30413" w:rsidRDefault="007C3649" w:rsidP="00C30413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mesatare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pak se 10 000 000 euro;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04065BF3" w14:textId="2A2A3C5A" w:rsidR="00FD7E27" w:rsidRDefault="007C3649" w:rsidP="001A201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fitimi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humbja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mesatare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humbje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649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7C3649">
        <w:rPr>
          <w:rFonts w:ascii="Times New Roman" w:hAnsi="Times New Roman" w:cs="Times New Roman"/>
          <w:sz w:val="24"/>
          <w:szCs w:val="24"/>
          <w:lang w:val="en-GB"/>
        </w:rPr>
        <w:t xml:space="preserve"> pak se 1 000 000 euro.</w:t>
      </w:r>
    </w:p>
    <w:p w14:paraId="315A1B6B" w14:textId="0E3BCFFB" w:rsidR="00425722" w:rsidRDefault="00425722" w:rsidP="009B2DB7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Zgjedhja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bëhet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vit,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3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55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425722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4FA982E" w14:textId="5DB355ED" w:rsidR="005B1C6A" w:rsidRDefault="005B1C6A" w:rsidP="00011032">
      <w:pPr>
        <w:pStyle w:val="ListParagraph"/>
        <w:rPr>
          <w:lang w:val="en-GB"/>
        </w:rPr>
      </w:pPr>
    </w:p>
    <w:p w14:paraId="3CACF49A" w14:textId="6F158266" w:rsidR="005B1C6A" w:rsidRPr="00011032" w:rsidRDefault="003B2DDD" w:rsidP="001A201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Mesataret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referuara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llogariten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aktual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dy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vitet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fiskale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paraardhëse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B5AB983" w14:textId="77777777" w:rsidR="00F37BAF" w:rsidRPr="00CE4BE0" w:rsidRDefault="00F37BAF" w:rsidP="0001103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99F1841" w14:textId="3EBE0B0F" w:rsidR="00F37BAF" w:rsidRDefault="003B2DDD" w:rsidP="001A2016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parë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dytë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paraardhës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dyja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entitete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ardhura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humbje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këto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vite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fiskale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përjashtohen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llogaritja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mesatares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fitimit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atij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juridiksioni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5D5E713" w14:textId="77777777" w:rsidR="003B2DDD" w:rsidRPr="003B2DDD" w:rsidRDefault="003B2DDD" w:rsidP="003B2DD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CB4796D" w14:textId="0A856CE7" w:rsidR="005B1C6A" w:rsidRDefault="003B2DDD" w:rsidP="001A2016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reduktuara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rritura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rregullim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kryer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me Kreun III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DDD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3B2DDD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3B2DD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3F5E76A" w14:textId="77777777" w:rsidR="00F37BAF" w:rsidRPr="00CE4BE0" w:rsidRDefault="00F37BAF" w:rsidP="0001103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C74F2BA" w14:textId="7635C1D8" w:rsidR="005E1250" w:rsidRPr="00011032" w:rsidRDefault="00F3086D" w:rsidP="001A2016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Fitimi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humbja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fitimi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humbja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atij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juridiksioni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, e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llogaritur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2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26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F3086D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C6A57E6" w14:textId="77777777" w:rsidR="005E1250" w:rsidRDefault="005E1250" w:rsidP="00011032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6E55DD48" w14:textId="1F29F69F" w:rsidR="00F3086D" w:rsidRPr="00C30413" w:rsidRDefault="00F3086D" w:rsidP="00C30413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pa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shtetësi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investimit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përjashtohen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2FB5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F3086D">
        <w:rPr>
          <w:rFonts w:ascii="Times New Roman" w:hAnsi="Times New Roman" w:cs="Times New Roman"/>
          <w:sz w:val="24"/>
          <w:szCs w:val="24"/>
          <w:lang w:val="en-GB"/>
        </w:rPr>
        <w:t>ërjashtimi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A2FB5">
        <w:rPr>
          <w:rFonts w:ascii="Times New Roman" w:hAnsi="Times New Roman" w:cs="Times New Roman"/>
          <w:sz w:val="24"/>
          <w:szCs w:val="24"/>
          <w:lang w:val="en-GB"/>
        </w:rPr>
        <w:t>minimal</w:t>
      </w:r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përcaktuar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nen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fitimi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humbja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këtyre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merren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parasysh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përjashtimit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A2FB5">
        <w:rPr>
          <w:rFonts w:ascii="Times New Roman" w:hAnsi="Times New Roman" w:cs="Times New Roman"/>
          <w:sz w:val="24"/>
          <w:szCs w:val="24"/>
          <w:lang w:val="en-GB"/>
        </w:rPr>
        <w:t>minimal</w:t>
      </w:r>
      <w:r w:rsidRPr="00F3086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F748E73" w14:textId="77777777" w:rsidR="00F3086D" w:rsidRDefault="00F3086D" w:rsidP="00F3086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26948C0F" w14:textId="15106B6B" w:rsidR="00F3086D" w:rsidRPr="00C30413" w:rsidRDefault="00F3086D" w:rsidP="00C3041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F3086D">
        <w:rPr>
          <w:rFonts w:ascii="Times New Roman" w:hAnsi="Times New Roman" w:cs="Times New Roman"/>
          <w:sz w:val="24"/>
          <w:szCs w:val="24"/>
          <w:lang w:val="en-GB"/>
        </w:rPr>
        <w:t>Neni 34</w:t>
      </w:r>
    </w:p>
    <w:p w14:paraId="0A35ED6F" w14:textId="1BAEB3A7" w:rsidR="004D4EC6" w:rsidRPr="00CE4BE0" w:rsidRDefault="00F3086D" w:rsidP="00F308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F3086D">
        <w:rPr>
          <w:rFonts w:ascii="Times New Roman" w:hAnsi="Times New Roman" w:cs="Times New Roman"/>
          <w:b/>
          <w:bCs/>
          <w:sz w:val="24"/>
          <w:szCs w:val="24"/>
          <w:lang w:val="en-GB"/>
        </w:rPr>
        <w:t>Entitete</w:t>
      </w:r>
      <w:proofErr w:type="spellEnd"/>
      <w:r w:rsidRPr="00F3086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P</w:t>
      </w:r>
      <w:r w:rsidRPr="00F3086D">
        <w:rPr>
          <w:rFonts w:ascii="Times New Roman" w:hAnsi="Times New Roman" w:cs="Times New Roman"/>
          <w:b/>
          <w:bCs/>
          <w:sz w:val="24"/>
          <w:szCs w:val="24"/>
          <w:lang w:val="en-GB"/>
        </w:rPr>
        <w:t>ërbërëse</w:t>
      </w:r>
      <w:proofErr w:type="spellEnd"/>
      <w:r w:rsidRPr="00F3086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b/>
          <w:bCs/>
          <w:sz w:val="24"/>
          <w:szCs w:val="24"/>
          <w:lang w:val="en-GB"/>
        </w:rPr>
        <w:t>në</w:t>
      </w:r>
      <w:proofErr w:type="spellEnd"/>
      <w:r w:rsidRPr="00F3086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P</w:t>
      </w:r>
      <w:r w:rsidRPr="00F3086D">
        <w:rPr>
          <w:rFonts w:ascii="Times New Roman" w:hAnsi="Times New Roman" w:cs="Times New Roman"/>
          <w:b/>
          <w:bCs/>
          <w:sz w:val="24"/>
          <w:szCs w:val="24"/>
          <w:lang w:val="en-GB"/>
        </w:rPr>
        <w:t>ronësi</w:t>
      </w:r>
      <w:proofErr w:type="spellEnd"/>
      <w:r w:rsidRPr="00F3086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b/>
          <w:bCs/>
          <w:sz w:val="24"/>
          <w:szCs w:val="24"/>
          <w:lang w:val="en-GB"/>
        </w:rPr>
        <w:t>të</w:t>
      </w:r>
      <w:proofErr w:type="spellEnd"/>
      <w:r w:rsidRPr="00F3086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P</w:t>
      </w:r>
      <w:r w:rsidRPr="00F3086D">
        <w:rPr>
          <w:rFonts w:ascii="Times New Roman" w:hAnsi="Times New Roman" w:cs="Times New Roman"/>
          <w:b/>
          <w:bCs/>
          <w:sz w:val="24"/>
          <w:szCs w:val="24"/>
          <w:lang w:val="en-GB"/>
        </w:rPr>
        <w:t>akicës</w:t>
      </w:r>
      <w:proofErr w:type="spellEnd"/>
    </w:p>
    <w:p w14:paraId="21C7F045" w14:textId="3FCE2289" w:rsidR="00297B19" w:rsidRPr="00CE4BE0" w:rsidRDefault="00297B19" w:rsidP="00DA39F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8D0F479" w14:textId="49752B5F" w:rsidR="00616B59" w:rsidRDefault="00F3086D" w:rsidP="001A2016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zbatohen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përkufizimet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E52D47E" w14:textId="77777777" w:rsidR="00616B59" w:rsidRPr="00616B59" w:rsidRDefault="00616B59" w:rsidP="00616B5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A3174F8" w14:textId="733692B0" w:rsidR="00F3086D" w:rsidRPr="00C30413" w:rsidRDefault="00F3086D" w:rsidP="00C30413">
      <w:pPr>
        <w:pStyle w:val="ListParagraph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3086D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proofErr w:type="gramStart"/>
      <w:r w:rsidRPr="00F3086D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proofErr w:type="gram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pronësi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pakicës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” do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thot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interes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pronësor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drejtpërdrejtë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tërthortë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prej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30%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pak;</w:t>
      </w:r>
    </w:p>
    <w:p w14:paraId="5A8B7737" w14:textId="430E79D9" w:rsidR="00F3086D" w:rsidRPr="00C30413" w:rsidRDefault="00F3086D" w:rsidP="00F3086D">
      <w:pPr>
        <w:pStyle w:val="ListParagraph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3086D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proofErr w:type="gramStart"/>
      <w:r w:rsidRPr="00F3086D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proofErr w:type="gram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pronësi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pakicës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” do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thot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pronësi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pakicës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mban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drejtpërdrejt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tërthorazi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interesat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kontrolluese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tjetër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lastRenderedPageBreak/>
        <w:t>pronësi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pakicës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përveç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rastit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interesat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kontrolluese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parë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mbahen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drejtpërdrejt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tërthorazi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tjetër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pronësi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pakicës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0271865" w14:textId="5093E0B9" w:rsidR="00F3086D" w:rsidRPr="00C30413" w:rsidRDefault="00F3086D" w:rsidP="00C30413">
      <w:pPr>
        <w:pStyle w:val="ListParagraph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3086D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nën-grup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pronësi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pakicës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nënkupton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pronësi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pakicës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filialet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pronësi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pakicës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6BAC0A5" w14:textId="75D7E00D" w:rsidR="00702D72" w:rsidRPr="00F3086D" w:rsidRDefault="00F3086D" w:rsidP="001A2016">
      <w:pPr>
        <w:pStyle w:val="ListParagraph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3086D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gramStart"/>
      <w:r w:rsidRPr="00F3086D">
        <w:rPr>
          <w:rFonts w:ascii="Times New Roman" w:hAnsi="Times New Roman" w:cs="Times New Roman"/>
          <w:sz w:val="24"/>
          <w:szCs w:val="24"/>
          <w:lang w:val="en-GB"/>
        </w:rPr>
        <w:t>filial</w:t>
      </w:r>
      <w:proofErr w:type="gram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pronësi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pakicës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nënkupton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pronësi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pakicës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interesat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kontrolluese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cilit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mbahen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drejtpërdrejt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tërthorazi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pronësi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pakicës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9132181" w14:textId="77777777" w:rsidR="00DE6526" w:rsidRPr="00CE4BE0" w:rsidRDefault="00DE6526" w:rsidP="00DE652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41ED19D" w14:textId="1B241993" w:rsidR="005201C9" w:rsidRDefault="00425722" w:rsidP="001A2016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Llogaritja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normës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efektive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me Kreun III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deri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VII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anëtarët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5BA4">
        <w:rPr>
          <w:rFonts w:ascii="Times New Roman" w:hAnsi="Times New Roman" w:cs="Times New Roman"/>
          <w:sz w:val="24"/>
          <w:szCs w:val="24"/>
          <w:lang w:val="en-GB"/>
        </w:rPr>
        <w:t>nën-grupi</w:t>
      </w:r>
      <w:proofErr w:type="spellEnd"/>
      <w:r w:rsidRPr="002C5B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5BA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2C5B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5BA4">
        <w:rPr>
          <w:rFonts w:ascii="Times New Roman" w:hAnsi="Times New Roman" w:cs="Times New Roman"/>
          <w:sz w:val="24"/>
          <w:szCs w:val="24"/>
          <w:lang w:val="en-GB"/>
        </w:rPr>
        <w:t>pronësi</w:t>
      </w:r>
      <w:proofErr w:type="spellEnd"/>
      <w:r w:rsidRPr="002C5B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5BA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2C5B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5BA4">
        <w:rPr>
          <w:rFonts w:ascii="Times New Roman" w:hAnsi="Times New Roman" w:cs="Times New Roman"/>
          <w:sz w:val="24"/>
          <w:szCs w:val="24"/>
          <w:lang w:val="en-GB"/>
        </w:rPr>
        <w:t>pakicës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bëhet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sikur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nën-grup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pronësi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pakicës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ishte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veçantë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shoqërie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5722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Pr="0042572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ADB58E6" w14:textId="77777777" w:rsidR="00DE6526" w:rsidRPr="005201C9" w:rsidRDefault="00DE6526" w:rsidP="0001103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1472B3D" w14:textId="74B3919D" w:rsidR="00297B19" w:rsidRDefault="00F3086D" w:rsidP="001A2016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korrigjuara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fitimi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humbja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anëtarëve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nën-grupi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pronësi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pakicës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përjashtohen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përcaktimi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shumës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mbetur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normës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efektive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D009D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4D00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D009D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 w:rsidRPr="004D009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4D00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D009D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Pr="004D00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D009D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Pr="004D009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llogaritur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1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26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F3086D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fitimi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llogaritur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2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26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F3086D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BC6034D" w14:textId="77777777" w:rsidR="00DE6526" w:rsidRPr="00CE4BE0" w:rsidRDefault="00DE6526" w:rsidP="0001103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272A6A1" w14:textId="6AA8A182" w:rsidR="002059BC" w:rsidRDefault="00F3086D" w:rsidP="001A2016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Norma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efektive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pronësi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pakicës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anëtar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nën-grupi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pronësi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pakicës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llogariten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bazë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me Kreun V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086D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501A8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F3086D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F3086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A00CC32" w14:textId="77777777" w:rsidR="002059BC" w:rsidRDefault="002059BC" w:rsidP="00011032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72528013" w14:textId="758A0C03" w:rsidR="00297B19" w:rsidRDefault="008501A8" w:rsidP="001A2016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korrigjuara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fitimi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humbja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pronësi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pakicës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rputhje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me</w:t>
      </w:r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4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përjashtohen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përcaktimi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shumës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mbetur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normës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efektive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llogaritur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1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26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8501A8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fitimi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llogaritur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26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8501A8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9F3057A" w14:textId="77777777" w:rsidR="00DE6526" w:rsidRPr="00CE4BE0" w:rsidRDefault="00DE6526" w:rsidP="0001103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2084C97" w14:textId="49DAB1A6" w:rsidR="00297B19" w:rsidRPr="00CE4BE0" w:rsidRDefault="008501A8" w:rsidP="001A2016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pronësi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pakicës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investimi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përjashtohet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dispozitat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01A8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8501A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387713B" w14:textId="77777777" w:rsidR="00C11B23" w:rsidRPr="00CE4BE0" w:rsidRDefault="00C11B23" w:rsidP="00C11B2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FC5795D" w14:textId="0AFFAF3F" w:rsidR="00C11B23" w:rsidRPr="00CE4BE0" w:rsidRDefault="008501A8" w:rsidP="004F64E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Neni</w:t>
      </w:r>
      <w:r w:rsidR="00297B19" w:rsidRPr="00CE4BE0">
        <w:rPr>
          <w:rFonts w:ascii="Times New Roman" w:hAnsi="Times New Roman" w:cs="Times New Roman"/>
          <w:sz w:val="24"/>
          <w:szCs w:val="24"/>
          <w:lang w:val="en-GB"/>
        </w:rPr>
        <w:t xml:space="preserve"> 3</w:t>
      </w:r>
      <w:r w:rsidR="004F64E7" w:rsidRPr="00CE4BE0">
        <w:rPr>
          <w:rFonts w:ascii="Times New Roman" w:hAnsi="Times New Roman" w:cs="Times New Roman"/>
          <w:sz w:val="24"/>
          <w:szCs w:val="24"/>
          <w:lang w:val="en-GB"/>
        </w:rPr>
        <w:t>5</w:t>
      </w:r>
    </w:p>
    <w:p w14:paraId="33C77894" w14:textId="0AF70ADD" w:rsidR="008501A8" w:rsidRDefault="00C865FE" w:rsidP="005976C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M</w:t>
      </w:r>
      <w:r w:rsidR="005976C3">
        <w:rPr>
          <w:rFonts w:ascii="Times New Roman" w:hAnsi="Times New Roman" w:cs="Times New Roman"/>
          <w:b/>
          <w:bCs/>
          <w:sz w:val="24"/>
          <w:szCs w:val="24"/>
          <w:lang w:val="en-GB"/>
        </w:rPr>
        <w:t>asat</w:t>
      </w:r>
      <w:proofErr w:type="spellEnd"/>
      <w:r w:rsidR="005976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5976C3">
        <w:rPr>
          <w:rFonts w:ascii="Times New Roman" w:hAnsi="Times New Roman" w:cs="Times New Roman"/>
          <w:b/>
          <w:bCs/>
          <w:sz w:val="24"/>
          <w:szCs w:val="24"/>
          <w:lang w:val="en-GB"/>
        </w:rPr>
        <w:t>Lehtësuese</w:t>
      </w:r>
      <w:proofErr w:type="spellEnd"/>
    </w:p>
    <w:p w14:paraId="3FAAAFC5" w14:textId="77777777" w:rsidR="00C865FE" w:rsidRPr="00CE4BE0" w:rsidRDefault="00C865FE" w:rsidP="008501A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57B6D0F" w14:textId="321DBE70" w:rsidR="00A1573B" w:rsidRDefault="00490C94" w:rsidP="001A2016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Me</w:t>
      </w:r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përjashtim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nenet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26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deri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34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490C94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zgjedhjen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deklarues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detyrueshëm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konsiderohet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zero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niveli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efektiv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plotëson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kushtet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marrëveshjeje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ndërkombëtare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565E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masa</w:t>
      </w:r>
      <w:r w:rsidR="00565E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lehtësuese</w:t>
      </w:r>
      <w:proofErr w:type="spellEnd"/>
      <w:r w:rsidR="00385BB3" w:rsidRPr="00385BB3">
        <w:t xml:space="preserve"> </w:t>
      </w:r>
      <w:proofErr w:type="spellStart"/>
      <w:r w:rsidR="00385BB3" w:rsidRPr="00385BB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85BB3" w:rsidRPr="00385BB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BB3" w:rsidRPr="00385BB3">
        <w:rPr>
          <w:rFonts w:ascii="Times New Roman" w:hAnsi="Times New Roman" w:cs="Times New Roman"/>
          <w:sz w:val="24"/>
          <w:szCs w:val="24"/>
          <w:lang w:val="en-GB"/>
        </w:rPr>
        <w:lastRenderedPageBreak/>
        <w:t>krahasimit</w:t>
      </w:r>
      <w:proofErr w:type="spellEnd"/>
      <w:r w:rsidR="00385BB3" w:rsidRPr="00385BB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BB3" w:rsidRPr="00385BB3">
        <w:rPr>
          <w:rFonts w:ascii="Times New Roman" w:hAnsi="Times New Roman" w:cs="Times New Roman"/>
          <w:sz w:val="24"/>
          <w:szCs w:val="24"/>
          <w:lang w:val="en-GB"/>
        </w:rPr>
        <w:t>paralel</w:t>
      </w:r>
      <w:proofErr w:type="spellEnd"/>
      <w:r w:rsidR="00385BB3" w:rsidRPr="00385BB3">
        <w:rPr>
          <w:rFonts w:ascii="Times New Roman" w:hAnsi="Times New Roman" w:cs="Times New Roman"/>
          <w:sz w:val="24"/>
          <w:szCs w:val="24"/>
          <w:lang w:val="en-GB"/>
        </w:rPr>
        <w:t xml:space="preserve"> “Side-by-Side” Safe Harbour</w:t>
      </w:r>
      <w:r w:rsidR="00565E7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rregullat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e</w:t>
      </w:r>
      <w:r w:rsidR="00565E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50AFB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565E76">
        <w:rPr>
          <w:rFonts w:ascii="Times New Roman" w:hAnsi="Times New Roman" w:cs="Times New Roman"/>
          <w:sz w:val="24"/>
          <w:szCs w:val="24"/>
          <w:lang w:val="en-GB"/>
        </w:rPr>
        <w:t>asave</w:t>
      </w:r>
      <w:proofErr w:type="spellEnd"/>
      <w:r w:rsidR="00565E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50AFB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565E76">
        <w:rPr>
          <w:rFonts w:ascii="Times New Roman" w:hAnsi="Times New Roman" w:cs="Times New Roman"/>
          <w:sz w:val="24"/>
          <w:szCs w:val="24"/>
          <w:lang w:val="en-GB"/>
        </w:rPr>
        <w:t>ehtësuese</w:t>
      </w:r>
      <w:proofErr w:type="spellEnd"/>
      <w:r w:rsidR="00385BB3" w:rsidRPr="00385BB3">
        <w:t xml:space="preserve"> </w:t>
      </w:r>
      <w:proofErr w:type="spellStart"/>
      <w:r w:rsidR="00385BB3" w:rsidRPr="00385BB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85BB3" w:rsidRPr="00385BB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BB3" w:rsidRPr="00385BB3">
        <w:rPr>
          <w:rFonts w:ascii="Times New Roman" w:hAnsi="Times New Roman" w:cs="Times New Roman"/>
          <w:sz w:val="24"/>
          <w:szCs w:val="24"/>
          <w:lang w:val="en-GB"/>
        </w:rPr>
        <w:t>krahasimit</w:t>
      </w:r>
      <w:proofErr w:type="spellEnd"/>
      <w:r w:rsidR="00385BB3" w:rsidRPr="00385BB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5BB3" w:rsidRPr="00385BB3">
        <w:rPr>
          <w:rFonts w:ascii="Times New Roman" w:hAnsi="Times New Roman" w:cs="Times New Roman"/>
          <w:sz w:val="24"/>
          <w:szCs w:val="24"/>
          <w:lang w:val="en-GB"/>
        </w:rPr>
        <w:t>paralel</w:t>
      </w:r>
      <w:proofErr w:type="spellEnd"/>
      <w:r w:rsidR="00385BB3" w:rsidRPr="00385BB3">
        <w:rPr>
          <w:rFonts w:ascii="Times New Roman" w:hAnsi="Times New Roman" w:cs="Times New Roman"/>
          <w:sz w:val="24"/>
          <w:szCs w:val="24"/>
          <w:lang w:val="en-GB"/>
        </w:rPr>
        <w:t xml:space="preserve"> “Side-by-Side” Safe Harbour</w:t>
      </w:r>
      <w:r w:rsidRPr="00490C94">
        <w:rPr>
          <w:rFonts w:ascii="Times New Roman" w:hAnsi="Times New Roman" w:cs="Times New Roman"/>
          <w:sz w:val="24"/>
          <w:szCs w:val="24"/>
          <w:lang w:val="en-GB"/>
        </w:rPr>
        <w:t xml:space="preserve"> ‘</w:t>
      </w:r>
      <w:proofErr w:type="spellStart"/>
      <w:r w:rsidRPr="00490C94">
        <w:rPr>
          <w:rFonts w:ascii="Times New Roman" w:hAnsi="Times New Roman" w:cs="Times New Roman"/>
          <w:sz w:val="24"/>
          <w:szCs w:val="24"/>
          <w:lang w:val="en-GB"/>
        </w:rPr>
        <w:t>GloBE</w:t>
      </w:r>
      <w:proofErr w:type="spellEnd"/>
      <w:r w:rsidRPr="00490C94">
        <w:rPr>
          <w:rFonts w:ascii="Times New Roman" w:hAnsi="Times New Roman" w:cs="Times New Roman"/>
          <w:sz w:val="24"/>
          <w:szCs w:val="24"/>
          <w:lang w:val="en-GB"/>
        </w:rPr>
        <w:t>’.</w:t>
      </w:r>
    </w:p>
    <w:p w14:paraId="3DABEF3C" w14:textId="77777777" w:rsidR="00280C63" w:rsidRPr="00CE4BE0" w:rsidRDefault="00280C63" w:rsidP="0001103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D4CB6D3" w14:textId="4AB13470" w:rsidR="00A1573B" w:rsidRDefault="00565E76" w:rsidP="001A2016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>, ‘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marrëveshje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ndërkombëtare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masa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lehtësuese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’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nënkupton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sërë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rregullash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kushtesh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ndërkombëtare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cilat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Republika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dhënë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pëlqimin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156AA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jep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grupeve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përfshihen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fushën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zbatimit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Li</w:t>
      </w:r>
      <w:r w:rsidRPr="00565E76">
        <w:rPr>
          <w:rFonts w:ascii="Times New Roman" w:hAnsi="Times New Roman" w:cs="Times New Roman"/>
          <w:sz w:val="24"/>
          <w:szCs w:val="24"/>
          <w:lang w:val="en-GB"/>
        </w:rPr>
        <w:t>gji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mundësinë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zgjedhin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përfitimin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masa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lehtësuese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65E76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565E7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310F75C" w14:textId="77777777" w:rsidR="00672012" w:rsidRDefault="00672012" w:rsidP="00672012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2442D5CE" w14:textId="253098A4" w:rsidR="00672012" w:rsidRDefault="00672012" w:rsidP="001A2016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72012">
        <w:rPr>
          <w:rFonts w:ascii="Times New Roman" w:hAnsi="Times New Roman" w:cs="Times New Roman"/>
          <w:sz w:val="24"/>
          <w:szCs w:val="24"/>
          <w:lang w:val="en-GB"/>
        </w:rPr>
        <w:t>Pavarësisht</w:t>
      </w:r>
      <w:proofErr w:type="spellEnd"/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2012">
        <w:rPr>
          <w:rFonts w:ascii="Times New Roman" w:hAnsi="Times New Roman" w:cs="Times New Roman"/>
          <w:sz w:val="24"/>
          <w:szCs w:val="24"/>
          <w:lang w:val="en-GB"/>
        </w:rPr>
        <w:t>dispozitave</w:t>
      </w:r>
      <w:proofErr w:type="spellEnd"/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201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2012">
        <w:rPr>
          <w:rFonts w:ascii="Times New Roman" w:hAnsi="Times New Roman" w:cs="Times New Roman"/>
          <w:sz w:val="24"/>
          <w:szCs w:val="24"/>
          <w:lang w:val="en-GB"/>
        </w:rPr>
        <w:t>Kapitullit</w:t>
      </w:r>
      <w:proofErr w:type="spellEnd"/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 II </w:t>
      </w:r>
      <w:proofErr w:type="spellStart"/>
      <w:r w:rsidRPr="0067201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2012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672012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72012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672012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672012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proofErr w:type="gramEnd"/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2012">
        <w:rPr>
          <w:rFonts w:ascii="Times New Roman" w:hAnsi="Times New Roman" w:cs="Times New Roman"/>
          <w:sz w:val="24"/>
          <w:szCs w:val="24"/>
          <w:lang w:val="en-GB"/>
        </w:rPr>
        <w:t>llogaritur</w:t>
      </w:r>
      <w:proofErr w:type="spellEnd"/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201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2012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2012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2012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2012">
        <w:rPr>
          <w:rFonts w:ascii="Times New Roman" w:hAnsi="Times New Roman" w:cs="Times New Roman"/>
          <w:sz w:val="24"/>
          <w:szCs w:val="24"/>
          <w:lang w:val="en-GB"/>
        </w:rPr>
        <w:t>Rregullit</w:t>
      </w:r>
      <w:proofErr w:type="spellEnd"/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201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2012">
        <w:rPr>
          <w:rFonts w:ascii="Times New Roman" w:hAnsi="Times New Roman" w:cs="Times New Roman"/>
          <w:sz w:val="24"/>
          <w:szCs w:val="24"/>
          <w:lang w:val="en-GB"/>
        </w:rPr>
        <w:t>Përfshirjes</w:t>
      </w:r>
      <w:proofErr w:type="spellEnd"/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2012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201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2012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GB"/>
        </w:rPr>
        <w:t>RPA</w:t>
      </w:r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672012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2012">
        <w:rPr>
          <w:rFonts w:ascii="Times New Roman" w:hAnsi="Times New Roman" w:cs="Times New Roman"/>
          <w:sz w:val="24"/>
          <w:szCs w:val="24"/>
          <w:lang w:val="en-GB"/>
        </w:rPr>
        <w:t>Rregullit</w:t>
      </w:r>
      <w:proofErr w:type="spellEnd"/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201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 Fitimet e </w:t>
      </w:r>
      <w:proofErr w:type="spellStart"/>
      <w:r w:rsidRPr="00672012">
        <w:rPr>
          <w:rFonts w:ascii="Times New Roman" w:hAnsi="Times New Roman" w:cs="Times New Roman"/>
          <w:sz w:val="24"/>
          <w:szCs w:val="24"/>
          <w:lang w:val="en-GB"/>
        </w:rPr>
        <w:t>Nën-Tatuara</w:t>
      </w:r>
      <w:proofErr w:type="spellEnd"/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GB"/>
        </w:rPr>
        <w:t>RFN</w:t>
      </w:r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672012">
        <w:rPr>
          <w:rFonts w:ascii="Times New Roman" w:hAnsi="Times New Roman" w:cs="Times New Roman"/>
          <w:sz w:val="24"/>
          <w:szCs w:val="24"/>
          <w:lang w:val="en-GB"/>
        </w:rPr>
        <w:t>konsiderohet</w:t>
      </w:r>
      <w:proofErr w:type="spellEnd"/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 zero </w:t>
      </w:r>
      <w:proofErr w:type="spellStart"/>
      <w:r w:rsidRPr="0067201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2012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672012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72012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Pr="00672012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2012">
        <w:rPr>
          <w:rFonts w:ascii="Times New Roman" w:hAnsi="Times New Roman" w:cs="Times New Roman"/>
          <w:sz w:val="24"/>
          <w:szCs w:val="24"/>
          <w:lang w:val="en-GB"/>
        </w:rPr>
        <w:t>zbaton</w:t>
      </w:r>
      <w:proofErr w:type="spellEnd"/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2012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 Tatim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Minimal </w:t>
      </w:r>
      <w:proofErr w:type="spellStart"/>
      <w:r w:rsidR="007757D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Brendshëm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57D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7757D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2012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57DE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7757D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72012">
        <w:rPr>
          <w:rFonts w:ascii="Times New Roman" w:hAnsi="Times New Roman" w:cs="Times New Roman"/>
          <w:sz w:val="24"/>
          <w:szCs w:val="24"/>
          <w:lang w:val="en-GB"/>
        </w:rPr>
        <w:t>(</w:t>
      </w:r>
      <w:r>
        <w:rPr>
          <w:rFonts w:ascii="Times New Roman" w:hAnsi="Times New Roman" w:cs="Times New Roman"/>
          <w:sz w:val="24"/>
          <w:szCs w:val="24"/>
          <w:lang w:val="en-GB"/>
        </w:rPr>
        <w:t>TMBK</w:t>
      </w:r>
      <w:r w:rsidR="007757DE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proofErr w:type="spellStart"/>
      <w:r w:rsidRPr="00672012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2012">
        <w:rPr>
          <w:rFonts w:ascii="Times New Roman" w:hAnsi="Times New Roman" w:cs="Times New Roman"/>
          <w:sz w:val="24"/>
          <w:szCs w:val="24"/>
          <w:lang w:val="en-GB"/>
        </w:rPr>
        <w:t>cili</w:t>
      </w:r>
      <w:proofErr w:type="spellEnd"/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2012">
        <w:rPr>
          <w:rFonts w:ascii="Times New Roman" w:hAnsi="Times New Roman" w:cs="Times New Roman"/>
          <w:sz w:val="24"/>
          <w:szCs w:val="24"/>
          <w:lang w:val="en-GB"/>
        </w:rPr>
        <w:t>përmbush</w:t>
      </w:r>
      <w:proofErr w:type="spellEnd"/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2012">
        <w:rPr>
          <w:rFonts w:ascii="Times New Roman" w:hAnsi="Times New Roman" w:cs="Times New Roman"/>
          <w:sz w:val="24"/>
          <w:szCs w:val="24"/>
          <w:lang w:val="en-GB"/>
        </w:rPr>
        <w:t>standardin</w:t>
      </w:r>
      <w:proofErr w:type="spellEnd"/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masave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lehtësuese</w:t>
      </w:r>
      <w:proofErr w:type="spellEnd"/>
      <w:r w:rsidR="00CD4599" w:rsidRPr="00CD4599">
        <w:t xml:space="preserve"> </w:t>
      </w:r>
      <w:proofErr w:type="spellStart"/>
      <w:r w:rsidR="00CD4599" w:rsidRPr="00CD459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D4599" w:rsidRPr="00CD45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4599" w:rsidRPr="00CD4599">
        <w:rPr>
          <w:rFonts w:ascii="Times New Roman" w:hAnsi="Times New Roman" w:cs="Times New Roman"/>
          <w:sz w:val="24"/>
          <w:szCs w:val="24"/>
          <w:lang w:val="en-GB"/>
        </w:rPr>
        <w:t>krahasimit</w:t>
      </w:r>
      <w:proofErr w:type="spellEnd"/>
      <w:r w:rsidR="00CD4599" w:rsidRPr="00CD45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4599" w:rsidRPr="00CD4599">
        <w:rPr>
          <w:rFonts w:ascii="Times New Roman" w:hAnsi="Times New Roman" w:cs="Times New Roman"/>
          <w:sz w:val="24"/>
          <w:szCs w:val="24"/>
          <w:lang w:val="en-GB"/>
        </w:rPr>
        <w:t>paralel</w:t>
      </w:r>
      <w:proofErr w:type="spellEnd"/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 (Safe Harbour) </w:t>
      </w:r>
      <w:proofErr w:type="spellStart"/>
      <w:r w:rsidRPr="0067201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6720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TMBK</w:t>
      </w:r>
      <w:r w:rsidR="007757DE">
        <w:rPr>
          <w:rFonts w:ascii="Times New Roman" w:hAnsi="Times New Roman" w:cs="Times New Roman"/>
          <w:sz w:val="24"/>
          <w:szCs w:val="24"/>
          <w:lang w:val="en-GB"/>
        </w:rPr>
        <w:t>S</w:t>
      </w:r>
      <w:r>
        <w:rPr>
          <w:rFonts w:ascii="Times New Roman" w:hAnsi="Times New Roman" w:cs="Times New Roman"/>
          <w:sz w:val="24"/>
          <w:szCs w:val="24"/>
          <w:lang w:val="en-GB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67201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612A4A1" w14:textId="77777777" w:rsidR="00280C63" w:rsidRPr="00CE4BE0" w:rsidRDefault="00280C63" w:rsidP="0005132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bookmarkEnd w:id="8"/>
    <w:p w14:paraId="6096E9FE" w14:textId="545C8725" w:rsidR="00155BFC" w:rsidRDefault="0005510A" w:rsidP="00C30413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5510A">
        <w:rPr>
          <w:rFonts w:ascii="Times New Roman" w:hAnsi="Times New Roman" w:cs="Times New Roman"/>
          <w:sz w:val="24"/>
          <w:szCs w:val="24"/>
          <w:lang w:val="en-GB"/>
        </w:rPr>
        <w:t>Ministri</w:t>
      </w:r>
      <w:proofErr w:type="spellEnd"/>
      <w:r w:rsidRPr="000551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510A">
        <w:rPr>
          <w:rFonts w:ascii="Times New Roman" w:hAnsi="Times New Roman" w:cs="Times New Roman"/>
          <w:sz w:val="24"/>
          <w:szCs w:val="24"/>
          <w:lang w:val="en-GB"/>
        </w:rPr>
        <w:t>përgjegjës</w:t>
      </w:r>
      <w:proofErr w:type="spellEnd"/>
      <w:r w:rsidRPr="000551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510A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0551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510A">
        <w:rPr>
          <w:rFonts w:ascii="Times New Roman" w:hAnsi="Times New Roman" w:cs="Times New Roman"/>
          <w:sz w:val="24"/>
          <w:szCs w:val="24"/>
          <w:lang w:val="en-GB"/>
        </w:rPr>
        <w:t>financat</w:t>
      </w:r>
      <w:proofErr w:type="spellEnd"/>
      <w:r w:rsidRPr="000551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510A">
        <w:rPr>
          <w:rFonts w:ascii="Times New Roman" w:hAnsi="Times New Roman" w:cs="Times New Roman"/>
          <w:sz w:val="24"/>
          <w:szCs w:val="24"/>
          <w:lang w:val="en-GB"/>
        </w:rPr>
        <w:t>nxjerr</w:t>
      </w:r>
      <w:proofErr w:type="spellEnd"/>
      <w:r w:rsidRPr="000551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510A">
        <w:rPr>
          <w:rFonts w:ascii="Times New Roman" w:hAnsi="Times New Roman" w:cs="Times New Roman"/>
          <w:sz w:val="24"/>
          <w:szCs w:val="24"/>
          <w:lang w:val="en-GB"/>
        </w:rPr>
        <w:t>udhëzimin</w:t>
      </w:r>
      <w:proofErr w:type="spellEnd"/>
      <w:r w:rsidRPr="000551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510A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0551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510A">
        <w:rPr>
          <w:rFonts w:ascii="Times New Roman" w:hAnsi="Times New Roman" w:cs="Times New Roman"/>
          <w:sz w:val="24"/>
          <w:szCs w:val="24"/>
          <w:lang w:val="en-GB"/>
        </w:rPr>
        <w:t>përcakton</w:t>
      </w:r>
      <w:proofErr w:type="spellEnd"/>
      <w:r w:rsidRPr="000551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510A">
        <w:rPr>
          <w:rFonts w:ascii="Times New Roman" w:hAnsi="Times New Roman" w:cs="Times New Roman"/>
          <w:sz w:val="24"/>
          <w:szCs w:val="24"/>
          <w:lang w:val="en-GB"/>
        </w:rPr>
        <w:t>rregullat</w:t>
      </w:r>
      <w:proofErr w:type="spellEnd"/>
      <w:r w:rsidRPr="0005510A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05510A">
        <w:rPr>
          <w:rFonts w:ascii="Times New Roman" w:hAnsi="Times New Roman" w:cs="Times New Roman"/>
          <w:sz w:val="24"/>
          <w:szCs w:val="24"/>
          <w:lang w:val="en-GB"/>
        </w:rPr>
        <w:t>hollësishme</w:t>
      </w:r>
      <w:proofErr w:type="spellEnd"/>
      <w:r w:rsidRPr="0005510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5510A">
        <w:rPr>
          <w:rFonts w:ascii="Times New Roman" w:hAnsi="Times New Roman" w:cs="Times New Roman"/>
          <w:sz w:val="24"/>
          <w:szCs w:val="24"/>
          <w:lang w:val="en-GB"/>
        </w:rPr>
        <w:t>kushtet</w:t>
      </w:r>
      <w:proofErr w:type="spellEnd"/>
      <w:r w:rsidRPr="000551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510A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0551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510A">
        <w:rPr>
          <w:rFonts w:ascii="Times New Roman" w:hAnsi="Times New Roman" w:cs="Times New Roman"/>
          <w:sz w:val="24"/>
          <w:szCs w:val="24"/>
          <w:lang w:val="en-GB"/>
        </w:rPr>
        <w:t>metodologjitë</w:t>
      </w:r>
      <w:proofErr w:type="spellEnd"/>
      <w:r w:rsidRPr="000551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510A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0551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510A">
        <w:rPr>
          <w:rFonts w:ascii="Times New Roman" w:hAnsi="Times New Roman" w:cs="Times New Roman"/>
          <w:sz w:val="24"/>
          <w:szCs w:val="24"/>
          <w:lang w:val="en-GB"/>
        </w:rPr>
        <w:t>zbatimin</w:t>
      </w:r>
      <w:proofErr w:type="spellEnd"/>
      <w:r w:rsidRPr="0005510A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879D0">
        <w:rPr>
          <w:rFonts w:ascii="Times New Roman" w:hAnsi="Times New Roman" w:cs="Times New Roman"/>
          <w:sz w:val="24"/>
          <w:szCs w:val="24"/>
          <w:lang w:val="en-GB"/>
        </w:rPr>
        <w:t>masave</w:t>
      </w:r>
      <w:proofErr w:type="spellEnd"/>
      <w:r w:rsidR="006879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90C94">
        <w:rPr>
          <w:rFonts w:ascii="Times New Roman" w:hAnsi="Times New Roman" w:cs="Times New Roman"/>
          <w:sz w:val="24"/>
          <w:szCs w:val="24"/>
          <w:lang w:val="en-GB"/>
        </w:rPr>
        <w:t>lehtësuese</w:t>
      </w:r>
      <w:proofErr w:type="spellEnd"/>
      <w:r w:rsidR="006879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5510A">
        <w:rPr>
          <w:rFonts w:ascii="Times New Roman" w:hAnsi="Times New Roman" w:cs="Times New Roman"/>
          <w:sz w:val="24"/>
          <w:szCs w:val="24"/>
          <w:lang w:val="en-GB"/>
        </w:rPr>
        <w:t xml:space="preserve">duke </w:t>
      </w:r>
      <w:proofErr w:type="spellStart"/>
      <w:proofErr w:type="gramStart"/>
      <w:r w:rsidRPr="0005510A">
        <w:rPr>
          <w:rFonts w:ascii="Times New Roman" w:hAnsi="Times New Roman" w:cs="Times New Roman"/>
          <w:sz w:val="24"/>
          <w:szCs w:val="24"/>
          <w:lang w:val="en-GB"/>
        </w:rPr>
        <w:t>përfshirë</w:t>
      </w:r>
      <w:proofErr w:type="spellEnd"/>
      <w:r w:rsidRPr="000551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879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9D0">
        <w:rPr>
          <w:rFonts w:ascii="Times New Roman" w:hAnsi="Times New Roman" w:cs="Times New Roman"/>
          <w:sz w:val="24"/>
          <w:szCs w:val="24"/>
          <w:lang w:val="en-GB"/>
        </w:rPr>
        <w:t>masat</w:t>
      </w:r>
      <w:proofErr w:type="spellEnd"/>
      <w:proofErr w:type="gramEnd"/>
      <w:r w:rsidR="006879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90C94">
        <w:rPr>
          <w:rFonts w:ascii="Times New Roman" w:hAnsi="Times New Roman" w:cs="Times New Roman"/>
          <w:sz w:val="24"/>
          <w:szCs w:val="24"/>
          <w:lang w:val="en-GB"/>
        </w:rPr>
        <w:t>lehtësuese</w:t>
      </w:r>
      <w:proofErr w:type="spellEnd"/>
      <w:r w:rsidR="006879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879D0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="006879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D20BE">
        <w:rPr>
          <w:rFonts w:ascii="Times New Roman" w:hAnsi="Times New Roman" w:cs="Times New Roman"/>
          <w:sz w:val="24"/>
          <w:szCs w:val="24"/>
          <w:lang w:val="en-GB"/>
        </w:rPr>
        <w:t>tranzicionin</w:t>
      </w:r>
      <w:proofErr w:type="spellEnd"/>
      <w:r w:rsidR="003D20B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D20BE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3D1EB8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3D20BE">
        <w:rPr>
          <w:rFonts w:ascii="Times New Roman" w:hAnsi="Times New Roman" w:cs="Times New Roman"/>
          <w:sz w:val="24"/>
          <w:szCs w:val="24"/>
          <w:lang w:val="en-GB"/>
        </w:rPr>
        <w:t>r</w:t>
      </w:r>
      <w:proofErr w:type="spellEnd"/>
      <w:r w:rsidR="003D20B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510A">
        <w:rPr>
          <w:rFonts w:ascii="Times New Roman" w:hAnsi="Times New Roman" w:cs="Times New Roman"/>
          <w:sz w:val="24"/>
          <w:szCs w:val="24"/>
          <w:lang w:val="en-GB"/>
        </w:rPr>
        <w:t>raportimi</w:t>
      </w:r>
      <w:r w:rsidR="006879D0">
        <w:rPr>
          <w:rFonts w:ascii="Times New Roman" w:hAnsi="Times New Roman" w:cs="Times New Roman"/>
          <w:sz w:val="24"/>
          <w:szCs w:val="24"/>
          <w:lang w:val="en-GB"/>
        </w:rPr>
        <w:t>n</w:t>
      </w:r>
      <w:proofErr w:type="spellEnd"/>
      <w:r w:rsidRPr="000551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FA0FBD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vend</w:t>
      </w:r>
      <w:r w:rsidR="006879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510A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0551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D20BE">
        <w:rPr>
          <w:rFonts w:ascii="Times New Roman" w:hAnsi="Times New Roman" w:cs="Times New Roman"/>
          <w:sz w:val="24"/>
          <w:szCs w:val="24"/>
          <w:lang w:val="en-GB"/>
        </w:rPr>
        <w:t>masat</w:t>
      </w:r>
      <w:proofErr w:type="spellEnd"/>
      <w:r w:rsidR="003D20B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90C94">
        <w:rPr>
          <w:rFonts w:ascii="Times New Roman" w:hAnsi="Times New Roman" w:cs="Times New Roman"/>
          <w:sz w:val="24"/>
          <w:szCs w:val="24"/>
          <w:lang w:val="en-GB"/>
        </w:rPr>
        <w:t>lehtësuese</w:t>
      </w:r>
      <w:proofErr w:type="spellEnd"/>
      <w:r w:rsidR="003D20B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lidhur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me</w:t>
      </w:r>
      <w:r w:rsidR="0005132A">
        <w:rPr>
          <w:rFonts w:ascii="Times New Roman" w:hAnsi="Times New Roman" w:cs="Times New Roman"/>
          <w:sz w:val="24"/>
          <w:szCs w:val="24"/>
          <w:lang w:val="en-GB"/>
        </w:rPr>
        <w:t xml:space="preserve"> TMBK</w:t>
      </w:r>
      <w:r w:rsidR="007757DE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3D20BE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0551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510A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551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510A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05510A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05510A">
        <w:rPr>
          <w:rFonts w:ascii="Times New Roman" w:hAnsi="Times New Roman" w:cs="Times New Roman"/>
          <w:sz w:val="24"/>
          <w:szCs w:val="24"/>
          <w:lang w:val="en-GB"/>
        </w:rPr>
        <w:t>standardet</w:t>
      </w:r>
      <w:proofErr w:type="spellEnd"/>
      <w:r w:rsidRPr="0005510A">
        <w:rPr>
          <w:rFonts w:ascii="Times New Roman" w:hAnsi="Times New Roman" w:cs="Times New Roman"/>
          <w:sz w:val="24"/>
          <w:szCs w:val="24"/>
          <w:lang w:val="en-GB"/>
        </w:rPr>
        <w:t xml:space="preserve"> e OECD-</w:t>
      </w:r>
      <w:proofErr w:type="spellStart"/>
      <w:r w:rsidRPr="0005510A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05510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C313B45" w14:textId="77777777" w:rsidR="00C30413" w:rsidRPr="00C30413" w:rsidRDefault="00C30413" w:rsidP="00C30413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98F9EE2" w14:textId="77777777" w:rsidR="00155BFC" w:rsidRPr="00155BFC" w:rsidRDefault="00155BFC" w:rsidP="00155BFC">
      <w:pPr>
        <w:pStyle w:val="ListParagraph"/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155BFC">
        <w:rPr>
          <w:rFonts w:ascii="Times New Roman" w:hAnsi="Times New Roman" w:cs="Times New Roman"/>
          <w:sz w:val="24"/>
          <w:szCs w:val="24"/>
          <w:lang w:val="en-GB"/>
        </w:rPr>
        <w:t>KREU VI</w:t>
      </w:r>
    </w:p>
    <w:p w14:paraId="5DB3C728" w14:textId="62972B1A" w:rsidR="00155BFC" w:rsidRDefault="00155BFC" w:rsidP="00155BFC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55BF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RREGULLA TË VEÇANTA PËR RISTRUKTURIMET KORPORATIVE DHE STRUKTURAT </w:t>
      </w:r>
      <w:r w:rsidR="00385BB3" w:rsidRPr="00192243">
        <w:rPr>
          <w:rFonts w:ascii="Times New Roman" w:hAnsi="Times New Roman" w:cs="Times New Roman"/>
          <w:b/>
          <w:bCs/>
          <w:sz w:val="24"/>
          <w:szCs w:val="24"/>
          <w:lang w:val="en-GB"/>
        </w:rPr>
        <w:t>HOLDING</w:t>
      </w:r>
    </w:p>
    <w:p w14:paraId="58E39D3B" w14:textId="77777777" w:rsidR="00C30413" w:rsidRPr="009B2DB7" w:rsidRDefault="00C30413" w:rsidP="009B2DB7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0F24EF5" w14:textId="77777777" w:rsidR="00155BFC" w:rsidRPr="00155BFC" w:rsidRDefault="00155BFC" w:rsidP="00155BFC">
      <w:pPr>
        <w:pStyle w:val="ListParagraph"/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155BFC">
        <w:rPr>
          <w:rFonts w:ascii="Times New Roman" w:hAnsi="Times New Roman" w:cs="Times New Roman"/>
          <w:sz w:val="24"/>
          <w:szCs w:val="24"/>
          <w:lang w:val="en-GB"/>
        </w:rPr>
        <w:t>Neni 36</w:t>
      </w:r>
    </w:p>
    <w:p w14:paraId="1ACBFA1A" w14:textId="77777777" w:rsidR="00155BFC" w:rsidRPr="00155BFC" w:rsidRDefault="00155BFC" w:rsidP="00155BFC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155BFC">
        <w:rPr>
          <w:rFonts w:ascii="Times New Roman" w:hAnsi="Times New Roman" w:cs="Times New Roman"/>
          <w:b/>
          <w:bCs/>
          <w:sz w:val="24"/>
          <w:szCs w:val="24"/>
          <w:lang w:val="en-GB"/>
        </w:rPr>
        <w:t>Zbatimi</w:t>
      </w:r>
      <w:proofErr w:type="spellEnd"/>
      <w:r w:rsidRPr="00155BF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proofErr w:type="spellEnd"/>
      <w:r w:rsidRPr="00155BF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b/>
          <w:bCs/>
          <w:sz w:val="24"/>
          <w:szCs w:val="24"/>
          <w:lang w:val="en-GB"/>
        </w:rPr>
        <w:t>pragut</w:t>
      </w:r>
      <w:proofErr w:type="spellEnd"/>
      <w:r w:rsidRPr="00155BF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b/>
          <w:bCs/>
          <w:sz w:val="24"/>
          <w:szCs w:val="24"/>
          <w:lang w:val="en-GB"/>
        </w:rPr>
        <w:t>të</w:t>
      </w:r>
      <w:proofErr w:type="spellEnd"/>
      <w:r w:rsidRPr="00155BF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b/>
          <w:bCs/>
          <w:sz w:val="24"/>
          <w:szCs w:val="24"/>
          <w:lang w:val="en-GB"/>
        </w:rPr>
        <w:t>të</w:t>
      </w:r>
      <w:proofErr w:type="spellEnd"/>
      <w:r w:rsidRPr="00155BF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b/>
          <w:bCs/>
          <w:sz w:val="24"/>
          <w:szCs w:val="24"/>
          <w:lang w:val="en-GB"/>
        </w:rPr>
        <w:t>ardhurave</w:t>
      </w:r>
      <w:proofErr w:type="spellEnd"/>
      <w:r w:rsidRPr="00155BF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b/>
          <w:bCs/>
          <w:sz w:val="24"/>
          <w:szCs w:val="24"/>
          <w:lang w:val="en-GB"/>
        </w:rPr>
        <w:t>të</w:t>
      </w:r>
      <w:proofErr w:type="spellEnd"/>
      <w:r w:rsidRPr="00155BF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b/>
          <w:bCs/>
          <w:sz w:val="24"/>
          <w:szCs w:val="24"/>
          <w:lang w:val="en-GB"/>
        </w:rPr>
        <w:t>konsoliduara</w:t>
      </w:r>
      <w:proofErr w:type="spellEnd"/>
      <w:r w:rsidRPr="00155BF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14:paraId="37DF247E" w14:textId="28302550" w:rsidR="00155BFC" w:rsidRDefault="00155BFC" w:rsidP="00155BFC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155BFC">
        <w:rPr>
          <w:rFonts w:ascii="Times New Roman" w:hAnsi="Times New Roman" w:cs="Times New Roman"/>
          <w:b/>
          <w:bCs/>
          <w:sz w:val="24"/>
          <w:szCs w:val="24"/>
          <w:lang w:val="en-GB"/>
        </w:rPr>
        <w:t>për</w:t>
      </w:r>
      <w:proofErr w:type="spellEnd"/>
      <w:r w:rsidRPr="00155BF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b/>
          <w:bCs/>
          <w:sz w:val="24"/>
          <w:szCs w:val="24"/>
          <w:lang w:val="en-GB"/>
        </w:rPr>
        <w:t>bashkimet</w:t>
      </w:r>
      <w:proofErr w:type="spellEnd"/>
      <w:r w:rsidRPr="00155BF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b/>
          <w:bCs/>
          <w:sz w:val="24"/>
          <w:szCs w:val="24"/>
          <w:lang w:val="en-GB"/>
        </w:rPr>
        <w:t>dhe</w:t>
      </w:r>
      <w:proofErr w:type="spellEnd"/>
      <w:r w:rsidRPr="00155BF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b/>
          <w:bCs/>
          <w:sz w:val="24"/>
          <w:szCs w:val="24"/>
          <w:lang w:val="en-GB"/>
        </w:rPr>
        <w:t>ndarjet</w:t>
      </w:r>
      <w:proofErr w:type="spellEnd"/>
      <w:r w:rsidRPr="00155BF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b/>
          <w:bCs/>
          <w:sz w:val="24"/>
          <w:szCs w:val="24"/>
          <w:lang w:val="en-GB"/>
        </w:rPr>
        <w:t>n</w:t>
      </w:r>
      <w:r w:rsidR="00AB7580">
        <w:rPr>
          <w:rFonts w:ascii="Times New Roman" w:hAnsi="Times New Roman" w:cs="Times New Roman"/>
          <w:b/>
          <w:bCs/>
          <w:sz w:val="24"/>
          <w:szCs w:val="24"/>
          <w:lang w:val="en-GB"/>
        </w:rPr>
        <w:t>ë</w:t>
      </w:r>
      <w:proofErr w:type="spellEnd"/>
      <w:r w:rsidRPr="00155BF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b/>
          <w:bCs/>
          <w:sz w:val="24"/>
          <w:szCs w:val="24"/>
          <w:lang w:val="en-GB"/>
        </w:rPr>
        <w:t>grupe</w:t>
      </w:r>
      <w:proofErr w:type="spellEnd"/>
    </w:p>
    <w:p w14:paraId="45F9460F" w14:textId="77777777" w:rsidR="00155BFC" w:rsidRDefault="00155BFC" w:rsidP="00155BFC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831916F" w14:textId="059E8CEB" w:rsidR="00155BFC" w:rsidRPr="00155BFC" w:rsidRDefault="00155BFC" w:rsidP="001A2016">
      <w:pPr>
        <w:pStyle w:val="ListParagraph"/>
        <w:numPr>
          <w:ilvl w:val="0"/>
          <w:numId w:val="20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zbatohen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përkufizimet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50A52FE8" w14:textId="2E1128A5" w:rsidR="00155BFC" w:rsidRPr="00155BFC" w:rsidRDefault="00192243" w:rsidP="00AD4E3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fsa</w:t>
      </w:r>
      <w:proofErr w:type="spellEnd"/>
    </w:p>
    <w:p w14:paraId="65B4E739" w14:textId="32716B40" w:rsidR="00155BFC" w:rsidRPr="00C30413" w:rsidRDefault="00155BFC" w:rsidP="00C30413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55BFC">
        <w:rPr>
          <w:rFonts w:ascii="Times New Roman" w:hAnsi="Times New Roman" w:cs="Times New Roman"/>
          <w:sz w:val="24"/>
          <w:szCs w:val="24"/>
          <w:lang w:val="en-GB"/>
        </w:rPr>
        <w:t>a) “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bashkim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nënkupton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marrëveshje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cilën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62227638" w14:textId="554DE113" w:rsidR="00155BFC" w:rsidRPr="00155BFC" w:rsidRDefault="00155BFC" w:rsidP="003D20B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pothuajse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dy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grupeve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ndara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vendosen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nën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kontroll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përbashkët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mënyrë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tillë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përbëjnë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entitete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30413">
        <w:rPr>
          <w:rFonts w:ascii="Times New Roman" w:hAnsi="Times New Roman" w:cs="Times New Roman"/>
          <w:sz w:val="24"/>
          <w:szCs w:val="24"/>
          <w:lang w:val="en-GB"/>
        </w:rPr>
        <w:t>bashkuar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</w:p>
    <w:p w14:paraId="3FCE56C8" w14:textId="77777777" w:rsidR="00C30413" w:rsidRDefault="00155BFC" w:rsidP="00C3041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ii)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anëtar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asnjë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vendoset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nën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kontroll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përbashkët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tjetër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mënyrë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tillë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përbëjnë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entitete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5BF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55BF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C30413">
        <w:rPr>
          <w:rFonts w:ascii="Times New Roman" w:hAnsi="Times New Roman" w:cs="Times New Roman"/>
          <w:sz w:val="24"/>
          <w:szCs w:val="24"/>
          <w:lang w:val="en-GB"/>
        </w:rPr>
        <w:t>bashkuar</w:t>
      </w:r>
      <w:proofErr w:type="spellEnd"/>
      <w:r w:rsidRPr="00155BFC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F7C6164" w14:textId="484F82DA" w:rsidR="00155BFC" w:rsidRPr="00C30413" w:rsidRDefault="00155BFC" w:rsidP="00C30413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30413">
        <w:rPr>
          <w:rFonts w:ascii="Times New Roman" w:hAnsi="Times New Roman" w:cs="Times New Roman"/>
          <w:sz w:val="24"/>
          <w:szCs w:val="24"/>
          <w:lang w:val="en-GB"/>
        </w:rPr>
        <w:lastRenderedPageBreak/>
        <w:t>“</w:t>
      </w:r>
      <w:proofErr w:type="spellStart"/>
      <w:proofErr w:type="gramStart"/>
      <w:r w:rsidRPr="00C30413">
        <w:rPr>
          <w:rFonts w:ascii="Times New Roman" w:hAnsi="Times New Roman" w:cs="Times New Roman"/>
          <w:sz w:val="24"/>
          <w:szCs w:val="24"/>
          <w:lang w:val="en-GB"/>
        </w:rPr>
        <w:t>ndarje</w:t>
      </w:r>
      <w:proofErr w:type="spellEnd"/>
      <w:proofErr w:type="gramEnd"/>
      <w:r w:rsidRPr="00C3041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30413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C30413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proofErr w:type="spellStart"/>
      <w:r w:rsidRPr="00C30413">
        <w:rPr>
          <w:rFonts w:ascii="Times New Roman" w:hAnsi="Times New Roman" w:cs="Times New Roman"/>
          <w:sz w:val="24"/>
          <w:szCs w:val="24"/>
          <w:lang w:val="en-GB"/>
        </w:rPr>
        <w:t>nënkupton</w:t>
      </w:r>
      <w:proofErr w:type="spellEnd"/>
      <w:r w:rsidRPr="00C3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30413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C3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30413">
        <w:rPr>
          <w:rFonts w:ascii="Times New Roman" w:hAnsi="Times New Roman" w:cs="Times New Roman"/>
          <w:sz w:val="24"/>
          <w:szCs w:val="24"/>
          <w:lang w:val="en-GB"/>
        </w:rPr>
        <w:t>marrëveshje</w:t>
      </w:r>
      <w:proofErr w:type="spellEnd"/>
      <w:r w:rsidRPr="00C3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3041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3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3041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3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30413">
        <w:rPr>
          <w:rFonts w:ascii="Times New Roman" w:hAnsi="Times New Roman" w:cs="Times New Roman"/>
          <w:sz w:val="24"/>
          <w:szCs w:val="24"/>
          <w:lang w:val="en-GB"/>
        </w:rPr>
        <w:t>cilën</w:t>
      </w:r>
      <w:proofErr w:type="spellEnd"/>
      <w:r w:rsidRPr="00C3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30413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C3041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3041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C3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30413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C3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3041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3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30413">
        <w:rPr>
          <w:rFonts w:ascii="Times New Roman" w:hAnsi="Times New Roman" w:cs="Times New Roman"/>
          <w:sz w:val="24"/>
          <w:szCs w:val="24"/>
          <w:lang w:val="en-GB"/>
        </w:rPr>
        <w:t>vetëm</w:t>
      </w:r>
      <w:proofErr w:type="spellEnd"/>
      <w:r w:rsidRPr="00C3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30413">
        <w:rPr>
          <w:rFonts w:ascii="Times New Roman" w:hAnsi="Times New Roman" w:cs="Times New Roman"/>
          <w:sz w:val="24"/>
          <w:szCs w:val="24"/>
          <w:lang w:val="en-GB"/>
        </w:rPr>
        <w:t>ndahen</w:t>
      </w:r>
      <w:proofErr w:type="spellEnd"/>
      <w:r w:rsidRPr="00C3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3041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3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30413">
        <w:rPr>
          <w:rFonts w:ascii="Times New Roman" w:hAnsi="Times New Roman" w:cs="Times New Roman"/>
          <w:sz w:val="24"/>
          <w:szCs w:val="24"/>
          <w:lang w:val="en-GB"/>
        </w:rPr>
        <w:t>dy</w:t>
      </w:r>
      <w:proofErr w:type="spellEnd"/>
      <w:r w:rsidRPr="00C3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3041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C3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30413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C3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30413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C3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30413">
        <w:rPr>
          <w:rFonts w:ascii="Times New Roman" w:hAnsi="Times New Roman" w:cs="Times New Roman"/>
          <w:sz w:val="24"/>
          <w:szCs w:val="24"/>
          <w:lang w:val="en-GB"/>
        </w:rPr>
        <w:t>grupe</w:t>
      </w:r>
      <w:proofErr w:type="spellEnd"/>
      <w:r w:rsidRPr="00C3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3041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3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30413">
        <w:rPr>
          <w:rFonts w:ascii="Times New Roman" w:hAnsi="Times New Roman" w:cs="Times New Roman"/>
          <w:sz w:val="24"/>
          <w:szCs w:val="24"/>
          <w:lang w:val="en-GB"/>
        </w:rPr>
        <w:t>ndryshme</w:t>
      </w:r>
      <w:proofErr w:type="spellEnd"/>
      <w:r w:rsidRPr="00C3041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3041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3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30413">
        <w:rPr>
          <w:rFonts w:ascii="Times New Roman" w:hAnsi="Times New Roman" w:cs="Times New Roman"/>
          <w:sz w:val="24"/>
          <w:szCs w:val="24"/>
          <w:lang w:val="en-GB"/>
        </w:rPr>
        <w:t>cilat</w:t>
      </w:r>
      <w:proofErr w:type="spellEnd"/>
      <w:r w:rsidRPr="00C3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30413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C3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30413">
        <w:rPr>
          <w:rFonts w:ascii="Times New Roman" w:hAnsi="Times New Roman" w:cs="Times New Roman"/>
          <w:sz w:val="24"/>
          <w:szCs w:val="24"/>
          <w:lang w:val="en-GB"/>
        </w:rPr>
        <w:t>konsolidohen</w:t>
      </w:r>
      <w:proofErr w:type="spellEnd"/>
      <w:r w:rsidRPr="00C3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30413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C3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3041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C3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3041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C3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30413">
        <w:rPr>
          <w:rFonts w:ascii="Times New Roman" w:hAnsi="Times New Roman" w:cs="Times New Roman"/>
          <w:sz w:val="24"/>
          <w:szCs w:val="24"/>
          <w:lang w:val="en-GB"/>
        </w:rPr>
        <w:t>njëjti</w:t>
      </w:r>
      <w:proofErr w:type="spellEnd"/>
      <w:r w:rsidRPr="00C3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3041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C3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3041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C304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30413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C3041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F2B3ACF" w14:textId="77777777" w:rsidR="00DE0E3F" w:rsidRDefault="00DE0E3F" w:rsidP="00AD4E33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B0DA56C" w14:textId="0A291B64" w:rsidR="00DE0E3F" w:rsidRDefault="00DE0E3F" w:rsidP="001A2016">
      <w:pPr>
        <w:pStyle w:val="ListParagraph"/>
        <w:numPr>
          <w:ilvl w:val="0"/>
          <w:numId w:val="20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Kur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dy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grupe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bashkohen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formuar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vetëm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cilindo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katër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vitet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fiskale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radhazi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paraprijnë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menjëherë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testuar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pragu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konsoliduara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grupit</w:t>
      </w:r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rputhje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me</w:t>
      </w:r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nenin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2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DE0E3F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konsiderohet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përmbushur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para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bashkimit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përfshira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pasqyrat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konsoliduara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secilit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prej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grupeve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750 000 000 euro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3D85352" w14:textId="77777777" w:rsidR="00DE0E3F" w:rsidRDefault="00DE0E3F" w:rsidP="00DE0E3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D96182E" w14:textId="3DDE8A9C" w:rsidR="00AD4E33" w:rsidRDefault="00DE0E3F" w:rsidP="001A2016">
      <w:pPr>
        <w:pStyle w:val="ListParagraph"/>
        <w:numPr>
          <w:ilvl w:val="0"/>
          <w:numId w:val="20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Kur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anëtar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(“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objektivi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”)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bashkohet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(“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61ED">
        <w:rPr>
          <w:rFonts w:ascii="Times New Roman" w:hAnsi="Times New Roman" w:cs="Times New Roman"/>
          <w:sz w:val="24"/>
          <w:szCs w:val="24"/>
          <w:lang w:val="en-GB"/>
        </w:rPr>
        <w:t>bler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5961ED">
        <w:rPr>
          <w:rFonts w:ascii="Times New Roman" w:hAnsi="Times New Roman" w:cs="Times New Roman"/>
          <w:sz w:val="24"/>
          <w:szCs w:val="24"/>
          <w:lang w:val="en-GB"/>
        </w:rPr>
        <w:t>s</w:t>
      </w:r>
      <w:proofErr w:type="spellEnd"/>
      <w:r w:rsidRPr="005961ED">
        <w:rPr>
          <w:rFonts w:ascii="Times New Roman" w:hAnsi="Times New Roman" w:cs="Times New Roman"/>
          <w:sz w:val="24"/>
          <w:szCs w:val="24"/>
          <w:lang w:val="en-GB"/>
        </w:rPr>
        <w:t>”)</w:t>
      </w:r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testuar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objekti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bler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pasur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pasqyra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konsoliduara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cilindo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katër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vitet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fiskale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radhazi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paraprijnë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menjëherë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testuar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pragu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konsoliduara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konsiderohet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përmbushur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vit,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përfshira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pasqyrat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pasqyrat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konsoliduara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secilit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prej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tyre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750 000 000 euro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0E3F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DE0E3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22A80E4" w14:textId="77777777" w:rsidR="00AD4E33" w:rsidRPr="00AD4E33" w:rsidRDefault="00AD4E33" w:rsidP="00AD4E33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11165DF6" w14:textId="1C49663C" w:rsidR="00C20619" w:rsidRPr="00AD4E33" w:rsidRDefault="00C20619" w:rsidP="001A2016">
      <w:pPr>
        <w:pStyle w:val="ListParagraph"/>
        <w:numPr>
          <w:ilvl w:val="0"/>
          <w:numId w:val="20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Kur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vetëm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>rie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61ED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5961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61ED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5961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61ED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Pr="005961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61ED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brenda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fushës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zbatimit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ndahet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dy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secili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prej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tyre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ndarë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”),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pragu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konsoliduara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konsiderohet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përmbushur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ndarë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221F6575" w14:textId="77777777" w:rsidR="00C20619" w:rsidRPr="00C20619" w:rsidRDefault="00C20619" w:rsidP="00C2061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9841119" w14:textId="77777777" w:rsidR="00C20619" w:rsidRPr="00C20619" w:rsidRDefault="00C20619" w:rsidP="00C3041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parë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testuar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përfundon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pas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ndarjes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ndarë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ardhura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vjetore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prej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C20619">
        <w:rPr>
          <w:rFonts w:ascii="Times New Roman" w:hAnsi="Times New Roman" w:cs="Times New Roman"/>
          <w:sz w:val="24"/>
          <w:szCs w:val="24"/>
          <w:lang w:val="en-GB"/>
        </w:rPr>
        <w:t>750 000 000 euro</w:t>
      </w:r>
      <w:proofErr w:type="gram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4A90AC85" w14:textId="77777777" w:rsidR="00C20619" w:rsidRPr="00C20619" w:rsidRDefault="00C20619" w:rsidP="00C2061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93C0E7F" w14:textId="250C8CB9" w:rsidR="00AD4E33" w:rsidRPr="005961ED" w:rsidRDefault="00C20619" w:rsidP="005961E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dytë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deri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katërt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testuar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përfundo</w:t>
      </w:r>
      <w:r>
        <w:rPr>
          <w:rFonts w:ascii="Times New Roman" w:hAnsi="Times New Roman" w:cs="Times New Roman"/>
          <w:sz w:val="24"/>
          <w:szCs w:val="24"/>
          <w:lang w:val="en-GB"/>
        </w:rPr>
        <w:t>n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pas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ndarjes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ndarë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ardhura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vjetore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prej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C20619">
        <w:rPr>
          <w:rFonts w:ascii="Times New Roman" w:hAnsi="Times New Roman" w:cs="Times New Roman"/>
          <w:sz w:val="24"/>
          <w:szCs w:val="24"/>
          <w:lang w:val="en-GB"/>
        </w:rPr>
        <w:t>750 000 000 euro</w:t>
      </w:r>
      <w:proofErr w:type="gram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paktën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dy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prej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këtyre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viteve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0619">
        <w:rPr>
          <w:rFonts w:ascii="Times New Roman" w:hAnsi="Times New Roman" w:cs="Times New Roman"/>
          <w:sz w:val="24"/>
          <w:szCs w:val="24"/>
          <w:lang w:val="en-GB"/>
        </w:rPr>
        <w:t>fiskale</w:t>
      </w:r>
      <w:proofErr w:type="spellEnd"/>
      <w:r w:rsidRPr="00C2061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69666ED" w14:textId="77777777" w:rsidR="00AD4E33" w:rsidRDefault="00AD4E33" w:rsidP="00AD4E33">
      <w:pPr>
        <w:pStyle w:val="ListParagraph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167C2953" w14:textId="74C67BF4" w:rsidR="00AD4E33" w:rsidRPr="00034346" w:rsidRDefault="005976C3" w:rsidP="00AD4E33">
      <w:pPr>
        <w:pStyle w:val="ListParagraph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EE1560">
        <w:rPr>
          <w:rFonts w:ascii="Times New Roman" w:hAnsi="Times New Roman" w:cs="Times New Roman"/>
          <w:sz w:val="24"/>
          <w:szCs w:val="24"/>
          <w:lang w:val="en-GB"/>
        </w:rPr>
        <w:t>Neni</w:t>
      </w:r>
      <w:r w:rsidR="00AD4E33" w:rsidRPr="00EE1560">
        <w:rPr>
          <w:rFonts w:ascii="Times New Roman" w:hAnsi="Times New Roman" w:cs="Times New Roman"/>
          <w:sz w:val="24"/>
          <w:szCs w:val="24"/>
          <w:lang w:val="en-GB"/>
        </w:rPr>
        <w:t xml:space="preserve"> 37</w:t>
      </w:r>
    </w:p>
    <w:p w14:paraId="751AE618" w14:textId="370DB6AE" w:rsidR="00AD4E33" w:rsidRDefault="00AD4E33" w:rsidP="00AD4E33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034346">
        <w:rPr>
          <w:rFonts w:ascii="Times New Roman" w:hAnsi="Times New Roman" w:cs="Times New Roman"/>
          <w:b/>
          <w:bCs/>
          <w:sz w:val="24"/>
          <w:szCs w:val="24"/>
          <w:lang w:val="en-GB"/>
        </w:rPr>
        <w:t>Entitetet</w:t>
      </w:r>
      <w:proofErr w:type="spellEnd"/>
      <w:r w:rsidRPr="0003434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34346">
        <w:rPr>
          <w:rFonts w:ascii="Times New Roman" w:hAnsi="Times New Roman" w:cs="Times New Roman"/>
          <w:b/>
          <w:bCs/>
          <w:sz w:val="24"/>
          <w:szCs w:val="24"/>
          <w:lang w:val="en-GB"/>
        </w:rPr>
        <w:t>përbërëse</w:t>
      </w:r>
      <w:proofErr w:type="spellEnd"/>
      <w:r w:rsidRPr="0003434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34346">
        <w:rPr>
          <w:rFonts w:ascii="Times New Roman" w:hAnsi="Times New Roman" w:cs="Times New Roman"/>
          <w:b/>
          <w:bCs/>
          <w:sz w:val="24"/>
          <w:szCs w:val="24"/>
          <w:lang w:val="en-GB"/>
        </w:rPr>
        <w:t>që</w:t>
      </w:r>
      <w:proofErr w:type="spellEnd"/>
      <w:r w:rsidRPr="0003434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34346">
        <w:rPr>
          <w:rFonts w:ascii="Times New Roman" w:hAnsi="Times New Roman" w:cs="Times New Roman"/>
          <w:b/>
          <w:bCs/>
          <w:sz w:val="24"/>
          <w:szCs w:val="24"/>
          <w:lang w:val="en-GB"/>
        </w:rPr>
        <w:t>bashkohen</w:t>
      </w:r>
      <w:proofErr w:type="spellEnd"/>
      <w:r w:rsidRPr="0003434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34346">
        <w:rPr>
          <w:rFonts w:ascii="Times New Roman" w:hAnsi="Times New Roman" w:cs="Times New Roman"/>
          <w:b/>
          <w:bCs/>
          <w:sz w:val="24"/>
          <w:szCs w:val="24"/>
          <w:lang w:val="en-GB"/>
        </w:rPr>
        <w:t>ose</w:t>
      </w:r>
      <w:proofErr w:type="spellEnd"/>
      <w:r w:rsidRPr="0003434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34346">
        <w:rPr>
          <w:rFonts w:ascii="Times New Roman" w:hAnsi="Times New Roman" w:cs="Times New Roman"/>
          <w:b/>
          <w:bCs/>
          <w:sz w:val="24"/>
          <w:szCs w:val="24"/>
          <w:lang w:val="en-GB"/>
        </w:rPr>
        <w:t>largohen</w:t>
      </w:r>
      <w:proofErr w:type="spellEnd"/>
      <w:r w:rsidRPr="0003434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34346">
        <w:rPr>
          <w:rFonts w:ascii="Times New Roman" w:hAnsi="Times New Roman" w:cs="Times New Roman"/>
          <w:b/>
          <w:bCs/>
          <w:sz w:val="24"/>
          <w:szCs w:val="24"/>
          <w:lang w:val="en-GB"/>
        </w:rPr>
        <w:t>nga</w:t>
      </w:r>
      <w:proofErr w:type="spellEnd"/>
      <w:r w:rsidRPr="0003434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34346">
        <w:rPr>
          <w:rFonts w:ascii="Times New Roman" w:hAnsi="Times New Roman" w:cs="Times New Roman"/>
          <w:b/>
          <w:bCs/>
          <w:sz w:val="24"/>
          <w:szCs w:val="24"/>
          <w:lang w:val="en-GB"/>
        </w:rPr>
        <w:t>një</w:t>
      </w:r>
      <w:proofErr w:type="spellEnd"/>
      <w:r w:rsidRPr="0003434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34346">
        <w:rPr>
          <w:rFonts w:ascii="Times New Roman" w:hAnsi="Times New Roman" w:cs="Times New Roman"/>
          <w:b/>
          <w:bCs/>
          <w:sz w:val="24"/>
          <w:szCs w:val="24"/>
          <w:lang w:val="en-GB"/>
        </w:rPr>
        <w:t>grup</w:t>
      </w:r>
      <w:proofErr w:type="spellEnd"/>
      <w:r w:rsidRPr="0003434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34346">
        <w:rPr>
          <w:rFonts w:ascii="Times New Roman" w:hAnsi="Times New Roman" w:cs="Times New Roman"/>
          <w:b/>
          <w:bCs/>
          <w:sz w:val="24"/>
          <w:szCs w:val="24"/>
          <w:lang w:val="en-GB"/>
        </w:rPr>
        <w:t>shoq</w:t>
      </w:r>
      <w:r w:rsidR="00AB7580" w:rsidRPr="00034346">
        <w:rPr>
          <w:rFonts w:ascii="Times New Roman" w:hAnsi="Times New Roman" w:cs="Times New Roman"/>
          <w:b/>
          <w:bCs/>
          <w:sz w:val="24"/>
          <w:szCs w:val="24"/>
          <w:lang w:val="en-GB"/>
        </w:rPr>
        <w:t>ë</w:t>
      </w:r>
      <w:r w:rsidRPr="00034346">
        <w:rPr>
          <w:rFonts w:ascii="Times New Roman" w:hAnsi="Times New Roman" w:cs="Times New Roman"/>
          <w:b/>
          <w:bCs/>
          <w:sz w:val="24"/>
          <w:szCs w:val="24"/>
          <w:lang w:val="en-GB"/>
        </w:rPr>
        <w:t>rie</w:t>
      </w:r>
      <w:proofErr w:type="spellEnd"/>
      <w:r w:rsidRPr="0003434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34346">
        <w:rPr>
          <w:rFonts w:ascii="Times New Roman" w:hAnsi="Times New Roman" w:cs="Times New Roman"/>
          <w:b/>
          <w:bCs/>
          <w:sz w:val="24"/>
          <w:szCs w:val="24"/>
          <w:lang w:val="en-GB"/>
        </w:rPr>
        <w:t>shumëkombëshe</w:t>
      </w:r>
      <w:proofErr w:type="spellEnd"/>
      <w:r w:rsidR="00565E7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14:paraId="3B618BED" w14:textId="77777777" w:rsidR="00AD4E33" w:rsidRDefault="00AD4E33" w:rsidP="00AD4E33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71A803A" w14:textId="04502F05" w:rsidR="00AD4E33" w:rsidRPr="009B2DB7" w:rsidRDefault="00A25F90" w:rsidP="009B2DB7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1. </w:t>
      </w:r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Kur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(“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objektivi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”)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bëhet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pushon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qeni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 w:rsidRPr="009B2DB7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rie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 w:rsidRPr="009B2DB7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rezultat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transferimit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interesave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drejtpërdrejta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tërthorta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pronësisë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objektiv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objektivi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bëhet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ri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gjatë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viti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(“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viti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blerjes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”),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objektiv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trajtohet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anëtar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kusht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pjesë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aktiveve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detyrimeve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lastRenderedPageBreak/>
        <w:t>shpenzimeve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flukseve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parasë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përfshihet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AB7580" w:rsidRPr="009B2DB7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bazë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konsolidimit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rresht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rresht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pasqyrat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konsoliduara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blerjes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565E76" w:rsidRPr="00565E76">
        <w:t xml:space="preserve"> </w:t>
      </w:r>
      <w:r w:rsidR="00565E76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Norma </w:t>
      </w:r>
      <w:proofErr w:type="spellStart"/>
      <w:r w:rsidR="00565E76" w:rsidRPr="009B2DB7">
        <w:rPr>
          <w:rFonts w:ascii="Times New Roman" w:hAnsi="Times New Roman" w:cs="Times New Roman"/>
          <w:sz w:val="24"/>
          <w:szCs w:val="24"/>
          <w:lang w:val="en-GB"/>
        </w:rPr>
        <w:t>efektive</w:t>
      </w:r>
      <w:proofErr w:type="spellEnd"/>
      <w:r w:rsidR="00565E76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565E76" w:rsidRPr="009B2DB7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565E76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65E76" w:rsidRPr="009B2DB7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565E76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65E76" w:rsidRPr="009B2DB7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="00565E76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65E76" w:rsidRPr="009B2DB7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565E76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65E76" w:rsidRPr="009B2DB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565E76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65E76" w:rsidRPr="009B2DB7">
        <w:rPr>
          <w:rFonts w:ascii="Times New Roman" w:hAnsi="Times New Roman" w:cs="Times New Roman"/>
          <w:sz w:val="24"/>
          <w:szCs w:val="24"/>
          <w:lang w:val="en-GB"/>
        </w:rPr>
        <w:t>subjektit</w:t>
      </w:r>
      <w:proofErr w:type="spellEnd"/>
      <w:r w:rsidR="00565E76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65E76" w:rsidRPr="009B2DB7">
        <w:rPr>
          <w:rFonts w:ascii="Times New Roman" w:hAnsi="Times New Roman" w:cs="Times New Roman"/>
          <w:sz w:val="24"/>
          <w:szCs w:val="24"/>
          <w:lang w:val="en-GB"/>
        </w:rPr>
        <w:t>objektiv</w:t>
      </w:r>
      <w:proofErr w:type="spellEnd"/>
      <w:r w:rsidR="00565E76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65E76" w:rsidRPr="009B2DB7">
        <w:rPr>
          <w:rFonts w:ascii="Times New Roman" w:hAnsi="Times New Roman" w:cs="Times New Roman"/>
          <w:sz w:val="24"/>
          <w:szCs w:val="24"/>
          <w:lang w:val="en-GB"/>
        </w:rPr>
        <w:t>llogariten</w:t>
      </w:r>
      <w:proofErr w:type="spellEnd"/>
      <w:r w:rsidR="00565E76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65E76"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565E76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65E76" w:rsidRPr="009B2DB7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565E76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565E76" w:rsidRPr="009B2DB7">
        <w:rPr>
          <w:rFonts w:ascii="Times New Roman" w:hAnsi="Times New Roman" w:cs="Times New Roman"/>
          <w:sz w:val="24"/>
          <w:szCs w:val="24"/>
          <w:lang w:val="en-GB"/>
        </w:rPr>
        <w:t>paragrafët</w:t>
      </w:r>
      <w:proofErr w:type="spellEnd"/>
      <w:r w:rsidR="00565E76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2, </w:t>
      </w:r>
      <w:proofErr w:type="spellStart"/>
      <w:r w:rsidR="00565E76" w:rsidRPr="009B2DB7">
        <w:rPr>
          <w:rFonts w:ascii="Times New Roman" w:hAnsi="Times New Roman" w:cs="Times New Roman"/>
          <w:sz w:val="24"/>
          <w:szCs w:val="24"/>
          <w:lang w:val="en-GB"/>
        </w:rPr>
        <w:t>deri</w:t>
      </w:r>
      <w:proofErr w:type="spellEnd"/>
      <w:r w:rsidR="00565E76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65E76"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565E76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>8</w:t>
      </w:r>
      <w:r w:rsidR="00565E76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65E76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65E76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65E76" w:rsidRPr="009B2DB7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565E76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65E76" w:rsidRPr="009B2DB7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565E76" w:rsidRPr="009B2DB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8A54C6B" w14:textId="7D9AD79C" w:rsidR="00AD4E33" w:rsidRPr="009B2DB7" w:rsidRDefault="00A25F90" w:rsidP="009B2DB7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2.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blerjes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 w:rsidRPr="009B2DB7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rie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merr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konsideratë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vetëm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fitimin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humbjen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kontabilitetit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financiar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korrigjuara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objektiv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përfshirë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pasqyrat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konsoliduara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BA9912D" w14:textId="13287716" w:rsidR="00AD4E33" w:rsidRPr="009B2DB7" w:rsidRDefault="00A25F90" w:rsidP="009B2DB7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3.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blerjes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pasues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fitimi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humbja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korrigjuara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objektiv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llogariten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bazë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vlerës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historike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aktiveve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detyrimeve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333584B" w14:textId="77777777" w:rsidR="00AD4E33" w:rsidRPr="00AD4E33" w:rsidRDefault="00AD4E33" w:rsidP="00AD4E33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267FCDD6" w14:textId="7C5BC2F7" w:rsidR="00AD4E33" w:rsidRPr="009B2DB7" w:rsidRDefault="00A25F90" w:rsidP="009B2DB7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4. </w:t>
      </w:r>
      <w:proofErr w:type="spellStart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>blerjes</w:t>
      </w:r>
      <w:proofErr w:type="spellEnd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A31391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391" w:rsidRPr="009B2DB7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31391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>kostove</w:t>
      </w:r>
      <w:proofErr w:type="spellEnd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>pagave</w:t>
      </w:r>
      <w:proofErr w:type="spellEnd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391" w:rsidRPr="009B2DB7">
        <w:rPr>
          <w:rFonts w:ascii="Times New Roman" w:hAnsi="Times New Roman" w:cs="Times New Roman"/>
          <w:sz w:val="24"/>
          <w:szCs w:val="24"/>
          <w:lang w:val="en-GB"/>
        </w:rPr>
        <w:t>subjektin</w:t>
      </w:r>
      <w:proofErr w:type="spellEnd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>synuar</w:t>
      </w:r>
      <w:proofErr w:type="spellEnd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29 </w:t>
      </w:r>
      <w:proofErr w:type="spellStart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do </w:t>
      </w:r>
      <w:proofErr w:type="spellStart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>merren</w:t>
      </w:r>
      <w:proofErr w:type="spellEnd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>konsideratë</w:t>
      </w:r>
      <w:proofErr w:type="spellEnd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>vetëm</w:t>
      </w:r>
      <w:proofErr w:type="spellEnd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>kostot</w:t>
      </w:r>
      <w:proofErr w:type="spellEnd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>pasqyrohen</w:t>
      </w:r>
      <w:proofErr w:type="spellEnd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>pasqyrat</w:t>
      </w:r>
      <w:proofErr w:type="spellEnd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>konsoliduara</w:t>
      </w:r>
      <w:proofErr w:type="spellEnd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C917A1" w:rsidRPr="009B2DB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98157A9" w14:textId="0AF83914" w:rsidR="00A31391" w:rsidRDefault="00C917A1" w:rsidP="00A31391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5.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Llogaritja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vlerës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aktiveve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prekshme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391" w:rsidRPr="009B2DB7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391" w:rsidRPr="009B2DB7">
        <w:rPr>
          <w:rFonts w:ascii="Times New Roman" w:hAnsi="Times New Roman" w:cs="Times New Roman"/>
          <w:sz w:val="24"/>
          <w:szCs w:val="24"/>
          <w:lang w:val="en-GB"/>
        </w:rPr>
        <w:t>subjektin</w:t>
      </w:r>
      <w:proofErr w:type="spellEnd"/>
      <w:r w:rsidR="00A31391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</w:t>
      </w:r>
      <w:r w:rsidRPr="00350AF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50AFB">
        <w:rPr>
          <w:rFonts w:ascii="Times New Roman" w:hAnsi="Times New Roman" w:cs="Times New Roman"/>
          <w:sz w:val="24"/>
          <w:szCs w:val="24"/>
          <w:lang w:val="en-GB"/>
        </w:rPr>
        <w:t>synuar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30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rregullohet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rastit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përpjesëtim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periudhën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kohore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gjatë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cilës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subjekti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synuar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qenë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anëtar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1391">
        <w:rPr>
          <w:rFonts w:ascii="Times New Roman" w:hAnsi="Times New Roman" w:cs="Times New Roman"/>
          <w:sz w:val="24"/>
          <w:szCs w:val="24"/>
          <w:lang w:val="en-GB"/>
        </w:rPr>
        <w:t>shoqërive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gjatë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blerjes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E67E078" w14:textId="1A3680CF" w:rsidR="00A31391" w:rsidRDefault="00A31391" w:rsidP="00A31391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6. </w:t>
      </w:r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Me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përjashtim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aktivit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pasojë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humbj</w:t>
      </w:r>
      <w:r>
        <w:rPr>
          <w:rFonts w:ascii="Times New Roman" w:hAnsi="Times New Roman" w:cs="Times New Roman"/>
          <w:sz w:val="24"/>
          <w:szCs w:val="24"/>
          <w:lang w:val="en-GB"/>
        </w:rPr>
        <w:t>es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23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aktivet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detyrimet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shtyra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subjekti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synuar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cilat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transferohen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ndërmjet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grupeve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shoqërive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grupeve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mëdha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vendase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merren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konsideratë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blerës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njëjtën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mënyrë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njëjtën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masë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sikur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blerës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ta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kishte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kontrolluar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entitetin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momentin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këto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aktive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detyrime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kanë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lindur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DDAD093" w14:textId="1B0BDA22" w:rsidR="00A31391" w:rsidRPr="009B2DB7" w:rsidRDefault="00A31391" w:rsidP="009B2DB7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7.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Detyrimet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shtyra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subjektit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synuar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cilat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parë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përfshirë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totale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rregullimit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trajtohen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rikthyera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7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22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25F9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shumëkombësh</w:t>
      </w:r>
      <w:r>
        <w:rPr>
          <w:rFonts w:ascii="Times New Roman" w:hAnsi="Times New Roman" w:cs="Times New Roman"/>
          <w:sz w:val="24"/>
          <w:szCs w:val="24"/>
          <w:lang w:val="en-GB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transferon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lindura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25F9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shumëkombësh</w:t>
      </w:r>
      <w:r>
        <w:rPr>
          <w:rFonts w:ascii="Times New Roman" w:hAnsi="Times New Roman" w:cs="Times New Roman"/>
          <w:sz w:val="24"/>
          <w:szCs w:val="24"/>
          <w:lang w:val="en-GB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blerës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blerjes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Megjithatë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rast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tillë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ulje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mëvonshme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tatimeve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A25F9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A25F9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rputhje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paragrafi</w:t>
      </w:r>
      <w:r>
        <w:rPr>
          <w:rFonts w:ascii="Times New Roman" w:hAnsi="Times New Roman" w:cs="Times New Roman"/>
          <w:sz w:val="24"/>
          <w:szCs w:val="24"/>
          <w:lang w:val="en-GB"/>
        </w:rPr>
        <w:t>n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7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22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prodhon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efekt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31391">
        <w:rPr>
          <w:rFonts w:ascii="Times New Roman" w:hAnsi="Times New Roman" w:cs="Times New Roman"/>
          <w:sz w:val="24"/>
          <w:szCs w:val="24"/>
          <w:lang w:val="en-GB"/>
        </w:rPr>
        <w:t>ri</w:t>
      </w:r>
      <w:r>
        <w:rPr>
          <w:rFonts w:ascii="Times New Roman" w:hAnsi="Times New Roman" w:cs="Times New Roman"/>
          <w:sz w:val="24"/>
          <w:szCs w:val="24"/>
          <w:lang w:val="en-GB"/>
        </w:rPr>
        <w:t>kthehet</w:t>
      </w:r>
      <w:proofErr w:type="spellEnd"/>
      <w:r w:rsidRPr="00A3139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B3DCD7D" w14:textId="642FDAA7" w:rsidR="00D832DF" w:rsidRDefault="00A25F90" w:rsidP="00A3139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B2DB7">
        <w:rPr>
          <w:rFonts w:ascii="Times New Roman" w:hAnsi="Times New Roman" w:cs="Times New Roman"/>
          <w:lang w:val="en-GB"/>
        </w:rPr>
        <w:t>8</w:t>
      </w:r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. Kur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subjekti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synuar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njëkohësisht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dy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grupe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shoq</w:t>
      </w:r>
      <w:r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9B2DB7"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grupe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mëdha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vendase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gjatë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blerjes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ai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zbaton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mënyrë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veçantë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rregullin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përfshirjes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(RPA)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pjesët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lastRenderedPageBreak/>
        <w:t>alokueshme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tatim</w:t>
      </w:r>
      <w:proofErr w:type="spellEnd"/>
      <w:r w:rsidR="002C5BA4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C5BA4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C5BA4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C5BA4" w:rsidRPr="009B2DB7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përcaktuara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secilin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shoq</w:t>
      </w:r>
      <w:r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9B2DB7"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19D5AC7" w14:textId="60CE16F1" w:rsidR="00A25F90" w:rsidRDefault="00A25F90" w:rsidP="00A3139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en-GB"/>
        </w:rPr>
        <w:t>Me</w:t>
      </w:r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përjashtim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paragrafët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deri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8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blerja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tjetërsimi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interesi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kontrollues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subjekt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synuar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trajtohet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blerje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tjetërsim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aktiveve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detyrimeve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juridiksioni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ndodhet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subjekti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synuar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rastin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transparent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qëllime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juridiksioni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ndodhen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aktivet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e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trajton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blerjen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tjetërsimin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interesi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kontrollues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njëjtën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mënyrë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mënyrë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ngjashme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blerjen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tjetërsimin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aktiveve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detyrimeve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vendos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tatim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mbuluar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ndaj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shitësit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bazën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diferencës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ndërmjet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bazës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kundërvlerës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paguar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këmbim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interesit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kontrollues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vlerës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drejtë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aktiveve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detyrimeve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8157BDF" w14:textId="6FB27886" w:rsidR="00D832DF" w:rsidRPr="009B2DB7" w:rsidRDefault="00A25F90" w:rsidP="009B2DB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10. </w:t>
      </w:r>
      <w:proofErr w:type="spellStart"/>
      <w:r w:rsidRPr="00A25F90">
        <w:rPr>
          <w:rFonts w:ascii="Times New Roman" w:hAnsi="Times New Roman" w:cs="Times New Roman"/>
          <w:sz w:val="24"/>
          <w:szCs w:val="24"/>
          <w:lang w:val="en-GB"/>
        </w:rPr>
        <w:t>Ministri</w:t>
      </w:r>
      <w:proofErr w:type="spellEnd"/>
      <w:r w:rsidRPr="00A25F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5F90">
        <w:rPr>
          <w:rFonts w:ascii="Times New Roman" w:hAnsi="Times New Roman" w:cs="Times New Roman"/>
          <w:sz w:val="24"/>
          <w:szCs w:val="24"/>
          <w:lang w:val="en-GB"/>
        </w:rPr>
        <w:t>përgjegjës</w:t>
      </w:r>
      <w:proofErr w:type="spellEnd"/>
      <w:r w:rsidRPr="00A25F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5F90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25F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5F90">
        <w:rPr>
          <w:rFonts w:ascii="Times New Roman" w:hAnsi="Times New Roman" w:cs="Times New Roman"/>
          <w:sz w:val="24"/>
          <w:szCs w:val="24"/>
          <w:lang w:val="en-GB"/>
        </w:rPr>
        <w:t>financat</w:t>
      </w:r>
      <w:proofErr w:type="spellEnd"/>
      <w:r w:rsidRPr="00A25F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5F90">
        <w:rPr>
          <w:rFonts w:ascii="Times New Roman" w:hAnsi="Times New Roman" w:cs="Times New Roman"/>
          <w:sz w:val="24"/>
          <w:szCs w:val="24"/>
          <w:lang w:val="en-GB"/>
        </w:rPr>
        <w:t>nxjerr</w:t>
      </w:r>
      <w:proofErr w:type="spellEnd"/>
      <w:r w:rsidRPr="00A25F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5F90">
        <w:rPr>
          <w:rFonts w:ascii="Times New Roman" w:hAnsi="Times New Roman" w:cs="Times New Roman"/>
          <w:sz w:val="24"/>
          <w:szCs w:val="24"/>
          <w:lang w:val="en-GB"/>
        </w:rPr>
        <w:t>udhëzimin</w:t>
      </w:r>
      <w:proofErr w:type="spellEnd"/>
      <w:r w:rsidRPr="00A25F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5F90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25F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5F90">
        <w:rPr>
          <w:rFonts w:ascii="Times New Roman" w:hAnsi="Times New Roman" w:cs="Times New Roman"/>
          <w:sz w:val="24"/>
          <w:szCs w:val="24"/>
          <w:lang w:val="en-GB"/>
        </w:rPr>
        <w:t>përcakton</w:t>
      </w:r>
      <w:proofErr w:type="spellEnd"/>
      <w:r w:rsidRPr="00A25F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5F90">
        <w:rPr>
          <w:rFonts w:ascii="Times New Roman" w:hAnsi="Times New Roman" w:cs="Times New Roman"/>
          <w:sz w:val="24"/>
          <w:szCs w:val="24"/>
          <w:lang w:val="en-GB"/>
        </w:rPr>
        <w:t>rregullat</w:t>
      </w:r>
      <w:proofErr w:type="spellEnd"/>
      <w:r w:rsidRPr="00A25F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5F90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25F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5F90">
        <w:rPr>
          <w:rFonts w:ascii="Times New Roman" w:hAnsi="Times New Roman" w:cs="Times New Roman"/>
          <w:sz w:val="24"/>
          <w:szCs w:val="24"/>
          <w:lang w:val="en-GB"/>
        </w:rPr>
        <w:t>metodologjitë</w:t>
      </w:r>
      <w:proofErr w:type="spellEnd"/>
      <w:r w:rsidRPr="00A25F9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25F90">
        <w:rPr>
          <w:rFonts w:ascii="Times New Roman" w:hAnsi="Times New Roman" w:cs="Times New Roman"/>
          <w:sz w:val="24"/>
          <w:szCs w:val="24"/>
          <w:lang w:val="en-GB"/>
        </w:rPr>
        <w:t>hollësishme</w:t>
      </w:r>
      <w:proofErr w:type="spellEnd"/>
      <w:r w:rsidRPr="00A25F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5F90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25F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5F90">
        <w:rPr>
          <w:rFonts w:ascii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Pr="00A25F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5F90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25F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50AFB">
        <w:rPr>
          <w:rFonts w:ascii="Times New Roman" w:hAnsi="Times New Roman" w:cs="Times New Roman"/>
          <w:sz w:val="24"/>
          <w:szCs w:val="24"/>
          <w:lang w:val="en-GB"/>
        </w:rPr>
        <w:t>shpërndarjen</w:t>
      </w:r>
      <w:proofErr w:type="spellEnd"/>
      <w:r w:rsidRPr="00350AF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350AF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50AF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50AFB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350AF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50AFB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350AF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50AFB">
        <w:rPr>
          <w:rFonts w:ascii="Times New Roman" w:hAnsi="Times New Roman" w:cs="Times New Roman"/>
          <w:sz w:val="24"/>
          <w:szCs w:val="24"/>
          <w:lang w:val="en-GB"/>
        </w:rPr>
        <w:t>humbjeve</w:t>
      </w:r>
      <w:proofErr w:type="spellEnd"/>
      <w:r w:rsidRPr="00350AF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50AFB">
        <w:rPr>
          <w:rFonts w:ascii="Times New Roman" w:hAnsi="Times New Roman" w:cs="Times New Roman"/>
          <w:sz w:val="24"/>
          <w:szCs w:val="24"/>
          <w:lang w:val="en-GB"/>
        </w:rPr>
        <w:t>kualifikuese</w:t>
      </w:r>
      <w:proofErr w:type="spellEnd"/>
      <w:r w:rsidRPr="00350AFB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A25F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50AFB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Pr="00350AF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350AFB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350AF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50AF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50AF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C5BA4">
        <w:rPr>
          <w:rFonts w:ascii="Times New Roman" w:hAnsi="Times New Roman" w:cs="Times New Roman"/>
          <w:sz w:val="24"/>
          <w:szCs w:val="24"/>
          <w:lang w:val="en-GB"/>
        </w:rPr>
        <w:t>korrigjuara</w:t>
      </w:r>
      <w:proofErr w:type="spellEnd"/>
      <w:r w:rsidRPr="00A25F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5F90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25F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5BA4">
        <w:rPr>
          <w:rFonts w:ascii="Times New Roman" w:hAnsi="Times New Roman" w:cs="Times New Roman"/>
          <w:sz w:val="24"/>
          <w:szCs w:val="24"/>
          <w:lang w:val="en-GB"/>
        </w:rPr>
        <w:t>përjashtimin</w:t>
      </w:r>
      <w:proofErr w:type="spellEnd"/>
      <w:r w:rsidRPr="002C5BA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2C5BA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2C5B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5BA4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2C5B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5BA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2C5B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5BA4">
        <w:rPr>
          <w:rFonts w:ascii="Times New Roman" w:hAnsi="Times New Roman" w:cs="Times New Roman"/>
          <w:sz w:val="24"/>
          <w:szCs w:val="24"/>
          <w:lang w:val="en-GB"/>
        </w:rPr>
        <w:t>bazuara</w:t>
      </w:r>
      <w:proofErr w:type="spellEnd"/>
      <w:r w:rsidRPr="002C5B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5BA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2C5B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5BA4">
        <w:rPr>
          <w:rFonts w:ascii="Times New Roman" w:hAnsi="Times New Roman" w:cs="Times New Roman"/>
          <w:sz w:val="24"/>
          <w:szCs w:val="24"/>
          <w:lang w:val="en-GB"/>
        </w:rPr>
        <w:t>substancë</w:t>
      </w:r>
      <w:proofErr w:type="spellEnd"/>
      <w:r w:rsidRPr="00A25F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5F9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25F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5F90">
        <w:rPr>
          <w:rFonts w:ascii="Times New Roman" w:hAnsi="Times New Roman" w:cs="Times New Roman"/>
          <w:sz w:val="24"/>
          <w:szCs w:val="24"/>
          <w:lang w:val="en-GB"/>
        </w:rPr>
        <w:t>rastet</w:t>
      </w:r>
      <w:proofErr w:type="spellEnd"/>
      <w:r w:rsidRPr="00A25F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5F90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Pr="00A25F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A25F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5F90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A25F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5F90">
        <w:rPr>
          <w:rFonts w:ascii="Times New Roman" w:hAnsi="Times New Roman" w:cs="Times New Roman"/>
          <w:sz w:val="24"/>
          <w:szCs w:val="24"/>
          <w:lang w:val="en-GB"/>
        </w:rPr>
        <w:t>bashkohen</w:t>
      </w:r>
      <w:proofErr w:type="spellEnd"/>
      <w:r w:rsidRPr="00A25F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5F90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25F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5F90">
        <w:rPr>
          <w:rFonts w:ascii="Times New Roman" w:hAnsi="Times New Roman" w:cs="Times New Roman"/>
          <w:sz w:val="24"/>
          <w:szCs w:val="24"/>
          <w:lang w:val="en-GB"/>
        </w:rPr>
        <w:t>largohen</w:t>
      </w:r>
      <w:proofErr w:type="spellEnd"/>
      <w:r w:rsidRPr="00A25F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5F90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25F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5F9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25F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5F90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Pr="00A25F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shoqërive</w:t>
      </w:r>
      <w:proofErr w:type="spellEnd"/>
      <w:r w:rsidRPr="00A25F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5F90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A25F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5F90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25F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5F9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25F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5F90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Pr="00A25F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5F90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Pr="00A25F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5F90">
        <w:rPr>
          <w:rFonts w:ascii="Times New Roman" w:hAnsi="Times New Roman" w:cs="Times New Roman"/>
          <w:sz w:val="24"/>
          <w:szCs w:val="24"/>
          <w:lang w:val="en-GB"/>
        </w:rPr>
        <w:t>gjatë</w:t>
      </w:r>
      <w:proofErr w:type="spellEnd"/>
      <w:r w:rsidRPr="00A25F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5F90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Pr="00A25F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5F90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A25F9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C6D9273" w14:textId="728097D0" w:rsidR="00AD4E33" w:rsidRPr="00AD4E33" w:rsidRDefault="00AD4E33" w:rsidP="00AD4E33">
      <w:pPr>
        <w:pStyle w:val="ListParagraph"/>
        <w:tabs>
          <w:tab w:val="left" w:pos="72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>Neni 38</w:t>
      </w:r>
    </w:p>
    <w:p w14:paraId="0E6B618C" w14:textId="22981C66" w:rsidR="00AD4E33" w:rsidRDefault="00AD4E33" w:rsidP="00AD4E33">
      <w:pPr>
        <w:pStyle w:val="ListParagraph"/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Transferimi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aktiveve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detyrimeve</w:t>
      </w:r>
      <w:proofErr w:type="spellEnd"/>
    </w:p>
    <w:p w14:paraId="1CC08E57" w14:textId="77777777" w:rsidR="00AD4E33" w:rsidRDefault="00AD4E33" w:rsidP="00AD4E33">
      <w:pPr>
        <w:tabs>
          <w:tab w:val="left" w:pos="-90"/>
          <w:tab w:val="left" w:pos="180"/>
          <w:tab w:val="left" w:pos="360"/>
          <w:tab w:val="left" w:pos="540"/>
        </w:tabs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7ACF427F" w14:textId="08B2DF29" w:rsidR="00AD4E33" w:rsidRPr="00AD4E33" w:rsidRDefault="00AD4E33" w:rsidP="001A2016">
      <w:pPr>
        <w:pStyle w:val="ListParagraph"/>
        <w:numPr>
          <w:ilvl w:val="0"/>
          <w:numId w:val="22"/>
        </w:numPr>
        <w:tabs>
          <w:tab w:val="left" w:pos="-90"/>
          <w:tab w:val="left" w:pos="180"/>
          <w:tab w:val="left" w:pos="360"/>
          <w:tab w:val="left" w:pos="540"/>
        </w:tabs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zbatohen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përkufizimet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60DD4269" w14:textId="77777777" w:rsidR="00AD4E33" w:rsidRDefault="00AD4E33" w:rsidP="00AD4E33">
      <w:pPr>
        <w:pStyle w:val="ListParagraph"/>
        <w:tabs>
          <w:tab w:val="left" w:pos="-90"/>
          <w:tab w:val="left" w:pos="180"/>
          <w:tab w:val="left" w:pos="360"/>
          <w:tab w:val="left" w:pos="540"/>
        </w:tabs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2336B140" w14:textId="35E0C4A4" w:rsidR="00AD4E33" w:rsidRPr="000E6F41" w:rsidRDefault="00AD4E33" w:rsidP="000E6F41">
      <w:pPr>
        <w:pStyle w:val="ListParagraph"/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>a) “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ristrukturim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GloBE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thot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transformim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transferim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aktiveve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detyrimeve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rastet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bashkimit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ndarjes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likuidimit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transaksioneve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ngjashme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plotësohen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të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kushtet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5911DE44" w14:textId="710D2EF0" w:rsidR="00AD4E33" w:rsidRPr="009B2DB7" w:rsidRDefault="00AD4E33" w:rsidP="002C5BA4">
      <w:pPr>
        <w:pStyle w:val="ListParagraph"/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kundërvlera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transferimin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C5BA4">
        <w:rPr>
          <w:rFonts w:ascii="Times New Roman" w:hAnsi="Times New Roman" w:cs="Times New Roman"/>
          <w:sz w:val="24"/>
          <w:szCs w:val="24"/>
          <w:lang w:val="en-GB"/>
        </w:rPr>
        <w:t>përbëhet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tërësi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pjesë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konsiderueshme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2C5BA4">
        <w:rPr>
          <w:rFonts w:ascii="Times New Roman" w:hAnsi="Times New Roman" w:cs="Times New Roman"/>
          <w:sz w:val="24"/>
          <w:szCs w:val="24"/>
          <w:lang w:val="en-GB"/>
        </w:rPr>
        <w:t>ga</w:t>
      </w:r>
      <w:proofErr w:type="spellEnd"/>
      <w:r w:rsidR="002C5B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C5BA4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2C5BA4" w:rsidRPr="002C5BA4">
        <w:rPr>
          <w:rFonts w:ascii="Times New Roman" w:hAnsi="Times New Roman" w:cs="Times New Roman"/>
          <w:sz w:val="24"/>
          <w:szCs w:val="24"/>
          <w:lang w:val="en-GB"/>
        </w:rPr>
        <w:t>nteresa</w:t>
      </w:r>
      <w:proofErr w:type="spellEnd"/>
      <w:r w:rsidR="002C5BA4" w:rsidRPr="002C5B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C5BA4" w:rsidRPr="002C5BA4">
        <w:rPr>
          <w:rFonts w:ascii="Times New Roman" w:hAnsi="Times New Roman" w:cs="Times New Roman"/>
          <w:sz w:val="24"/>
          <w:szCs w:val="24"/>
          <w:lang w:val="en-GB"/>
        </w:rPr>
        <w:t>kapitali</w:t>
      </w:r>
      <w:proofErr w:type="spellEnd"/>
      <w:r w:rsidR="002C5BA4" w:rsidRPr="002C5B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C5BA4" w:rsidRPr="002C5BA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C5BA4" w:rsidRPr="002C5B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C5BA4" w:rsidRPr="002C5BA4">
        <w:rPr>
          <w:rFonts w:ascii="Times New Roman" w:hAnsi="Times New Roman" w:cs="Times New Roman"/>
          <w:sz w:val="24"/>
          <w:szCs w:val="24"/>
          <w:lang w:val="en-GB"/>
        </w:rPr>
        <w:t>emetuara</w:t>
      </w:r>
      <w:proofErr w:type="spellEnd"/>
      <w:r w:rsidR="002C5BA4" w:rsidRPr="002C5B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emetuara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bler</w:t>
      </w:r>
      <w:r w:rsidR="00AB7580" w:rsidRPr="009B2DB7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9B2DB7">
        <w:rPr>
          <w:rFonts w:ascii="Times New Roman" w:hAnsi="Times New Roman" w:cs="Times New Roman"/>
          <w:sz w:val="24"/>
          <w:szCs w:val="24"/>
          <w:lang w:val="en-GB"/>
        </w:rPr>
        <w:t>s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person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lidhur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2C5BA4" w:rsidRPr="002C5BA4">
        <w:rPr>
          <w:rFonts w:ascii="Times New Roman" w:hAnsi="Times New Roman" w:cs="Times New Roman"/>
          <w:sz w:val="24"/>
          <w:szCs w:val="24"/>
          <w:lang w:val="en-GB"/>
        </w:rPr>
        <w:t>entiteti</w:t>
      </w:r>
      <w:r w:rsidR="002C5BA4">
        <w:rPr>
          <w:rFonts w:ascii="Times New Roman" w:hAnsi="Times New Roman" w:cs="Times New Roman"/>
          <w:sz w:val="24"/>
          <w:szCs w:val="24"/>
          <w:lang w:val="en-GB"/>
        </w:rPr>
        <w:t>n</w:t>
      </w:r>
      <w:proofErr w:type="spellEnd"/>
      <w:r w:rsidR="002C5B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C5BA4" w:rsidRPr="002C5BA4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2C5BA4" w:rsidRPr="002C5B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C5BA4" w:rsidRPr="002C5BA4">
        <w:rPr>
          <w:rFonts w:ascii="Times New Roman" w:hAnsi="Times New Roman" w:cs="Times New Roman"/>
          <w:sz w:val="24"/>
          <w:szCs w:val="24"/>
          <w:lang w:val="en-GB"/>
        </w:rPr>
        <w:t>blerës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CF164A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rast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likuidimi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C5BA4" w:rsidRPr="002C5BA4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2C5BA4" w:rsidRPr="002C5B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C5BA4" w:rsidRPr="002C5BA4">
        <w:rPr>
          <w:rFonts w:ascii="Times New Roman" w:hAnsi="Times New Roman" w:cs="Times New Roman"/>
          <w:sz w:val="24"/>
          <w:szCs w:val="24"/>
          <w:lang w:val="en-GB"/>
        </w:rPr>
        <w:t>interesa</w:t>
      </w:r>
      <w:proofErr w:type="spellEnd"/>
      <w:r w:rsidR="002C5BA4" w:rsidRPr="002C5B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C5BA4" w:rsidRPr="002C5BA4">
        <w:rPr>
          <w:rFonts w:ascii="Times New Roman" w:hAnsi="Times New Roman" w:cs="Times New Roman"/>
          <w:sz w:val="24"/>
          <w:szCs w:val="24"/>
          <w:lang w:val="en-GB"/>
        </w:rPr>
        <w:t>kapitali</w:t>
      </w:r>
      <w:proofErr w:type="spellEnd"/>
      <w:r w:rsidR="002C5BA4" w:rsidRPr="002C5B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C5BA4" w:rsidRPr="002C5BA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C5BA4" w:rsidRPr="002C5B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C5BA4" w:rsidRPr="002C5BA4">
        <w:rPr>
          <w:rFonts w:ascii="Times New Roman" w:hAnsi="Times New Roman" w:cs="Times New Roman"/>
          <w:sz w:val="24"/>
          <w:szCs w:val="24"/>
          <w:lang w:val="en-GB"/>
        </w:rPr>
        <w:t>subjektit</w:t>
      </w:r>
      <w:proofErr w:type="spellEnd"/>
      <w:r w:rsidR="002C5BA4" w:rsidRPr="002C5B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C5BA4" w:rsidRPr="002C5BA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C5BA4" w:rsidRPr="002C5B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C5BA4" w:rsidRPr="002C5BA4">
        <w:rPr>
          <w:rFonts w:ascii="Times New Roman" w:hAnsi="Times New Roman" w:cs="Times New Roman"/>
          <w:sz w:val="24"/>
          <w:szCs w:val="24"/>
          <w:lang w:val="en-GB"/>
        </w:rPr>
        <w:t>synuar</w:t>
      </w:r>
      <w:proofErr w:type="spellEnd"/>
      <w:r w:rsidR="002C5BA4" w:rsidRPr="002C5BA4" w:rsidDel="002C5B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jepet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kundërvlerë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emetimi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C5BA4" w:rsidRPr="002C5BA4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2C5BA4" w:rsidRPr="002C5B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C5BA4" w:rsidRPr="002C5BA4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2C5BA4" w:rsidRPr="002C5B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C5BA4" w:rsidRPr="002C5BA4">
        <w:rPr>
          <w:rFonts w:ascii="Times New Roman" w:hAnsi="Times New Roman" w:cs="Times New Roman"/>
          <w:sz w:val="24"/>
          <w:szCs w:val="24"/>
          <w:lang w:val="en-GB"/>
        </w:rPr>
        <w:t>interesi</w:t>
      </w:r>
      <w:proofErr w:type="spellEnd"/>
      <w:r w:rsidR="002C5BA4" w:rsidRPr="002C5B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C5BA4" w:rsidRPr="002C5BA4">
        <w:rPr>
          <w:rFonts w:ascii="Times New Roman" w:hAnsi="Times New Roman" w:cs="Times New Roman"/>
          <w:sz w:val="24"/>
          <w:szCs w:val="24"/>
          <w:lang w:val="en-GB"/>
        </w:rPr>
        <w:t>kapitali</w:t>
      </w:r>
      <w:proofErr w:type="spellEnd"/>
      <w:r w:rsidR="002C5B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rëndësi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ekonomike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11BB85C" w14:textId="3C5B2DCF" w:rsidR="00AD4E33" w:rsidRPr="000E6F41" w:rsidRDefault="00AD4E33" w:rsidP="000E6F41">
      <w:pPr>
        <w:pStyle w:val="ListParagraph"/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ii)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fitimi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humbja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qe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disponon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aktive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tërësi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pjesërisht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22726EF7" w14:textId="33542322" w:rsidR="00AD4E33" w:rsidRPr="000E6F41" w:rsidRDefault="00AD4E33" w:rsidP="000E6F41">
      <w:pPr>
        <w:pStyle w:val="ListParagraph"/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iii)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CF164A">
        <w:rPr>
          <w:rFonts w:ascii="Times New Roman" w:hAnsi="Times New Roman" w:cs="Times New Roman"/>
          <w:sz w:val="24"/>
          <w:szCs w:val="24"/>
          <w:lang w:val="en-GB"/>
        </w:rPr>
        <w:t>igjet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tatimor</w:t>
      </w:r>
      <w:r w:rsidR="00CF164A">
        <w:rPr>
          <w:rFonts w:ascii="Times New Roman" w:hAnsi="Times New Roman" w:cs="Times New Roman"/>
          <w:sz w:val="24"/>
          <w:szCs w:val="24"/>
          <w:lang w:val="en-GB"/>
        </w:rPr>
        <w:t>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164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juridiksionit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ndodhet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bler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kërko</w:t>
      </w:r>
      <w:r w:rsidR="00CF164A">
        <w:rPr>
          <w:rFonts w:ascii="Times New Roman" w:hAnsi="Times New Roman" w:cs="Times New Roman"/>
          <w:sz w:val="24"/>
          <w:szCs w:val="24"/>
          <w:lang w:val="en-GB"/>
        </w:rPr>
        <w:t>j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CF164A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ky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fundit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llogarisë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tatueshme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F164A">
        <w:rPr>
          <w:rFonts w:ascii="Times New Roman" w:hAnsi="Times New Roman" w:cs="Times New Roman"/>
          <w:sz w:val="24"/>
          <w:szCs w:val="24"/>
          <w:lang w:val="en-GB"/>
        </w:rPr>
        <w:t xml:space="preserve">pas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transferimit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duke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përdorur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bazën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transferues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164A">
        <w:rPr>
          <w:rFonts w:ascii="Times New Roman" w:hAnsi="Times New Roman" w:cs="Times New Roman"/>
          <w:sz w:val="24"/>
          <w:szCs w:val="24"/>
          <w:lang w:val="en-GB"/>
        </w:rPr>
        <w:t>këto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aktive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rregulluar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fitim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humbje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jo</w:t>
      </w:r>
      <w:r>
        <w:rPr>
          <w:rFonts w:ascii="Times New Roman" w:hAnsi="Times New Roman" w:cs="Times New Roman"/>
          <w:sz w:val="24"/>
          <w:szCs w:val="24"/>
          <w:lang w:val="en-GB"/>
        </w:rPr>
        <w:t>-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</w:t>
      </w:r>
      <w:r>
        <w:rPr>
          <w:rFonts w:ascii="Times New Roman" w:hAnsi="Times New Roman" w:cs="Times New Roman"/>
          <w:sz w:val="24"/>
          <w:szCs w:val="24"/>
          <w:lang w:val="en-GB"/>
        </w:rPr>
        <w:t>ese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transferimi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D80DC16" w14:textId="0F4EDBB4" w:rsidR="00AD4E33" w:rsidRDefault="00AD4E33" w:rsidP="00AD4E33">
      <w:pPr>
        <w:pStyle w:val="ListParagraph"/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>b) “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fitim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humbje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jo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</w:t>
      </w:r>
      <w:r>
        <w:rPr>
          <w:rFonts w:ascii="Times New Roman" w:hAnsi="Times New Roman" w:cs="Times New Roman"/>
          <w:sz w:val="24"/>
          <w:szCs w:val="24"/>
          <w:lang w:val="en-GB"/>
        </w:rPr>
        <w:t>ese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thot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vle</w:t>
      </w:r>
      <w:r>
        <w:rPr>
          <w:rFonts w:ascii="Times New Roman" w:hAnsi="Times New Roman" w:cs="Times New Roman"/>
          <w:sz w:val="24"/>
          <w:szCs w:val="24"/>
          <w:lang w:val="en-GB"/>
        </w:rPr>
        <w:t>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e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vogël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ndërmjet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fitimit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transferues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rrjedh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ristrukturim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GloBE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fitimit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kontabilitetit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financiar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rrjedh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njëjti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ristrukturim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GloBE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D001AFB" w14:textId="77777777" w:rsidR="00AD4E33" w:rsidRDefault="00AD4E33" w:rsidP="00AD4E33">
      <w:pPr>
        <w:pStyle w:val="ListParagraph"/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1B8E650" w14:textId="7C2BD72A" w:rsidR="00AD4E33" w:rsidRDefault="00AD4E33" w:rsidP="001A2016">
      <w:pPr>
        <w:pStyle w:val="ListParagraph"/>
        <w:numPr>
          <w:ilvl w:val="0"/>
          <w:numId w:val="22"/>
        </w:numPr>
        <w:tabs>
          <w:tab w:val="left" w:pos="-9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varësi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paragrafëve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3, 4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5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disponon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aktive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detyrime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(“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B7580">
        <w:rPr>
          <w:rFonts w:ascii="Times New Roman" w:hAnsi="Times New Roman" w:cs="Times New Roman"/>
          <w:sz w:val="24"/>
          <w:szCs w:val="24"/>
          <w:lang w:val="en-GB"/>
        </w:rPr>
        <w:t>transferues</w:t>
      </w:r>
      <w:proofErr w:type="spellEnd"/>
      <w:r w:rsidRPr="00AB7580">
        <w:rPr>
          <w:rFonts w:ascii="Times New Roman" w:hAnsi="Times New Roman" w:cs="Times New Roman"/>
          <w:sz w:val="24"/>
          <w:szCs w:val="24"/>
          <w:lang w:val="en-GB"/>
        </w:rPr>
        <w:t>”)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përfshin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fitimin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humbjen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rrjedh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dispozicion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tillë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fitimit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fiton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aktive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detyrime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(“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bler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>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”)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përcakton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vlerën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aktiveve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detyrimeve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fituara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bazën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vlerës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pasqyrave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konsoliduara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përcaktuara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standardin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pranueshëm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kontabilitetit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financiar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70DBFF0" w14:textId="77777777" w:rsidR="00AD4E33" w:rsidRDefault="00AD4E33" w:rsidP="00AD4E33">
      <w:pPr>
        <w:pStyle w:val="ListParagraph"/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4DB5C66" w14:textId="58106F3D" w:rsidR="00AD4E33" w:rsidRPr="00AD4E33" w:rsidRDefault="00AD4E33" w:rsidP="001A2016">
      <w:pPr>
        <w:pStyle w:val="ListParagraph"/>
        <w:numPr>
          <w:ilvl w:val="0"/>
          <w:numId w:val="22"/>
        </w:numPr>
        <w:tabs>
          <w:tab w:val="left" w:pos="-9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përjashtim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paragrafi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2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B7580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Pr="00AB75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B758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B75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B7580">
        <w:rPr>
          <w:rFonts w:ascii="Times New Roman" w:hAnsi="Times New Roman" w:cs="Times New Roman"/>
          <w:sz w:val="24"/>
          <w:szCs w:val="24"/>
          <w:lang w:val="en-GB"/>
        </w:rPr>
        <w:t>shitje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transferim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aktiveve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detyrimeve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kryhet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pjesë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ristrukturimi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GloBE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zbatohen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rregullat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0E746875" w14:textId="77777777" w:rsidR="00AD4E33" w:rsidRPr="00AD4E33" w:rsidRDefault="00AD4E33" w:rsidP="00AD4E33">
      <w:pPr>
        <w:pStyle w:val="ListParagraph"/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2D81B36" w14:textId="77777777" w:rsidR="00AD4E33" w:rsidRPr="00AD4E33" w:rsidRDefault="00AD4E33" w:rsidP="00AD4E33">
      <w:pPr>
        <w:pStyle w:val="ListParagraph"/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transferues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përjashton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fitim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humbje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rrjedh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dispozicion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tillë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llogaritja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fitimit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0E3E82BF" w14:textId="3FB7C255" w:rsidR="00AD4E33" w:rsidRDefault="00AD4E33" w:rsidP="00AD4E33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B7580">
        <w:rPr>
          <w:rFonts w:ascii="Times New Roman" w:hAnsi="Times New Roman" w:cs="Times New Roman"/>
          <w:sz w:val="24"/>
          <w:szCs w:val="24"/>
          <w:lang w:val="en-GB"/>
        </w:rPr>
        <w:t>bler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AB7580">
        <w:rPr>
          <w:rFonts w:ascii="Times New Roman" w:hAnsi="Times New Roman" w:cs="Times New Roman"/>
          <w:sz w:val="24"/>
          <w:szCs w:val="24"/>
          <w:lang w:val="en-GB"/>
        </w:rPr>
        <w:t>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përcakton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vlerën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aktiveve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detyrimeve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fituara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bazën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vlerës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atyre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aktiveve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detyrimeve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bazë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vlerës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q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kishin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transferues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momentin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transferimit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891854F" w14:textId="1950F5BF" w:rsidR="00AD4E33" w:rsidRPr="00AD4E33" w:rsidRDefault="00AD4E33" w:rsidP="001A2016">
      <w:pPr>
        <w:pStyle w:val="ListParagraph"/>
        <w:numPr>
          <w:ilvl w:val="0"/>
          <w:numId w:val="22"/>
        </w:numPr>
        <w:tabs>
          <w:tab w:val="left" w:pos="-9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përjashtim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paragrafët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2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3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transferimi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tjetërsimi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aktiveve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detyrimeve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pjesë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riorganizimi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GloBE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rezulton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>rb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>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transferues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fitim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humbje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jo-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kualifikuese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zbatohen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rregullat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11B40B22" w14:textId="77777777" w:rsidR="00AD4E33" w:rsidRPr="00AD4E33" w:rsidRDefault="00AD4E33" w:rsidP="00AD4E33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31BCC40" w14:textId="76B6B566" w:rsidR="00AD4E33" w:rsidRPr="00AD4E33" w:rsidRDefault="00AD4E33" w:rsidP="00AD4E33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rb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transferues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përfshijë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fitimin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humbjen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tjetërsimi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transferimi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humbjeve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saj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masën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fitimit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jo-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kualifikuese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372F7644" w14:textId="6AC5D3E6" w:rsidR="00AD4E33" w:rsidRDefault="00AD4E33" w:rsidP="00AD4E33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rb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bler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përcaktojë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vlerën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aktiveve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detyrimeve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përfituara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pas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transferimit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duke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përdorur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vlerën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këto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aktive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detyrime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kishin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rb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transferues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momentin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transferimit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rregulluar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rregullat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vendore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juridiksionit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rb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bler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reflektuar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fitimin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humbjen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jo-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kualifikuese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9166692" w14:textId="77777777" w:rsidR="00AD4E33" w:rsidRDefault="00AD4E33" w:rsidP="00AD4E33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A0D4503" w14:textId="569065C5" w:rsidR="00AD4E33" w:rsidRPr="00AD4E33" w:rsidRDefault="00AD4E33" w:rsidP="001A2016">
      <w:pPr>
        <w:pStyle w:val="ListParagraph"/>
        <w:numPr>
          <w:ilvl w:val="0"/>
          <w:numId w:val="22"/>
        </w:numPr>
        <w:tabs>
          <w:tab w:val="left" w:pos="-9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zgjedhjen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deklarues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qëllime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ndodhet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kërkohet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lejohet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rregullojë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bazën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aktiveve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vlerën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detyrimeve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vlerës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drejtë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mund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A1D718F" w14:textId="77777777" w:rsidR="00AD4E33" w:rsidRPr="00AD4E33" w:rsidRDefault="00AD4E33" w:rsidP="00AD4E33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69A6340" w14:textId="77777777" w:rsidR="00AD4E33" w:rsidRPr="00AD4E33" w:rsidRDefault="00AD4E33" w:rsidP="00AD4E33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përfshijë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fitimit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fitimi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humbjeje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secilin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prej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aktiveve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detyrimeve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cila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0752AD4" w14:textId="395814D5" w:rsidR="00AD4E33" w:rsidRPr="00AD4E33" w:rsidRDefault="00AD4E33" w:rsidP="00AD4E33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diferencën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ndërmjet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vlerës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qëllime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kontabilitetit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financiar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aktivit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detyrimit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menjëherë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përpara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datës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ngjarjes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shkaktoi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korrigjimin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(“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ngjarja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shkaktuese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”)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vlerës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drejtë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aktivit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detyrimit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menjëherë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pas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ngjarjes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shkaktuese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6054DF8C" w14:textId="1E8BD742" w:rsidR="00AD4E33" w:rsidRPr="00AD4E33" w:rsidRDefault="00AD4E33" w:rsidP="000E6F41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ii)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zvogëlohet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rritet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fitimin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humbjen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jo</w:t>
      </w:r>
      <w:r>
        <w:rPr>
          <w:rFonts w:ascii="Times New Roman" w:hAnsi="Times New Roman" w:cs="Times New Roman"/>
          <w:sz w:val="24"/>
          <w:szCs w:val="24"/>
          <w:lang w:val="en-GB"/>
        </w:rPr>
        <w:t>-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</w:t>
      </w:r>
      <w:r>
        <w:rPr>
          <w:rFonts w:ascii="Times New Roman" w:hAnsi="Times New Roman" w:cs="Times New Roman"/>
          <w:sz w:val="24"/>
          <w:szCs w:val="24"/>
          <w:lang w:val="en-GB"/>
        </w:rPr>
        <w:t>ese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ka,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lind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ngjarjen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shkaktuese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8EA974B" w14:textId="75CDB05A" w:rsidR="00AD4E33" w:rsidRPr="00AD4E33" w:rsidRDefault="00AD4E33" w:rsidP="000E6F41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përdorë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vlerën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drejtë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qëllime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kontabilitetit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financiar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aktivit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detyrimit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menjëherë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pas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ngjarjes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shkaktuese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fitimit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fiskale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përfundojnë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pas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ngjarjes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shkaktuese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5C20021C" w14:textId="7E651D61" w:rsidR="00AD4E33" w:rsidRPr="00AD4E33" w:rsidRDefault="00AD4E33" w:rsidP="00AD4E33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c)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përfshijë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totale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shumave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përcaktuara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shkronjës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“a”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paragrafi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fitimin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humbjen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mënyrat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6D2963AF" w14:textId="218A0362" w:rsidR="00AD4E33" w:rsidRPr="00AD4E33" w:rsidRDefault="00AD4E33" w:rsidP="00AD4E33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totale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këtyre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shumave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përfshihet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ndodh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ngjarja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shkakt</w:t>
      </w:r>
      <w:r>
        <w:rPr>
          <w:rFonts w:ascii="Times New Roman" w:hAnsi="Times New Roman" w:cs="Times New Roman"/>
          <w:sz w:val="24"/>
          <w:szCs w:val="24"/>
          <w:lang w:val="en-GB"/>
        </w:rPr>
        <w:t>uese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</w:p>
    <w:p w14:paraId="5BFFF0FB" w14:textId="67E22563" w:rsidR="00AD4E33" w:rsidRDefault="00AD4E33" w:rsidP="00AD4E33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ii)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totale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këtyre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shumave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pjesëtuar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pesë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përfshihet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ndodh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ngjarja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shkaktuese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secilin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katër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fiskale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pasuese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përveç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rastit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largohet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gjatë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viti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brenda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kësaj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periudhe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rast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mbetur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përfshihet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83AF181" w14:textId="77777777" w:rsidR="00AD4E33" w:rsidRDefault="00AD4E33" w:rsidP="00AD4E33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10A66EC" w14:textId="153026A6" w:rsidR="00AD4E33" w:rsidRPr="00AD4E33" w:rsidRDefault="00AD4E33" w:rsidP="00AD4E33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>Neni 39</w:t>
      </w:r>
    </w:p>
    <w:p w14:paraId="071B27FB" w14:textId="77777777" w:rsidR="00AD4E33" w:rsidRPr="00AD4E33" w:rsidRDefault="00AD4E33" w:rsidP="00AD4E33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Sipërmarrjet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përbashkëta</w:t>
      </w:r>
      <w:proofErr w:type="spellEnd"/>
    </w:p>
    <w:p w14:paraId="37D97D29" w14:textId="77777777" w:rsidR="00AD4E33" w:rsidRPr="00AD4E33" w:rsidRDefault="00AD4E33" w:rsidP="00AD4E33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DA35CFC" w14:textId="739E36F7" w:rsidR="00AD4E33" w:rsidRPr="00AD4E33" w:rsidRDefault="00AD4E33" w:rsidP="001A2016">
      <w:pPr>
        <w:pStyle w:val="ListParagraph"/>
        <w:numPr>
          <w:ilvl w:val="0"/>
          <w:numId w:val="23"/>
        </w:num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zbatohen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përkufizimet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6F32EB7D" w14:textId="77777777" w:rsidR="00AD4E33" w:rsidRPr="00AD4E33" w:rsidRDefault="00AD4E33" w:rsidP="00AD4E33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2F2F84E" w14:textId="6EF3616E" w:rsidR="00AD4E33" w:rsidRPr="00AD4E33" w:rsidRDefault="00AD4E33" w:rsidP="000E6F41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>a) “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sipërmarrje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përbashkët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thot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rezultatet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cilit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raportohen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metodës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kapitalit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pasqyrat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konsoliduara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kusht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zotërojë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drejtpërdrejt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tërthorazi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paktën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50%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interesit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pronësisë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Sipërmarrja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përbashkët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përfshin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313C8B2F" w14:textId="06D68C8C" w:rsidR="00AD4E33" w:rsidRPr="00AD4E33" w:rsidRDefault="00AD4E33" w:rsidP="00AD4E33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rie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D009D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4D00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D009D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4D00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D009D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Pr="004D00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D009D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Pr="004D00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D009D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duhet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zbatojë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667C0">
        <w:rPr>
          <w:rFonts w:ascii="Times New Roman" w:hAnsi="Times New Roman" w:cs="Times New Roman"/>
          <w:sz w:val="24"/>
          <w:szCs w:val="24"/>
          <w:lang w:val="en-GB"/>
        </w:rPr>
        <w:t>Rregullin</w:t>
      </w:r>
      <w:proofErr w:type="spellEnd"/>
      <w:r w:rsidRPr="002667C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2667C0">
        <w:rPr>
          <w:rFonts w:ascii="Times New Roman" w:hAnsi="Times New Roman" w:cs="Times New Roman"/>
          <w:sz w:val="24"/>
          <w:szCs w:val="24"/>
          <w:lang w:val="en-GB"/>
        </w:rPr>
        <w:t>Përfshirjes</w:t>
      </w:r>
      <w:proofErr w:type="spellEnd"/>
      <w:r w:rsidRPr="002667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667C0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2667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667C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2667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667C0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2667C0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2667C0" w:rsidRPr="002667C0">
        <w:rPr>
          <w:rFonts w:ascii="Times New Roman" w:hAnsi="Times New Roman" w:cs="Times New Roman"/>
          <w:sz w:val="24"/>
          <w:szCs w:val="24"/>
          <w:lang w:val="en-GB"/>
        </w:rPr>
        <w:t>RPA</w:t>
      </w:r>
      <w:r w:rsidRPr="002667C0">
        <w:rPr>
          <w:rFonts w:ascii="Times New Roman" w:hAnsi="Times New Roman" w:cs="Times New Roman"/>
          <w:sz w:val="24"/>
          <w:szCs w:val="24"/>
          <w:lang w:val="en-GB"/>
        </w:rPr>
        <w:t>);</w:t>
      </w:r>
    </w:p>
    <w:p w14:paraId="7527BCA7" w14:textId="4C3F8083" w:rsidR="00AD4E33" w:rsidRPr="00AD4E33" w:rsidRDefault="00AD4E33" w:rsidP="00AD4E33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ii)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B7580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B75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B758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B75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B7580">
        <w:rPr>
          <w:rFonts w:ascii="Times New Roman" w:hAnsi="Times New Roman" w:cs="Times New Roman"/>
          <w:sz w:val="24"/>
          <w:szCs w:val="24"/>
          <w:lang w:val="en-GB"/>
        </w:rPr>
        <w:t>përjashtuar</w:t>
      </w:r>
      <w:proofErr w:type="spellEnd"/>
      <w:r w:rsidRPr="00AB758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përkufizimit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3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2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FC7AA74" w14:textId="3FCFF5BB" w:rsidR="00AD4E33" w:rsidRPr="00AD4E33" w:rsidRDefault="00AD4E33" w:rsidP="00AD4E33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iii)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interesat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pronësisë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mbahen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drejtp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rdrejt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D009D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4D00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D009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4D00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D009D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Pr="004D00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D009D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Pr="004D009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nëpërmjet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përjashtuar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plotëson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kushtet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përcaktuara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shkronjat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“b”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“c”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3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32B03E2" w14:textId="50363DBC" w:rsidR="00AD4E33" w:rsidRPr="00AD4E33" w:rsidRDefault="00AD4E33" w:rsidP="00AD4E33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iv)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mbajtur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D009D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Pr="004D00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D009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4D00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D009D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4D009D"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Pr="004D00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D009D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nj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cili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ekskluzivisht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përjashtuara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</w:p>
    <w:p w14:paraId="69C9CFA1" w14:textId="7FE55200" w:rsidR="00AD4E33" w:rsidRDefault="00AD4E33" w:rsidP="000E6F41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v)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filial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sipërmarrjes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përbashkët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8D8FDF8" w14:textId="09EDB92B" w:rsidR="00AD4E33" w:rsidRPr="00AD4E33" w:rsidRDefault="00AD4E33" w:rsidP="000E6F41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b) “filial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sipërmarrjes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përbashkët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nënkupton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10B0619A" w14:textId="2DE1A46A" w:rsidR="00AD4E33" w:rsidRPr="00AD4E33" w:rsidRDefault="00AD4E33" w:rsidP="00AD4E33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aktivet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detyrimet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shpenzimet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flukset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parasë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cilit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konsolidohen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sipërmarrje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përbashkët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standardi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pranueshëm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kontabilitetit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financiar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ishin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konsoliduar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sipërmarrja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përbashkët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ishte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detyruar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t’i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konsolidonte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këto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aktive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detyrime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shpenzime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flukse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parasë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standardi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pranueshëm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kontabilitetit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financiar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</w:p>
    <w:p w14:paraId="7385FA33" w14:textId="599D1A26" w:rsidR="00AD4E33" w:rsidRDefault="00AD4E33" w:rsidP="00AD4E33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ii)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seli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sipërmarrjeje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përbashkët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referuar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pikën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) të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kësaj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shkronje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038D88D" w14:textId="77777777" w:rsidR="00AD4E33" w:rsidRDefault="00AD4E33" w:rsidP="00AD4E33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C6148D9" w14:textId="6DBBFDC0" w:rsidR="00AD4E33" w:rsidRPr="00AD4E33" w:rsidRDefault="00AD4E33" w:rsidP="001A2016">
      <w:pPr>
        <w:pStyle w:val="ListParagraph"/>
        <w:numPr>
          <w:ilvl w:val="0"/>
          <w:numId w:val="23"/>
        </w:numPr>
        <w:tabs>
          <w:tab w:val="left" w:pos="-90"/>
          <w:tab w:val="left" w:pos="180"/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sipërmarrje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përbashkët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filialet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saj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sëbashku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>rcaktuar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sipërmarrjes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përbashkët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”)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trajtohen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B758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B75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B7580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AB75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B758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B75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B7580">
        <w:rPr>
          <w:rFonts w:ascii="Times New Roman" w:hAnsi="Times New Roman" w:cs="Times New Roman"/>
          <w:sz w:val="24"/>
          <w:szCs w:val="24"/>
          <w:lang w:val="en-GB"/>
        </w:rPr>
        <w:t>veçantë</w:t>
      </w:r>
      <w:proofErr w:type="spellEnd"/>
      <w:r w:rsidRPr="00AB75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B7580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AB75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B7580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AB7580"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Pr="00AB75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B7580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B7580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AB75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B7580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AB75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B7580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Pr="00AB75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B7580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sipërmarrjen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përbashkët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vepron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B349CB3" w14:textId="77777777" w:rsidR="00AD4E33" w:rsidRPr="00AD4E33" w:rsidRDefault="00AD4E33" w:rsidP="00AD4E33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C6C6023" w14:textId="16381139" w:rsidR="00AD4E33" w:rsidRPr="00AD4E33" w:rsidRDefault="00AD4E33" w:rsidP="001A2016">
      <w:pPr>
        <w:pStyle w:val="ListParagraph"/>
        <w:numPr>
          <w:ilvl w:val="0"/>
          <w:numId w:val="23"/>
        </w:numPr>
        <w:tabs>
          <w:tab w:val="left" w:pos="-90"/>
          <w:tab w:val="left" w:pos="180"/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mban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drejtpërdrejt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tërthorazi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interes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pronësor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sipërmarrjen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përbashkët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zbaton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667C0">
        <w:rPr>
          <w:rFonts w:ascii="Times New Roman" w:hAnsi="Times New Roman" w:cs="Times New Roman"/>
          <w:sz w:val="24"/>
          <w:szCs w:val="24"/>
          <w:lang w:val="en-GB"/>
        </w:rPr>
        <w:t>Rregullin</w:t>
      </w:r>
      <w:proofErr w:type="spellEnd"/>
      <w:r w:rsidRPr="002667C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2667C0">
        <w:rPr>
          <w:rFonts w:ascii="Times New Roman" w:hAnsi="Times New Roman" w:cs="Times New Roman"/>
          <w:sz w:val="24"/>
          <w:szCs w:val="24"/>
          <w:lang w:val="en-GB"/>
        </w:rPr>
        <w:t>Përfshirjes</w:t>
      </w:r>
      <w:proofErr w:type="spellEnd"/>
      <w:r w:rsidRPr="002667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667C0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2667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667C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2667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667C0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2667C0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2667C0" w:rsidRPr="002667C0">
        <w:rPr>
          <w:rFonts w:ascii="Times New Roman" w:hAnsi="Times New Roman" w:cs="Times New Roman"/>
          <w:sz w:val="24"/>
          <w:szCs w:val="24"/>
          <w:lang w:val="en-GB"/>
        </w:rPr>
        <w:t>RPA</w:t>
      </w:r>
      <w:r w:rsidRPr="002667C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pjesën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secilit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anëtar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sipërmarrjes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përbashkët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6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deri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11,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4B0E1C7" w14:textId="77777777" w:rsidR="00AD4E33" w:rsidRPr="00AD4E33" w:rsidRDefault="00AD4E33" w:rsidP="00AD4E33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0D25893" w14:textId="1B8CAC9C" w:rsidR="00AD4E33" w:rsidRPr="00AD4E33" w:rsidRDefault="00AD4E33" w:rsidP="001A2016">
      <w:pPr>
        <w:pStyle w:val="ListParagraph"/>
        <w:numPr>
          <w:ilvl w:val="0"/>
          <w:numId w:val="23"/>
        </w:numPr>
        <w:tabs>
          <w:tab w:val="left" w:pos="-90"/>
          <w:tab w:val="left" w:pos="180"/>
          <w:tab w:val="left" w:pos="360"/>
          <w:tab w:val="left" w:pos="45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sipërmarrjes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përbashkët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llogaritet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Kreun III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deri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Kreun VII,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kushtet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ndryshimet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109CCB9C" w14:textId="77777777" w:rsidR="00AD4E33" w:rsidRPr="00AD4E33" w:rsidRDefault="00AD4E33" w:rsidP="00AD4E33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2909C75" w14:textId="4A4606D2" w:rsidR="00AD4E33" w:rsidRPr="00AD4E33" w:rsidRDefault="00AD4E33" w:rsidP="00AD4E33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sipërmarrjes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përbashkët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zvogëlohet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pjesën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secilit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667C0">
        <w:rPr>
          <w:rFonts w:ascii="Times New Roman" w:hAnsi="Times New Roman" w:cs="Times New Roman"/>
          <w:sz w:val="24"/>
          <w:szCs w:val="24"/>
          <w:lang w:val="en-GB"/>
        </w:rPr>
        <w:t>RPA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132A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05132A">
        <w:rPr>
          <w:rFonts w:ascii="Times New Roman" w:hAnsi="Times New Roman" w:cs="Times New Roman"/>
          <w:sz w:val="24"/>
          <w:szCs w:val="24"/>
          <w:lang w:val="en-GB"/>
        </w:rPr>
        <w:t xml:space="preserve"> Minimal </w:t>
      </w:r>
      <w:proofErr w:type="spellStart"/>
      <w:proofErr w:type="gramStart"/>
      <w:r w:rsidR="007757D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7757D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51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132A">
        <w:rPr>
          <w:rFonts w:ascii="Times New Roman" w:hAnsi="Times New Roman" w:cs="Times New Roman"/>
          <w:sz w:val="24"/>
          <w:szCs w:val="24"/>
          <w:lang w:val="en-GB"/>
        </w:rPr>
        <w:t>Brendshëm</w:t>
      </w:r>
      <w:proofErr w:type="spellEnd"/>
      <w:proofErr w:type="gramEnd"/>
      <w:r w:rsidRPr="00051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57D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051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132A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051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7757DE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05132A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End"/>
      <w:r w:rsidR="0005132A" w:rsidRPr="0005132A">
        <w:rPr>
          <w:rFonts w:ascii="Times New Roman" w:hAnsi="Times New Roman" w:cs="Times New Roman"/>
          <w:sz w:val="24"/>
          <w:szCs w:val="24"/>
          <w:lang w:val="en-GB"/>
        </w:rPr>
        <w:t>TMBK</w:t>
      </w:r>
      <w:r w:rsidR="007757DE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05132A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05132A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paguhet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anëtarët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034346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034346" w:rsidRPr="00034346">
        <w:t xml:space="preserve"> </w:t>
      </w:r>
      <w:proofErr w:type="spellStart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>mbetur</w:t>
      </w:r>
      <w:proofErr w:type="spellEnd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>shtohet</w:t>
      </w:r>
      <w:proofErr w:type="spellEnd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>shumës</w:t>
      </w:r>
      <w:proofErr w:type="spellEnd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>totale</w:t>
      </w:r>
      <w:proofErr w:type="spellEnd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>rregullit</w:t>
      </w:r>
      <w:proofErr w:type="spellEnd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34346">
        <w:rPr>
          <w:rFonts w:ascii="Times New Roman" w:hAnsi="Times New Roman" w:cs="Times New Roman"/>
          <w:sz w:val="24"/>
          <w:szCs w:val="24"/>
          <w:lang w:val="en-GB"/>
        </w:rPr>
        <w:t>RFN</w:t>
      </w:r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 xml:space="preserve"> 2</w:t>
      </w:r>
      <w:r w:rsidR="0003434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 xml:space="preserve"> 13</w:t>
      </w:r>
      <w:r w:rsidR="0003434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="00034346" w:rsidRPr="0003434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C307F29" w14:textId="71650E75" w:rsidR="00AD4E33" w:rsidRPr="00AD4E33" w:rsidRDefault="00AD4E33" w:rsidP="00AD4E33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referencë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ndaj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Kre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zëvendësohet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referencë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ndaj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sipërmarrjes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përbashkët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5A30E79C" w14:textId="404E7B47" w:rsidR="00AD4E33" w:rsidRDefault="00AD4E33" w:rsidP="00AD4E33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c)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referencë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ndaj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proofErr w:type="spellStart"/>
      <w:r w:rsidRPr="005961ED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5961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61ED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961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61ED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5961ED"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Pr="005961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961ED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5961ED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Kre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zëvendësohet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referencë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ndaj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sipërmarrjes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përbashkët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”.</w:t>
      </w:r>
    </w:p>
    <w:p w14:paraId="1FFC62AB" w14:textId="77777777" w:rsidR="00AD4E33" w:rsidRDefault="00AD4E33" w:rsidP="00AD4E33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79EF55C" w14:textId="77777777" w:rsidR="00AD4E33" w:rsidRDefault="00AD4E33" w:rsidP="00AD4E33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F994603" w14:textId="41C04D4F" w:rsidR="00AD4E33" w:rsidRPr="00AD4E33" w:rsidRDefault="00AD4E33" w:rsidP="00AD4E33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>Neni 40</w:t>
      </w:r>
    </w:p>
    <w:p w14:paraId="761FC198" w14:textId="1FD1D53F" w:rsidR="00AD4E33" w:rsidRPr="00AD4E33" w:rsidRDefault="00AD4E33" w:rsidP="00AD4E33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Grupet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shoq</w:t>
      </w:r>
      <w:r w:rsidR="00AB7580">
        <w:rPr>
          <w:rFonts w:ascii="Times New Roman" w:hAnsi="Times New Roman" w:cs="Times New Roman"/>
          <w:b/>
          <w:bCs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rive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shumëkombëshe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shumë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entitete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mëmë</w:t>
      </w:r>
      <w:proofErr w:type="spellEnd"/>
    </w:p>
    <w:p w14:paraId="3B52E2A0" w14:textId="77777777" w:rsidR="00AD4E33" w:rsidRPr="00AD4E33" w:rsidRDefault="00AD4E33" w:rsidP="00AD4E33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5CCD815" w14:textId="1B385681" w:rsidR="00AD4E33" w:rsidRPr="00AD4E33" w:rsidRDefault="00AD4E33" w:rsidP="00AD4E33">
      <w:pPr>
        <w:tabs>
          <w:tab w:val="left" w:pos="-90"/>
          <w:tab w:val="left" w:pos="180"/>
          <w:tab w:val="left" w:pos="270"/>
          <w:tab w:val="left" w:pos="360"/>
          <w:tab w:val="left" w:pos="54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zbatohen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përkufizimet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E8A942A" w14:textId="77777777" w:rsidR="00AD4E33" w:rsidRPr="00AD4E33" w:rsidRDefault="00AD4E33" w:rsidP="00AD4E33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562F6E2" w14:textId="52CE3BD6" w:rsidR="00AD4E33" w:rsidRPr="00AD4E33" w:rsidRDefault="00AD4E33" w:rsidP="00AD4E33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>a) “</w:t>
      </w:r>
      <w:proofErr w:type="spellStart"/>
      <w:r w:rsidRPr="000E6F41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Pr="000E6F4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6F41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0E6F4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6F41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 w:rsidRPr="000E6F41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0E6F41"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Pr="000E6F4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6F41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0E6F41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0E6F41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0E6F4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6F41">
        <w:rPr>
          <w:rFonts w:ascii="Times New Roman" w:hAnsi="Times New Roman" w:cs="Times New Roman"/>
          <w:sz w:val="24"/>
          <w:szCs w:val="24"/>
          <w:lang w:val="en-GB"/>
        </w:rPr>
        <w:t>entitete</w:t>
      </w:r>
      <w:proofErr w:type="spellEnd"/>
      <w:r w:rsidRPr="000E6F4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6F41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0E6F41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thot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dy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hyjnë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marrëveshje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105F">
        <w:rPr>
          <w:rFonts w:ascii="Times New Roman" w:hAnsi="Times New Roman" w:cs="Times New Roman"/>
          <w:sz w:val="24"/>
          <w:szCs w:val="24"/>
          <w:lang w:val="en-GB"/>
        </w:rPr>
        <w:t>strukturë</w:t>
      </w:r>
      <w:proofErr w:type="spellEnd"/>
      <w:r w:rsidRPr="00E010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105F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 w:rsidRPr="00E0105F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E010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105F">
        <w:rPr>
          <w:rFonts w:ascii="Times New Roman" w:hAnsi="Times New Roman" w:cs="Times New Roman"/>
          <w:sz w:val="24"/>
          <w:szCs w:val="24"/>
          <w:lang w:val="en-GB"/>
        </w:rPr>
        <w:t>lidhur</w:t>
      </w:r>
      <w:proofErr w:type="spellEnd"/>
      <w:r w:rsidRPr="00E010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marrëveshje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105F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3D1EB8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105F">
        <w:rPr>
          <w:rFonts w:ascii="Times New Roman" w:hAnsi="Times New Roman" w:cs="Times New Roman"/>
          <w:sz w:val="24"/>
          <w:szCs w:val="24"/>
          <w:lang w:val="en-GB"/>
        </w:rPr>
        <w:t>litstuar</w:t>
      </w:r>
      <w:proofErr w:type="spellEnd"/>
      <w:r w:rsidR="00E010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105F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3D1EB8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E010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105F">
        <w:rPr>
          <w:rFonts w:ascii="Times New Roman" w:hAnsi="Times New Roman" w:cs="Times New Roman"/>
          <w:sz w:val="24"/>
          <w:szCs w:val="24"/>
          <w:lang w:val="en-GB"/>
        </w:rPr>
        <w:t>dyfisht</w:t>
      </w:r>
      <w:r w:rsidR="003D1EB8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E010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105F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3D1EB8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E010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105F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3D1EB8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E0105F"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cila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përfshin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paktën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seli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105F">
        <w:rPr>
          <w:rFonts w:ascii="Times New Roman" w:hAnsi="Times New Roman" w:cs="Times New Roman"/>
          <w:sz w:val="24"/>
          <w:szCs w:val="24"/>
          <w:lang w:val="en-GB"/>
        </w:rPr>
        <w:t>bashkuar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ndodhet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ndryshëm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juridiksioni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vendndodhjes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tjera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105F">
        <w:rPr>
          <w:rFonts w:ascii="Times New Roman" w:hAnsi="Times New Roman" w:cs="Times New Roman"/>
          <w:sz w:val="24"/>
          <w:szCs w:val="24"/>
          <w:lang w:val="en-GB"/>
        </w:rPr>
        <w:t>bashkuar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AB187C4" w14:textId="77777777" w:rsidR="00AD4E33" w:rsidRDefault="00AD4E33" w:rsidP="00AD4E33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FD82262" w14:textId="76BF70C2" w:rsidR="00AD4E33" w:rsidRPr="00AD4E33" w:rsidRDefault="00AD4E33" w:rsidP="00AD4E33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>b) “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strukturë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lidhur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thot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marrëveshje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lidhur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midis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dy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veçanta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cilës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D187701" w14:textId="1F07F3CE" w:rsidR="00AD4E33" w:rsidRPr="00AD4E33" w:rsidRDefault="00AD4E33" w:rsidP="007C161C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lastRenderedPageBreak/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) 50%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interesave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pronësisë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secilin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prej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105F">
        <w:rPr>
          <w:rFonts w:ascii="Times New Roman" w:hAnsi="Times New Roman" w:cs="Times New Roman"/>
          <w:sz w:val="24"/>
          <w:szCs w:val="24"/>
          <w:lang w:val="en-GB"/>
        </w:rPr>
        <w:t>bashkohen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shkak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formës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pronësisë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kufizimeve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transferim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kushteve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tjera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mund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transferohen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tregtohen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mënyrë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pavarur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019A7E42" w14:textId="4D5428F7" w:rsidR="00AD4E33" w:rsidRDefault="00AD4E33" w:rsidP="007C161C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ii) </w:t>
      </w:r>
      <w:proofErr w:type="spellStart"/>
      <w:r w:rsidR="00034346">
        <w:rPr>
          <w:rFonts w:ascii="Times New Roman" w:hAnsi="Times New Roman" w:cs="Times New Roman"/>
          <w:sz w:val="24"/>
          <w:szCs w:val="24"/>
          <w:lang w:val="en-GB"/>
        </w:rPr>
        <w:t>nj</w:t>
      </w:r>
      <w:r w:rsidR="009B2DB7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0343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34346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0343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përgati</w:t>
      </w:r>
      <w:r w:rsidR="00034346">
        <w:rPr>
          <w:rFonts w:ascii="Times New Roman" w:hAnsi="Times New Roman" w:cs="Times New Roman"/>
          <w:sz w:val="24"/>
          <w:szCs w:val="24"/>
          <w:lang w:val="en-GB"/>
        </w:rPr>
        <w:t>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pasqyra</w:t>
      </w:r>
      <w:r w:rsidR="00034346">
        <w:rPr>
          <w:rFonts w:ascii="Times New Roman" w:hAnsi="Times New Roman" w:cs="Times New Roman"/>
          <w:sz w:val="24"/>
          <w:szCs w:val="24"/>
          <w:lang w:val="en-GB"/>
        </w:rPr>
        <w:t>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konsoliduara</w:t>
      </w:r>
      <w:proofErr w:type="spellEnd"/>
      <w:r w:rsidR="00034346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cilat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aktivet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detyrimet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shpenzimet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flukset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parasë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përkatëse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paraqiten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bashku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ato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njësie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vetme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ekonomike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cilat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kërkohet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auditohen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jashtë</w:t>
      </w:r>
      <w:proofErr w:type="spellEnd"/>
      <w:r w:rsidR="0003434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regjimi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rregullator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60EBBFF" w14:textId="69771F9B" w:rsidR="00AD4E33" w:rsidRPr="00AD4E33" w:rsidRDefault="00AD4E33" w:rsidP="007C161C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>c) “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marrëveshje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list</w:t>
      </w:r>
      <w:r>
        <w:rPr>
          <w:rFonts w:ascii="Times New Roman" w:hAnsi="Times New Roman" w:cs="Times New Roman"/>
          <w:sz w:val="24"/>
          <w:szCs w:val="24"/>
          <w:lang w:val="en-GB"/>
        </w:rPr>
        <w:t>uar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dyfishtë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thot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marrëveshje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lidhur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midis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dy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veçanta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cilës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31C980C3" w14:textId="77BE8B23" w:rsidR="00AD4E33" w:rsidRPr="00AD4E33" w:rsidRDefault="00AD4E33" w:rsidP="007C161C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bien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dakord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161C">
        <w:rPr>
          <w:rFonts w:ascii="Times New Roman" w:hAnsi="Times New Roman" w:cs="Times New Roman"/>
          <w:sz w:val="24"/>
          <w:szCs w:val="24"/>
          <w:lang w:val="en-GB"/>
        </w:rPr>
        <w:t>bashkojnë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aktivitetin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tyre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biznesit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vetëm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161C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3D1EB8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7C161C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3D1EB8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7C161C">
        <w:rPr>
          <w:rFonts w:ascii="Times New Roman" w:hAnsi="Times New Roman" w:cs="Times New Roman"/>
          <w:sz w:val="24"/>
          <w:szCs w:val="24"/>
          <w:lang w:val="en-GB"/>
        </w:rPr>
        <w:t>rmjet</w:t>
      </w:r>
      <w:proofErr w:type="spellEnd"/>
      <w:r w:rsidR="007C161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161C">
        <w:rPr>
          <w:rFonts w:ascii="Times New Roman" w:hAnsi="Times New Roman" w:cs="Times New Roman"/>
          <w:sz w:val="24"/>
          <w:szCs w:val="24"/>
          <w:lang w:val="en-GB"/>
        </w:rPr>
        <w:t>nj</w:t>
      </w:r>
      <w:r w:rsidR="003D1EB8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7C161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161C">
        <w:rPr>
          <w:rFonts w:ascii="Times New Roman" w:hAnsi="Times New Roman" w:cs="Times New Roman"/>
          <w:sz w:val="24"/>
          <w:szCs w:val="24"/>
          <w:lang w:val="en-GB"/>
        </w:rPr>
        <w:t>marr</w:t>
      </w:r>
      <w:r w:rsidR="003D1EB8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7C161C">
        <w:rPr>
          <w:rFonts w:ascii="Times New Roman" w:hAnsi="Times New Roman" w:cs="Times New Roman"/>
          <w:sz w:val="24"/>
          <w:szCs w:val="24"/>
          <w:lang w:val="en-GB"/>
        </w:rPr>
        <w:t>veshjeje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kontrakt</w:t>
      </w:r>
      <w:r w:rsidR="007C161C">
        <w:rPr>
          <w:rFonts w:ascii="Times New Roman" w:hAnsi="Times New Roman" w:cs="Times New Roman"/>
          <w:sz w:val="24"/>
          <w:szCs w:val="24"/>
          <w:lang w:val="en-GB"/>
        </w:rPr>
        <w:t>ore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EAF1E7A" w14:textId="7788AD43" w:rsidR="00AD4E33" w:rsidRPr="00AD4E33" w:rsidRDefault="00AD4E33" w:rsidP="007C161C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ii)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bazë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marrëveshjeve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kontrakt</w:t>
      </w:r>
      <w:r w:rsidR="007C161C">
        <w:rPr>
          <w:rFonts w:ascii="Times New Roman" w:hAnsi="Times New Roman" w:cs="Times New Roman"/>
          <w:sz w:val="24"/>
          <w:szCs w:val="24"/>
          <w:lang w:val="en-GB"/>
        </w:rPr>
        <w:t>ore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kryejnë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shpërndarje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dividendët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rast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likuidimi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mbajtësit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interesave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pronësisë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161C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raporti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26F39">
        <w:rPr>
          <w:rFonts w:ascii="Times New Roman" w:hAnsi="Times New Roman" w:cs="Times New Roman"/>
          <w:sz w:val="24"/>
          <w:szCs w:val="24"/>
          <w:lang w:val="en-GB"/>
        </w:rPr>
        <w:t>fiks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44FBE61" w14:textId="70F9BEFC" w:rsidR="00AD4E33" w:rsidRPr="00AD4E33" w:rsidRDefault="00AD4E33" w:rsidP="007C161C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iii)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veprimtaritë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administrohen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njësi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vetme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ekonomike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bazë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marrëveshjeve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kontraktuale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duke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ruajtur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njëkohësisht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identitetet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tyre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veçanta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juridike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AF85A85" w14:textId="3820BD03" w:rsidR="00AD4E33" w:rsidRPr="00AD4E33" w:rsidRDefault="00AD4E33" w:rsidP="007C161C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iv)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interesat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pronësisë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përbëjnë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marrëveshjen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kuotohen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tregtohen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transferohen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mënyrë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pavarur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tregje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ndryshme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kapitali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434BC0F0" w14:textId="34B58266" w:rsidR="00AD4E33" w:rsidRDefault="00AD4E33" w:rsidP="007C161C">
      <w:pPr>
        <w:tabs>
          <w:tab w:val="left" w:pos="-9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v)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përgatisin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pasqyra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konsoliduara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cilat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aktivet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detyrimet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shpenzimet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flukset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parasë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përkatëse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paraqiten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bashku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ato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njësie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vetme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ekonomike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kërkohet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auditohen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jashtë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regjimi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rregullator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7C9C095" w14:textId="77777777" w:rsidR="00AD4E33" w:rsidRDefault="00AD4E33" w:rsidP="00AD4E33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EBAF413" w14:textId="784955D2" w:rsidR="00AD4E33" w:rsidRPr="00AD4E33" w:rsidRDefault="00AD4E33" w:rsidP="001A2016">
      <w:pPr>
        <w:pStyle w:val="ListParagraph"/>
        <w:numPr>
          <w:ilvl w:val="0"/>
          <w:numId w:val="24"/>
        </w:num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Kur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dy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bëjnë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pjesë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 w:rsidRPr="00865283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 w:rsidRPr="00865283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865283"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secilit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trajtohen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anëtarë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vetëm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 w:rsidRPr="00865283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 w:rsidRPr="00865283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865283"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533E7EF" w14:textId="77777777" w:rsid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92FDB6D" w14:textId="34E0A3A6" w:rsidR="00AD4E33" w:rsidRPr="00AD4E33" w:rsidRDefault="00AD4E33" w:rsidP="001A2016">
      <w:pPr>
        <w:pStyle w:val="ListParagraph"/>
        <w:numPr>
          <w:ilvl w:val="0"/>
          <w:numId w:val="24"/>
        </w:num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përveç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përjashtuar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trajtohet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161C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3D1EB8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 w:rsidRPr="00865283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865283">
        <w:rPr>
          <w:rFonts w:ascii="Times New Roman" w:hAnsi="Times New Roman" w:cs="Times New Roman"/>
          <w:sz w:val="24"/>
          <w:szCs w:val="24"/>
          <w:lang w:val="en-GB"/>
        </w:rPr>
        <w:t>ri</w:t>
      </w:r>
      <w:r w:rsidR="007C161C">
        <w:rPr>
          <w:rFonts w:ascii="Times New Roman" w:hAnsi="Times New Roman" w:cs="Times New Roman"/>
          <w:sz w:val="24"/>
          <w:szCs w:val="24"/>
          <w:lang w:val="en-GB"/>
        </w:rPr>
        <w:t>ve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me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konsolidohet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B2DB7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rresht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BA2FB5" w:rsidRPr="009B2DB7">
        <w:rPr>
          <w:rFonts w:ascii="Times New Roman" w:hAnsi="Times New Roman" w:cs="Times New Roman"/>
          <w:sz w:val="24"/>
          <w:szCs w:val="24"/>
          <w:lang w:val="en-GB"/>
        </w:rPr>
        <w:t>ër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rresht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pasqyrat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konsoliduara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interesat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kontrolluese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mbahen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 w:rsidRPr="00865283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 w:rsidRPr="00865283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865283"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konsolidohet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B2DB7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rresht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BA2FB5" w:rsidRPr="009B2DB7">
        <w:rPr>
          <w:rFonts w:ascii="Times New Roman" w:hAnsi="Times New Roman" w:cs="Times New Roman"/>
          <w:sz w:val="24"/>
          <w:szCs w:val="24"/>
          <w:lang w:val="en-GB"/>
        </w:rPr>
        <w:t>ër</w:t>
      </w:r>
      <w:proofErr w:type="spellEnd"/>
      <w:r w:rsidR="00BA2FB5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rresht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pasqyrat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D71B1DA" w14:textId="77777777" w:rsidR="00AD4E33" w:rsidRPr="00AD4E33" w:rsidRDefault="00AD4E33" w:rsidP="00AD4E33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64F03016" w14:textId="338A514E" w:rsidR="00AD4E33" w:rsidRDefault="00AD4E33" w:rsidP="001A2016">
      <w:pPr>
        <w:pStyle w:val="ListParagraph"/>
        <w:numPr>
          <w:ilvl w:val="0"/>
          <w:numId w:val="24"/>
        </w:numPr>
        <w:tabs>
          <w:tab w:val="left" w:pos="-90"/>
          <w:tab w:val="left" w:pos="0"/>
          <w:tab w:val="left" w:pos="180"/>
          <w:tab w:val="left" w:pos="360"/>
          <w:tab w:val="left" w:pos="540"/>
          <w:tab w:val="left" w:pos="630"/>
        </w:tabs>
        <w:spacing w:after="0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Pasqyrat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konsoliduara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pasqyrat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konsoliduara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kombinuara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referuara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përkufizimet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>trukture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Lidhur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marrëveshjeje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list</w:t>
      </w:r>
      <w:r>
        <w:rPr>
          <w:rFonts w:ascii="Times New Roman" w:hAnsi="Times New Roman" w:cs="Times New Roman"/>
          <w:sz w:val="24"/>
          <w:szCs w:val="24"/>
          <w:lang w:val="en-GB"/>
        </w:rPr>
        <w:t>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dyfishtë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proofErr w:type="gram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1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përgatitura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standardi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pranueshëm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kontabilitetit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financiar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cili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konsiderohet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standardi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njësisë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867013E" w14:textId="77777777" w:rsidR="00AD4E33" w:rsidRPr="00AD4E33" w:rsidRDefault="00AD4E33" w:rsidP="00AD4E33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765650CF" w14:textId="3D15BCCB" w:rsidR="00AD4E33" w:rsidRDefault="00AD4E33" w:rsidP="001A2016">
      <w:pPr>
        <w:pStyle w:val="ListParagraph"/>
        <w:numPr>
          <w:ilvl w:val="0"/>
          <w:numId w:val="24"/>
        </w:numPr>
        <w:tabs>
          <w:tab w:val="left" w:pos="-90"/>
          <w:tab w:val="left" w:pos="0"/>
          <w:tab w:val="left" w:pos="180"/>
          <w:tab w:val="left" w:pos="360"/>
          <w:tab w:val="left" w:pos="450"/>
          <w:tab w:val="left" w:pos="540"/>
        </w:tabs>
        <w:spacing w:after="0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 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veçanta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përbëjnë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shoqërive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konsiderohen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shumëkombësh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zbatimin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shoqërish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referim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ndaj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zbatohet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rastit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491FF49" w14:textId="77777777" w:rsidR="00AD4E33" w:rsidRPr="00AD4E33" w:rsidRDefault="00AD4E33" w:rsidP="00AD4E33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711959AC" w14:textId="6598DE81" w:rsidR="00AD4E33" w:rsidRDefault="00AD4E33" w:rsidP="001A2016">
      <w:pPr>
        <w:pStyle w:val="ListParagraph"/>
        <w:numPr>
          <w:ilvl w:val="0"/>
          <w:numId w:val="24"/>
        </w:numPr>
        <w:tabs>
          <w:tab w:val="left" w:pos="-90"/>
          <w:tab w:val="left" w:pos="0"/>
          <w:tab w:val="left" w:pos="180"/>
          <w:tab w:val="left" w:pos="360"/>
          <w:tab w:val="left" w:pos="450"/>
        </w:tabs>
        <w:spacing w:after="0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shoqërive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përfshirë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zbatojnë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667C0">
        <w:rPr>
          <w:rFonts w:ascii="Times New Roman" w:hAnsi="Times New Roman" w:cs="Times New Roman"/>
          <w:sz w:val="24"/>
          <w:szCs w:val="24"/>
          <w:lang w:val="en-GB"/>
        </w:rPr>
        <w:t>Rregullin</w:t>
      </w:r>
      <w:proofErr w:type="spellEnd"/>
      <w:r w:rsidRPr="002667C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2667C0">
        <w:rPr>
          <w:rFonts w:ascii="Times New Roman" w:hAnsi="Times New Roman" w:cs="Times New Roman"/>
          <w:sz w:val="24"/>
          <w:szCs w:val="24"/>
          <w:lang w:val="en-GB"/>
        </w:rPr>
        <w:t>Përfshirjes</w:t>
      </w:r>
      <w:proofErr w:type="spellEnd"/>
      <w:r w:rsidRPr="002667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667C0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2667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667C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2667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667C0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2667C0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2667C0" w:rsidRPr="002667C0">
        <w:rPr>
          <w:rFonts w:ascii="Times New Roman" w:hAnsi="Times New Roman" w:cs="Times New Roman"/>
          <w:sz w:val="24"/>
          <w:szCs w:val="24"/>
          <w:lang w:val="en-GB"/>
        </w:rPr>
        <w:t>RPA</w:t>
      </w:r>
      <w:r w:rsidRPr="002667C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6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deri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11</w:t>
      </w:r>
      <w:r w:rsidR="002667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pjesën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tyre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alokueshme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normë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2886402" w14:textId="77777777" w:rsidR="00AD4E33" w:rsidRPr="00AD4E33" w:rsidRDefault="00AD4E33" w:rsidP="00AD4E33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64D3203B" w14:textId="61EF3BEB" w:rsidR="00AD4E33" w:rsidRDefault="00AD4E33" w:rsidP="001A2016">
      <w:pPr>
        <w:pStyle w:val="ListParagraph"/>
        <w:numPr>
          <w:ilvl w:val="0"/>
          <w:numId w:val="24"/>
        </w:num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shoqërive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zbatojnë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Rregull</w:t>
      </w:r>
      <w:r w:rsidR="00B16EE1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>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Fitimet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Nëntatuara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16EE1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B16EE1" w:rsidRPr="00B16EE1">
        <w:rPr>
          <w:rFonts w:ascii="Times New Roman" w:hAnsi="Times New Roman" w:cs="Times New Roman"/>
          <w:sz w:val="24"/>
          <w:szCs w:val="24"/>
          <w:lang w:val="en-GB"/>
        </w:rPr>
        <w:t xml:space="preserve">RFN) </w:t>
      </w:r>
      <w:proofErr w:type="spellStart"/>
      <w:r w:rsidRPr="00B16EE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12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13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duke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marrë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parasysh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normë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anëtar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shoqërive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007BF99" w14:textId="77777777" w:rsidR="00AD4E33" w:rsidRPr="00AD4E33" w:rsidRDefault="00AD4E33" w:rsidP="00AD4E33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309C1CC0" w14:textId="08A95708" w:rsidR="00AD4E33" w:rsidRDefault="00AD4E33" w:rsidP="001A2016">
      <w:pPr>
        <w:pStyle w:val="ListParagraph"/>
        <w:numPr>
          <w:ilvl w:val="0"/>
          <w:numId w:val="24"/>
        </w:num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shoqërive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paraqesin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secili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deklaratë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informacioni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54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përveç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rastit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ato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caktojnë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vetëm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emëruar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paraqitje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Kjo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deklaratë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përfshin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informacion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secilin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përbëjnë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shoqërive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D9A40EC" w14:textId="77777777" w:rsidR="00AD4E33" w:rsidRPr="00AD4E33" w:rsidRDefault="00AD4E33" w:rsidP="00AD4E33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55B7F762" w14:textId="77777777" w:rsid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5B3616EE" w14:textId="2E618A3A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>KAPITULLI VII</w:t>
      </w:r>
    </w:p>
    <w:p w14:paraId="26DFE04F" w14:textId="7755781B" w:rsidR="00AD4E33" w:rsidRDefault="00A95F9B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95F9B">
        <w:rPr>
          <w:rFonts w:ascii="Times New Roman" w:hAnsi="Times New Roman" w:cs="Times New Roman"/>
          <w:b/>
          <w:bCs/>
          <w:sz w:val="24"/>
          <w:szCs w:val="24"/>
          <w:lang w:val="en-GB"/>
        </w:rPr>
        <w:t>REGJIMET E NEUTRALITETIT TATIMOR DHE TË SHPËRNDARJES</w:t>
      </w:r>
    </w:p>
    <w:p w14:paraId="49FF971C" w14:textId="77777777" w:rsidR="00A95F9B" w:rsidRPr="00A95F9B" w:rsidRDefault="00A95F9B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724A090" w14:textId="40BE437C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>Neni 41</w:t>
      </w:r>
    </w:p>
    <w:p w14:paraId="69B64446" w14:textId="2D7D59BE" w:rsid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përfundimtar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është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transparent</w:t>
      </w:r>
      <w:r w:rsidR="005961E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5961ED">
        <w:rPr>
          <w:rFonts w:ascii="Times New Roman" w:hAnsi="Times New Roman" w:cs="Times New Roman"/>
          <w:b/>
          <w:bCs/>
          <w:sz w:val="24"/>
          <w:szCs w:val="24"/>
          <w:lang w:val="en-GB"/>
        </w:rPr>
        <w:t>tatimor</w:t>
      </w:r>
      <w:proofErr w:type="spellEnd"/>
    </w:p>
    <w:p w14:paraId="1E0EA75D" w14:textId="77777777" w:rsid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A389E7C" w14:textId="27CBEBB8" w:rsidR="00AD4E33" w:rsidRPr="00AD4E33" w:rsidRDefault="00AD4E33" w:rsidP="001A2016">
      <w:pPr>
        <w:pStyle w:val="ListParagraph"/>
        <w:numPr>
          <w:ilvl w:val="0"/>
          <w:numId w:val="25"/>
        </w:num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transparent</w:t>
      </w:r>
      <w:r w:rsidR="005961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961ED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ulen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atribuohen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mbajtësit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interesit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pronësisë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AD4E33">
        <w:rPr>
          <w:rFonts w:ascii="Times New Roman" w:hAnsi="Times New Roman" w:cs="Times New Roman"/>
          <w:sz w:val="24"/>
          <w:szCs w:val="24"/>
          <w:lang w:val="en-GB"/>
        </w:rPr>
        <w:t>(”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mbajtësi</w:t>
      </w:r>
      <w:proofErr w:type="spellEnd"/>
      <w:proofErr w:type="gram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interesit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pronësisë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”)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transparent</w:t>
      </w:r>
      <w:r w:rsidR="005961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961ED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kusht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plotësohet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kushtet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924F122" w14:textId="77777777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9438962" w14:textId="77777777" w:rsidR="00AD4E33" w:rsidRPr="00AD4E33" w:rsidRDefault="00AD4E33" w:rsidP="00AD4E33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mbajtësi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interesit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pronësisë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këto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periudhë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përfundon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brenda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12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muajve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pas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viti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normë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nominale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lartë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se norma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minimale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</w:p>
    <w:p w14:paraId="508EE2E0" w14:textId="103CD44D" w:rsidR="00AD4E33" w:rsidRDefault="00AD4E33" w:rsidP="00AD4E33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mund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mënyrë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arsyeshme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përgjithshme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korrigjuara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paguara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mbajtësi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interesit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lastRenderedPageBreak/>
        <w:t>pronësisë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këto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brenda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12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muajve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pas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jetë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madhe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këto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shumëzuar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normën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minimale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BD46A05" w14:textId="77777777" w:rsidR="00AD4E33" w:rsidRDefault="00AD4E33" w:rsidP="00AD4E33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4AE46E4" w14:textId="00D9BF5F" w:rsidR="00AD4E33" w:rsidRPr="00AD4E33" w:rsidRDefault="00AD4E33" w:rsidP="007C161C">
      <w:pPr>
        <w:pStyle w:val="ListParagraph"/>
        <w:numPr>
          <w:ilvl w:val="0"/>
          <w:numId w:val="25"/>
        </w:numPr>
        <w:tabs>
          <w:tab w:val="left" w:pos="-90"/>
          <w:tab w:val="left" w:pos="0"/>
          <w:tab w:val="left" w:pos="180"/>
          <w:tab w:val="left" w:pos="360"/>
          <w:tab w:val="left" w:pos="450"/>
        </w:tabs>
        <w:spacing w:after="0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transparent</w:t>
      </w:r>
      <w:r w:rsidR="005961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961ED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ulen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gjithashtu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shp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>rndahen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mbajtësit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interesit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pronësisë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transparent</w:t>
      </w:r>
      <w:r w:rsidR="005961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961ED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kusht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mbajtësi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interesit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jetë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mëposhtmit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CE2481B" w14:textId="77777777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FF52541" w14:textId="77777777" w:rsidR="00AD4E33" w:rsidRPr="00AD4E33" w:rsidRDefault="00AD4E33" w:rsidP="007C161C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individ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(person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fizik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rezident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ndodhet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mban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interesa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pronësie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përfaqësojnë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drejtë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deri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5%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pak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fitimeve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aktiveve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</w:p>
    <w:p w14:paraId="65D3DD82" w14:textId="77777777" w:rsidR="00AD4E33" w:rsidRPr="00AD4E33" w:rsidRDefault="00AD4E33" w:rsidP="007C161C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qeveritar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organizatë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ndërkombëtare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organizatë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jofitimprurëse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fond pensioni,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rezident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ndodhet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mban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interesa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pronësie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përfaqësojnë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drejtë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deri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5%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pak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fitimeve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aktiveve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BE5B380" w14:textId="77777777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80FB90E" w14:textId="743FC93E" w:rsidR="00AD4E33" w:rsidRDefault="00AD4E33" w:rsidP="001A2016">
      <w:pPr>
        <w:pStyle w:val="ListParagraph"/>
        <w:numPr>
          <w:ilvl w:val="0"/>
          <w:numId w:val="25"/>
        </w:num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Humbja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transparent</w:t>
      </w:r>
      <w:r w:rsidR="005961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961ED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ulet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atribuohet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mbajtësit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interesit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pronësisë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transparent</w:t>
      </w:r>
      <w:r w:rsidR="005961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961ED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përveç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rastit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mbajtësi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interesit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lejohet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ta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përdorë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humbje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tatueshme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rezident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8ED3DED" w14:textId="77777777" w:rsid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C2CB231" w14:textId="2B209495" w:rsidR="00AD4E33" w:rsidRDefault="00AD4E33" w:rsidP="001A2016">
      <w:pPr>
        <w:pStyle w:val="ListParagraph"/>
        <w:numPr>
          <w:ilvl w:val="0"/>
          <w:numId w:val="25"/>
        </w:num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transparent </w:t>
      </w:r>
      <w:proofErr w:type="spellStart"/>
      <w:r w:rsidR="005961ED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="005961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ulen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proporcionalisht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reduktuara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paragrafët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1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2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9BCD7EF" w14:textId="77777777" w:rsidR="00AD4E33" w:rsidRPr="00AD4E33" w:rsidRDefault="00AD4E33" w:rsidP="00AD4E33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66AFA5C7" w14:textId="6D0BFCE7" w:rsidR="00AD4E33" w:rsidRPr="00AD4E33" w:rsidRDefault="00AD4E33" w:rsidP="001A2016">
      <w:pPr>
        <w:pStyle w:val="ListParagraph"/>
        <w:numPr>
          <w:ilvl w:val="0"/>
          <w:numId w:val="25"/>
        </w:num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Paragrafët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1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deri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4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zbatohen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seli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përmes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cilës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transparent</w:t>
      </w:r>
      <w:r w:rsidR="005961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961ED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ushtron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plotësisht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pjesërisht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veprimtarinë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përmes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cilës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ushtrohet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plotësisht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pjesërisht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veprimtaria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transparent,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kusht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pjesëmarrja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pronësisë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transparent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mbahet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drejtpërdrejt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përmes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zinxhiri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entitetesh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transparente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3EF5F83" w14:textId="77777777" w:rsid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AA573CB" w14:textId="4C442B6B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>Neni 42</w:t>
      </w:r>
    </w:p>
    <w:p w14:paraId="7857FBCC" w14:textId="4B559C0F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përfundimtar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nënshtrohet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regjimi</w:t>
      </w:r>
      <w:r w:rsidR="007C161C">
        <w:rPr>
          <w:rFonts w:ascii="Times New Roman" w:hAnsi="Times New Roman" w:cs="Times New Roman"/>
          <w:b/>
          <w:bCs/>
          <w:sz w:val="24"/>
          <w:szCs w:val="24"/>
          <w:lang w:val="en-GB"/>
        </w:rPr>
        <w:t>t</w:t>
      </w:r>
      <w:proofErr w:type="spellEnd"/>
      <w:r w:rsidR="007C161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dividen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d</w:t>
      </w:r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it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të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zbritshëm</w:t>
      </w:r>
      <w:proofErr w:type="spellEnd"/>
    </w:p>
    <w:p w14:paraId="6263C522" w14:textId="77777777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288E854A" w14:textId="29A7AA9B" w:rsidR="00AD4E33" w:rsidRPr="00AD4E33" w:rsidRDefault="00AD4E33" w:rsidP="001A2016">
      <w:pPr>
        <w:pStyle w:val="ListParagraph"/>
        <w:numPr>
          <w:ilvl w:val="0"/>
          <w:numId w:val="26"/>
        </w:numPr>
        <w:tabs>
          <w:tab w:val="left" w:pos="-90"/>
          <w:tab w:val="left" w:pos="0"/>
          <w:tab w:val="left" w:pos="180"/>
          <w:tab w:val="left" w:pos="360"/>
          <w:tab w:val="left" w:pos="450"/>
        </w:tabs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zbatohen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përkufizimet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E9C3CD9" w14:textId="77777777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AD75049" w14:textId="7E76BC7F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lastRenderedPageBreak/>
        <w:t>a) “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regjim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dividentit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zbritshëm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thot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regjim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aplikon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nivel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vetëm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pronarëve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duke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zbritur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përjashtuar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vetë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fitimet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shpërndara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pronarët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duke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përjashtuar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kooperativë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12FD94F" w14:textId="77777777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3B08EE7" w14:textId="4F27A77F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b) “dividend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zbritshëm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thot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regjimi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dividentit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zbritshëm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076720A5" w14:textId="77777777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A5BFC90" w14:textId="77777777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shpërndarje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fitimesh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mbajtësi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interesi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pronësie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cila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zbritet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tatueshme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ligjeve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juridiksionit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ndodhet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</w:p>
    <w:p w14:paraId="55F4D0A4" w14:textId="200E200D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ii)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dividend “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patronazhi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anëtar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kooperative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;</w:t>
      </w:r>
      <w:r w:rsidR="006A42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A427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2BF5037D" w14:textId="77777777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1939911" w14:textId="77777777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>c) “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kooperativë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nënkupton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tregton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blen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mënyrë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kolektive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mallra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shërbime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emër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anëtarëve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regjimi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ndodhet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cili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siguron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neutralitet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mallrat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shërbimet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shiten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blihen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anëtarët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përmes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kooperativës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6640607" w14:textId="77777777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6482745" w14:textId="4734DA51" w:rsidR="00AD4E33" w:rsidRPr="00AD4E33" w:rsidRDefault="00AD4E33" w:rsidP="001A2016">
      <w:pPr>
        <w:pStyle w:val="ListParagraph"/>
        <w:numPr>
          <w:ilvl w:val="0"/>
          <w:numId w:val="26"/>
        </w:num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582C">
        <w:rPr>
          <w:rFonts w:ascii="Times New Roman" w:hAnsi="Times New Roman" w:cs="Times New Roman"/>
          <w:sz w:val="24"/>
          <w:szCs w:val="24"/>
          <w:lang w:val="en-GB"/>
        </w:rPr>
        <w:t>shoqërie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regjimi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dividentit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zbritshëm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e ul,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deri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zero,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shpërndahet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dividend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zbritshëm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brenda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12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muajve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pas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kusht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plotësohet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kushtet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191724B0" w14:textId="77777777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7E72445" w14:textId="42F23CE7" w:rsidR="00AD4E33" w:rsidRPr="00AD4E33" w:rsidRDefault="00AD4E33" w:rsidP="007C161C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dividen</w:t>
      </w:r>
      <w:r>
        <w:rPr>
          <w:rFonts w:ascii="Times New Roman" w:hAnsi="Times New Roman" w:cs="Times New Roman"/>
          <w:sz w:val="24"/>
          <w:szCs w:val="24"/>
          <w:lang w:val="en-GB"/>
        </w:rPr>
        <w:t>d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duart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përfituesit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periudhë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përfundon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brenda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12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muajve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pas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normë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nominale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lartë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se norma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minimale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</w:p>
    <w:p w14:paraId="6967249C" w14:textId="77777777" w:rsidR="00AD4E33" w:rsidRPr="00AD4E33" w:rsidRDefault="00AD4E33" w:rsidP="007C161C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4F461B2" w14:textId="43B91DE6" w:rsidR="00AD4E33" w:rsidRPr="00AD4E33" w:rsidRDefault="00AD4E33" w:rsidP="007C161C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mund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mënyrë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arsyeshme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përgjithshme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="00350AFB" w:rsidRPr="00350AFB">
        <w:t xml:space="preserve"> </w:t>
      </w:r>
      <w:proofErr w:type="spellStart"/>
      <w:r w:rsidR="00350AFB" w:rsidRPr="00350AF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350AFB" w:rsidRPr="00350AF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50AFB" w:rsidRPr="00350AFB">
        <w:rPr>
          <w:rFonts w:ascii="Times New Roman" w:hAnsi="Times New Roman" w:cs="Times New Roman"/>
          <w:sz w:val="24"/>
          <w:szCs w:val="24"/>
          <w:lang w:val="en-GB"/>
        </w:rPr>
        <w:t>korrigjuara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paguara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përfituesi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dividend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jetë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madhe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shumëzuar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normën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minimale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E54A828" w14:textId="77777777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0C3CCBE" w14:textId="5D112232" w:rsidR="00AD4E33" w:rsidRPr="00AD4E33" w:rsidRDefault="00AD4E33" w:rsidP="001A2016">
      <w:pPr>
        <w:pStyle w:val="ListParagraph"/>
        <w:numPr>
          <w:ilvl w:val="0"/>
          <w:numId w:val="26"/>
        </w:num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ndërmarrjesh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regjimi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dividendit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zbritshëm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e ul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gjithashtu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deri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zero,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shpërndan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dividend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zbritshëm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brenda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12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muajve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pas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kusht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përfituesi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jetë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mëposhtmit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62925011" w14:textId="77777777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2167B1D" w14:textId="77777777" w:rsidR="00AD4E33" w:rsidRPr="00AD4E33" w:rsidRDefault="00AD4E33" w:rsidP="007C161C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individ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dividenti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marrë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dividend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patronazhi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kooperativë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furnizimi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37DC054" w14:textId="77777777" w:rsidR="00AD4E33" w:rsidRPr="00AD4E33" w:rsidRDefault="00AD4E33" w:rsidP="007C161C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b)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individ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rezident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njëjtin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ndodhet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mban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interesa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pronësie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përfaqësojnë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drejtë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deri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5%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pak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fitimeve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aktiveve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</w:p>
    <w:p w14:paraId="1A484A95" w14:textId="77777777" w:rsidR="00AD4E33" w:rsidRPr="00AD4E33" w:rsidRDefault="00AD4E33" w:rsidP="007C161C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c)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qeveritar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organizatë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ndërkombëtare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organizatë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jofitimprurëse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fond pensioni (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përveç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shërbimeve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pensioneve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rezident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ndodhet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261F777" w14:textId="77777777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F667B79" w14:textId="77777777" w:rsidR="00AD4E33" w:rsidRDefault="00AD4E33" w:rsidP="001A2016">
      <w:pPr>
        <w:pStyle w:val="ListParagraph"/>
        <w:numPr>
          <w:ilvl w:val="0"/>
          <w:numId w:val="26"/>
        </w:num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përveç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cilat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lejuar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zbritja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dividendit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ulen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proporcionalisht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reduktuar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paragrafët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2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3,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D3D8C6A" w14:textId="77777777" w:rsid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17ED923" w14:textId="38912DDC" w:rsidR="00AD4E33" w:rsidRPr="00AD4E33" w:rsidRDefault="00AD4E33" w:rsidP="001A2016">
      <w:pPr>
        <w:pStyle w:val="ListParagraph"/>
        <w:numPr>
          <w:ilvl w:val="0"/>
          <w:numId w:val="26"/>
        </w:num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Kur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mban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interes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pronësie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tjetër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regjimi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dividendit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zbritshëm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drejtpërdrejt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përmes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zinxhiri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tillë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entitetesh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paragrafët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2, 3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4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zbatohen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tjetër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regjimi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masën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shpërndahen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tej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përfitues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plotësojnë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kushtet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përcaktuara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paragrafët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2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3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D119965" w14:textId="77777777" w:rsidR="00AD4E33" w:rsidRDefault="00AD4E33" w:rsidP="00AD4E33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885BC0A" w14:textId="5A87169D" w:rsidR="00AD4E33" w:rsidRPr="00AD4E33" w:rsidRDefault="00AD4E33" w:rsidP="001A2016">
      <w:pPr>
        <w:pStyle w:val="ListParagraph"/>
        <w:numPr>
          <w:ilvl w:val="0"/>
          <w:numId w:val="26"/>
        </w:num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2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dividend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patronazhi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shpërndarë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kooperativë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furnizimi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trajtohet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tatueshëm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duart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përfituesit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aq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ky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dividend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redukton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shpenzim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kosto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zbritshme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tatueshme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përfituesit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2D01A9D" w14:textId="77777777" w:rsid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8166811" w14:textId="68B24314" w:rsidR="00AD4E33" w:rsidRPr="009B2DB7" w:rsidRDefault="00AD4E33" w:rsidP="006A427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9B2DB7">
        <w:rPr>
          <w:rFonts w:ascii="Times New Roman" w:hAnsi="Times New Roman" w:cs="Times New Roman"/>
          <w:sz w:val="24"/>
          <w:szCs w:val="24"/>
          <w:lang w:val="en-GB"/>
        </w:rPr>
        <w:t>Neni 43</w:t>
      </w:r>
    </w:p>
    <w:p w14:paraId="1EA32C5E" w14:textId="11309497" w:rsidR="00AD4E33" w:rsidRPr="00AD4E33" w:rsidRDefault="00AD4E33" w:rsidP="006A427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9B2DB7">
        <w:rPr>
          <w:rFonts w:ascii="Times New Roman" w:hAnsi="Times New Roman" w:cs="Times New Roman"/>
          <w:b/>
          <w:bCs/>
          <w:sz w:val="24"/>
          <w:szCs w:val="24"/>
          <w:lang w:val="en-GB"/>
        </w:rPr>
        <w:t>Entiteti</w:t>
      </w:r>
      <w:proofErr w:type="spellEnd"/>
      <w:r w:rsidRPr="009B2DB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b/>
          <w:bCs/>
          <w:sz w:val="24"/>
          <w:szCs w:val="24"/>
          <w:lang w:val="en-GB"/>
        </w:rPr>
        <w:t>përbërës</w:t>
      </w:r>
      <w:proofErr w:type="spellEnd"/>
      <w:r w:rsidRPr="009B2DB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b/>
          <w:bCs/>
          <w:sz w:val="24"/>
          <w:szCs w:val="24"/>
          <w:lang w:val="en-GB"/>
        </w:rPr>
        <w:t>që</w:t>
      </w:r>
      <w:proofErr w:type="spellEnd"/>
      <w:r w:rsidRPr="009B2DB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proofErr w:type="spellEnd"/>
      <w:r w:rsidRPr="009B2DB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b/>
          <w:bCs/>
          <w:sz w:val="24"/>
          <w:szCs w:val="24"/>
          <w:lang w:val="en-GB"/>
        </w:rPr>
        <w:t>nënshtrohet</w:t>
      </w:r>
      <w:proofErr w:type="spellEnd"/>
      <w:r w:rsidRPr="009B2DB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b/>
          <w:bCs/>
          <w:sz w:val="24"/>
          <w:szCs w:val="24"/>
          <w:lang w:val="en-GB"/>
        </w:rPr>
        <w:t>një</w:t>
      </w:r>
      <w:proofErr w:type="spellEnd"/>
      <w:r w:rsidRPr="009B2DB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b/>
          <w:bCs/>
          <w:sz w:val="24"/>
          <w:szCs w:val="24"/>
          <w:lang w:val="en-GB"/>
        </w:rPr>
        <w:t>sistemi</w:t>
      </w:r>
      <w:proofErr w:type="spellEnd"/>
      <w:r w:rsidRPr="009B2DB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b/>
          <w:bCs/>
          <w:sz w:val="24"/>
          <w:szCs w:val="24"/>
          <w:lang w:val="en-GB"/>
        </w:rPr>
        <w:t>tatimor</w:t>
      </w:r>
      <w:proofErr w:type="spellEnd"/>
      <w:r w:rsidRPr="009B2DB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b/>
          <w:bCs/>
          <w:sz w:val="24"/>
          <w:szCs w:val="24"/>
          <w:lang w:val="en-GB"/>
        </w:rPr>
        <w:t>të</w:t>
      </w:r>
      <w:proofErr w:type="spellEnd"/>
      <w:r w:rsidRPr="009B2DB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b/>
          <w:bCs/>
          <w:sz w:val="24"/>
          <w:szCs w:val="24"/>
          <w:lang w:val="en-GB"/>
        </w:rPr>
        <w:t>p</w:t>
      </w:r>
      <w:r w:rsidR="006C508F" w:rsidRPr="009B2DB7">
        <w:rPr>
          <w:rFonts w:ascii="Times New Roman" w:hAnsi="Times New Roman" w:cs="Times New Roman"/>
          <w:b/>
          <w:bCs/>
          <w:sz w:val="24"/>
          <w:szCs w:val="24"/>
          <w:lang w:val="en-GB"/>
        </w:rPr>
        <w:t>ërshtatshëm</w:t>
      </w:r>
      <w:proofErr w:type="spellEnd"/>
      <w:r w:rsidR="006C508F" w:rsidRPr="009B2DB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6C508F" w:rsidRPr="009B2DB7">
        <w:rPr>
          <w:rFonts w:ascii="Times New Roman" w:hAnsi="Times New Roman" w:cs="Times New Roman"/>
          <w:b/>
          <w:bCs/>
          <w:sz w:val="24"/>
          <w:szCs w:val="24"/>
          <w:lang w:val="en-GB"/>
        </w:rPr>
        <w:t>mbi</w:t>
      </w:r>
      <w:proofErr w:type="spellEnd"/>
      <w:r w:rsidR="006C508F" w:rsidRPr="009B2DB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6C508F" w:rsidRPr="009B2DB7">
        <w:rPr>
          <w:rFonts w:ascii="Times New Roman" w:hAnsi="Times New Roman" w:cs="Times New Roman"/>
          <w:b/>
          <w:bCs/>
          <w:sz w:val="24"/>
          <w:szCs w:val="24"/>
          <w:lang w:val="en-GB"/>
        </w:rPr>
        <w:t>shpërndarjen</w:t>
      </w:r>
      <w:proofErr w:type="spellEnd"/>
    </w:p>
    <w:p w14:paraId="74E9E3F8" w14:textId="77777777" w:rsidR="00AD4E33" w:rsidRPr="00386E9F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BDB886B" w14:textId="3A285242" w:rsidR="00AD4E33" w:rsidRPr="00386E9F" w:rsidRDefault="00D832DF" w:rsidP="00D832DF">
      <w:pPr>
        <w:tabs>
          <w:tab w:val="left" w:pos="-90"/>
          <w:tab w:val="left" w:pos="0"/>
          <w:tab w:val="left" w:pos="18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1.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>, “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sistemi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përshtatshëm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shpërndarjen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nënkupton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regjim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korporatave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përmbush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kushtet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00D5D4B" w14:textId="77777777" w:rsidR="00AD4E33" w:rsidRPr="00386E9F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BC0D9B7" w14:textId="2FBCC69D" w:rsidR="00AD4E33" w:rsidRPr="00386E9F" w:rsidRDefault="00AD4E33" w:rsidP="006C508F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vendos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tatim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fitimet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vetëm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këto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fitime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shpërndahen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konsiderohen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shpërndara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te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aksionarët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shoqëria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kryen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disa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shpenzime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jo-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biznesore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06D28A9" w14:textId="77777777" w:rsidR="00AD4E33" w:rsidRPr="00386E9F" w:rsidRDefault="00AD4E33" w:rsidP="006C508F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vendos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tatim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normë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lartë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se norma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minimale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46BD9371" w14:textId="77777777" w:rsidR="00AD4E33" w:rsidRPr="00386E9F" w:rsidRDefault="00AD4E33" w:rsidP="006C508F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c) ka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qenë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fuqi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përpara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datës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1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korrik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2021.</w:t>
      </w:r>
    </w:p>
    <w:p w14:paraId="71CE2ACB" w14:textId="77777777" w:rsidR="00AD4E33" w:rsidRPr="00386E9F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D4C984C" w14:textId="36A604B0" w:rsidR="00AD4E33" w:rsidRPr="009B2DB7" w:rsidRDefault="00CA56EB" w:rsidP="009B2DB7">
      <w:pPr>
        <w:tabs>
          <w:tab w:val="left" w:pos="-90"/>
          <w:tab w:val="left" w:pos="0"/>
          <w:tab w:val="left" w:pos="18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2.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A19" w:rsidRPr="009B2DB7">
        <w:rPr>
          <w:rFonts w:ascii="Times New Roman" w:hAnsi="Times New Roman" w:cs="Times New Roman"/>
          <w:sz w:val="24"/>
          <w:szCs w:val="24"/>
          <w:lang w:val="en-GB"/>
        </w:rPr>
        <w:t>deklarues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mund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bëjë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zgjedhje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veten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tjetër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proofErr w:type="gram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sistemi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përshtatshëm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shpërndarje</w:t>
      </w:r>
      <w:r w:rsidRPr="009B2DB7">
        <w:rPr>
          <w:rFonts w:ascii="Times New Roman" w:hAnsi="Times New Roman" w:cs="Times New Roman"/>
          <w:sz w:val="24"/>
          <w:szCs w:val="24"/>
          <w:lang w:val="en-GB"/>
        </w:rPr>
        <w:t>n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përfshirë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konsideruar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shpërndar</w:t>
      </w:r>
      <w:r w:rsidR="00154EB1" w:rsidRPr="009B2DB7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korrigjuara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lastRenderedPageBreak/>
        <w:t>përcaktuar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3,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Kjo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zgjedhje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zbatohet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B8DB58C" w14:textId="77777777" w:rsidR="00AD4E33" w:rsidRDefault="00AD4E33" w:rsidP="00AD4E33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B85B3D7" w14:textId="3D5BFD6D" w:rsidR="00386E9F" w:rsidRPr="009B2DB7" w:rsidRDefault="006A4273" w:rsidP="009B2DB7">
      <w:pPr>
        <w:tabs>
          <w:tab w:val="left" w:pos="-90"/>
          <w:tab w:val="left" w:pos="0"/>
          <w:tab w:val="left" w:pos="180"/>
          <w:tab w:val="left" w:pos="45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3. </w:t>
      </w:r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Shuma 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konsideruar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shpërndarjes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2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vogla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160B672" w14:textId="21285303" w:rsidR="00AD4E33" w:rsidRPr="009B2DB7" w:rsidRDefault="00AD4E33" w:rsidP="009B2DB7">
      <w:pPr>
        <w:tabs>
          <w:tab w:val="left" w:pos="-90"/>
          <w:tab w:val="left" w:pos="0"/>
          <w:tab w:val="left" w:pos="180"/>
          <w:tab w:val="left" w:pos="450"/>
          <w:tab w:val="left" w:pos="540"/>
        </w:tabs>
        <w:spacing w:after="0"/>
        <w:jc w:val="both"/>
        <w:rPr>
          <w:rFonts w:ascii="Times New Roman" w:hAnsi="Times New Roman" w:cs="Times New Roman"/>
          <w:lang w:val="en-GB"/>
        </w:rPr>
      </w:pPr>
      <w:r w:rsidRPr="009B2DB7">
        <w:rPr>
          <w:rFonts w:ascii="Times New Roman" w:hAnsi="Times New Roman" w:cs="Times New Roman"/>
          <w:lang w:val="en-GB"/>
        </w:rPr>
        <w:t xml:space="preserve">a) </w:t>
      </w:r>
      <w:proofErr w:type="spellStart"/>
      <w:r w:rsidRPr="009B2DB7">
        <w:rPr>
          <w:rFonts w:ascii="Times New Roman" w:hAnsi="Times New Roman" w:cs="Times New Roman"/>
          <w:lang w:val="en-GB"/>
        </w:rPr>
        <w:t>shuma</w:t>
      </w:r>
      <w:proofErr w:type="spellEnd"/>
      <w:r w:rsidRPr="009B2DB7">
        <w:rPr>
          <w:rFonts w:ascii="Times New Roman" w:hAnsi="Times New Roman" w:cs="Times New Roman"/>
          <w:lang w:val="en-GB"/>
        </w:rPr>
        <w:t xml:space="preserve"> e </w:t>
      </w:r>
      <w:proofErr w:type="spellStart"/>
      <w:r w:rsidRPr="009B2DB7">
        <w:rPr>
          <w:rFonts w:ascii="Times New Roman" w:hAnsi="Times New Roman" w:cs="Times New Roman"/>
          <w:lang w:val="en-GB"/>
        </w:rPr>
        <w:t>tatimeve</w:t>
      </w:r>
      <w:proofErr w:type="spellEnd"/>
      <w:r w:rsidRPr="009B2DB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lang w:val="en-GB"/>
        </w:rPr>
        <w:t>të</w:t>
      </w:r>
      <w:proofErr w:type="spellEnd"/>
      <w:r w:rsidRPr="009B2DB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lang w:val="en-GB"/>
        </w:rPr>
        <w:t>mbuluara</w:t>
      </w:r>
      <w:proofErr w:type="spellEnd"/>
      <w:r w:rsidRPr="009B2DB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lang w:val="en-GB"/>
        </w:rPr>
        <w:t>të</w:t>
      </w:r>
      <w:proofErr w:type="spellEnd"/>
      <w:r w:rsidRPr="009B2DB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lang w:val="en-GB"/>
        </w:rPr>
        <w:t>korrigjuara</w:t>
      </w:r>
      <w:proofErr w:type="spellEnd"/>
      <w:r w:rsidRPr="009B2DB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lang w:val="en-GB"/>
        </w:rPr>
        <w:t>që</w:t>
      </w:r>
      <w:proofErr w:type="spellEnd"/>
      <w:r w:rsidRPr="009B2DB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lang w:val="en-GB"/>
        </w:rPr>
        <w:t>është</w:t>
      </w:r>
      <w:proofErr w:type="spellEnd"/>
      <w:r w:rsidRPr="009B2DB7">
        <w:rPr>
          <w:rFonts w:ascii="Times New Roman" w:hAnsi="Times New Roman" w:cs="Times New Roman"/>
          <w:lang w:val="en-GB"/>
        </w:rPr>
        <w:t xml:space="preserve"> e </w:t>
      </w:r>
      <w:proofErr w:type="spellStart"/>
      <w:r w:rsidRPr="009B2DB7">
        <w:rPr>
          <w:rFonts w:ascii="Times New Roman" w:hAnsi="Times New Roman" w:cs="Times New Roman"/>
          <w:lang w:val="en-GB"/>
        </w:rPr>
        <w:t>nevojshme</w:t>
      </w:r>
      <w:proofErr w:type="spellEnd"/>
      <w:r w:rsidRPr="009B2DB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lang w:val="en-GB"/>
        </w:rPr>
        <w:t>për</w:t>
      </w:r>
      <w:proofErr w:type="spellEnd"/>
      <w:r w:rsidRPr="009B2DB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lang w:val="en-GB"/>
        </w:rPr>
        <w:t>të</w:t>
      </w:r>
      <w:proofErr w:type="spellEnd"/>
      <w:r w:rsidRPr="009B2DB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lang w:val="en-GB"/>
        </w:rPr>
        <w:t>rritur</w:t>
      </w:r>
      <w:proofErr w:type="spellEnd"/>
      <w:r w:rsidRPr="009B2DB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lang w:val="en-GB"/>
        </w:rPr>
        <w:t>normën</w:t>
      </w:r>
      <w:proofErr w:type="spellEnd"/>
      <w:r w:rsidRPr="009B2DB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lang w:val="en-GB"/>
        </w:rPr>
        <w:t>efektive</w:t>
      </w:r>
      <w:proofErr w:type="spellEnd"/>
      <w:r w:rsidRPr="009B2DB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lang w:val="en-GB"/>
        </w:rPr>
        <w:t>tatimore</w:t>
      </w:r>
      <w:proofErr w:type="spellEnd"/>
      <w:r w:rsidRPr="009B2DB7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9B2DB7">
        <w:rPr>
          <w:rFonts w:ascii="Times New Roman" w:hAnsi="Times New Roman" w:cs="Times New Roman"/>
          <w:lang w:val="en-GB"/>
        </w:rPr>
        <w:t>të</w:t>
      </w:r>
      <w:proofErr w:type="spellEnd"/>
      <w:r w:rsidRPr="009B2DB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lang w:val="en-GB"/>
        </w:rPr>
        <w:t>llogaritur</w:t>
      </w:r>
      <w:proofErr w:type="spellEnd"/>
      <w:r w:rsidRPr="009B2DB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lang w:val="en-GB"/>
        </w:rPr>
        <w:t>në</w:t>
      </w:r>
      <w:proofErr w:type="spellEnd"/>
      <w:r w:rsidRPr="009B2DB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lang w:val="en-GB"/>
        </w:rPr>
        <w:t>përputhje</w:t>
      </w:r>
      <w:proofErr w:type="spellEnd"/>
      <w:r w:rsidRPr="009B2DB7">
        <w:rPr>
          <w:rFonts w:ascii="Times New Roman" w:hAnsi="Times New Roman" w:cs="Times New Roman"/>
          <w:lang w:val="en-GB"/>
        </w:rPr>
        <w:t xml:space="preserve"> me </w:t>
      </w:r>
      <w:proofErr w:type="spellStart"/>
      <w:r w:rsidRPr="009B2DB7">
        <w:rPr>
          <w:rFonts w:ascii="Times New Roman" w:hAnsi="Times New Roman" w:cs="Times New Roman"/>
          <w:lang w:val="en-GB"/>
        </w:rPr>
        <w:t>nenin</w:t>
      </w:r>
      <w:proofErr w:type="spellEnd"/>
      <w:r w:rsidRPr="009B2DB7">
        <w:rPr>
          <w:rFonts w:ascii="Times New Roman" w:hAnsi="Times New Roman" w:cs="Times New Roman"/>
          <w:lang w:val="en-GB"/>
        </w:rPr>
        <w:t xml:space="preserve"> 26, </w:t>
      </w:r>
      <w:proofErr w:type="spellStart"/>
      <w:r w:rsidRPr="009B2DB7">
        <w:rPr>
          <w:rFonts w:ascii="Times New Roman" w:hAnsi="Times New Roman" w:cs="Times New Roman"/>
          <w:lang w:val="en-GB"/>
        </w:rPr>
        <w:t>të</w:t>
      </w:r>
      <w:proofErr w:type="spellEnd"/>
      <w:r w:rsidRPr="009B2DB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lang w:val="en-GB"/>
        </w:rPr>
        <w:t>këtij</w:t>
      </w:r>
      <w:proofErr w:type="spellEnd"/>
      <w:r w:rsidRPr="009B2DB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lang w:val="en-GB"/>
        </w:rPr>
        <w:t>Ligji</w:t>
      </w:r>
      <w:proofErr w:type="spellEnd"/>
      <w:r w:rsidRPr="009B2DB7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9B2DB7">
        <w:rPr>
          <w:rFonts w:ascii="Times New Roman" w:hAnsi="Times New Roman" w:cs="Times New Roman"/>
          <w:lang w:val="en-GB"/>
        </w:rPr>
        <w:t>për</w:t>
      </w:r>
      <w:proofErr w:type="spellEnd"/>
      <w:r w:rsidRPr="009B2DB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lang w:val="en-GB"/>
        </w:rPr>
        <w:t>juridiksionin</w:t>
      </w:r>
      <w:proofErr w:type="spellEnd"/>
      <w:r w:rsidRPr="009B2DB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lang w:val="en-GB"/>
        </w:rPr>
        <w:t>për</w:t>
      </w:r>
      <w:proofErr w:type="spellEnd"/>
      <w:r w:rsidRPr="009B2DB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lang w:val="en-GB"/>
        </w:rPr>
        <w:t>vitin</w:t>
      </w:r>
      <w:proofErr w:type="spellEnd"/>
      <w:r w:rsidRPr="009B2DB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lang w:val="en-GB"/>
        </w:rPr>
        <w:t>fiskal</w:t>
      </w:r>
      <w:proofErr w:type="spellEnd"/>
      <w:r w:rsidRPr="009B2DB7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9B2DB7">
        <w:rPr>
          <w:rFonts w:ascii="Times New Roman" w:hAnsi="Times New Roman" w:cs="Times New Roman"/>
          <w:lang w:val="en-GB"/>
        </w:rPr>
        <w:t>deri</w:t>
      </w:r>
      <w:proofErr w:type="spellEnd"/>
      <w:r w:rsidRPr="009B2DB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lang w:val="en-GB"/>
        </w:rPr>
        <w:t>në</w:t>
      </w:r>
      <w:proofErr w:type="spellEnd"/>
      <w:r w:rsidRPr="009B2DB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lang w:val="en-GB"/>
        </w:rPr>
        <w:t>normën</w:t>
      </w:r>
      <w:proofErr w:type="spellEnd"/>
      <w:r w:rsidRPr="009B2DB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lang w:val="en-GB"/>
        </w:rPr>
        <w:t>minimale</w:t>
      </w:r>
      <w:proofErr w:type="spellEnd"/>
      <w:r w:rsidRPr="009B2DB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lang w:val="en-GB"/>
        </w:rPr>
        <w:t>të</w:t>
      </w:r>
      <w:proofErr w:type="spellEnd"/>
      <w:r w:rsidRPr="009B2DB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B2DB7">
        <w:rPr>
          <w:rFonts w:ascii="Times New Roman" w:hAnsi="Times New Roman" w:cs="Times New Roman"/>
          <w:lang w:val="en-GB"/>
        </w:rPr>
        <w:t>tatimit</w:t>
      </w:r>
      <w:proofErr w:type="spellEnd"/>
      <w:r w:rsidRPr="009B2DB7">
        <w:rPr>
          <w:rFonts w:ascii="Times New Roman" w:hAnsi="Times New Roman" w:cs="Times New Roman"/>
          <w:lang w:val="en-GB"/>
        </w:rPr>
        <w:t xml:space="preserve">; </w:t>
      </w:r>
      <w:proofErr w:type="spellStart"/>
      <w:r w:rsidRPr="009B2DB7">
        <w:rPr>
          <w:rFonts w:ascii="Times New Roman" w:hAnsi="Times New Roman" w:cs="Times New Roman"/>
          <w:lang w:val="en-GB"/>
        </w:rPr>
        <w:t>ose</w:t>
      </w:r>
      <w:proofErr w:type="spellEnd"/>
    </w:p>
    <w:p w14:paraId="558A780A" w14:textId="0D161691" w:rsidR="00AD4E33" w:rsidRPr="00386E9F" w:rsidRDefault="00AD4E33" w:rsidP="009B2DB7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ishte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detyrueshme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kishin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shpërndarë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e tyre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nënshtrohen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sistemit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A56E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A56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A56EB">
        <w:rPr>
          <w:rFonts w:ascii="Times New Roman" w:hAnsi="Times New Roman" w:cs="Times New Roman"/>
          <w:sz w:val="24"/>
          <w:szCs w:val="24"/>
          <w:lang w:val="en-GB"/>
        </w:rPr>
        <w:t>përshtatshëm</w:t>
      </w:r>
      <w:proofErr w:type="spellEnd"/>
      <w:r w:rsidR="00CA56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A56E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CA56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shpërndarjes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gjatë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atij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viti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C2C0913" w14:textId="77777777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7D1DE03" w14:textId="236C7598" w:rsidR="00AD4E33" w:rsidRPr="009B2DB7" w:rsidRDefault="00386E9F" w:rsidP="009B2DB7">
      <w:pPr>
        <w:tabs>
          <w:tab w:val="left" w:pos="-90"/>
          <w:tab w:val="left" w:pos="0"/>
          <w:tab w:val="left" w:pos="18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4. </w:t>
      </w:r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Shuma 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konsideruar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shpërndarje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përcaktuar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3,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  </w:t>
      </w:r>
      <w:proofErr w:type="spellStart"/>
      <w:proofErr w:type="gram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përfshin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ishte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detyrueshme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shpërndarjen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tatimeve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paguara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regjimeve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tjera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F2C0C37" w14:textId="77777777" w:rsid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540"/>
        </w:tabs>
        <w:spacing w:after="0"/>
        <w:ind w:left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BEF0260" w14:textId="6C8F60B7" w:rsidR="00386E9F" w:rsidRPr="009B2DB7" w:rsidRDefault="00386E9F" w:rsidP="009B2DB7">
      <w:pPr>
        <w:tabs>
          <w:tab w:val="left" w:pos="-90"/>
          <w:tab w:val="left" w:pos="0"/>
          <w:tab w:val="left" w:pos="18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5. </w:t>
      </w:r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Kur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bëhet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zgjedhja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2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krijohet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llogari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rikuperimin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konsideruar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shpërndarje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zbatohet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kjo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zgjedhje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. Shuma 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përcaktuar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3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shtohet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kësaj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llogarie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A8037FF" w14:textId="77777777" w:rsidR="00AD4E33" w:rsidRPr="009B2DB7" w:rsidRDefault="00AD4E33" w:rsidP="009B2DB7">
      <w:pPr>
        <w:tabs>
          <w:tab w:val="left" w:pos="-90"/>
          <w:tab w:val="left" w:pos="0"/>
          <w:tab w:val="left" w:pos="18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EF9F8D8" w14:textId="2EE64C2F" w:rsidR="00386E9F" w:rsidRPr="009B2DB7" w:rsidRDefault="00386E9F" w:rsidP="009B2DB7">
      <w:pPr>
        <w:tabs>
          <w:tab w:val="left" w:pos="-90"/>
          <w:tab w:val="left" w:pos="0"/>
          <w:tab w:val="left" w:pos="18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6.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fund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viti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pasardhës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gjendjet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mbetura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llogarive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rikuperimit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konsideruar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shpërndarje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vitet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mëparshme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reduktohen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rendit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kronologjik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deri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zero, me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tatimeve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paguara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realisht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gjatë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atij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viti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shpërndarje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reale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konsideruara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9192BD9" w14:textId="77777777" w:rsidR="00AD4E33" w:rsidRPr="009B2DB7" w:rsidRDefault="00AD4E33" w:rsidP="009B2DB7">
      <w:pPr>
        <w:tabs>
          <w:tab w:val="left" w:pos="-90"/>
          <w:tab w:val="left" w:pos="0"/>
          <w:tab w:val="left" w:pos="18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D097965" w14:textId="54056710" w:rsidR="00AD4E33" w:rsidRPr="009B2DB7" w:rsidRDefault="00386E9F" w:rsidP="009B2DB7">
      <w:pPr>
        <w:tabs>
          <w:tab w:val="left" w:pos="-90"/>
          <w:tab w:val="left" w:pos="0"/>
          <w:tab w:val="left" w:pos="18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7.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mbetur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këto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llogari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pas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zbatimit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6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reduktohet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deri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zero me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humbjen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shumëzuar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normën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minimale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86B14C1" w14:textId="77777777" w:rsidR="00386E9F" w:rsidRPr="00AD4E33" w:rsidRDefault="00386E9F" w:rsidP="00AD4E33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27955A70" w14:textId="0204D253" w:rsidR="00386E9F" w:rsidRPr="009B2DB7" w:rsidRDefault="00386E9F" w:rsidP="009B2DB7">
      <w:pPr>
        <w:tabs>
          <w:tab w:val="left" w:pos="-90"/>
          <w:tab w:val="left" w:pos="0"/>
          <w:tab w:val="left" w:pos="18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8.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pjesë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mbetur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shumëzuar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normën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minimale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pas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zbatimit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7,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bartet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vitet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fiskale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pasardhëse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redukton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mbetur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llogaritë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rikuperimit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konsideruar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shpërndarje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pas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zbatimit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6.</w:t>
      </w:r>
    </w:p>
    <w:p w14:paraId="22AA6682" w14:textId="77777777" w:rsidR="00AD4E33" w:rsidRPr="009B2DB7" w:rsidRDefault="00AD4E33" w:rsidP="009B2DB7">
      <w:pPr>
        <w:tabs>
          <w:tab w:val="left" w:pos="-90"/>
          <w:tab w:val="left" w:pos="0"/>
          <w:tab w:val="left" w:pos="18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41A94C9" w14:textId="0E057A38" w:rsidR="00AD4E33" w:rsidRPr="009B2DB7" w:rsidRDefault="00386E9F" w:rsidP="009B2DB7">
      <w:pPr>
        <w:tabs>
          <w:tab w:val="left" w:pos="-90"/>
          <w:tab w:val="left" w:pos="0"/>
          <w:tab w:val="left" w:pos="18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9.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Gjendja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mbetur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ka, 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llogarisë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rikuperimit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konsideruar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shpërndarje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ditën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fundit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katërt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pas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krijuar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kjo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llogari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trajtohet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ulje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tatimeve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korrigjuara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përcaktuara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parë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. Norma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efektive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rillogariten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nenin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32,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B641960" w14:textId="77777777" w:rsidR="00386E9F" w:rsidRPr="00AD4E33" w:rsidRDefault="00386E9F" w:rsidP="00AD4E33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075F685B" w14:textId="51C40AAD" w:rsidR="00AD4E33" w:rsidRPr="009B2DB7" w:rsidRDefault="00386E9F" w:rsidP="009B2DB7">
      <w:pPr>
        <w:tabs>
          <w:tab w:val="left" w:pos="-90"/>
          <w:tab w:val="left" w:pos="0"/>
          <w:tab w:val="left" w:pos="18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10.</w:t>
      </w:r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Tatimet 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paguara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gjatë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viti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shpërndarje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reale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konsideruara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përfshihen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korrigjuara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masën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ato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ulin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llogari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rikuperimin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konsideruar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shpërndarje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paragrafët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6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7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AA60F15" w14:textId="201C2B8C" w:rsidR="00386E9F" w:rsidRPr="00AD4E33" w:rsidRDefault="00386E9F" w:rsidP="00AD4E33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08BC33D1" w14:textId="032E7571" w:rsidR="00AD4E33" w:rsidRPr="009B2DB7" w:rsidRDefault="00386E9F" w:rsidP="009B2DB7">
      <w:pPr>
        <w:tabs>
          <w:tab w:val="left" w:pos="-90"/>
          <w:tab w:val="left" w:pos="0"/>
          <w:tab w:val="left" w:pos="18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11. </w:t>
      </w:r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Kur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qenë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subjekt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zgjedhjes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2,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largohet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 w:rsidRPr="009B2DB7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transferohen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mënyrë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thelb</w:t>
      </w:r>
      <w:r w:rsidR="00AB7580" w:rsidRPr="009B2DB7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sore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aktivet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te</w:t>
      </w:r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k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person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njëjtit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njëjtin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gjendje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mbetur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llogarive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rikuperimit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konsideruar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shpërndarje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trajtohet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ulje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tatimeve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50AFB">
        <w:rPr>
          <w:rFonts w:ascii="Times New Roman" w:hAnsi="Times New Roman" w:cs="Times New Roman"/>
          <w:sz w:val="24"/>
          <w:szCs w:val="24"/>
          <w:lang w:val="en-GB"/>
        </w:rPr>
        <w:t>korrigjuara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secilin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vitet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përkatëse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fiskale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nenin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32,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="00AD4E33" w:rsidRPr="009B2DB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B3318DF" w14:textId="77777777" w:rsidR="00386E9F" w:rsidRPr="00AD4E33" w:rsidRDefault="00386E9F" w:rsidP="00AD4E33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5A8B30D6" w14:textId="6F28421B" w:rsidR="00AD4E33" w:rsidRDefault="00386E9F" w:rsidP="00386E9F">
      <w:pPr>
        <w:tabs>
          <w:tab w:val="left" w:pos="-90"/>
          <w:tab w:val="left" w:pos="0"/>
          <w:tab w:val="left" w:pos="18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12.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e</w:t>
      </w:r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plotësues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duhet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paguar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11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përcaktohet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duke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shumëzuar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fraksion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numëruesi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ardhura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emëruesi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ardhura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juridiksionit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52069A1F" w14:textId="77777777" w:rsidR="00386E9F" w:rsidRDefault="00386E9F" w:rsidP="00386E9F">
      <w:pPr>
        <w:tabs>
          <w:tab w:val="left" w:pos="-90"/>
          <w:tab w:val="left" w:pos="0"/>
          <w:tab w:val="left" w:pos="18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274AD51" w14:textId="1377FC78" w:rsidR="00386E9F" w:rsidRDefault="00386E9F" w:rsidP="00386E9F">
      <w:pPr>
        <w:tabs>
          <w:tab w:val="left" w:pos="-90"/>
          <w:tab w:val="left" w:pos="0"/>
          <w:tab w:val="left" w:pos="18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përcaktohen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me Kreun III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ekziston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bilanc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papaguar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llogarive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r</w:t>
      </w:r>
      <w:r>
        <w:rPr>
          <w:rFonts w:ascii="Times New Roman" w:hAnsi="Times New Roman" w:cs="Times New Roman"/>
          <w:sz w:val="24"/>
          <w:szCs w:val="24"/>
          <w:lang w:val="en-GB"/>
        </w:rPr>
        <w:t>ikthyera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konsideruar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shpërndarë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Pr="00386E9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386E9F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31E1F8E3" w14:textId="004655FA" w:rsidR="00441B62" w:rsidRPr="009B2DB7" w:rsidRDefault="00441B62" w:rsidP="009B2DB7">
      <w:pPr>
        <w:tabs>
          <w:tab w:val="left" w:pos="-90"/>
          <w:tab w:val="left" w:pos="0"/>
          <w:tab w:val="left" w:pos="18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b) E </w:t>
      </w:r>
      <w:proofErr w:type="spellStart"/>
      <w:r w:rsidRPr="00441B62">
        <w:rPr>
          <w:rFonts w:ascii="Times New Roman" w:hAnsi="Times New Roman" w:cs="Times New Roman"/>
          <w:sz w:val="24"/>
          <w:szCs w:val="24"/>
          <w:lang w:val="en-GB"/>
        </w:rPr>
        <w:t>ardhura</w:t>
      </w:r>
      <w:proofErr w:type="spellEnd"/>
      <w:r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41B62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441B62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441B62">
        <w:rPr>
          <w:rFonts w:ascii="Times New Roman" w:hAnsi="Times New Roman" w:cs="Times New Roman"/>
          <w:sz w:val="24"/>
          <w:szCs w:val="24"/>
          <w:lang w:val="en-GB"/>
        </w:rPr>
        <w:t>juridiksionit</w:t>
      </w:r>
      <w:proofErr w:type="spellEnd"/>
      <w:r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41B62">
        <w:rPr>
          <w:rFonts w:ascii="Times New Roman" w:hAnsi="Times New Roman" w:cs="Times New Roman"/>
          <w:sz w:val="24"/>
          <w:szCs w:val="24"/>
          <w:lang w:val="en-GB"/>
        </w:rPr>
        <w:t>përcaktohet</w:t>
      </w:r>
      <w:proofErr w:type="spellEnd"/>
      <w:r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41B6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41B62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441B62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41B6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41B62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26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41B6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41B62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41B62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41B6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41B62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441B62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41B6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41B6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41B62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ka</w:t>
      </w:r>
      <w:r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41B62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41B62">
        <w:rPr>
          <w:rFonts w:ascii="Times New Roman" w:hAnsi="Times New Roman" w:cs="Times New Roman"/>
          <w:sz w:val="24"/>
          <w:szCs w:val="24"/>
          <w:lang w:val="en-GB"/>
        </w:rPr>
        <w:t>bilanc</w:t>
      </w:r>
      <w:proofErr w:type="spellEnd"/>
      <w:r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41B62">
        <w:rPr>
          <w:rFonts w:ascii="Times New Roman" w:hAnsi="Times New Roman" w:cs="Times New Roman"/>
          <w:sz w:val="24"/>
          <w:szCs w:val="24"/>
          <w:lang w:val="en-GB"/>
        </w:rPr>
        <w:t>papaguar</w:t>
      </w:r>
      <w:proofErr w:type="spellEnd"/>
      <w:r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41B62">
        <w:rPr>
          <w:rFonts w:ascii="Times New Roman" w:hAnsi="Times New Roman" w:cs="Times New Roman"/>
          <w:sz w:val="24"/>
          <w:szCs w:val="24"/>
          <w:lang w:val="en-GB"/>
        </w:rPr>
        <w:t>llogarive</w:t>
      </w:r>
      <w:proofErr w:type="spellEnd"/>
      <w:r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41B6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41B62">
        <w:rPr>
          <w:rFonts w:ascii="Times New Roman" w:hAnsi="Times New Roman" w:cs="Times New Roman"/>
          <w:sz w:val="24"/>
          <w:szCs w:val="24"/>
          <w:lang w:val="en-GB"/>
        </w:rPr>
        <w:t>r</w:t>
      </w:r>
      <w:r>
        <w:rPr>
          <w:rFonts w:ascii="Times New Roman" w:hAnsi="Times New Roman" w:cs="Times New Roman"/>
          <w:sz w:val="24"/>
          <w:szCs w:val="24"/>
          <w:lang w:val="en-GB"/>
        </w:rPr>
        <w:t>ikthyera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41B6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41B62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41B62">
        <w:rPr>
          <w:rFonts w:ascii="Times New Roman" w:hAnsi="Times New Roman" w:cs="Times New Roman"/>
          <w:sz w:val="24"/>
          <w:szCs w:val="24"/>
          <w:lang w:val="en-GB"/>
        </w:rPr>
        <w:t>konsideruar</w:t>
      </w:r>
      <w:proofErr w:type="spellEnd"/>
      <w:r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41B62">
        <w:rPr>
          <w:rFonts w:ascii="Times New Roman" w:hAnsi="Times New Roman" w:cs="Times New Roman"/>
          <w:sz w:val="24"/>
          <w:szCs w:val="24"/>
          <w:lang w:val="en-GB"/>
        </w:rPr>
        <w:t>shpërnda</w:t>
      </w:r>
      <w:r>
        <w:rPr>
          <w:rFonts w:ascii="Times New Roman" w:hAnsi="Times New Roman" w:cs="Times New Roman"/>
          <w:sz w:val="24"/>
          <w:szCs w:val="24"/>
          <w:lang w:val="en-GB"/>
        </w:rPr>
        <w:t>rë</w:t>
      </w:r>
      <w:proofErr w:type="spellEnd"/>
      <w:r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41B6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41B62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Pr="00441B6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9456BC2" w14:textId="77777777" w:rsidR="00AD4E33" w:rsidRPr="009B2DB7" w:rsidRDefault="00AD4E33" w:rsidP="009B2DB7">
      <w:pPr>
        <w:tabs>
          <w:tab w:val="left" w:pos="-90"/>
          <w:tab w:val="left" w:pos="0"/>
          <w:tab w:val="left" w:pos="18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BE08996" w14:textId="1CC7AA48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>Neni 44</w:t>
      </w:r>
    </w:p>
    <w:p w14:paraId="300B24DF" w14:textId="704E8765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Përcaktimi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normës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efektive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tatimore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tatimit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shtesë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një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investues</w:t>
      </w:r>
      <w:proofErr w:type="spellEnd"/>
    </w:p>
    <w:p w14:paraId="36924FA3" w14:textId="77777777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76154BE" w14:textId="197274F0" w:rsidR="00AD4E33" w:rsidRDefault="00AD4E33" w:rsidP="001A2016">
      <w:pPr>
        <w:pStyle w:val="ListParagraph"/>
        <w:numPr>
          <w:ilvl w:val="0"/>
          <w:numId w:val="28"/>
        </w:numPr>
        <w:tabs>
          <w:tab w:val="left" w:pos="-90"/>
          <w:tab w:val="left" w:pos="0"/>
          <w:tab w:val="left" w:pos="180"/>
          <w:tab w:val="left" w:pos="360"/>
          <w:tab w:val="left" w:pos="450"/>
          <w:tab w:val="left" w:pos="540"/>
        </w:tabs>
        <w:spacing w:after="0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Kur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E1560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EE15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582C" w:rsidRPr="00EE1560">
        <w:rPr>
          <w:rFonts w:ascii="Times New Roman" w:hAnsi="Times New Roman" w:cs="Times New Roman"/>
          <w:sz w:val="24"/>
          <w:szCs w:val="24"/>
          <w:lang w:val="en-GB"/>
        </w:rPr>
        <w:t>shoqërie</w:t>
      </w:r>
      <w:proofErr w:type="spellEnd"/>
      <w:r w:rsidRPr="00EE15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E1560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transparent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bërë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zgjedhje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45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46</w:t>
      </w:r>
      <w:r w:rsidR="0097582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norma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efektive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llogaritet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>nyr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veçsnt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norma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efektive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juridiksionit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ndodhet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BAEB650" w14:textId="77777777" w:rsid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450"/>
          <w:tab w:val="left" w:pos="540"/>
        </w:tabs>
        <w:spacing w:after="0"/>
        <w:ind w:left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0662D62" w14:textId="031C20C1" w:rsidR="00AD4E33" w:rsidRDefault="00AD4E33" w:rsidP="001A2016">
      <w:pPr>
        <w:pStyle w:val="ListParagraph"/>
        <w:numPr>
          <w:ilvl w:val="0"/>
          <w:numId w:val="28"/>
        </w:numPr>
        <w:tabs>
          <w:tab w:val="left" w:pos="-90"/>
          <w:tab w:val="left" w:pos="0"/>
          <w:tab w:val="left" w:pos="180"/>
          <w:tab w:val="left" w:pos="360"/>
          <w:tab w:val="left" w:pos="450"/>
          <w:tab w:val="left" w:pos="540"/>
        </w:tabs>
        <w:spacing w:after="0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Norma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efektive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1,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korrigjuara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pjesëtuar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pjesën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shp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>rndar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 w:rsidRPr="00865283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 w:rsidRPr="00865283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865283"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shumëkombësh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humbjen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AE7E5E3" w14:textId="77777777" w:rsidR="00AD4E33" w:rsidRPr="00AD4E33" w:rsidRDefault="00AD4E33" w:rsidP="00AD4E33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6725C01A" w14:textId="5ECB1A31" w:rsidR="00AD4E33" w:rsidRDefault="00AD4E33" w:rsidP="001A2016">
      <w:pPr>
        <w:pStyle w:val="ListParagraph"/>
        <w:numPr>
          <w:ilvl w:val="0"/>
          <w:numId w:val="28"/>
        </w:numPr>
        <w:tabs>
          <w:tab w:val="left" w:pos="-90"/>
          <w:tab w:val="left" w:pos="0"/>
          <w:tab w:val="left" w:pos="180"/>
          <w:tab w:val="left" w:pos="360"/>
          <w:tab w:val="left" w:pos="450"/>
          <w:tab w:val="left" w:pos="540"/>
        </w:tabs>
        <w:spacing w:after="0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Kur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ndodhen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norma e tyre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efektive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llogaritet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duke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kombinuar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tyre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korrigjuara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pjesën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lastRenderedPageBreak/>
        <w:t>shp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>rndar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 w:rsidRPr="00865283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 w:rsidRPr="00865283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865283"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shumëkombëse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humbjen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tyre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E478F78" w14:textId="77777777" w:rsidR="00AD4E33" w:rsidRPr="00AD4E33" w:rsidRDefault="00AD4E33" w:rsidP="00AD4E33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4E6C3B3D" w14:textId="063BBAFE" w:rsidR="00AD4E33" w:rsidRDefault="00AD4E33" w:rsidP="001A2016">
      <w:pPr>
        <w:pStyle w:val="ListParagraph"/>
        <w:numPr>
          <w:ilvl w:val="0"/>
          <w:numId w:val="28"/>
        </w:numPr>
        <w:tabs>
          <w:tab w:val="left" w:pos="-90"/>
          <w:tab w:val="left" w:pos="0"/>
          <w:tab w:val="left" w:pos="180"/>
          <w:tab w:val="left" w:pos="360"/>
          <w:tab w:val="left" w:pos="450"/>
          <w:tab w:val="left" w:pos="540"/>
        </w:tabs>
        <w:spacing w:after="0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korrigjuara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1,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korrigjuara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atribuohen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pjesës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shp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>rndar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 w:rsidRPr="00865283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 w:rsidRPr="00865283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865283"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shp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>rndara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24,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9296090" w14:textId="77777777" w:rsidR="00AD4E33" w:rsidRPr="00AD4E33" w:rsidRDefault="00AD4E33" w:rsidP="00AD4E33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480B1965" w14:textId="580A5ED1" w:rsidR="00AD4E33" w:rsidRDefault="00AD4E33" w:rsidP="001A2016">
      <w:pPr>
        <w:pStyle w:val="ListParagraph"/>
        <w:numPr>
          <w:ilvl w:val="0"/>
          <w:numId w:val="28"/>
        </w:numPr>
        <w:tabs>
          <w:tab w:val="left" w:pos="-90"/>
          <w:tab w:val="left" w:pos="0"/>
          <w:tab w:val="left" w:pos="180"/>
          <w:tab w:val="left" w:pos="360"/>
          <w:tab w:val="left" w:pos="450"/>
          <w:tab w:val="left" w:pos="540"/>
        </w:tabs>
        <w:spacing w:after="0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korrigjuara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>rcaktuara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4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përfshijnë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asnjë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mbuluar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përllogaritur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atribuohet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bëjnë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pjesë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pjesën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shp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>rndar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CDA1606" w14:textId="77777777" w:rsidR="00AD4E33" w:rsidRPr="00AD4E33" w:rsidRDefault="00AD4E33" w:rsidP="00AD4E33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422EC574" w14:textId="49DF029F" w:rsidR="00AD4E33" w:rsidRDefault="00AD4E33" w:rsidP="001A2016">
      <w:pPr>
        <w:pStyle w:val="ListParagraph"/>
        <w:numPr>
          <w:ilvl w:val="0"/>
          <w:numId w:val="28"/>
        </w:numPr>
        <w:tabs>
          <w:tab w:val="left" w:pos="-90"/>
          <w:tab w:val="left" w:pos="0"/>
          <w:tab w:val="left" w:pos="180"/>
          <w:tab w:val="left" w:pos="360"/>
          <w:tab w:val="left" w:pos="450"/>
          <w:tab w:val="left" w:pos="540"/>
        </w:tabs>
        <w:spacing w:after="0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1,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përqindjen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shumëzuar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diferencën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ndërmjet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pjesës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shp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>rndar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përjashtimit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ardhurës</w:t>
      </w:r>
      <w:proofErr w:type="spellEnd"/>
      <w:r w:rsid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bazuar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substancë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llogaritur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759D0CE" w14:textId="77777777" w:rsidR="00AD4E33" w:rsidRPr="00AD4E33" w:rsidRDefault="00AD4E33" w:rsidP="00AD4E33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7C007AEF" w14:textId="77777777" w:rsidR="00AD4E33" w:rsidRDefault="00AD4E33" w:rsidP="001A2016">
      <w:pPr>
        <w:pStyle w:val="ListParagraph"/>
        <w:numPr>
          <w:ilvl w:val="0"/>
          <w:numId w:val="28"/>
        </w:numPr>
        <w:tabs>
          <w:tab w:val="left" w:pos="-90"/>
          <w:tab w:val="left" w:pos="0"/>
          <w:tab w:val="left" w:pos="180"/>
          <w:tab w:val="left" w:pos="360"/>
          <w:tab w:val="left" w:pos="450"/>
          <w:tab w:val="left" w:pos="540"/>
        </w:tabs>
        <w:spacing w:after="0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Përqindja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pozitive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diferencën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ndërmjet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normës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minimale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normës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efektive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atij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3979226E" w14:textId="77777777" w:rsidR="00AD4E33" w:rsidRPr="00AD4E33" w:rsidRDefault="00AD4E33" w:rsidP="00AD4E33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3DC185D9" w14:textId="409903D7" w:rsidR="00AD4E33" w:rsidRDefault="00AD4E33" w:rsidP="001A2016">
      <w:pPr>
        <w:pStyle w:val="ListParagraph"/>
        <w:numPr>
          <w:ilvl w:val="0"/>
          <w:numId w:val="28"/>
        </w:numPr>
        <w:tabs>
          <w:tab w:val="left" w:pos="-90"/>
          <w:tab w:val="left" w:pos="0"/>
          <w:tab w:val="left" w:pos="180"/>
          <w:tab w:val="left" w:pos="360"/>
          <w:tab w:val="left" w:pos="450"/>
          <w:tab w:val="left" w:pos="540"/>
        </w:tabs>
        <w:spacing w:after="0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Kur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ndodhen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llogaritja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tyre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bëhet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duke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kombinuar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përjashtimit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bazuar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substancë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pjesën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shp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>rndar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humbjen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tyre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438B272" w14:textId="77777777" w:rsidR="00AD4E33" w:rsidRPr="00AD4E33" w:rsidRDefault="00AD4E33" w:rsidP="00AD4E33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0F10C74E" w14:textId="5F082419" w:rsidR="00AD4E33" w:rsidRDefault="00AD4E33" w:rsidP="001A2016">
      <w:pPr>
        <w:pStyle w:val="ListParagraph"/>
        <w:numPr>
          <w:ilvl w:val="0"/>
          <w:numId w:val="28"/>
        </w:numPr>
        <w:tabs>
          <w:tab w:val="left" w:pos="-90"/>
          <w:tab w:val="left" w:pos="0"/>
          <w:tab w:val="left" w:pos="180"/>
          <w:tab w:val="left" w:pos="360"/>
          <w:tab w:val="left" w:pos="450"/>
          <w:tab w:val="left" w:pos="540"/>
        </w:tabs>
        <w:spacing w:after="0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Përjashtimi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bazuar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substancë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përcaktohet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paragrafët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1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deri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7,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28,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Kostot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pranueshme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pagave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punonjësve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aktivet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prekshme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pranueshme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marra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konsideratë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reduktohen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proporcion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pjesën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shp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>rndar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pjesëtuar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totale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1BAB628" w14:textId="77777777" w:rsidR="00AD4E33" w:rsidRPr="00AD4E33" w:rsidRDefault="00AD4E33" w:rsidP="00AD4E33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49F42FF3" w14:textId="2C1A440F" w:rsidR="00AD4E33" w:rsidRPr="00AD4E33" w:rsidRDefault="00AD4E33" w:rsidP="001A2016">
      <w:pPr>
        <w:pStyle w:val="ListParagraph"/>
        <w:numPr>
          <w:ilvl w:val="0"/>
          <w:numId w:val="28"/>
        </w:numPr>
        <w:tabs>
          <w:tab w:val="left" w:pos="-90"/>
          <w:tab w:val="left" w:pos="0"/>
          <w:tab w:val="left" w:pos="180"/>
          <w:tab w:val="left" w:pos="360"/>
          <w:tab w:val="left" w:pos="450"/>
          <w:tab w:val="left" w:pos="540"/>
        </w:tabs>
        <w:spacing w:after="0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pjesa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shp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>rndar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 w:rsidRPr="00865283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 w:rsidRPr="00865283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865283"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humbjen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përcaktohet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10,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duke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marrë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parasysh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vetëm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interesat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subjekt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zgjedhjeje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45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46,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BA478A0" w14:textId="77777777" w:rsid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EA91BEB" w14:textId="77777777" w:rsid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6C48626" w14:textId="43098B4A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lastRenderedPageBreak/>
        <w:t>Neni 45</w:t>
      </w:r>
    </w:p>
    <w:p w14:paraId="4C5B548B" w14:textId="0D6B9625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Zgjedhja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trajtuar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si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tatimor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transparent</w:t>
      </w:r>
    </w:p>
    <w:p w14:paraId="66C7322F" w14:textId="77777777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BC2084F" w14:textId="3FE112CD" w:rsidR="00AD4E33" w:rsidRDefault="00AD4E33" w:rsidP="001A2016">
      <w:pPr>
        <w:pStyle w:val="ListParagraph"/>
        <w:numPr>
          <w:ilvl w:val="0"/>
          <w:numId w:val="29"/>
        </w:numPr>
        <w:tabs>
          <w:tab w:val="left" w:pos="-90"/>
          <w:tab w:val="left" w:pos="0"/>
          <w:tab w:val="left" w:pos="180"/>
          <w:tab w:val="left" w:pos="540"/>
        </w:tabs>
        <w:spacing w:after="0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, “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sigurime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thot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plotësonte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përkufizimin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fondi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mjeti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pasuri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paluajtshme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përcaktuar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4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ishte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krijuar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detyrime</w:t>
      </w:r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kontrate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sigurimi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pensioni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ishte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tërësisht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pronësi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rregulluar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ndodhet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shoqëri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sigurimi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52ACB07" w14:textId="77777777" w:rsidR="0097582C" w:rsidRDefault="0097582C" w:rsidP="0097582C">
      <w:pPr>
        <w:pStyle w:val="ListParagraph"/>
        <w:tabs>
          <w:tab w:val="left" w:pos="-90"/>
          <w:tab w:val="left" w:pos="0"/>
          <w:tab w:val="left" w:pos="180"/>
          <w:tab w:val="left" w:pos="540"/>
        </w:tabs>
        <w:spacing w:after="0"/>
        <w:ind w:left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2A5962E" w14:textId="62CCF86F" w:rsidR="00AD4E33" w:rsidRDefault="00AD4E33" w:rsidP="001A2016">
      <w:pPr>
        <w:pStyle w:val="ListParagraph"/>
        <w:numPr>
          <w:ilvl w:val="0"/>
          <w:numId w:val="29"/>
        </w:numPr>
        <w:tabs>
          <w:tab w:val="left" w:pos="-90"/>
          <w:tab w:val="left" w:pos="0"/>
          <w:tab w:val="left" w:pos="180"/>
          <w:tab w:val="left" w:pos="540"/>
        </w:tabs>
        <w:spacing w:after="0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zgjedhjen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A19">
        <w:rPr>
          <w:rFonts w:ascii="Times New Roman" w:hAnsi="Times New Roman" w:cs="Times New Roman"/>
          <w:sz w:val="24"/>
          <w:szCs w:val="24"/>
          <w:lang w:val="en-GB"/>
        </w:rPr>
        <w:t>deklarues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sigurime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mund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trajtohet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transparent,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përbërës-pronar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ndodhet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regjimi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vlerës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drejtë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tregut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regjimi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ngjashëm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bazuar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ndryshimet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vjetore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vlerës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drejtë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tregut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interesave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pronësore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norma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zbatueshme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pronarin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këto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lartë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se norma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minimale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2B26FBE" w14:textId="77777777" w:rsid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540"/>
        </w:tabs>
        <w:spacing w:after="0"/>
        <w:ind w:left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1EDF7CA" w14:textId="77777777" w:rsidR="00AD4E33" w:rsidRDefault="00AD4E33" w:rsidP="001A2016">
      <w:pPr>
        <w:pStyle w:val="ListParagraph"/>
        <w:numPr>
          <w:ilvl w:val="0"/>
          <w:numId w:val="29"/>
        </w:numPr>
        <w:tabs>
          <w:tab w:val="left" w:pos="-90"/>
          <w:tab w:val="left" w:pos="0"/>
          <w:tab w:val="left" w:pos="180"/>
          <w:tab w:val="left" w:pos="540"/>
        </w:tabs>
        <w:spacing w:after="0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zotëron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mënyrë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indirekte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interes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pronësie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sigurime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përmes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interesi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drejtpërdrejtë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tjetër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sigurime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konsiderohet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regjimi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vlerës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drejtë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tregut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regjimi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ngjashëm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interesin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indirekt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sigurime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regjimi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tillë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interesin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drejtpërdrejtë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dytë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147B7D4" w14:textId="77777777" w:rsidR="00AD4E33" w:rsidRPr="00AD4E33" w:rsidRDefault="00AD4E33" w:rsidP="00AD4E33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7372137D" w14:textId="792C0643" w:rsidR="00AD4E33" w:rsidRPr="00AD4E33" w:rsidRDefault="00AD4E33" w:rsidP="001A2016">
      <w:pPr>
        <w:pStyle w:val="ListParagraph"/>
        <w:numPr>
          <w:ilvl w:val="0"/>
          <w:numId w:val="29"/>
        </w:numPr>
        <w:tabs>
          <w:tab w:val="left" w:pos="-90"/>
          <w:tab w:val="left" w:pos="0"/>
          <w:tab w:val="left" w:pos="180"/>
          <w:tab w:val="left" w:pos="540"/>
        </w:tabs>
        <w:spacing w:after="0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Zgjedhja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2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bëhet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1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55,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kjo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zgjedhje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revokohet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fitim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humbje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tjetërsimi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aktivi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detyrimi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mbajtur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sigurime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përcaktohet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bazën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vlerës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drejtë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tregut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aktivit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detyrimit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ditën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bëhet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revokimi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A31A29D" w14:textId="77777777" w:rsid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1ED66E1" w14:textId="7816A035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>Neni 46</w:t>
      </w:r>
    </w:p>
    <w:p w14:paraId="3B90ACEA" w14:textId="685E4A1D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Zgjedhja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aplikuar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metodën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shpërndarjes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tatueshme</w:t>
      </w:r>
      <w:proofErr w:type="spellEnd"/>
    </w:p>
    <w:p w14:paraId="38466B7E" w14:textId="77777777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3D714652" w14:textId="7D97EFF6" w:rsidR="00AD4E33" w:rsidRDefault="00AD4E33" w:rsidP="001A2016">
      <w:pPr>
        <w:pStyle w:val="ListParagraph"/>
        <w:numPr>
          <w:ilvl w:val="0"/>
          <w:numId w:val="30"/>
        </w:num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zgjedhjen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7A19">
        <w:rPr>
          <w:rFonts w:ascii="Times New Roman" w:hAnsi="Times New Roman" w:cs="Times New Roman"/>
          <w:sz w:val="24"/>
          <w:szCs w:val="24"/>
          <w:lang w:val="en-GB"/>
        </w:rPr>
        <w:t>deklarues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pronar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mund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zbatojë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metodë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shpërndarjes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tatueshme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interesin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pronësor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kusht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pronari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mos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jetë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vetë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mund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mënyrë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arsyeshme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se do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t’i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nënshtrohet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shpërndarjet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normë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lartë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se norma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minimale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444B03E" w14:textId="77777777" w:rsid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94E04F1" w14:textId="5251E314" w:rsidR="00AD4E33" w:rsidRDefault="00AD4E33" w:rsidP="001A2016">
      <w:pPr>
        <w:pStyle w:val="ListParagraph"/>
        <w:numPr>
          <w:ilvl w:val="0"/>
          <w:numId w:val="30"/>
        </w:num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   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metodës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shpërndarjes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tatueshme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shpërndarjet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shpërndarjet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konsideruara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përfshihen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pronarit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 w:rsidRPr="00865283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>rfiton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shpërndarjen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kusht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mos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jetë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120730A" w14:textId="77777777" w:rsidR="00AD4E33" w:rsidRPr="00AD4E33" w:rsidRDefault="00AD4E33" w:rsidP="00AD4E33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22F3EE0A" w14:textId="2CE3D379" w:rsidR="00AD4E33" w:rsidRDefault="00AD4E33" w:rsidP="001A2016">
      <w:pPr>
        <w:pStyle w:val="ListParagraph"/>
        <w:numPr>
          <w:ilvl w:val="0"/>
          <w:numId w:val="30"/>
        </w:num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Shuma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paguara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cila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kreditueshme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kundrejt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detyrimit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pronarit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 w:rsidRPr="00865283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lind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shpërndarja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përfshihet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korrigjuara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pronarit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>rfiton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shpërndarjen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2FFB301" w14:textId="77777777" w:rsidR="00AD4E33" w:rsidRPr="00AD4E33" w:rsidRDefault="00AD4E33" w:rsidP="00AD4E33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1CB08248" w14:textId="76E0F470" w:rsidR="00AD4E33" w:rsidRDefault="00AD4E33" w:rsidP="001A2016">
      <w:pPr>
        <w:pStyle w:val="ListParagraph"/>
        <w:numPr>
          <w:ilvl w:val="0"/>
          <w:numId w:val="30"/>
        </w:num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Pjesa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pronarit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pashpërndarë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>rcaktuar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6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rrjedh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viti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tretë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para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(“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viti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testuar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”),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trajtohet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. Shuma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shumëzuar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normën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minimale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trajtohet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normë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Kapitullit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II,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A82CA37" w14:textId="77777777" w:rsidR="00AD4E33" w:rsidRPr="00AD4E33" w:rsidRDefault="00AD4E33" w:rsidP="00AD4E33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28A05C00" w14:textId="57155CEB" w:rsidR="00AD4E33" w:rsidRDefault="00AD4E33" w:rsidP="001A2016">
      <w:pPr>
        <w:pStyle w:val="ListParagraph"/>
        <w:numPr>
          <w:ilvl w:val="0"/>
          <w:numId w:val="30"/>
        </w:numPr>
        <w:tabs>
          <w:tab w:val="left" w:pos="-90"/>
          <w:tab w:val="left" w:pos="0"/>
          <w:tab w:val="left" w:pos="180"/>
          <w:tab w:val="left" w:pos="360"/>
          <w:tab w:val="left" w:pos="540"/>
          <w:tab w:val="left" w:pos="630"/>
        </w:tabs>
        <w:spacing w:after="0"/>
        <w:ind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humbjet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korrigjuara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atribuohen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këtyre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përjashtohen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llogaritja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normës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efektive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Kapitullin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V,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44,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përveç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>rcaktuara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3,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këtij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AF64098" w14:textId="77777777" w:rsidR="00AD4E33" w:rsidRPr="00AD4E33" w:rsidRDefault="00AD4E33" w:rsidP="00AD4E33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6470D219" w14:textId="039254DD" w:rsidR="00AD4E33" w:rsidRPr="00AD4E33" w:rsidRDefault="00AD4E33" w:rsidP="001A2016">
      <w:pPr>
        <w:pStyle w:val="ListParagraph"/>
        <w:numPr>
          <w:ilvl w:val="0"/>
          <w:numId w:val="30"/>
        </w:num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pashpërndara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testuar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vit,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reduktuar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deri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zero, me:</w:t>
      </w:r>
    </w:p>
    <w:p w14:paraId="573905E9" w14:textId="77777777" w:rsidR="00AD4E33" w:rsidRPr="00AD4E33" w:rsidRDefault="00AD4E33" w:rsidP="003D1EB8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1A4AD03" w14:textId="77777777" w:rsidR="00AD4E33" w:rsidRPr="00AD4E33" w:rsidRDefault="00AD4E33" w:rsidP="003D1EB8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58E1F1C" w14:textId="77777777" w:rsidR="00AD4E33" w:rsidRPr="00AD4E33" w:rsidRDefault="00AD4E33" w:rsidP="003D1EB8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shpërndarjet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shpërndarjet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konsideruara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aksionarët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gjatë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periudhës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fillon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dita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tretë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para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përfundon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ditën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fundit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raportues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mbajtur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interesi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pronësor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(“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periudha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testimit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”);</w:t>
      </w:r>
    </w:p>
    <w:p w14:paraId="184C58E7" w14:textId="77777777" w:rsidR="00AD4E33" w:rsidRPr="00AD4E33" w:rsidRDefault="00AD4E33" w:rsidP="003D1EB8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c)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humbjet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lindin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gjatë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periudhës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testimit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0AF2DB49" w14:textId="77777777" w:rsidR="00AD4E33" w:rsidRDefault="00AD4E33" w:rsidP="003D1EB8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d)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mbetur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humbjeve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reduktuar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pashpërndara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mëparshëm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testuar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(“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bartja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humbjeve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”).</w:t>
      </w:r>
    </w:p>
    <w:p w14:paraId="3D893B9F" w14:textId="77777777" w:rsid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437796C" w14:textId="68AEAD6D" w:rsidR="00AD4E33" w:rsidRPr="00AD4E33" w:rsidRDefault="00AD4E33" w:rsidP="001A2016">
      <w:pPr>
        <w:pStyle w:val="ListParagraph"/>
        <w:numPr>
          <w:ilvl w:val="0"/>
          <w:numId w:val="30"/>
        </w:numPr>
        <w:tabs>
          <w:tab w:val="left" w:pos="-90"/>
          <w:tab w:val="left" w:pos="0"/>
          <w:tab w:val="left" w:pos="180"/>
          <w:tab w:val="left" w:pos="360"/>
        </w:tabs>
        <w:spacing w:after="0"/>
        <w:ind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pashpërndara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reduktohen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shpërndarjet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shpërndarjet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konsideruara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tashmë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kanë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reduktuar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lastRenderedPageBreak/>
        <w:t>pashpërndara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mëparshëm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testuar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zbatim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shkronjës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“b”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6,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F3A11DB" w14:textId="77777777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1CBCE6F" w14:textId="62139CF3" w:rsidR="00AD4E33" w:rsidRPr="00AD4E33" w:rsidRDefault="00AD4E33" w:rsidP="001A2016">
      <w:pPr>
        <w:pStyle w:val="ListParagraph"/>
        <w:numPr>
          <w:ilvl w:val="0"/>
          <w:numId w:val="30"/>
        </w:num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pashpërndara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reduktohen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humbjeve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tashmë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kanë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reduktuar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pashpërndara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mëparshëm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testuar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zbatim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shkronjës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“c”,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6,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2BB43ED" w14:textId="77777777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529BF81" w14:textId="24B942E9" w:rsidR="00AD4E33" w:rsidRPr="00AD4E33" w:rsidRDefault="00AD4E33" w:rsidP="001A2016">
      <w:pPr>
        <w:pStyle w:val="ListParagraph"/>
        <w:numPr>
          <w:ilvl w:val="0"/>
          <w:numId w:val="30"/>
        </w:num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shpërndarje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konsideruar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ndodh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interes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pronësor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drejtpërdrejtë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tërthortë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transferohet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pjesë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grupin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 w:rsidRPr="00865283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865283">
        <w:rPr>
          <w:rFonts w:ascii="Times New Roman" w:hAnsi="Times New Roman" w:cs="Times New Roman"/>
          <w:sz w:val="24"/>
          <w:szCs w:val="24"/>
          <w:lang w:val="en-GB"/>
        </w:rPr>
        <w:t>ris</w:t>
      </w:r>
      <w:r w:rsidR="00AB7580" w:rsidRPr="00865283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grupin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pjesën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pashpërndara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atribuohet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interesi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pronësor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datën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transferimit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pa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marrë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parasysh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shpërndarjen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konsideruar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DA47A9F" w14:textId="77777777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01909A5" w14:textId="77777777" w:rsidR="00AD4E33" w:rsidRDefault="00AD4E33" w:rsidP="001A2016">
      <w:pPr>
        <w:pStyle w:val="ListParagraph"/>
        <w:numPr>
          <w:ilvl w:val="0"/>
          <w:numId w:val="30"/>
        </w:num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Zgjedhja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1,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bëhet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1,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55,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B93E7EB" w14:textId="77777777" w:rsidR="00AD4E33" w:rsidRPr="00AD4E33" w:rsidRDefault="00AD4E33" w:rsidP="00AD4E33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3C753C38" w14:textId="68E08DD3" w:rsidR="00AD4E33" w:rsidRPr="00AD4E33" w:rsidRDefault="00AD4E33" w:rsidP="001A2016">
      <w:pPr>
        <w:pStyle w:val="ListParagraph"/>
        <w:numPr>
          <w:ilvl w:val="0"/>
          <w:numId w:val="30"/>
        </w:num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kjo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zgjedhje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revokohet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pjesa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pronarit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pashpërndarë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testuar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fund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para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bëhet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revokimi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trajtohet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. Shuma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shumëzuar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normën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minimale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trajtohet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normë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Kapitullit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II,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EC3BDAC" w14:textId="77777777" w:rsid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A97546E" w14:textId="77777777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>KAPITULLI VIII</w:t>
      </w:r>
    </w:p>
    <w:p w14:paraId="6A8EAE90" w14:textId="77777777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7ECBC9C3" w14:textId="44FEBC93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TATIMI SHTESË I BRENDSHËM NË REPUBLIKËN E SHQIPËRISË</w:t>
      </w:r>
    </w:p>
    <w:p w14:paraId="6B083CEA" w14:textId="77777777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0302E3B" w14:textId="19D6BB58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>Neni 47</w:t>
      </w:r>
    </w:p>
    <w:p w14:paraId="536A36A5" w14:textId="38272227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Tatimi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shtesë</w:t>
      </w:r>
      <w:proofErr w:type="spellEnd"/>
      <w:r w:rsidR="0005132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brendshëm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Republikën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Shqipërisë</w:t>
      </w:r>
      <w:proofErr w:type="spellEnd"/>
    </w:p>
    <w:p w14:paraId="2CBF2E09" w14:textId="77777777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CB37D91" w14:textId="0D07F4EC" w:rsidR="00AD4E33" w:rsidRDefault="00AD4E33" w:rsidP="001A2016">
      <w:pPr>
        <w:pStyle w:val="ListParagraph"/>
        <w:numPr>
          <w:ilvl w:val="0"/>
          <w:numId w:val="31"/>
        </w:numPr>
        <w:tabs>
          <w:tab w:val="left" w:pos="-90"/>
          <w:tab w:val="left" w:pos="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82E32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C82E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82E32">
        <w:rPr>
          <w:rFonts w:ascii="Times New Roman" w:hAnsi="Times New Roman" w:cs="Times New Roman"/>
          <w:sz w:val="24"/>
          <w:szCs w:val="24"/>
          <w:lang w:val="en-GB"/>
        </w:rPr>
        <w:t>tatim</w:t>
      </w:r>
      <w:proofErr w:type="spellEnd"/>
      <w:r w:rsidRPr="00C82E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82E32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C82E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82E32">
        <w:rPr>
          <w:rFonts w:ascii="Times New Roman" w:hAnsi="Times New Roman" w:cs="Times New Roman"/>
          <w:sz w:val="24"/>
          <w:szCs w:val="24"/>
          <w:lang w:val="en-GB"/>
        </w:rPr>
        <w:t>brendshëm</w:t>
      </w:r>
      <w:proofErr w:type="spellEnd"/>
      <w:r w:rsidRPr="00C82E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82E32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C82E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82E32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="007757D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57DE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C82E32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05132A" w:rsidRPr="00C82E32">
        <w:rPr>
          <w:rFonts w:ascii="Times New Roman" w:hAnsi="Times New Roman" w:cs="Times New Roman"/>
          <w:sz w:val="24"/>
          <w:szCs w:val="24"/>
          <w:lang w:val="en-GB"/>
        </w:rPr>
        <w:t>TMBK</w:t>
      </w:r>
      <w:r w:rsidR="007757DE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C82E32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llogaritet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paguhet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fitimet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tepërta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normë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94E7213" w14:textId="77777777" w:rsid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630"/>
        </w:tabs>
        <w:spacing w:after="0"/>
        <w:ind w:left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9FD6957" w14:textId="77777777" w:rsidR="00AD4E33" w:rsidRDefault="00AD4E33" w:rsidP="001A2016">
      <w:pPr>
        <w:pStyle w:val="ListParagraph"/>
        <w:numPr>
          <w:ilvl w:val="0"/>
          <w:numId w:val="31"/>
        </w:numPr>
        <w:tabs>
          <w:tab w:val="left" w:pos="-90"/>
          <w:tab w:val="left" w:pos="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Subjekte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përgjegjëse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brendshëm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ndaj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cilave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zbatohet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ky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Ligj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2,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cilat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ndodhen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investuese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konsiderohen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subjekte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përgjegjëse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brendshëm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9BED3B2" w14:textId="77777777" w:rsidR="00AD4E33" w:rsidRPr="00AD4E33" w:rsidRDefault="00AD4E33" w:rsidP="00AD4E33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4C12745A" w14:textId="77777777" w:rsidR="00AD4E33" w:rsidRDefault="00AD4E33" w:rsidP="001A2016">
      <w:pPr>
        <w:pStyle w:val="ListParagraph"/>
        <w:numPr>
          <w:ilvl w:val="0"/>
          <w:numId w:val="31"/>
        </w:numPr>
        <w:tabs>
          <w:tab w:val="left" w:pos="-90"/>
          <w:tab w:val="left" w:pos="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 Neni 5,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zbatohet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përcaktimin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vendndodhjes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subjekte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përgjegjëse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brendshëm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B0689F7" w14:textId="77777777" w:rsidR="00AD4E33" w:rsidRPr="00AD4E33" w:rsidRDefault="00AD4E33" w:rsidP="00AD4E33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711613E9" w14:textId="4B7E6C6D" w:rsidR="00AD4E33" w:rsidRDefault="00AD4E33" w:rsidP="001A2016">
      <w:pPr>
        <w:pStyle w:val="ListParagraph"/>
        <w:numPr>
          <w:ilvl w:val="0"/>
          <w:numId w:val="31"/>
        </w:numPr>
        <w:tabs>
          <w:tab w:val="left" w:pos="-90"/>
          <w:tab w:val="left" w:pos="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Përveç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rasteve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parashikohet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ndryshe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Ligj,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procedura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zbatohet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mbledhjen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brendshëm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31DB9E1" w14:textId="77777777" w:rsidR="00AD4E33" w:rsidRPr="00AD4E33" w:rsidRDefault="00AD4E33" w:rsidP="00AD4E33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28BFDA12" w14:textId="77777777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630"/>
        </w:tabs>
        <w:spacing w:after="0"/>
        <w:ind w:left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9520E5C" w14:textId="7B9D8847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>Neni 48</w:t>
      </w:r>
    </w:p>
    <w:p w14:paraId="7BFDA15B" w14:textId="534EC26A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Llogaritja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tatimit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shtesë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brendshëm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Republikën</w:t>
      </w:r>
      <w:proofErr w:type="spellEnd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b/>
          <w:bCs/>
          <w:sz w:val="24"/>
          <w:szCs w:val="24"/>
          <w:lang w:val="en-GB"/>
        </w:rPr>
        <w:t>Shqipërisë</w:t>
      </w:r>
      <w:proofErr w:type="spellEnd"/>
    </w:p>
    <w:p w14:paraId="4C241A44" w14:textId="77777777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85A7579" w14:textId="2B351629" w:rsidR="00AD4E33" w:rsidRDefault="00AD4E33" w:rsidP="001A2016">
      <w:pPr>
        <w:pStyle w:val="ListParagraph"/>
        <w:numPr>
          <w:ilvl w:val="0"/>
          <w:numId w:val="32"/>
        </w:num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 w:rsidRPr="00865283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 w:rsidRPr="00865283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865283"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norma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efektive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ekziston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përcaktohet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formulën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përkufizimet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përcaktuara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26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duke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marrë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parasysh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korrigjuara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4A14F3D" w14:textId="77777777" w:rsid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DBC8E94" w14:textId="46201862" w:rsidR="00AD4E33" w:rsidRPr="00AD4E33" w:rsidRDefault="00AD4E33" w:rsidP="001A2016">
      <w:pPr>
        <w:pStyle w:val="ListParagraph"/>
        <w:numPr>
          <w:ilvl w:val="0"/>
          <w:numId w:val="32"/>
        </w:num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brendshëm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pozitive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ekziston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llogaritur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formulës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35B69D15" w14:textId="77777777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9B4F5E3" w14:textId="77777777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540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Tatimi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shtesë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brendshëm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sipas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juridiksionit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= (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përqindja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tatimit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shtesë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brendshëm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×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fitimi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tepërt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juridiksionin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) +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tatimi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shtesë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brendshëm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shtesë</w:t>
      </w:r>
      <w:proofErr w:type="spellEnd"/>
    </w:p>
    <w:p w14:paraId="6E49D556" w14:textId="77777777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E4E73BB" w14:textId="322F4DE9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0F28531" w14:textId="0F63D75E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përqindja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brendshëm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diferenca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pozitive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pikë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përqindje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ekziston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ndërmjet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normës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minimale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normës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efektive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pjesë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4DB59096" w14:textId="77777777" w:rsid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brendshëm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përcaktuar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32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6BAA63B" w14:textId="77777777" w:rsid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029FCF1" w14:textId="5F840426" w:rsidR="00AD4E33" w:rsidRPr="00AD4E33" w:rsidRDefault="00AD4E33" w:rsidP="001A2016">
      <w:pPr>
        <w:pStyle w:val="ListParagraph"/>
        <w:numPr>
          <w:ilvl w:val="0"/>
          <w:numId w:val="32"/>
        </w:num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Fitimi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tepërt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2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pozitive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ekziston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llogaritur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formulës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05D96187" w14:textId="77777777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F7F1F74" w14:textId="22981701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540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Fitimi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tepërt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= e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ardhura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neto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kualifikuar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–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përjashtimi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ardhurës</w:t>
      </w:r>
      <w:proofErr w:type="spellEnd"/>
      <w:r w:rsidR="005103F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5103FE">
        <w:rPr>
          <w:rFonts w:ascii="Times New Roman" w:hAnsi="Times New Roman" w:cs="Times New Roman"/>
          <w:i/>
          <w:iCs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i/>
          <w:iCs/>
          <w:sz w:val="24"/>
          <w:szCs w:val="24"/>
          <w:lang w:val="en-GB"/>
        </w:rPr>
        <w:t>ë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bazuar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substancë</w:t>
      </w:r>
      <w:proofErr w:type="spellEnd"/>
    </w:p>
    <w:p w14:paraId="4AE693CF" w14:textId="77777777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54C6C6D" w14:textId="2C46FE88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FE850C3" w14:textId="7DE741B6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a)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përcaktuar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2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26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67B491D6" w14:textId="76610083" w:rsid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përjashtimi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bazuar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substancë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përcaktuar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28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34B59B9" w14:textId="77777777" w:rsid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0D74C9B" w14:textId="15F01C4F" w:rsidR="00AD4E33" w:rsidRPr="00AD4E33" w:rsidRDefault="00AD4E33" w:rsidP="001A2016">
      <w:pPr>
        <w:pStyle w:val="ListParagraph"/>
        <w:numPr>
          <w:ilvl w:val="0"/>
          <w:numId w:val="32"/>
        </w:num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brendshëm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paguhet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aktual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llogaritet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formulës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mëposhtme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EA295C6" w14:textId="77777777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E58A100" w14:textId="5993E2D7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540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Tatimi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shtesë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brendshëm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entitetit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përbërës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=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Tatimi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shtesë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brendshëm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sipas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juridiksionit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× (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ardhura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t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kualifikuar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i/>
          <w:iCs/>
          <w:sz w:val="24"/>
          <w:szCs w:val="24"/>
          <w:lang w:val="en-GB"/>
        </w:rPr>
        <w:t>ë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entitetit</w:t>
      </w:r>
      <w:proofErr w:type="spellEnd"/>
      <w:proofErr w:type="gram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përbërës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/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ardhurat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kualifikuara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totale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gjitha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entiteteve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përbërëse</w:t>
      </w:r>
      <w:proofErr w:type="spellEnd"/>
      <w:r w:rsidRPr="00AD4E33">
        <w:rPr>
          <w:rFonts w:ascii="Times New Roman" w:hAnsi="Times New Roman" w:cs="Times New Roman"/>
          <w:i/>
          <w:iCs/>
          <w:sz w:val="24"/>
          <w:szCs w:val="24"/>
          <w:lang w:val="en-GB"/>
        </w:rPr>
        <w:t>)</w:t>
      </w:r>
    </w:p>
    <w:p w14:paraId="39254F32" w14:textId="77777777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75C14F7" w14:textId="77777777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A77B682" w14:textId="77777777" w:rsidR="00AD4E33" w:rsidRDefault="00AD4E33" w:rsidP="00AD4E33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barabarta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përcaktuar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Kapitullin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III,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751695AA" w14:textId="5C461AEE" w:rsidR="00AD4E33" w:rsidRPr="00AD4E33" w:rsidRDefault="00AD4E33" w:rsidP="00AD4E33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totale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barabarta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gjatë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konsiderohen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pjesë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njëjtit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 w:rsidRPr="00865283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 w:rsidRPr="00865283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865283"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Ligj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E78835B" w14:textId="77777777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05429C6" w14:textId="7AD190B4" w:rsidR="00AD4E33" w:rsidRPr="00AD4E33" w:rsidRDefault="00AD4E33" w:rsidP="001A2016">
      <w:pPr>
        <w:pStyle w:val="ListParagraph"/>
        <w:numPr>
          <w:ilvl w:val="0"/>
          <w:numId w:val="32"/>
        </w:num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lind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rillogaritjeje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shpërndahet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secili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duke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përdorur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formulën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referuar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4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bazë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vitet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fiskale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cilat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bëhen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rillogaritjet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7D38A89" w14:textId="77777777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976A27B" w14:textId="07B0B272" w:rsidR="00AD4E33" w:rsidRPr="00AD4E33" w:rsidRDefault="00AD4E33" w:rsidP="001A2016">
      <w:pPr>
        <w:pStyle w:val="ListParagraph"/>
        <w:numPr>
          <w:ilvl w:val="0"/>
          <w:numId w:val="32"/>
        </w:num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Norma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efektive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brendshëm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konsiderohet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pronësi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pakicës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përcaktohen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34,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7441410" w14:textId="77777777" w:rsidR="00AD4E33" w:rsidRPr="00AD4E33" w:rsidRDefault="00AD4E33" w:rsidP="00AD4E3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9C27950" w14:textId="42676877" w:rsidR="00AD4E33" w:rsidRDefault="00AD4E33" w:rsidP="00860659">
      <w:pPr>
        <w:pStyle w:val="ListParagraph"/>
        <w:numPr>
          <w:ilvl w:val="0"/>
          <w:numId w:val="32"/>
        </w:num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Norma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efektive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brendshëm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llogariten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duke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zbatuar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nenin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40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AD4E33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sikur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secilit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trajtoheshin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anëtarë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D4E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D4E33">
        <w:rPr>
          <w:rFonts w:ascii="Times New Roman" w:hAnsi="Times New Roman" w:cs="Times New Roman"/>
          <w:sz w:val="24"/>
          <w:szCs w:val="24"/>
          <w:lang w:val="en-GB"/>
        </w:rPr>
        <w:t>nj</w:t>
      </w:r>
      <w:r w:rsidRPr="00865283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vetëm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 w:rsidRPr="00865283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 w:rsidRPr="00865283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865283"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FFDAE14" w14:textId="120BF362" w:rsidR="00860659" w:rsidRPr="003D20BE" w:rsidRDefault="00860659" w:rsidP="003D20BE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F84C054" w14:textId="77777777" w:rsidR="00860659" w:rsidRPr="00AD4E33" w:rsidRDefault="00860659" w:rsidP="00860659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9CCB19D" w14:textId="77777777" w:rsidR="00860659" w:rsidRPr="00860659" w:rsidRDefault="00860659" w:rsidP="00860659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860659">
        <w:rPr>
          <w:rFonts w:ascii="Times New Roman" w:hAnsi="Times New Roman" w:cs="Times New Roman"/>
          <w:sz w:val="24"/>
          <w:szCs w:val="24"/>
          <w:lang w:val="en-GB"/>
        </w:rPr>
        <w:t>Neni 49</w:t>
      </w:r>
    </w:p>
    <w:p w14:paraId="24B4C130" w14:textId="17E2F4EC" w:rsidR="00AD4E33" w:rsidRDefault="00860659" w:rsidP="00860659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860659">
        <w:rPr>
          <w:rFonts w:ascii="Times New Roman" w:hAnsi="Times New Roman" w:cs="Times New Roman"/>
          <w:b/>
          <w:bCs/>
          <w:sz w:val="24"/>
          <w:szCs w:val="24"/>
          <w:lang w:val="en-GB"/>
        </w:rPr>
        <w:t>Llogaritja</w:t>
      </w:r>
      <w:proofErr w:type="spellEnd"/>
      <w:r w:rsidRPr="008606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 </w:t>
      </w:r>
      <w:proofErr w:type="spellStart"/>
      <w:r w:rsidRPr="00860659">
        <w:rPr>
          <w:rFonts w:ascii="Times New Roman" w:hAnsi="Times New Roman" w:cs="Times New Roman"/>
          <w:b/>
          <w:bCs/>
          <w:sz w:val="24"/>
          <w:szCs w:val="24"/>
          <w:lang w:val="en-GB"/>
        </w:rPr>
        <w:t>të</w:t>
      </w:r>
      <w:proofErr w:type="spellEnd"/>
      <w:r w:rsidRPr="008606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b/>
          <w:bCs/>
          <w:sz w:val="24"/>
          <w:szCs w:val="24"/>
          <w:lang w:val="en-GB"/>
        </w:rPr>
        <w:t>ardhurave</w:t>
      </w:r>
      <w:proofErr w:type="spellEnd"/>
      <w:r w:rsidRPr="008606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b/>
          <w:bCs/>
          <w:sz w:val="24"/>
          <w:szCs w:val="24"/>
          <w:lang w:val="en-GB"/>
        </w:rPr>
        <w:t>ose</w:t>
      </w:r>
      <w:proofErr w:type="spellEnd"/>
      <w:r w:rsidRPr="008606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b/>
          <w:bCs/>
          <w:sz w:val="24"/>
          <w:szCs w:val="24"/>
          <w:lang w:val="en-GB"/>
        </w:rPr>
        <w:t>humbjes</w:t>
      </w:r>
      <w:proofErr w:type="spellEnd"/>
      <w:r w:rsidRPr="008606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b/>
          <w:bCs/>
          <w:sz w:val="24"/>
          <w:szCs w:val="24"/>
          <w:lang w:val="en-GB"/>
        </w:rPr>
        <w:t>së</w:t>
      </w:r>
      <w:proofErr w:type="spellEnd"/>
      <w:r w:rsidRPr="008606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b/>
          <w:bCs/>
          <w:sz w:val="24"/>
          <w:szCs w:val="24"/>
          <w:lang w:val="en-GB"/>
        </w:rPr>
        <w:t>kualifikuar</w:t>
      </w:r>
      <w:proofErr w:type="spellEnd"/>
    </w:p>
    <w:p w14:paraId="78DAB881" w14:textId="79E52498" w:rsidR="00860659" w:rsidRDefault="00860659" w:rsidP="00860659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0785F81" w14:textId="20FC4DC6" w:rsidR="00860659" w:rsidRDefault="00860659" w:rsidP="00860659">
      <w:pPr>
        <w:pStyle w:val="ListParagraph"/>
        <w:numPr>
          <w:ilvl w:val="0"/>
          <w:numId w:val="34"/>
        </w:numPr>
        <w:tabs>
          <w:tab w:val="left" w:pos="-90"/>
          <w:tab w:val="left" w:pos="0"/>
          <w:tab w:val="left" w:pos="180"/>
          <w:tab w:val="left" w:pos="270"/>
          <w:tab w:val="left" w:pos="360"/>
          <w:tab w:val="left" w:pos="63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humbja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kreu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llogariten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me Kreun III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860659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përveç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rasteve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parashikohet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ndryshe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paragrafët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vijues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01DEAD3" w14:textId="77777777" w:rsidR="00860659" w:rsidRDefault="00860659" w:rsidP="00860659">
      <w:pPr>
        <w:pStyle w:val="ListParagraph"/>
        <w:tabs>
          <w:tab w:val="left" w:pos="-90"/>
          <w:tab w:val="left" w:pos="0"/>
          <w:tab w:val="left" w:pos="180"/>
          <w:tab w:val="left" w:pos="270"/>
          <w:tab w:val="left" w:pos="360"/>
          <w:tab w:val="left" w:pos="630"/>
        </w:tabs>
        <w:spacing w:after="0"/>
        <w:ind w:left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8F0BA05" w14:textId="6AEDC710" w:rsidR="00860659" w:rsidRDefault="00860659" w:rsidP="00860659">
      <w:pPr>
        <w:pStyle w:val="ListParagraph"/>
        <w:numPr>
          <w:ilvl w:val="0"/>
          <w:numId w:val="34"/>
        </w:numPr>
        <w:tabs>
          <w:tab w:val="left" w:pos="-90"/>
          <w:tab w:val="left" w:pos="0"/>
          <w:tab w:val="left" w:pos="180"/>
          <w:tab w:val="left" w:pos="270"/>
          <w:tab w:val="left" w:pos="360"/>
          <w:tab w:val="left" w:pos="63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humbja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llogariten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duke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bërë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rregullimet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përcaktuara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nenet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15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deri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19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ndaj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fitimit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lastRenderedPageBreak/>
        <w:t>entitetit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përpara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rregullimi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konsolidues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eliminimin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transaksioneve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brenda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përcaktuara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standardit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përdorur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përgatitjen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pasqyrave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konsoliduara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enitetit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mëmë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61D48F4" w14:textId="77777777" w:rsidR="00860659" w:rsidRPr="00860659" w:rsidRDefault="00860659" w:rsidP="00860659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3E8F4663" w14:textId="11C497E6" w:rsidR="00860659" w:rsidRDefault="00860659" w:rsidP="00860659">
      <w:pPr>
        <w:pStyle w:val="ListParagraph"/>
        <w:numPr>
          <w:ilvl w:val="0"/>
          <w:numId w:val="34"/>
        </w:numPr>
        <w:tabs>
          <w:tab w:val="left" w:pos="-90"/>
          <w:tab w:val="left" w:pos="0"/>
          <w:tab w:val="left" w:pos="180"/>
          <w:tab w:val="left" w:pos="270"/>
          <w:tab w:val="left" w:pos="360"/>
          <w:tab w:val="left" w:pos="63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qëllime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llogaritjes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pagesës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 w:rsidRPr="00865283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brendsh</w:t>
      </w:r>
      <w:r w:rsidR="00AB7580" w:rsidRPr="00865283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865283">
        <w:rPr>
          <w:rFonts w:ascii="Times New Roman" w:hAnsi="Times New Roman" w:cs="Times New Roman"/>
          <w:sz w:val="24"/>
          <w:szCs w:val="24"/>
          <w:lang w:val="en-GB"/>
        </w:rPr>
        <w:t>m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fitimet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tepërta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nivel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llogariten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bazuar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standardin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përdorur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përgatitjen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pasqyrave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konsoliduara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0659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86065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98C1E42" w14:textId="77777777" w:rsidR="00860659" w:rsidRPr="00860659" w:rsidRDefault="00860659" w:rsidP="00860659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515538E8" w14:textId="054BAB53" w:rsidR="00860659" w:rsidRPr="00860659" w:rsidRDefault="00860659" w:rsidP="00860659">
      <w:pPr>
        <w:pStyle w:val="ListParagraph"/>
        <w:numPr>
          <w:ilvl w:val="0"/>
          <w:numId w:val="34"/>
        </w:numPr>
        <w:tabs>
          <w:tab w:val="left" w:pos="-90"/>
          <w:tab w:val="left" w:pos="0"/>
          <w:tab w:val="left" w:pos="180"/>
          <w:tab w:val="left" w:pos="270"/>
          <w:tab w:val="left" w:pos="360"/>
          <w:tab w:val="left" w:pos="63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="00441B62">
        <w:rPr>
          <w:rFonts w:ascii="Times New Roman" w:hAnsi="Times New Roman" w:cs="Times New Roman"/>
          <w:sz w:val="24"/>
          <w:szCs w:val="24"/>
          <w:lang w:val="en-GB"/>
        </w:rPr>
        <w:t>Me</w:t>
      </w:r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përjashtim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paragrafi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3</w:t>
      </w:r>
      <w:r w:rsidR="00441B6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qëllime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kualifikimit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41B62">
        <w:rPr>
          <w:rFonts w:ascii="Times New Roman" w:hAnsi="Times New Roman" w:cs="Times New Roman"/>
          <w:sz w:val="24"/>
          <w:szCs w:val="24"/>
          <w:lang w:val="en-GB"/>
        </w:rPr>
        <w:t xml:space="preserve">masa </w:t>
      </w:r>
      <w:proofErr w:type="spellStart"/>
      <w:r w:rsidR="00441B62">
        <w:rPr>
          <w:rFonts w:ascii="Times New Roman" w:hAnsi="Times New Roman" w:cs="Times New Roman"/>
          <w:sz w:val="24"/>
          <w:szCs w:val="24"/>
          <w:lang w:val="en-GB"/>
        </w:rPr>
        <w:t>leht</w:t>
      </w:r>
      <w:r w:rsidR="009B2DB7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441B62">
        <w:rPr>
          <w:rFonts w:ascii="Times New Roman" w:hAnsi="Times New Roman" w:cs="Times New Roman"/>
          <w:sz w:val="24"/>
          <w:szCs w:val="24"/>
          <w:lang w:val="en-GB"/>
        </w:rPr>
        <w:t>suese</w:t>
      </w:r>
      <w:proofErr w:type="spellEnd"/>
      <w:r w:rsid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41B62" w:rsidRPr="009B2DB7">
        <w:rPr>
          <w:rFonts w:ascii="Times New Roman" w:hAnsi="Times New Roman" w:cs="Times New Roman"/>
          <w:sz w:val="24"/>
          <w:szCs w:val="24"/>
          <w:lang w:val="en-GB"/>
        </w:rPr>
        <w:t>TMBK</w:t>
      </w:r>
      <w:r w:rsidR="007757DE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441B62" w:rsidRPr="0067394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llogaritja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fitimeve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tepërta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bazohet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standard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394A">
        <w:rPr>
          <w:rFonts w:ascii="Times New Roman" w:hAnsi="Times New Roman" w:cs="Times New Roman"/>
          <w:sz w:val="24"/>
          <w:szCs w:val="24"/>
          <w:lang w:val="en-GB"/>
        </w:rPr>
        <w:t>zbatueshëm</w:t>
      </w:r>
      <w:proofErr w:type="spellEnd"/>
      <w:r w:rsid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kontabilitetit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financiar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standard </w:t>
      </w:r>
      <w:proofErr w:type="spellStart"/>
      <w:r w:rsidR="0067394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autorizuar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kontabilitetit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financiar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lejuar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organ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autorizuar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kontabilitetit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Standardi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7394A">
        <w:rPr>
          <w:rFonts w:ascii="Times New Roman" w:hAnsi="Times New Roman" w:cs="Times New Roman"/>
          <w:sz w:val="24"/>
          <w:szCs w:val="24"/>
          <w:lang w:val="en-GB"/>
        </w:rPr>
        <w:t>Vendor</w:t>
      </w:r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Kontabilitetit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Financiar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), me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kusht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ardhurat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humb</w:t>
      </w:r>
      <w:r w:rsidR="0067394A">
        <w:rPr>
          <w:rFonts w:ascii="Times New Roman" w:hAnsi="Times New Roman" w:cs="Times New Roman"/>
          <w:sz w:val="24"/>
          <w:szCs w:val="24"/>
          <w:lang w:val="en-GB"/>
        </w:rPr>
        <w:t>jet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pasqyrave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standardi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rregullohen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shmangur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394A">
        <w:rPr>
          <w:rFonts w:ascii="Times New Roman" w:hAnsi="Times New Roman" w:cs="Times New Roman"/>
          <w:sz w:val="24"/>
          <w:szCs w:val="24"/>
          <w:lang w:val="en-GB"/>
        </w:rPr>
        <w:t>dëmtim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material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konkurrencës</w:t>
      </w:r>
      <w:proofErr w:type="spellEnd"/>
      <w:r w:rsidR="00441B62" w:rsidRPr="00441B6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D75028F" w14:textId="40737FC0" w:rsidR="00860659" w:rsidRDefault="00860659" w:rsidP="00860659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8AAA414" w14:textId="77777777" w:rsidR="001F32EB" w:rsidRPr="001F32EB" w:rsidRDefault="001F32EB" w:rsidP="001F32EB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F32EB">
        <w:rPr>
          <w:rFonts w:ascii="Times New Roman" w:hAnsi="Times New Roman" w:cs="Times New Roman"/>
          <w:b/>
          <w:bCs/>
          <w:sz w:val="24"/>
          <w:szCs w:val="24"/>
          <w:lang w:val="en-GB"/>
        </w:rPr>
        <w:t>Neni 50</w:t>
      </w:r>
    </w:p>
    <w:p w14:paraId="65656130" w14:textId="3EBB0C4C" w:rsidR="001F32EB" w:rsidRPr="001F32EB" w:rsidRDefault="001F32EB" w:rsidP="001F32EB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1F32EB">
        <w:rPr>
          <w:rFonts w:ascii="Times New Roman" w:hAnsi="Times New Roman" w:cs="Times New Roman"/>
          <w:b/>
          <w:bCs/>
          <w:sz w:val="24"/>
          <w:szCs w:val="24"/>
          <w:lang w:val="en-GB"/>
        </w:rPr>
        <w:t>Llogaritja</w:t>
      </w:r>
      <w:proofErr w:type="spellEnd"/>
      <w:r w:rsidRPr="001F32E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 </w:t>
      </w:r>
      <w:proofErr w:type="spellStart"/>
      <w:r w:rsidRPr="001F32EB">
        <w:rPr>
          <w:rFonts w:ascii="Times New Roman" w:hAnsi="Times New Roman" w:cs="Times New Roman"/>
          <w:b/>
          <w:bCs/>
          <w:sz w:val="24"/>
          <w:szCs w:val="24"/>
          <w:lang w:val="en-GB"/>
        </w:rPr>
        <w:t>tatimeve</w:t>
      </w:r>
      <w:proofErr w:type="spellEnd"/>
      <w:r w:rsidRPr="001F32E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b/>
          <w:bCs/>
          <w:sz w:val="24"/>
          <w:szCs w:val="24"/>
          <w:lang w:val="en-GB"/>
        </w:rPr>
        <w:t>të</w:t>
      </w:r>
      <w:proofErr w:type="spellEnd"/>
      <w:r w:rsidRPr="001F32E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b/>
          <w:bCs/>
          <w:sz w:val="24"/>
          <w:szCs w:val="24"/>
          <w:lang w:val="en-GB"/>
        </w:rPr>
        <w:t>mbuluara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b/>
          <w:bCs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korrigjuara</w:t>
      </w:r>
      <w:proofErr w:type="spellEnd"/>
    </w:p>
    <w:p w14:paraId="7D4E6B0A" w14:textId="77777777" w:rsidR="001F32EB" w:rsidRPr="001F32EB" w:rsidRDefault="001F32EB" w:rsidP="001F32EB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46D6175" w14:textId="59CC55C6" w:rsidR="001F32EB" w:rsidRPr="001F32EB" w:rsidRDefault="001F32EB" w:rsidP="0086528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F32EB">
        <w:rPr>
          <w:rFonts w:ascii="Times New Roman" w:hAnsi="Times New Roman" w:cs="Times New Roman"/>
          <w:sz w:val="24"/>
          <w:szCs w:val="24"/>
          <w:lang w:val="en-GB"/>
        </w:rPr>
        <w:t>1.</w:t>
      </w:r>
      <w:r w:rsidRPr="001F32E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Dispozitat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e Kreut IV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1F32EB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zbatohen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tatimeve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korrigjuara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kreu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340A50A" w14:textId="77777777" w:rsidR="001F32EB" w:rsidRPr="001F32EB" w:rsidRDefault="001F32EB" w:rsidP="0086528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2083AD0" w14:textId="42F83B5C" w:rsidR="001F32EB" w:rsidRPr="001F32EB" w:rsidRDefault="001F32EB" w:rsidP="0086528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2.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Pavarësisht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8946AC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8946AC">
        <w:rPr>
          <w:rFonts w:ascii="Times New Roman" w:hAnsi="Times New Roman" w:cs="Times New Roman"/>
          <w:sz w:val="24"/>
          <w:szCs w:val="24"/>
          <w:lang w:val="en-GB"/>
        </w:rPr>
        <w:t>rshtatjet</w:t>
      </w:r>
      <w:proofErr w:type="spellEnd"/>
      <w:r w:rsid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e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detyrueshme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90C94">
        <w:rPr>
          <w:rFonts w:ascii="Times New Roman" w:hAnsi="Times New Roman" w:cs="Times New Roman"/>
          <w:sz w:val="24"/>
          <w:szCs w:val="24"/>
          <w:lang w:val="en-GB"/>
        </w:rPr>
        <w:t>lehtësuese</w:t>
      </w:r>
      <w:proofErr w:type="spellEnd"/>
      <w:r w:rsid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F54CF" w:rsidRPr="006F54CF">
        <w:rPr>
          <w:rFonts w:ascii="Times New Roman" w:hAnsi="Times New Roman" w:cs="Times New Roman"/>
          <w:sz w:val="24"/>
          <w:szCs w:val="24"/>
          <w:lang w:val="en-GB"/>
        </w:rPr>
        <w:t>TMBK</w:t>
      </w:r>
      <w:r w:rsidR="007757DE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6F54C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>
        <w:rPr>
          <w:rFonts w:ascii="Times New Roman" w:hAnsi="Times New Roman" w:cs="Times New Roman"/>
          <w:sz w:val="24"/>
          <w:szCs w:val="24"/>
          <w:lang w:val="en-GB"/>
        </w:rPr>
        <w:t>korrigjuara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përfshijnë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asnjë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tatimeve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mbuluara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paguara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përllogaritura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tjetër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cilat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përndryshe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t'i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ngarkoheshin</w:t>
      </w:r>
      <w:proofErr w:type="spellEnd"/>
      <w:r w:rsid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>
        <w:rPr>
          <w:rFonts w:ascii="Times New Roman" w:hAnsi="Times New Roman" w:cs="Times New Roman"/>
          <w:sz w:val="24"/>
          <w:szCs w:val="24"/>
          <w:lang w:val="en-GB"/>
        </w:rPr>
        <w:t>atij</w:t>
      </w:r>
      <w:proofErr w:type="spellEnd"/>
      <w:r w:rsidR="008946A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Kreut IV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1F32EB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konkretisht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20C510A9" w14:textId="77777777" w:rsidR="001F32EB" w:rsidRPr="001F32EB" w:rsidRDefault="001F32EB" w:rsidP="0086528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6F2BD96" w14:textId="58703625" w:rsidR="001F32EB" w:rsidRPr="006F54CF" w:rsidRDefault="001F32EB" w:rsidP="006F54CF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ngarkohen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selie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përhershme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paguara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kryesor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saj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tjetër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17B2395" w14:textId="0B8A6BAB" w:rsidR="001F32EB" w:rsidRPr="006F54CF" w:rsidRDefault="001F32EB" w:rsidP="006F54CF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paguara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>
        <w:rPr>
          <w:rFonts w:ascii="Times New Roman" w:hAnsi="Times New Roman" w:cs="Times New Roman"/>
          <w:sz w:val="24"/>
          <w:szCs w:val="24"/>
          <w:lang w:val="en-GB"/>
        </w:rPr>
        <w:t>pronar</w:t>
      </w:r>
      <w:proofErr w:type="spellEnd"/>
      <w:r w:rsid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entitet</w:t>
      </w:r>
      <w:r w:rsidR="008946AC">
        <w:rPr>
          <w:rFonts w:ascii="Times New Roman" w:hAnsi="Times New Roman" w:cs="Times New Roman"/>
          <w:sz w:val="24"/>
          <w:szCs w:val="24"/>
          <w:lang w:val="en-GB"/>
        </w:rPr>
        <w:t>it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tjetër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subjekt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regjimi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shoqëritë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kontrolluara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huaja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pjesën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94D7366" w14:textId="2B6B150C" w:rsidR="001F32EB" w:rsidRPr="006F54CF" w:rsidRDefault="001F32EB" w:rsidP="006F54CF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c) </w:t>
      </w:r>
      <w:proofErr w:type="spellStart"/>
      <w:r w:rsidRPr="001F32EB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atimet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paguara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pronar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tjetër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pjesën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atribuohen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hibrid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="008946AC" w:rsidRPr="008946AC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29F8B21B" w14:textId="71A3FB10" w:rsidR="001F32EB" w:rsidRPr="00860659" w:rsidRDefault="001F32EB" w:rsidP="0086528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F32EB">
        <w:rPr>
          <w:rFonts w:ascii="Times New Roman" w:hAnsi="Times New Roman" w:cs="Times New Roman"/>
          <w:sz w:val="24"/>
          <w:szCs w:val="24"/>
          <w:lang w:val="en-GB"/>
        </w:rPr>
        <w:t xml:space="preserve">d) </w:t>
      </w:r>
      <w:proofErr w:type="spellStart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>tatimet</w:t>
      </w:r>
      <w:proofErr w:type="spellEnd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>paguara</w:t>
      </w:r>
      <w:proofErr w:type="spellEnd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>përllogaritura</w:t>
      </w:r>
      <w:proofErr w:type="spellEnd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>
        <w:rPr>
          <w:rFonts w:ascii="Times New Roman" w:hAnsi="Times New Roman" w:cs="Times New Roman"/>
          <w:sz w:val="24"/>
          <w:szCs w:val="24"/>
          <w:lang w:val="en-GB"/>
        </w:rPr>
        <w:t>pronar</w:t>
      </w:r>
      <w:proofErr w:type="spellEnd"/>
      <w:r w:rsid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>
        <w:rPr>
          <w:rFonts w:ascii="Times New Roman" w:hAnsi="Times New Roman" w:cs="Times New Roman"/>
          <w:sz w:val="24"/>
          <w:szCs w:val="24"/>
          <w:lang w:val="en-GB"/>
        </w:rPr>
        <w:t>drejtp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B92FC9">
        <w:rPr>
          <w:rFonts w:ascii="Times New Roman" w:hAnsi="Times New Roman" w:cs="Times New Roman"/>
          <w:sz w:val="24"/>
          <w:szCs w:val="24"/>
          <w:lang w:val="en-GB"/>
        </w:rPr>
        <w:t>rdrejt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>entitet</w:t>
      </w:r>
      <w:r w:rsidR="00B92FC9">
        <w:rPr>
          <w:rFonts w:ascii="Times New Roman" w:hAnsi="Times New Roman" w:cs="Times New Roman"/>
          <w:sz w:val="24"/>
          <w:szCs w:val="24"/>
          <w:lang w:val="en-GB"/>
        </w:rPr>
        <w:t>it</w:t>
      </w:r>
      <w:proofErr w:type="spellEnd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>tjetër</w:t>
      </w:r>
      <w:proofErr w:type="spellEnd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>shpërndarjet</w:t>
      </w:r>
      <w:proofErr w:type="spellEnd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>kryera</w:t>
      </w:r>
      <w:proofErr w:type="spellEnd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="00B92FC9" w:rsidRPr="00B92FC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759B20D" w14:textId="17B468D4" w:rsidR="00AD4E33" w:rsidRDefault="00AD4E33" w:rsidP="00860659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69DE9A6E" w14:textId="77777777" w:rsidR="005103FE" w:rsidRDefault="00B92FC9" w:rsidP="005103FE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B92FC9">
        <w:rPr>
          <w:rFonts w:ascii="Times New Roman" w:hAnsi="Times New Roman" w:cs="Times New Roman"/>
          <w:sz w:val="24"/>
          <w:szCs w:val="24"/>
          <w:lang w:val="en-GB"/>
        </w:rPr>
        <w:lastRenderedPageBreak/>
        <w:t>Neni 51</w:t>
      </w:r>
    </w:p>
    <w:p w14:paraId="19B98DC4" w14:textId="4468F3C6" w:rsidR="005103FE" w:rsidRPr="005103FE" w:rsidRDefault="00B92FC9" w:rsidP="005103FE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103FE">
        <w:rPr>
          <w:rFonts w:ascii="Times New Roman" w:hAnsi="Times New Roman" w:cs="Times New Roman"/>
          <w:b/>
          <w:bCs/>
          <w:sz w:val="24"/>
          <w:szCs w:val="24"/>
          <w:lang w:val="en-GB"/>
        </w:rPr>
        <w:t>Përjashtimi</w:t>
      </w:r>
      <w:proofErr w:type="spellEnd"/>
      <w:r w:rsidRPr="005103F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proofErr w:type="spellEnd"/>
      <w:r w:rsidRPr="005103F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b/>
          <w:bCs/>
          <w:sz w:val="24"/>
          <w:szCs w:val="24"/>
          <w:lang w:val="en-GB"/>
        </w:rPr>
        <w:t>të</w:t>
      </w:r>
      <w:proofErr w:type="spellEnd"/>
      <w:r w:rsidRPr="005103F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b/>
          <w:bCs/>
          <w:sz w:val="24"/>
          <w:szCs w:val="24"/>
          <w:lang w:val="en-GB"/>
        </w:rPr>
        <w:t>ardhurave</w:t>
      </w:r>
      <w:proofErr w:type="spellEnd"/>
      <w:r w:rsidRPr="005103F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5103FE" w:rsidRPr="005103FE">
        <w:rPr>
          <w:rFonts w:ascii="Times New Roman" w:hAnsi="Times New Roman" w:cs="Times New Roman"/>
          <w:b/>
          <w:bCs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b/>
          <w:bCs/>
          <w:sz w:val="24"/>
          <w:szCs w:val="24"/>
          <w:lang w:val="en-GB"/>
        </w:rPr>
        <w:t>ë</w:t>
      </w:r>
      <w:proofErr w:type="spellEnd"/>
      <w:r w:rsidR="005103FE" w:rsidRPr="005103F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b/>
          <w:bCs/>
          <w:sz w:val="24"/>
          <w:szCs w:val="24"/>
          <w:lang w:val="en-GB"/>
        </w:rPr>
        <w:t>bazuar</w:t>
      </w:r>
      <w:r w:rsidR="005103FE" w:rsidRPr="005103FE">
        <w:rPr>
          <w:rFonts w:ascii="Times New Roman" w:hAnsi="Times New Roman" w:cs="Times New Roman"/>
          <w:b/>
          <w:bCs/>
          <w:sz w:val="24"/>
          <w:szCs w:val="24"/>
          <w:lang w:val="en-GB"/>
        </w:rPr>
        <w:t>a</w:t>
      </w:r>
      <w:proofErr w:type="spellEnd"/>
      <w:r w:rsidR="005103FE" w:rsidRPr="005103F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14:paraId="3FE96981" w14:textId="4C98B7B5" w:rsidR="00B92FC9" w:rsidRPr="00B92FC9" w:rsidRDefault="00B92FC9" w:rsidP="00B92FC9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92FC9">
        <w:rPr>
          <w:rFonts w:ascii="Times New Roman" w:hAnsi="Times New Roman" w:cs="Times New Roman"/>
          <w:b/>
          <w:bCs/>
          <w:sz w:val="24"/>
          <w:szCs w:val="24"/>
          <w:lang w:val="en-GB"/>
        </w:rPr>
        <w:t>në</w:t>
      </w:r>
      <w:proofErr w:type="spellEnd"/>
      <w:r w:rsidRPr="00B92FC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5103F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substance </w:t>
      </w:r>
      <w:proofErr w:type="spellStart"/>
      <w:r w:rsidRPr="00B92FC9">
        <w:rPr>
          <w:rFonts w:ascii="Times New Roman" w:hAnsi="Times New Roman" w:cs="Times New Roman"/>
          <w:b/>
          <w:bCs/>
          <w:sz w:val="24"/>
          <w:szCs w:val="24"/>
          <w:lang w:val="en-GB"/>
        </w:rPr>
        <w:t>për</w:t>
      </w:r>
      <w:proofErr w:type="spellEnd"/>
      <w:r w:rsidRPr="00B92FC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b/>
          <w:bCs/>
          <w:sz w:val="24"/>
          <w:szCs w:val="24"/>
          <w:lang w:val="en-GB"/>
        </w:rPr>
        <w:t>tatimin</w:t>
      </w:r>
      <w:proofErr w:type="spellEnd"/>
      <w:r w:rsidRPr="0086528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b/>
          <w:bCs/>
          <w:sz w:val="24"/>
          <w:szCs w:val="24"/>
          <w:lang w:val="en-GB"/>
        </w:rPr>
        <w:t>shtesë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 w:rsidRPr="00865283">
        <w:rPr>
          <w:rFonts w:ascii="Times New Roman" w:hAnsi="Times New Roman" w:cs="Times New Roman"/>
          <w:b/>
          <w:bCs/>
          <w:sz w:val="24"/>
          <w:szCs w:val="24"/>
          <w:lang w:val="en-GB"/>
        </w:rPr>
        <w:t>t</w:t>
      </w:r>
      <w:r w:rsidR="00AB7580" w:rsidRPr="00865283">
        <w:rPr>
          <w:rFonts w:ascii="Times New Roman" w:hAnsi="Times New Roman" w:cs="Times New Roman"/>
          <w:b/>
          <w:bCs/>
          <w:sz w:val="24"/>
          <w:szCs w:val="24"/>
          <w:lang w:val="en-GB"/>
        </w:rPr>
        <w:t>ë</w:t>
      </w:r>
      <w:proofErr w:type="spellEnd"/>
      <w:r w:rsidR="005103FE" w:rsidRPr="0086528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5103FE" w:rsidRPr="00865283">
        <w:rPr>
          <w:rFonts w:ascii="Times New Roman" w:hAnsi="Times New Roman" w:cs="Times New Roman"/>
          <w:b/>
          <w:bCs/>
          <w:sz w:val="24"/>
          <w:szCs w:val="24"/>
          <w:lang w:val="en-GB"/>
        </w:rPr>
        <w:t>brendsh</w:t>
      </w:r>
      <w:r w:rsidR="00AB7580" w:rsidRPr="00865283">
        <w:rPr>
          <w:rFonts w:ascii="Times New Roman" w:hAnsi="Times New Roman" w:cs="Times New Roman"/>
          <w:b/>
          <w:bCs/>
          <w:sz w:val="24"/>
          <w:szCs w:val="24"/>
          <w:lang w:val="en-GB"/>
        </w:rPr>
        <w:t>ë</w:t>
      </w:r>
      <w:r w:rsidR="005103FE" w:rsidRPr="00865283">
        <w:rPr>
          <w:rFonts w:ascii="Times New Roman" w:hAnsi="Times New Roman" w:cs="Times New Roman"/>
          <w:b/>
          <w:bCs/>
          <w:sz w:val="24"/>
          <w:szCs w:val="24"/>
          <w:lang w:val="en-GB"/>
        </w:rPr>
        <w:t>m</w:t>
      </w:r>
      <w:proofErr w:type="spellEnd"/>
    </w:p>
    <w:p w14:paraId="78813F8B" w14:textId="77777777" w:rsidR="00B92FC9" w:rsidRPr="00B92FC9" w:rsidRDefault="00B92FC9" w:rsidP="00B92FC9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0D010311" w14:textId="66B31E3D" w:rsidR="005103FE" w:rsidRDefault="00B92FC9" w:rsidP="0086528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92FC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2FC9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B92FC9">
        <w:rPr>
          <w:rFonts w:ascii="Times New Roman" w:hAnsi="Times New Roman" w:cs="Times New Roman"/>
          <w:sz w:val="24"/>
          <w:szCs w:val="24"/>
          <w:lang w:val="en-GB"/>
        </w:rPr>
        <w:t>përcaktimit</w:t>
      </w:r>
      <w:proofErr w:type="spellEnd"/>
      <w:r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2FC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2FC9">
        <w:rPr>
          <w:rFonts w:ascii="Times New Roman" w:hAnsi="Times New Roman" w:cs="Times New Roman"/>
          <w:sz w:val="24"/>
          <w:szCs w:val="24"/>
          <w:lang w:val="en-GB"/>
        </w:rPr>
        <w:t>përjashtimit</w:t>
      </w:r>
      <w:proofErr w:type="spellEnd"/>
      <w:r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2FC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2FC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2FC9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2FC9">
        <w:rPr>
          <w:rFonts w:ascii="Times New Roman" w:hAnsi="Times New Roman" w:cs="Times New Roman"/>
          <w:sz w:val="24"/>
          <w:szCs w:val="24"/>
          <w:lang w:val="en-GB"/>
        </w:rPr>
        <w:t>bazuar</w:t>
      </w:r>
      <w:r w:rsidR="005103FE">
        <w:rPr>
          <w:rFonts w:ascii="Times New Roman" w:hAnsi="Times New Roman" w:cs="Times New Roman"/>
          <w:sz w:val="24"/>
          <w:szCs w:val="24"/>
          <w:lang w:val="en-GB"/>
        </w:rPr>
        <w:t>a</w:t>
      </w:r>
      <w:proofErr w:type="spellEnd"/>
      <w:r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2FC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2FC9">
        <w:rPr>
          <w:rFonts w:ascii="Times New Roman" w:hAnsi="Times New Roman" w:cs="Times New Roman"/>
          <w:sz w:val="24"/>
          <w:szCs w:val="24"/>
          <w:lang w:val="en-GB"/>
        </w:rPr>
        <w:t>substancë</w:t>
      </w:r>
      <w:proofErr w:type="spellEnd"/>
      <w:r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2FC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2FC9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2FC9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2FC9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2FC9">
        <w:rPr>
          <w:rFonts w:ascii="Times New Roman" w:hAnsi="Times New Roman" w:cs="Times New Roman"/>
          <w:sz w:val="24"/>
          <w:szCs w:val="24"/>
          <w:lang w:val="en-GB"/>
        </w:rPr>
        <w:t>kreu</w:t>
      </w:r>
      <w:proofErr w:type="spellEnd"/>
      <w:r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92FC9">
        <w:rPr>
          <w:rFonts w:ascii="Times New Roman" w:hAnsi="Times New Roman" w:cs="Times New Roman"/>
          <w:sz w:val="24"/>
          <w:szCs w:val="24"/>
          <w:lang w:val="en-GB"/>
        </w:rPr>
        <w:t>zbatohen</w:t>
      </w:r>
      <w:proofErr w:type="spellEnd"/>
      <w:r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2FC9">
        <w:rPr>
          <w:rFonts w:ascii="Times New Roman" w:hAnsi="Times New Roman" w:cs="Times New Roman"/>
          <w:sz w:val="24"/>
          <w:szCs w:val="24"/>
          <w:lang w:val="en-GB"/>
        </w:rPr>
        <w:t>dispozitat</w:t>
      </w:r>
      <w:proofErr w:type="spellEnd"/>
      <w:r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B92FC9">
        <w:rPr>
          <w:rFonts w:ascii="Times New Roman" w:hAnsi="Times New Roman" w:cs="Times New Roman"/>
          <w:sz w:val="24"/>
          <w:szCs w:val="24"/>
          <w:lang w:val="en-GB"/>
        </w:rPr>
        <w:t>neneve</w:t>
      </w:r>
      <w:proofErr w:type="spellEnd"/>
      <w:r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28 </w:t>
      </w:r>
      <w:proofErr w:type="spellStart"/>
      <w:r w:rsidRPr="00B92FC9">
        <w:rPr>
          <w:rFonts w:ascii="Times New Roman" w:hAnsi="Times New Roman" w:cs="Times New Roman"/>
          <w:sz w:val="24"/>
          <w:szCs w:val="24"/>
          <w:lang w:val="en-GB"/>
        </w:rPr>
        <w:t>deri</w:t>
      </w:r>
      <w:proofErr w:type="spellEnd"/>
      <w:r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2FC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31</w:t>
      </w:r>
      <w:r w:rsidR="005103F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92FC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2FC9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B92F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B92FC9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B92FC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8A5AEFA" w14:textId="77777777" w:rsidR="006F54CF" w:rsidRPr="00865283" w:rsidRDefault="006F54CF" w:rsidP="0086528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CBF4AE3" w14:textId="77777777" w:rsidR="005103FE" w:rsidRPr="005103FE" w:rsidRDefault="005103FE" w:rsidP="0086528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5103FE">
        <w:rPr>
          <w:rFonts w:ascii="Times New Roman" w:hAnsi="Times New Roman" w:cs="Times New Roman"/>
          <w:sz w:val="24"/>
          <w:szCs w:val="24"/>
          <w:lang w:val="en-GB"/>
        </w:rPr>
        <w:t>Neni 52</w:t>
      </w:r>
    </w:p>
    <w:p w14:paraId="31A8CA45" w14:textId="0844EEBA" w:rsidR="005103FE" w:rsidRPr="005103FE" w:rsidRDefault="005103FE" w:rsidP="0086528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5103FE">
        <w:rPr>
          <w:rFonts w:ascii="Times New Roman" w:hAnsi="Times New Roman" w:cs="Times New Roman"/>
          <w:b/>
          <w:bCs/>
          <w:sz w:val="24"/>
          <w:szCs w:val="24"/>
          <w:lang w:val="en-GB"/>
        </w:rPr>
        <w:t>Llogaritja</w:t>
      </w:r>
      <w:proofErr w:type="spellEnd"/>
      <w:r w:rsidRPr="005103F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b/>
          <w:bCs/>
          <w:sz w:val="24"/>
          <w:szCs w:val="24"/>
          <w:lang w:val="en-GB"/>
        </w:rPr>
        <w:t>dhe</w:t>
      </w:r>
      <w:proofErr w:type="spellEnd"/>
      <w:r w:rsidRPr="005103F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b/>
          <w:bCs/>
          <w:sz w:val="24"/>
          <w:szCs w:val="24"/>
          <w:lang w:val="en-GB"/>
        </w:rPr>
        <w:t>pagesa</w:t>
      </w:r>
      <w:proofErr w:type="spellEnd"/>
      <w:r w:rsidRPr="005103F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 </w:t>
      </w:r>
      <w:proofErr w:type="spellStart"/>
      <w:r w:rsidRPr="005103FE">
        <w:rPr>
          <w:rFonts w:ascii="Times New Roman" w:hAnsi="Times New Roman" w:cs="Times New Roman"/>
          <w:b/>
          <w:bCs/>
          <w:sz w:val="24"/>
          <w:szCs w:val="24"/>
          <w:lang w:val="en-GB"/>
        </w:rPr>
        <w:t>tatimit</w:t>
      </w:r>
      <w:proofErr w:type="spellEnd"/>
      <w:r w:rsidRPr="005103F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b/>
          <w:bCs/>
          <w:sz w:val="24"/>
          <w:szCs w:val="24"/>
          <w:lang w:val="en-GB"/>
        </w:rPr>
        <w:t>shtesë</w:t>
      </w:r>
      <w:proofErr w:type="spellEnd"/>
      <w:r w:rsidRPr="005103F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b/>
          <w:bCs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b/>
          <w:bCs/>
          <w:sz w:val="24"/>
          <w:szCs w:val="24"/>
          <w:lang w:val="en-GB"/>
        </w:rPr>
        <w:t>ë</w:t>
      </w:r>
      <w:proofErr w:type="spellEnd"/>
      <w:r w:rsidRPr="005103F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b/>
          <w:bCs/>
          <w:sz w:val="24"/>
          <w:szCs w:val="24"/>
          <w:lang w:val="en-GB"/>
        </w:rPr>
        <w:t>brendsh</w:t>
      </w:r>
      <w:r w:rsidR="00AB7580">
        <w:rPr>
          <w:rFonts w:ascii="Times New Roman" w:hAnsi="Times New Roman" w:cs="Times New Roman"/>
          <w:b/>
          <w:bCs/>
          <w:sz w:val="24"/>
          <w:szCs w:val="24"/>
          <w:lang w:val="en-GB"/>
        </w:rPr>
        <w:t>ë</w:t>
      </w:r>
      <w:r w:rsidRPr="005103FE">
        <w:rPr>
          <w:rFonts w:ascii="Times New Roman" w:hAnsi="Times New Roman" w:cs="Times New Roman"/>
          <w:b/>
          <w:bCs/>
          <w:sz w:val="24"/>
          <w:szCs w:val="24"/>
          <w:lang w:val="en-GB"/>
        </w:rPr>
        <w:t>m</w:t>
      </w:r>
      <w:proofErr w:type="spellEnd"/>
      <w:r w:rsidRPr="005103F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b/>
          <w:bCs/>
          <w:sz w:val="24"/>
          <w:szCs w:val="24"/>
          <w:lang w:val="en-GB"/>
        </w:rPr>
        <w:t>në</w:t>
      </w:r>
      <w:proofErr w:type="spellEnd"/>
      <w:r w:rsidRPr="005103F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b/>
          <w:bCs/>
          <w:sz w:val="24"/>
          <w:szCs w:val="24"/>
          <w:lang w:val="en-GB"/>
        </w:rPr>
        <w:t>Republikën</w:t>
      </w:r>
      <w:proofErr w:type="spellEnd"/>
      <w:r w:rsidRPr="005103F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 </w:t>
      </w:r>
      <w:proofErr w:type="spellStart"/>
      <w:r w:rsidRPr="005103FE">
        <w:rPr>
          <w:rFonts w:ascii="Times New Roman" w:hAnsi="Times New Roman" w:cs="Times New Roman"/>
          <w:b/>
          <w:bCs/>
          <w:sz w:val="24"/>
          <w:szCs w:val="24"/>
          <w:lang w:val="en-GB"/>
        </w:rPr>
        <w:t>Shqipërisë</w:t>
      </w:r>
      <w:proofErr w:type="spellEnd"/>
    </w:p>
    <w:p w14:paraId="336490CF" w14:textId="77777777" w:rsidR="005103FE" w:rsidRPr="005103FE" w:rsidRDefault="005103FE" w:rsidP="0086528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4142393" w14:textId="5E3C69D2" w:rsidR="005103FE" w:rsidRPr="005103FE" w:rsidRDefault="005103FE" w:rsidP="0086528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1. Brenda 15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muajve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përfundimi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raportues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përgjegjës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brendsh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m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duhet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paraqesë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deklaratë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brendsh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m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, e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cila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konsiderohet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deklaratë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përgjegjës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brendsh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m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duhet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paraqesë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deklaratën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pranë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autoritetit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pavarësisht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apo jo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detyruar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paguajë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brends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m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periudhën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cilën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paraqet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deklaratën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3A59818" w14:textId="77777777" w:rsidR="005103FE" w:rsidRPr="005103FE" w:rsidRDefault="005103FE" w:rsidP="0086528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2C89475" w14:textId="2F4A916D" w:rsidR="005103FE" w:rsidRPr="005103FE" w:rsidRDefault="005103FE" w:rsidP="0086528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2.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bëjnë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pjesë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njëjtin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 w:rsidRPr="00865283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 w:rsidRPr="00865283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865283"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njëjtin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 w:rsidRPr="00865283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mund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caktojnë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radhët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e tyre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851B1">
        <w:rPr>
          <w:rFonts w:ascii="Times New Roman" w:hAnsi="Times New Roman" w:cs="Times New Roman"/>
          <w:sz w:val="24"/>
          <w:szCs w:val="24"/>
          <w:lang w:val="en-GB"/>
        </w:rPr>
        <w:t>vendor</w:t>
      </w:r>
      <w:r w:rsid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paraqitur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deklaratën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5330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5330">
        <w:rPr>
          <w:rFonts w:ascii="Times New Roman" w:hAnsi="Times New Roman" w:cs="Times New Roman"/>
          <w:sz w:val="24"/>
          <w:szCs w:val="24"/>
          <w:lang w:val="en-GB"/>
        </w:rPr>
        <w:t>brendsh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095330">
        <w:rPr>
          <w:rFonts w:ascii="Times New Roman" w:hAnsi="Times New Roman" w:cs="Times New Roman"/>
          <w:sz w:val="24"/>
          <w:szCs w:val="24"/>
          <w:lang w:val="en-GB"/>
        </w:rPr>
        <w:t>m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emër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gjithëve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. Brenda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afatit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përcaktuar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1</w:t>
      </w:r>
      <w:r w:rsidR="0009533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533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caktuar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851B1">
        <w:rPr>
          <w:rFonts w:ascii="Times New Roman" w:hAnsi="Times New Roman" w:cs="Times New Roman"/>
          <w:sz w:val="24"/>
          <w:szCs w:val="24"/>
          <w:lang w:val="en-GB"/>
        </w:rPr>
        <w:t xml:space="preserve">vendor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duhet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paraqesë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deklaratën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cilën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llogarit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5330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5330">
        <w:rPr>
          <w:rFonts w:ascii="Times New Roman" w:hAnsi="Times New Roman" w:cs="Times New Roman"/>
          <w:sz w:val="24"/>
          <w:szCs w:val="24"/>
          <w:lang w:val="en-GB"/>
        </w:rPr>
        <w:t>brendsh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095330">
        <w:rPr>
          <w:rFonts w:ascii="Times New Roman" w:hAnsi="Times New Roman" w:cs="Times New Roman"/>
          <w:sz w:val="24"/>
          <w:szCs w:val="24"/>
          <w:lang w:val="en-GB"/>
        </w:rPr>
        <w:t>m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bëjnë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pjesë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grupin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përkatës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ndodhen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3F407C5" w14:textId="77777777" w:rsidR="005103FE" w:rsidRPr="005103FE" w:rsidRDefault="005103FE" w:rsidP="0086528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3DB0469" w14:textId="3B2911DD" w:rsidR="005103FE" w:rsidRPr="005103FE" w:rsidRDefault="005103FE" w:rsidP="0086528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3.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533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5330">
        <w:rPr>
          <w:rFonts w:ascii="Times New Roman" w:hAnsi="Times New Roman" w:cs="Times New Roman"/>
          <w:sz w:val="24"/>
          <w:szCs w:val="24"/>
          <w:lang w:val="en-GB"/>
        </w:rPr>
        <w:t>caktuar</w:t>
      </w:r>
      <w:proofErr w:type="spellEnd"/>
      <w:r w:rsidR="00095330">
        <w:rPr>
          <w:rFonts w:ascii="Times New Roman" w:hAnsi="Times New Roman" w:cs="Times New Roman"/>
          <w:sz w:val="24"/>
          <w:szCs w:val="24"/>
          <w:lang w:val="en-GB"/>
        </w:rPr>
        <w:t xml:space="preserve"> vend</w:t>
      </w:r>
      <w:r w:rsidR="009851B1">
        <w:rPr>
          <w:rFonts w:ascii="Times New Roman" w:hAnsi="Times New Roman" w:cs="Times New Roman"/>
          <w:sz w:val="24"/>
          <w:szCs w:val="24"/>
          <w:lang w:val="en-GB"/>
        </w:rPr>
        <w:t>or</w:t>
      </w:r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paraqet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deklaratën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5330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5330">
        <w:rPr>
          <w:rFonts w:ascii="Times New Roman" w:hAnsi="Times New Roman" w:cs="Times New Roman"/>
          <w:sz w:val="24"/>
          <w:szCs w:val="24"/>
          <w:lang w:val="en-GB"/>
        </w:rPr>
        <w:t>brendsh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095330">
        <w:rPr>
          <w:rFonts w:ascii="Times New Roman" w:hAnsi="Times New Roman" w:cs="Times New Roman"/>
          <w:sz w:val="24"/>
          <w:szCs w:val="24"/>
          <w:lang w:val="en-GB"/>
        </w:rPr>
        <w:t>m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2</w:t>
      </w:r>
      <w:r w:rsidR="0009533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konsiderohen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përgjegjëse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paraqitjen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deklaratës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nen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444F395" w14:textId="77777777" w:rsidR="005103FE" w:rsidRPr="005103FE" w:rsidRDefault="005103FE" w:rsidP="0086528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44160E4" w14:textId="24B319BA" w:rsidR="005103FE" w:rsidRPr="005103FE" w:rsidRDefault="005103FE" w:rsidP="0086528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4.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detyruar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paraqesë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deklaratën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5330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5330">
        <w:rPr>
          <w:rFonts w:ascii="Times New Roman" w:hAnsi="Times New Roman" w:cs="Times New Roman"/>
          <w:sz w:val="24"/>
          <w:szCs w:val="24"/>
          <w:lang w:val="en-GB"/>
        </w:rPr>
        <w:t>brendsh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095330">
        <w:rPr>
          <w:rFonts w:ascii="Times New Roman" w:hAnsi="Times New Roman" w:cs="Times New Roman"/>
          <w:sz w:val="24"/>
          <w:szCs w:val="24"/>
          <w:lang w:val="en-GB"/>
        </w:rPr>
        <w:t>m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nen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duhet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paguajë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5330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5330">
        <w:rPr>
          <w:rFonts w:ascii="Times New Roman" w:hAnsi="Times New Roman" w:cs="Times New Roman"/>
          <w:sz w:val="24"/>
          <w:szCs w:val="24"/>
          <w:lang w:val="en-GB"/>
        </w:rPr>
        <w:t>brendsh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095330">
        <w:rPr>
          <w:rFonts w:ascii="Times New Roman" w:hAnsi="Times New Roman" w:cs="Times New Roman"/>
          <w:sz w:val="24"/>
          <w:szCs w:val="24"/>
          <w:lang w:val="en-GB"/>
        </w:rPr>
        <w:t>m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="0009533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brenda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30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ditëve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paraqitja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deklaratës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B2EC26C" w14:textId="77777777" w:rsidR="005103FE" w:rsidRPr="005103FE" w:rsidRDefault="005103FE" w:rsidP="0086528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BE5A0E5" w14:textId="34FC1DAB" w:rsidR="005103FE" w:rsidRPr="005103FE" w:rsidRDefault="005103FE" w:rsidP="0086528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5.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caktohet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533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5330">
        <w:rPr>
          <w:rFonts w:ascii="Times New Roman" w:hAnsi="Times New Roman" w:cs="Times New Roman"/>
          <w:sz w:val="24"/>
          <w:szCs w:val="24"/>
          <w:lang w:val="en-GB"/>
        </w:rPr>
        <w:t>caktuar</w:t>
      </w:r>
      <w:proofErr w:type="spellEnd"/>
      <w:r w:rsidR="00095330">
        <w:rPr>
          <w:rFonts w:ascii="Times New Roman" w:hAnsi="Times New Roman" w:cs="Times New Roman"/>
          <w:sz w:val="24"/>
          <w:szCs w:val="24"/>
          <w:lang w:val="en-GB"/>
        </w:rPr>
        <w:t xml:space="preserve"> vend</w:t>
      </w:r>
      <w:r w:rsidR="009851B1">
        <w:rPr>
          <w:rFonts w:ascii="Times New Roman" w:hAnsi="Times New Roman" w:cs="Times New Roman"/>
          <w:sz w:val="24"/>
          <w:szCs w:val="24"/>
          <w:lang w:val="en-GB"/>
        </w:rPr>
        <w:t>or</w:t>
      </w:r>
      <w:r w:rsid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paraqitur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deklaratën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5330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5330">
        <w:rPr>
          <w:rFonts w:ascii="Times New Roman" w:hAnsi="Times New Roman" w:cs="Times New Roman"/>
          <w:sz w:val="24"/>
          <w:szCs w:val="24"/>
          <w:lang w:val="en-GB"/>
        </w:rPr>
        <w:t>brendsh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095330">
        <w:rPr>
          <w:rFonts w:ascii="Times New Roman" w:hAnsi="Times New Roman" w:cs="Times New Roman"/>
          <w:sz w:val="24"/>
          <w:szCs w:val="24"/>
          <w:lang w:val="en-GB"/>
        </w:rPr>
        <w:t>m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brenda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njëjtit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5330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5330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095330"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5330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5330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5330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mbajnë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përgjegjësi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përbashkët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pagesën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shumës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plotë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5330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5330">
        <w:rPr>
          <w:rFonts w:ascii="Times New Roman" w:hAnsi="Times New Roman" w:cs="Times New Roman"/>
          <w:sz w:val="24"/>
          <w:szCs w:val="24"/>
          <w:lang w:val="en-GB"/>
        </w:rPr>
        <w:t>brendsh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095330">
        <w:rPr>
          <w:rFonts w:ascii="Times New Roman" w:hAnsi="Times New Roman" w:cs="Times New Roman"/>
          <w:sz w:val="24"/>
          <w:szCs w:val="24"/>
          <w:lang w:val="en-GB"/>
        </w:rPr>
        <w:t>m</w:t>
      </w:r>
      <w:proofErr w:type="spellEnd"/>
      <w:r w:rsidR="0009533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llogaritur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5103FE"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5330">
        <w:rPr>
          <w:rFonts w:ascii="Times New Roman" w:hAnsi="Times New Roman" w:cs="Times New Roman"/>
          <w:sz w:val="24"/>
          <w:szCs w:val="24"/>
          <w:lang w:val="en-GB"/>
        </w:rPr>
        <w:t>Li</w:t>
      </w:r>
      <w:r w:rsidRPr="005103FE">
        <w:rPr>
          <w:rFonts w:ascii="Times New Roman" w:hAnsi="Times New Roman" w:cs="Times New Roman"/>
          <w:sz w:val="24"/>
          <w:szCs w:val="24"/>
          <w:lang w:val="en-GB"/>
        </w:rPr>
        <w:t>gj</w:t>
      </w:r>
      <w:proofErr w:type="spellEnd"/>
      <w:r w:rsidRPr="005103F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35A4E1B" w14:textId="77777777" w:rsidR="005103FE" w:rsidRPr="005103FE" w:rsidRDefault="005103FE" w:rsidP="00865283">
      <w:pPr>
        <w:pStyle w:val="ListParagraph"/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5093678" w14:textId="577F1F35" w:rsidR="005103FE" w:rsidRPr="009B2DB7" w:rsidRDefault="00350AFB" w:rsidP="009B2DB7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6.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5330" w:rsidRPr="009B2DB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095330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5330" w:rsidRPr="009B2DB7">
        <w:rPr>
          <w:rFonts w:ascii="Times New Roman" w:hAnsi="Times New Roman" w:cs="Times New Roman"/>
          <w:sz w:val="24"/>
          <w:szCs w:val="24"/>
          <w:lang w:val="en-GB"/>
        </w:rPr>
        <w:t>brendsh</w:t>
      </w:r>
      <w:r w:rsidR="00AB7580" w:rsidRPr="009B2DB7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095330" w:rsidRPr="009B2DB7">
        <w:rPr>
          <w:rFonts w:ascii="Times New Roman" w:hAnsi="Times New Roman" w:cs="Times New Roman"/>
          <w:sz w:val="24"/>
          <w:szCs w:val="24"/>
          <w:lang w:val="en-GB"/>
        </w:rPr>
        <w:t>m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llogaritet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monedhën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prezantimit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pasqyrave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konsoliduara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5330" w:rsidRPr="009B2DB7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qëllime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pagese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përfundimtare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5330" w:rsidRPr="009B2DB7">
        <w:rPr>
          <w:rFonts w:ascii="Times New Roman" w:hAnsi="Times New Roman" w:cs="Times New Roman"/>
          <w:sz w:val="24"/>
          <w:szCs w:val="24"/>
          <w:lang w:val="en-GB"/>
        </w:rPr>
        <w:t>te</w:t>
      </w:r>
      <w:proofErr w:type="spellEnd"/>
      <w:r w:rsidR="00095330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5330" w:rsidRPr="009B2DB7">
        <w:rPr>
          <w:rFonts w:ascii="Times New Roman" w:hAnsi="Times New Roman" w:cs="Times New Roman"/>
          <w:sz w:val="24"/>
          <w:szCs w:val="24"/>
          <w:lang w:val="en-GB"/>
        </w:rPr>
        <w:t>brendsh</w:t>
      </w:r>
      <w:r w:rsidR="00AB7580" w:rsidRPr="009B2DB7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095330" w:rsidRPr="009B2DB7">
        <w:rPr>
          <w:rFonts w:ascii="Times New Roman" w:hAnsi="Times New Roman" w:cs="Times New Roman"/>
          <w:sz w:val="24"/>
          <w:szCs w:val="24"/>
          <w:lang w:val="en-GB"/>
        </w:rPr>
        <w:t>m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duhet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paguar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konvertohet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monedhën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lastRenderedPageBreak/>
        <w:t>vendase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(Lekë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shqiptare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– ALL) duke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përdorur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kursin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zyrtar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këmbimit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publikuar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Banka e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ditën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fundit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raportues</w:t>
      </w:r>
      <w:proofErr w:type="spellEnd"/>
      <w:r w:rsidR="005103FE" w:rsidRPr="009B2DB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1EB07CD" w14:textId="24C948EC" w:rsidR="00095330" w:rsidRDefault="00095330" w:rsidP="00095330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22CB1B7" w14:textId="77777777" w:rsidR="00095330" w:rsidRPr="00095330" w:rsidRDefault="00095330" w:rsidP="00095330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095330">
        <w:rPr>
          <w:rFonts w:ascii="Times New Roman" w:hAnsi="Times New Roman" w:cs="Times New Roman"/>
          <w:sz w:val="24"/>
          <w:szCs w:val="24"/>
          <w:lang w:val="en-GB"/>
        </w:rPr>
        <w:t>Neni 53</w:t>
      </w:r>
    </w:p>
    <w:p w14:paraId="67AA9FC1" w14:textId="1872813A" w:rsidR="00095330" w:rsidRPr="00095330" w:rsidRDefault="00095330" w:rsidP="00095330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095330">
        <w:rPr>
          <w:rFonts w:ascii="Times New Roman" w:hAnsi="Times New Roman" w:cs="Times New Roman"/>
          <w:b/>
          <w:bCs/>
          <w:sz w:val="24"/>
          <w:szCs w:val="24"/>
          <w:lang w:val="en-GB"/>
        </w:rPr>
        <w:t>Të</w:t>
      </w:r>
      <w:proofErr w:type="spellEnd"/>
      <w:r w:rsidRPr="0009533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b/>
          <w:bCs/>
          <w:sz w:val="24"/>
          <w:szCs w:val="24"/>
          <w:lang w:val="en-GB"/>
        </w:rPr>
        <w:t>drejtat</w:t>
      </w:r>
      <w:proofErr w:type="spellEnd"/>
      <w:r w:rsidRPr="0009533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 </w:t>
      </w:r>
      <w:proofErr w:type="spellStart"/>
      <w:r w:rsidRPr="00095330">
        <w:rPr>
          <w:rFonts w:ascii="Times New Roman" w:hAnsi="Times New Roman" w:cs="Times New Roman"/>
          <w:b/>
          <w:bCs/>
          <w:sz w:val="24"/>
          <w:szCs w:val="24"/>
          <w:lang w:val="en-GB"/>
        </w:rPr>
        <w:t>tatimpaguesit</w:t>
      </w:r>
      <w:proofErr w:type="spellEnd"/>
      <w:r w:rsidRPr="0009533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b/>
          <w:bCs/>
          <w:sz w:val="24"/>
          <w:szCs w:val="24"/>
          <w:lang w:val="en-GB"/>
        </w:rPr>
        <w:t>sipas</w:t>
      </w:r>
      <w:proofErr w:type="spellEnd"/>
      <w:r w:rsidRPr="0009533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b/>
          <w:bCs/>
          <w:sz w:val="24"/>
          <w:szCs w:val="24"/>
          <w:lang w:val="en-GB"/>
        </w:rPr>
        <w:t>Tatimit</w:t>
      </w:r>
      <w:proofErr w:type="spellEnd"/>
      <w:r w:rsidRPr="0009533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b/>
          <w:bCs/>
          <w:sz w:val="24"/>
          <w:szCs w:val="24"/>
          <w:lang w:val="en-GB"/>
        </w:rPr>
        <w:t>Shtesë</w:t>
      </w:r>
      <w:proofErr w:type="spellEnd"/>
      <w:r w:rsidRPr="0009533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8D7E5C">
        <w:rPr>
          <w:rFonts w:ascii="Times New Roman" w:hAnsi="Times New Roman" w:cs="Times New Roman"/>
          <w:b/>
          <w:bCs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b/>
          <w:bCs/>
          <w:sz w:val="24"/>
          <w:szCs w:val="24"/>
          <w:lang w:val="en-GB"/>
        </w:rPr>
        <w:t>ë</w:t>
      </w:r>
      <w:proofErr w:type="spellEnd"/>
      <w:r w:rsidR="008D7E5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8D7E5C">
        <w:rPr>
          <w:rFonts w:ascii="Times New Roman" w:hAnsi="Times New Roman" w:cs="Times New Roman"/>
          <w:b/>
          <w:bCs/>
          <w:sz w:val="24"/>
          <w:szCs w:val="24"/>
          <w:lang w:val="en-GB"/>
        </w:rPr>
        <w:t>Brendsh</w:t>
      </w:r>
      <w:r w:rsidR="00AB7580">
        <w:rPr>
          <w:rFonts w:ascii="Times New Roman" w:hAnsi="Times New Roman" w:cs="Times New Roman"/>
          <w:b/>
          <w:bCs/>
          <w:sz w:val="24"/>
          <w:szCs w:val="24"/>
          <w:lang w:val="en-GB"/>
        </w:rPr>
        <w:t>ë</w:t>
      </w:r>
      <w:r w:rsidR="008D7E5C">
        <w:rPr>
          <w:rFonts w:ascii="Times New Roman" w:hAnsi="Times New Roman" w:cs="Times New Roman"/>
          <w:b/>
          <w:bCs/>
          <w:sz w:val="24"/>
          <w:szCs w:val="24"/>
          <w:lang w:val="en-GB"/>
        </w:rPr>
        <w:t>m</w:t>
      </w:r>
      <w:proofErr w:type="spellEnd"/>
    </w:p>
    <w:p w14:paraId="17BFACFF" w14:textId="77777777" w:rsidR="00095330" w:rsidRPr="00095330" w:rsidRDefault="00095330" w:rsidP="00095330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F5C6C1C" w14:textId="42DD0E78" w:rsidR="00095330" w:rsidRPr="00095330" w:rsidRDefault="00095330" w:rsidP="00095330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1.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mund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kërkojë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përjashtimin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A2FB5">
        <w:rPr>
          <w:rFonts w:ascii="Times New Roman" w:hAnsi="Times New Roman" w:cs="Times New Roman"/>
          <w:sz w:val="24"/>
          <w:szCs w:val="24"/>
          <w:lang w:val="en-GB"/>
        </w:rPr>
        <w:t>minimal</w:t>
      </w:r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33</w:t>
      </w:r>
      <w:r w:rsidR="008D7E5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7E5C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095330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deklaratën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7E5C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7E5C">
        <w:rPr>
          <w:rFonts w:ascii="Times New Roman" w:hAnsi="Times New Roman" w:cs="Times New Roman"/>
          <w:sz w:val="24"/>
          <w:szCs w:val="24"/>
          <w:lang w:val="en-GB"/>
        </w:rPr>
        <w:t>brendsh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8D7E5C">
        <w:rPr>
          <w:rFonts w:ascii="Times New Roman" w:hAnsi="Times New Roman" w:cs="Times New Roman"/>
          <w:sz w:val="24"/>
          <w:szCs w:val="24"/>
          <w:lang w:val="en-GB"/>
        </w:rPr>
        <w:t>m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7E5C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7E5C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8D7E5C"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7E5C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7E5C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7E5C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="008D7E5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7AC2DDD" w14:textId="77777777" w:rsidR="00095330" w:rsidRPr="00095330" w:rsidRDefault="00095330" w:rsidP="00095330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8FF48DE" w14:textId="5C6C7A87" w:rsidR="00095330" w:rsidRDefault="00095330" w:rsidP="00095330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2.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mund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kërkojë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zbatimin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F54CF">
        <w:rPr>
          <w:rFonts w:ascii="Times New Roman" w:hAnsi="Times New Roman" w:cs="Times New Roman"/>
          <w:sz w:val="24"/>
          <w:szCs w:val="24"/>
          <w:lang w:val="en-GB"/>
        </w:rPr>
        <w:t>mas</w:t>
      </w:r>
      <w:r w:rsidR="003D1EB8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6F54CF">
        <w:rPr>
          <w:rFonts w:ascii="Times New Roman" w:hAnsi="Times New Roman" w:cs="Times New Roman"/>
          <w:sz w:val="24"/>
          <w:szCs w:val="24"/>
          <w:lang w:val="en-GB"/>
        </w:rPr>
        <w:t>s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54CF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09533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sigurisë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54CF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095330">
        <w:rPr>
          <w:rFonts w:ascii="Times New Roman" w:hAnsi="Times New Roman" w:cs="Times New Roman"/>
          <w:sz w:val="24"/>
          <w:szCs w:val="24"/>
          <w:lang w:val="en-GB"/>
        </w:rPr>
        <w:t>igj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deklaratën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7E5C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7E5C">
        <w:rPr>
          <w:rFonts w:ascii="Times New Roman" w:hAnsi="Times New Roman" w:cs="Times New Roman"/>
          <w:sz w:val="24"/>
          <w:szCs w:val="24"/>
          <w:lang w:val="en-GB"/>
        </w:rPr>
        <w:t>brendsh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8D7E5C">
        <w:rPr>
          <w:rFonts w:ascii="Times New Roman" w:hAnsi="Times New Roman" w:cs="Times New Roman"/>
          <w:sz w:val="24"/>
          <w:szCs w:val="24"/>
          <w:lang w:val="en-GB"/>
        </w:rPr>
        <w:t>m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ndërmarrjesh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7E5C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7E5C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7E5C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. Kur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përmbushen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kushtet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mekanizëm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sigurisë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7E5C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7E5C">
        <w:rPr>
          <w:rFonts w:ascii="Times New Roman" w:hAnsi="Times New Roman" w:cs="Times New Roman"/>
          <w:sz w:val="24"/>
          <w:szCs w:val="24"/>
          <w:lang w:val="en-GB"/>
        </w:rPr>
        <w:t>brendsh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8D7E5C">
        <w:rPr>
          <w:rFonts w:ascii="Times New Roman" w:hAnsi="Times New Roman" w:cs="Times New Roman"/>
          <w:sz w:val="24"/>
          <w:szCs w:val="24"/>
          <w:lang w:val="en-GB"/>
        </w:rPr>
        <w:t>m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pagueshëm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konsiderohet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5330">
        <w:rPr>
          <w:rFonts w:ascii="Times New Roman" w:hAnsi="Times New Roman" w:cs="Times New Roman"/>
          <w:sz w:val="24"/>
          <w:szCs w:val="24"/>
          <w:lang w:val="en-GB"/>
        </w:rPr>
        <w:t>barabartë</w:t>
      </w:r>
      <w:proofErr w:type="spellEnd"/>
      <w:r w:rsidRPr="00095330">
        <w:rPr>
          <w:rFonts w:ascii="Times New Roman" w:hAnsi="Times New Roman" w:cs="Times New Roman"/>
          <w:sz w:val="24"/>
          <w:szCs w:val="24"/>
          <w:lang w:val="en-GB"/>
        </w:rPr>
        <w:t xml:space="preserve"> me zero.</w:t>
      </w:r>
    </w:p>
    <w:p w14:paraId="3FD2C66B" w14:textId="1412DD73" w:rsidR="008D7E5C" w:rsidRDefault="008D7E5C" w:rsidP="00095330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E1818E4" w14:textId="77777777" w:rsidR="008D7E5C" w:rsidRPr="008D7E5C" w:rsidRDefault="008D7E5C" w:rsidP="008D7E5C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8D7E5C">
        <w:rPr>
          <w:rFonts w:ascii="Times New Roman" w:hAnsi="Times New Roman" w:cs="Times New Roman"/>
          <w:sz w:val="24"/>
          <w:szCs w:val="24"/>
          <w:lang w:val="en-GB"/>
        </w:rPr>
        <w:t>KREU IX</w:t>
      </w:r>
    </w:p>
    <w:p w14:paraId="0D7FC07E" w14:textId="77777777" w:rsidR="008D7E5C" w:rsidRPr="008D7E5C" w:rsidRDefault="008D7E5C" w:rsidP="008D7E5C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D7E5C">
        <w:rPr>
          <w:rFonts w:ascii="Times New Roman" w:hAnsi="Times New Roman" w:cs="Times New Roman"/>
          <w:b/>
          <w:bCs/>
          <w:sz w:val="24"/>
          <w:szCs w:val="24"/>
          <w:lang w:val="en-GB"/>
        </w:rPr>
        <w:t>DISPOZITA ADMINISTRATIVE</w:t>
      </w:r>
    </w:p>
    <w:p w14:paraId="79085732" w14:textId="77777777" w:rsidR="008D7E5C" w:rsidRPr="008D7E5C" w:rsidRDefault="008D7E5C" w:rsidP="008D7E5C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5006068F" w14:textId="77777777" w:rsidR="008D7E5C" w:rsidRPr="008D7E5C" w:rsidRDefault="008D7E5C" w:rsidP="008D7E5C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8D7E5C">
        <w:rPr>
          <w:rFonts w:ascii="Times New Roman" w:hAnsi="Times New Roman" w:cs="Times New Roman"/>
          <w:sz w:val="24"/>
          <w:szCs w:val="24"/>
          <w:lang w:val="en-GB"/>
        </w:rPr>
        <w:t>Neni 54</w:t>
      </w:r>
    </w:p>
    <w:p w14:paraId="32C651CE" w14:textId="52233994" w:rsidR="008D7E5C" w:rsidRPr="008D7E5C" w:rsidRDefault="008D7E5C" w:rsidP="008D7E5C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8D7E5C">
        <w:rPr>
          <w:rFonts w:ascii="Times New Roman" w:hAnsi="Times New Roman" w:cs="Times New Roman"/>
          <w:b/>
          <w:bCs/>
          <w:sz w:val="24"/>
          <w:szCs w:val="24"/>
          <w:lang w:val="en-GB"/>
        </w:rPr>
        <w:t>Paraqitja</w:t>
      </w:r>
      <w:proofErr w:type="spellEnd"/>
      <w:r w:rsidRPr="008D7E5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 </w:t>
      </w:r>
      <w:proofErr w:type="spellStart"/>
      <w:r w:rsidRPr="008D7E5C">
        <w:rPr>
          <w:rFonts w:ascii="Times New Roman" w:hAnsi="Times New Roman" w:cs="Times New Roman"/>
          <w:b/>
          <w:bCs/>
          <w:sz w:val="24"/>
          <w:szCs w:val="24"/>
          <w:lang w:val="en-GB"/>
        </w:rPr>
        <w:t>deklaratës</w:t>
      </w:r>
      <w:proofErr w:type="spellEnd"/>
      <w:r w:rsidRPr="008D7E5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b/>
          <w:bCs/>
          <w:sz w:val="24"/>
          <w:szCs w:val="24"/>
          <w:lang w:val="en-GB"/>
        </w:rPr>
        <w:t>së</w:t>
      </w:r>
      <w:proofErr w:type="spellEnd"/>
      <w:r w:rsidRPr="008D7E5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b/>
          <w:bCs/>
          <w:sz w:val="24"/>
          <w:szCs w:val="24"/>
          <w:lang w:val="en-GB"/>
        </w:rPr>
        <w:t>informacionit</w:t>
      </w:r>
      <w:proofErr w:type="spellEnd"/>
      <w:r w:rsidRPr="008D7E5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b/>
          <w:bCs/>
          <w:sz w:val="24"/>
          <w:szCs w:val="24"/>
          <w:lang w:val="en-GB"/>
        </w:rPr>
        <w:t>për</w:t>
      </w:r>
      <w:proofErr w:type="spellEnd"/>
      <w:r w:rsidRPr="008D7E5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b/>
          <w:bCs/>
          <w:sz w:val="24"/>
          <w:szCs w:val="24"/>
          <w:lang w:val="en-GB"/>
        </w:rPr>
        <w:t>tatimin</w:t>
      </w:r>
      <w:proofErr w:type="spellEnd"/>
      <w:r w:rsidRPr="008D7E5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 </w:t>
      </w:r>
      <w:proofErr w:type="spellStart"/>
      <w:r w:rsidRPr="008D7E5C">
        <w:rPr>
          <w:rFonts w:ascii="Times New Roman" w:hAnsi="Times New Roman" w:cs="Times New Roman"/>
          <w:b/>
          <w:bCs/>
          <w:sz w:val="24"/>
          <w:szCs w:val="24"/>
          <w:lang w:val="en-GB"/>
        </w:rPr>
        <w:t>brendsh</w:t>
      </w:r>
      <w:r w:rsidR="00AB7580">
        <w:rPr>
          <w:rFonts w:ascii="Times New Roman" w:hAnsi="Times New Roman" w:cs="Times New Roman"/>
          <w:b/>
          <w:bCs/>
          <w:sz w:val="24"/>
          <w:szCs w:val="24"/>
          <w:lang w:val="en-GB"/>
        </w:rPr>
        <w:t>ë</w:t>
      </w:r>
      <w:r w:rsidRPr="008D7E5C">
        <w:rPr>
          <w:rFonts w:ascii="Times New Roman" w:hAnsi="Times New Roman" w:cs="Times New Roman"/>
          <w:b/>
          <w:bCs/>
          <w:sz w:val="24"/>
          <w:szCs w:val="24"/>
          <w:lang w:val="en-GB"/>
        </w:rPr>
        <w:t>m</w:t>
      </w:r>
      <w:proofErr w:type="spellEnd"/>
    </w:p>
    <w:p w14:paraId="3216BC01" w14:textId="2D374203" w:rsidR="008D7E5C" w:rsidRPr="008D7E5C" w:rsidRDefault="008D7E5C" w:rsidP="008D7E5C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6B505701" w14:textId="6443C503" w:rsidR="008D7E5C" w:rsidRPr="008D7E5C" w:rsidRDefault="008D7E5C" w:rsidP="008D7E5C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1.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8D7E5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duhet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paraqesë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pranë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administratës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deklaratë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informacioni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nen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Kjo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deklaratë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mund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paraqitet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caktuar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vend</w:t>
      </w:r>
      <w:r w:rsidR="009851B1">
        <w:rPr>
          <w:rFonts w:ascii="Times New Roman" w:hAnsi="Times New Roman" w:cs="Times New Roman"/>
          <w:sz w:val="24"/>
          <w:szCs w:val="24"/>
          <w:lang w:val="en-GB"/>
        </w:rPr>
        <w:t>or</w:t>
      </w:r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emër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426A9BE" w14:textId="77777777" w:rsidR="008D7E5C" w:rsidRPr="008D7E5C" w:rsidRDefault="008D7E5C" w:rsidP="008D7E5C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A4A928C" w14:textId="1133369A" w:rsidR="008D7E5C" w:rsidRPr="008D7E5C" w:rsidRDefault="008D7E5C" w:rsidP="008D7E5C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GB"/>
        </w:rPr>
        <w:t>Me</w:t>
      </w:r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përjashtim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paragrafi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kërkohet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paraqesë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deklaratën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informacionit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kjo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deklaratë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paraqitur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9E4EB5C" w14:textId="77777777" w:rsidR="008D7E5C" w:rsidRPr="008D7E5C" w:rsidRDefault="008D7E5C" w:rsidP="008D7E5C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E2614D7" w14:textId="703D7205" w:rsidR="008D7E5C" w:rsidRPr="008D7E5C" w:rsidRDefault="008D7E5C" w:rsidP="008D7E5C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e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ka,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raportues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fuqi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marrëveshje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ndërmjet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autoriteteve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kompetente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</w:p>
    <w:p w14:paraId="75FA7603" w14:textId="77777777" w:rsidR="008D7E5C" w:rsidRPr="008D7E5C" w:rsidRDefault="008D7E5C" w:rsidP="008D7E5C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48E3F3D" w14:textId="6FDD8DCE" w:rsidR="008D7E5C" w:rsidRPr="008D7E5C" w:rsidRDefault="008D7E5C" w:rsidP="008D7E5C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caktuar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26F39">
        <w:rPr>
          <w:rFonts w:ascii="Times New Roman" w:hAnsi="Times New Roman" w:cs="Times New Roman"/>
          <w:sz w:val="24"/>
          <w:szCs w:val="24"/>
          <w:lang w:val="en-GB"/>
        </w:rPr>
        <w:t>deklarim</w:t>
      </w:r>
      <w:proofErr w:type="spellEnd"/>
      <w:r w:rsidR="00D26F39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ka</w:t>
      </w:r>
      <w:r w:rsidR="00D26F3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raportues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fuqi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marrëveshje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ndërmjet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autoriteteve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kompetente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01CBB3D" w14:textId="77777777" w:rsidR="008D7E5C" w:rsidRPr="008D7E5C" w:rsidRDefault="008D7E5C" w:rsidP="008D7E5C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947CFDA" w14:textId="4F477197" w:rsidR="008D7E5C" w:rsidRPr="008D7E5C" w:rsidRDefault="008D7E5C" w:rsidP="008D7E5C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3. Kur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zbatohet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paragrafi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2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caktuar</w:t>
      </w:r>
      <w:proofErr w:type="spellEnd"/>
      <w:r w:rsid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851B1">
        <w:rPr>
          <w:rFonts w:ascii="Times New Roman" w:hAnsi="Times New Roman" w:cs="Times New Roman"/>
          <w:sz w:val="24"/>
          <w:szCs w:val="24"/>
          <w:lang w:val="en-GB"/>
        </w:rPr>
        <w:t>vendor</w:t>
      </w:r>
      <w:r w:rsid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vepron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emër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njofton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administratën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lastRenderedPageBreak/>
        <w:t>identitetin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paraqet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deklaratën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informacionit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2FDBCFC" w14:textId="77777777" w:rsidR="008D7E5C" w:rsidRPr="008D7E5C" w:rsidRDefault="008D7E5C" w:rsidP="008D7E5C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B47C8CA" w14:textId="77777777" w:rsidR="008D7E5C" w:rsidRPr="008D7E5C" w:rsidRDefault="008D7E5C" w:rsidP="008D7E5C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4.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Deklarata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informacionit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paraqitet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modelit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standard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përcaktuar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ministri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përgjegjës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financat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përmban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informacionin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mëposhtëm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6BEEE4E5" w14:textId="77777777" w:rsidR="008D7E5C" w:rsidRPr="008D7E5C" w:rsidRDefault="008D7E5C" w:rsidP="008D7E5C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6D00B2B" w14:textId="5A56184D" w:rsidR="008D7E5C" w:rsidRPr="008D7E5C" w:rsidRDefault="008D7E5C" w:rsidP="008D7E5C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identifikimin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përfshirë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numrat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e tyre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identifikimit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(NUIS),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ka,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statusin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e tyre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rregullave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1471A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8D7E5C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64952B4" w14:textId="77777777" w:rsidR="008D7E5C" w:rsidRPr="008D7E5C" w:rsidRDefault="008D7E5C" w:rsidP="008D7E5C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54A8ED4" w14:textId="3C95F0EF" w:rsidR="00C1471A" w:rsidRDefault="008D7E5C" w:rsidP="0063039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informacion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strukturën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përgjithshme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korporative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1471A">
        <w:rPr>
          <w:rFonts w:ascii="Times New Roman" w:hAnsi="Times New Roman" w:cs="Times New Roman"/>
          <w:sz w:val="24"/>
          <w:szCs w:val="24"/>
          <w:lang w:val="en-GB"/>
        </w:rPr>
        <w:t>shoqerive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1471A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1471A"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 w:rsid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1471A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="00C1471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përfshirë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pjesëmarrjet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kontrolluese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8D7E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entitete</w:t>
      </w:r>
      <w:r w:rsidR="00C1471A">
        <w:rPr>
          <w:rFonts w:ascii="Times New Roman" w:hAnsi="Times New Roman" w:cs="Times New Roman"/>
          <w:sz w:val="24"/>
          <w:szCs w:val="24"/>
          <w:lang w:val="en-GB"/>
        </w:rPr>
        <w:t>t</w:t>
      </w:r>
      <w:proofErr w:type="spellEnd"/>
      <w:r w:rsid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D7E5C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r w:rsidR="00C1471A">
        <w:rPr>
          <w:rFonts w:ascii="Times New Roman" w:hAnsi="Times New Roman" w:cs="Times New Roman"/>
          <w:sz w:val="24"/>
          <w:szCs w:val="24"/>
          <w:lang w:val="en-GB"/>
        </w:rPr>
        <w:t>e</w:t>
      </w:r>
      <w:proofErr w:type="spellEnd"/>
      <w:r w:rsidR="00C1471A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0A3E4ED2" w14:textId="77777777" w:rsidR="00630399" w:rsidRPr="00C1471A" w:rsidRDefault="00630399" w:rsidP="0063039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B4848FC" w14:textId="6CAFFF29" w:rsidR="00C1471A" w:rsidRPr="00C1471A" w:rsidRDefault="00C1471A" w:rsidP="002667C0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c)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informacionin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nevojshëm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llogaritur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0DA96F5" w14:textId="19437107" w:rsidR="00C1471A" w:rsidRPr="00C1471A" w:rsidRDefault="00C1471A" w:rsidP="002667C0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1471A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normën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efektive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B96610B" w14:textId="4B53E61F" w:rsidR="00C1471A" w:rsidRPr="00C1471A" w:rsidRDefault="00C1471A" w:rsidP="002667C0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(ii)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anëtari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sipërmarrjesh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përbashkëta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2315A336" w14:textId="3580DFBF" w:rsidR="00C1471A" w:rsidRPr="00C1471A" w:rsidRDefault="00C1471A" w:rsidP="00C1471A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(iii)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shpërndarjen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667C0">
        <w:rPr>
          <w:rFonts w:ascii="Times New Roman" w:hAnsi="Times New Roman" w:cs="Times New Roman"/>
          <w:sz w:val="24"/>
          <w:szCs w:val="24"/>
          <w:lang w:val="en-GB"/>
        </w:rPr>
        <w:t>Rregullit</w:t>
      </w:r>
      <w:proofErr w:type="spellEnd"/>
      <w:r w:rsidRPr="002667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667C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2667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667C0">
        <w:rPr>
          <w:rFonts w:ascii="Times New Roman" w:hAnsi="Times New Roman" w:cs="Times New Roman"/>
          <w:sz w:val="24"/>
          <w:szCs w:val="24"/>
          <w:lang w:val="en-GB"/>
        </w:rPr>
        <w:t>Përfshirjes</w:t>
      </w:r>
      <w:proofErr w:type="spellEnd"/>
      <w:r w:rsidRPr="002667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667C0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2667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667C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2667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667C0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="00CA56E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2667C0">
        <w:rPr>
          <w:rFonts w:ascii="Times New Roman" w:hAnsi="Times New Roman" w:cs="Times New Roman"/>
          <w:sz w:val="24"/>
          <w:szCs w:val="24"/>
          <w:lang w:val="en-GB"/>
        </w:rPr>
        <w:t>RPA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shumës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Rregullit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Fitimeve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Nën-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Tatuara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secilin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10231BA6" w14:textId="77777777" w:rsidR="00C1471A" w:rsidRPr="00C1471A" w:rsidRDefault="00C1471A" w:rsidP="00C1471A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DE8584B" w14:textId="716372ED" w:rsidR="00C1471A" w:rsidRPr="00C1471A" w:rsidRDefault="00C1471A" w:rsidP="00C1471A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d)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regjistrin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zgjedhjeve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bëra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dispozitat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përkatëse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C1471A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58FF66F" w14:textId="77777777" w:rsidR="00C1471A" w:rsidRPr="00C1471A" w:rsidRDefault="00C1471A" w:rsidP="00C1471A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EEDDB36" w14:textId="32887C2E" w:rsidR="00C1471A" w:rsidRPr="00C1471A" w:rsidRDefault="00C1471A" w:rsidP="00C1471A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en-GB"/>
        </w:rPr>
        <w:t>Me</w:t>
      </w:r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përjashtim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afatet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përcaktuara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C1471A">
        <w:rPr>
          <w:rFonts w:ascii="Times New Roman" w:hAnsi="Times New Roman" w:cs="Times New Roman"/>
          <w:sz w:val="24"/>
          <w:szCs w:val="24"/>
          <w:lang w:val="en-GB"/>
        </w:rPr>
        <w:t>igjin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rregullon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procedurat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deklarata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informacionit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njoftimi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referuar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3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paraqiten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pranë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administratës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jo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vonë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se 15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muaj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pas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ditës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fundit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raportues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5FF8D1E" w14:textId="77777777" w:rsidR="00C1471A" w:rsidRPr="00C1471A" w:rsidRDefault="00C1471A" w:rsidP="00C1471A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6A568AD" w14:textId="5570A5E6" w:rsidR="00C1471A" w:rsidRDefault="00C1471A" w:rsidP="00C1471A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6.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Pavarësisht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5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tranzitor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parë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rfshihet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fushën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zbatimit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deklarata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informacionit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njoftimi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paraqiten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jo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vonë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se 18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muaj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pas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ditës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fundit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raportues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4CFF12E" w14:textId="1EFA13EC" w:rsidR="00C1471A" w:rsidRDefault="00C1471A" w:rsidP="00C1471A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C5C6FAA" w14:textId="22E807A1" w:rsidR="0067394A" w:rsidRDefault="0067394A" w:rsidP="00C1471A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</w:t>
      </w:r>
      <w:r w:rsidRPr="0067394A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përjashtim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paragrafi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4,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ndodhet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ndodhet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vendi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tretë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zbaton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rregulla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q</w:t>
      </w:r>
      <w:r w:rsidRPr="0067394A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vlerës</w:t>
      </w:r>
      <w:r>
        <w:rPr>
          <w:rFonts w:ascii="Times New Roman" w:hAnsi="Times New Roman" w:cs="Times New Roman"/>
          <w:sz w:val="24"/>
          <w:szCs w:val="24"/>
          <w:lang w:val="en-GB"/>
        </w:rPr>
        <w:t>ohen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ekuivalente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rregullat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51B1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9851B1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="009851B1">
        <w:rPr>
          <w:rFonts w:ascii="Times New Roman" w:hAnsi="Times New Roman" w:cs="Times New Roman"/>
          <w:sz w:val="24"/>
          <w:szCs w:val="24"/>
          <w:lang w:val="en-GB"/>
        </w:rPr>
        <w:t>caktuar</w:t>
      </w:r>
      <w:proofErr w:type="spellEnd"/>
      <w:r w:rsidR="009851B1">
        <w:rPr>
          <w:rFonts w:ascii="Times New Roman" w:hAnsi="Times New Roman" w:cs="Times New Roman"/>
          <w:sz w:val="24"/>
          <w:szCs w:val="24"/>
          <w:lang w:val="en-GB"/>
        </w:rPr>
        <w:t xml:space="preserve"> vendor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duhet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paraqesë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deklaratë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inform</w:t>
      </w:r>
      <w:r>
        <w:rPr>
          <w:rFonts w:ascii="Times New Roman" w:hAnsi="Times New Roman" w:cs="Times New Roman"/>
          <w:sz w:val="24"/>
          <w:szCs w:val="24"/>
          <w:lang w:val="en-GB"/>
        </w:rPr>
        <w:t>uese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, e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cila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përmban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informacionin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mëposhtëm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59A5394" w14:textId="77777777" w:rsidR="0067394A" w:rsidRDefault="0067394A" w:rsidP="00C1471A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C44F9C3" w14:textId="3AA77AEC" w:rsidR="0067394A" w:rsidRPr="0067394A" w:rsidRDefault="0067394A" w:rsidP="0067394A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informacionet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nevojshme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zbatimin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9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, duke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përfshirë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6D2E73AC" w14:textId="303A985F" w:rsidR="0067394A" w:rsidRPr="0067394A" w:rsidRDefault="0067394A" w:rsidP="0067394A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7394A">
        <w:rPr>
          <w:rFonts w:ascii="Times New Roman" w:hAnsi="Times New Roman" w:cs="Times New Roman"/>
          <w:sz w:val="24"/>
          <w:szCs w:val="24"/>
          <w:lang w:val="en-GB"/>
        </w:rPr>
        <w:lastRenderedPageBreak/>
        <w:t>(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identifikimin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21593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cilat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2159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pjesërisht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2159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32159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zotëruar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2159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mban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drejtpërdrejt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tërthorazi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pjesëmarrje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pronësie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moment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gjatë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strukturën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këtyre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pjesëmarrjeve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2159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32159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pronës</w:t>
      </w:r>
      <w:r w:rsidR="0032159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A18726A" w14:textId="5D4A2AFF" w:rsidR="0067394A" w:rsidRPr="0067394A" w:rsidRDefault="0067394A" w:rsidP="00321593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(ii)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informacionet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nevojshme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normës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efektive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juridiksioneve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cilat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21593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pjesërisht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2159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zotëruar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2159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321593">
        <w:rPr>
          <w:rFonts w:ascii="Times New Roman" w:hAnsi="Times New Roman" w:cs="Times New Roman"/>
          <w:sz w:val="24"/>
          <w:szCs w:val="24"/>
          <w:lang w:val="en-GB"/>
        </w:rPr>
        <w:t>ka</w:t>
      </w:r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pjesëmarrje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pronësie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21593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identifikuara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pikës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detyrueshëm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4D8D9B06" w14:textId="6FDEE1F6" w:rsidR="0067394A" w:rsidRDefault="0067394A" w:rsidP="0067394A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(iii)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informacionet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përkatëse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qëllim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nenin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10,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nenin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11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Kreun VIII</w:t>
      </w:r>
      <w:r w:rsidR="001A548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7394A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67394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8C6402E" w14:textId="77777777" w:rsidR="001A5482" w:rsidRDefault="001A5482" w:rsidP="001A5482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9C03C28" w14:textId="655BF28B" w:rsidR="001A5482" w:rsidRPr="001A5482" w:rsidRDefault="001A5482" w:rsidP="001A5482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informacionet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nevojshme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zbatimin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12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, duke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përfshirë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6ED0B6E0" w14:textId="758CBC78" w:rsidR="001A5482" w:rsidRPr="001A5482" w:rsidRDefault="001A5482" w:rsidP="001A5482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A5482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identifikimin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juridiksionin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strukturën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pjesëmarrjeve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pronës</w:t>
      </w:r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804A23D" w14:textId="08582A6F" w:rsidR="001A5482" w:rsidRPr="001A5482" w:rsidRDefault="001A5482" w:rsidP="001A5482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(ii)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informacionet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nevojshme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normës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efektive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juridiksionit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enitetit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detyrueshëm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722FBF7C" w14:textId="45D75954" w:rsidR="001A5482" w:rsidRDefault="001A5482" w:rsidP="001A5482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(iii)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informacionet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nevojshme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alokimin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bazuar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formulën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alokimit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RF</w:t>
      </w:r>
      <w:r w:rsidR="00672012">
        <w:rPr>
          <w:rFonts w:ascii="Times New Roman" w:hAnsi="Times New Roman" w:cs="Times New Roman"/>
          <w:sz w:val="24"/>
          <w:szCs w:val="24"/>
          <w:lang w:val="en-GB"/>
        </w:rPr>
        <w:t>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përcaktuar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nenin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13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90F170B" w14:textId="4BF614C2" w:rsidR="001A5482" w:rsidRDefault="001A5482" w:rsidP="001A5482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c)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informacionet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nevojshme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zbatimin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brendshëm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Republika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me Kreun VIII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854E37B" w14:textId="77777777" w:rsidR="0067394A" w:rsidRDefault="0067394A" w:rsidP="00C1471A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24F162E" w14:textId="77777777" w:rsidR="00C1471A" w:rsidRPr="00C1471A" w:rsidRDefault="00C1471A" w:rsidP="00C1471A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C1471A">
        <w:rPr>
          <w:rFonts w:ascii="Times New Roman" w:hAnsi="Times New Roman" w:cs="Times New Roman"/>
          <w:sz w:val="24"/>
          <w:szCs w:val="24"/>
          <w:lang w:val="en-GB"/>
        </w:rPr>
        <w:t>Neni 55</w:t>
      </w:r>
    </w:p>
    <w:p w14:paraId="3F12B5F3" w14:textId="77777777" w:rsidR="00C1471A" w:rsidRPr="00C1471A" w:rsidRDefault="00C1471A" w:rsidP="00C1471A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1471A">
        <w:rPr>
          <w:rFonts w:ascii="Times New Roman" w:hAnsi="Times New Roman" w:cs="Times New Roman"/>
          <w:b/>
          <w:bCs/>
          <w:sz w:val="24"/>
          <w:szCs w:val="24"/>
          <w:lang w:val="en-GB"/>
        </w:rPr>
        <w:t>Zgjedhjet</w:t>
      </w:r>
    </w:p>
    <w:p w14:paraId="4BDAEE43" w14:textId="77777777" w:rsidR="00C1471A" w:rsidRPr="00C1471A" w:rsidRDefault="00C1471A" w:rsidP="00C1471A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8F36904" w14:textId="3A0F2ADD" w:rsidR="00C1471A" w:rsidRPr="00C1471A" w:rsidRDefault="00C1471A" w:rsidP="00C1471A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1. Zgjedhjet e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referuara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4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2,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paragrafët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3, 6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9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15,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nenin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45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nenin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46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C1471A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zbatohen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periudhë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prej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pesë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vitesh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, duke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filluar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viti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bërë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zgjedhja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Zgjedhja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rinovohet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automatikisht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përveç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rasteve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revokohet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26F39">
        <w:rPr>
          <w:rFonts w:ascii="Times New Roman" w:hAnsi="Times New Roman" w:cs="Times New Roman"/>
          <w:sz w:val="24"/>
          <w:szCs w:val="24"/>
          <w:lang w:val="en-GB"/>
        </w:rPr>
        <w:t>deklarues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fund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periudhës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pesëvjeçare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D108EC7" w14:textId="77777777" w:rsidR="00C1471A" w:rsidRPr="00C1471A" w:rsidRDefault="00C1471A" w:rsidP="00C1471A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F423758" w14:textId="2FA30411" w:rsidR="00C1471A" w:rsidRPr="00C1471A" w:rsidRDefault="00C1471A" w:rsidP="00C1471A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2.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zgjedhja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referuar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revokohet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mund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bëhet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zgjedhje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e re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njëjtën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çështje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periudhë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prej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pesë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vitesh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, duke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filluar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viti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revokimi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hyrë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fuqi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A51F6A5" w14:textId="77777777" w:rsidR="00C1471A" w:rsidRPr="00C1471A" w:rsidRDefault="00C1471A" w:rsidP="00C1471A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ADB0385" w14:textId="68BA1DFD" w:rsidR="00C1471A" w:rsidRDefault="00C1471A" w:rsidP="00C1471A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3. </w:t>
      </w:r>
      <w:r w:rsidR="001A5482">
        <w:rPr>
          <w:rFonts w:ascii="Times New Roman" w:hAnsi="Times New Roman" w:cs="Times New Roman"/>
          <w:sz w:val="24"/>
          <w:szCs w:val="24"/>
          <w:lang w:val="en-GB"/>
        </w:rPr>
        <w:t>Z</w:t>
      </w:r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gjedhjet 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rcaktuara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7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15,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1,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shkronja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“b”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22,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1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25,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1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28,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nenin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33,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nenin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35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2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43</w:t>
      </w:r>
      <w:r w:rsidR="00D26F3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26F39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C1471A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zgjedhje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vjetore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Këto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zgjedhje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rinovohen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automatikisht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përveç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rasteve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26F39">
        <w:rPr>
          <w:rFonts w:ascii="Times New Roman" w:hAnsi="Times New Roman" w:cs="Times New Roman"/>
          <w:sz w:val="24"/>
          <w:szCs w:val="24"/>
          <w:lang w:val="en-GB"/>
        </w:rPr>
        <w:t>deklarues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revokon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fund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71A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Pr="00C1471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3CBFC7D" w14:textId="0E743DAE" w:rsidR="00D87A19" w:rsidRDefault="00D87A19" w:rsidP="00C1471A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03F5DB9" w14:textId="3B6384B3" w:rsidR="00D87A19" w:rsidRPr="00D87A19" w:rsidRDefault="00D87A19" w:rsidP="00D87A1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4. </w:t>
      </w:r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Zgjedhjet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bëhen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deklarues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pranë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administratës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pjesë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deklaratës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informacionit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rcaktuar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nenin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54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D87A19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9FB5587" w14:textId="77777777" w:rsidR="00D87A19" w:rsidRPr="00D87A19" w:rsidRDefault="00D87A19" w:rsidP="00D87A1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C6EFEAD" w14:textId="20D747D4" w:rsidR="00D87A19" w:rsidRDefault="00D87A19" w:rsidP="00D87A1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87A19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5. Kur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zgjedhje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bëhet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caktuar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deklarim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tjetër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vepron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emër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entitetit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kjo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zgjedhje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detyrueshme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entitetin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administratën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Republikës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qëllime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llogaritjes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A19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D87A1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DEB6116" w14:textId="3D86EDD9" w:rsidR="00DD64BB" w:rsidRDefault="00DD64BB" w:rsidP="00D87A1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C07FE61" w14:textId="77777777" w:rsidR="00DD64BB" w:rsidRPr="00DD64BB" w:rsidRDefault="00DD64BB" w:rsidP="00DD64BB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DD64BB">
        <w:rPr>
          <w:rFonts w:ascii="Times New Roman" w:hAnsi="Times New Roman" w:cs="Times New Roman"/>
          <w:sz w:val="24"/>
          <w:szCs w:val="24"/>
          <w:lang w:val="en-GB"/>
        </w:rPr>
        <w:t>Neni 56</w:t>
      </w:r>
    </w:p>
    <w:p w14:paraId="09B6BEA9" w14:textId="2F252EB1" w:rsidR="00DD64BB" w:rsidRPr="00DD64BB" w:rsidRDefault="00DD64BB" w:rsidP="00DD64BB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DD64BB">
        <w:rPr>
          <w:rFonts w:ascii="Times New Roman" w:hAnsi="Times New Roman" w:cs="Times New Roman"/>
          <w:b/>
          <w:bCs/>
          <w:sz w:val="24"/>
          <w:szCs w:val="24"/>
          <w:lang w:val="en-GB"/>
        </w:rPr>
        <w:t>Sanksione</w:t>
      </w:r>
      <w:proofErr w:type="spellEnd"/>
    </w:p>
    <w:p w14:paraId="42BD10C4" w14:textId="77777777" w:rsidR="00DD64BB" w:rsidRPr="00DD64BB" w:rsidRDefault="00DD64BB" w:rsidP="00DD64BB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A3911F5" w14:textId="3CAC66EA" w:rsidR="00DD64BB" w:rsidRDefault="00DD64BB" w:rsidP="00DD64BB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1.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Përveç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rasteve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parashikohet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ndryshe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nen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dispozitat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gjobat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interesat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mbledhjen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forcë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parashikuara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ligjin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rregullon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procedurat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zbatohen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detyrimet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rrjedhin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ky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DD64BB">
        <w:rPr>
          <w:rFonts w:ascii="Times New Roman" w:hAnsi="Times New Roman" w:cs="Times New Roman"/>
          <w:sz w:val="24"/>
          <w:szCs w:val="24"/>
          <w:lang w:val="en-GB"/>
        </w:rPr>
        <w:t>igj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3BE85F1" w14:textId="77777777" w:rsidR="00DD64BB" w:rsidRPr="00DD64BB" w:rsidRDefault="00DD64BB" w:rsidP="00DD64BB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A72CD48" w14:textId="0802AE2F" w:rsidR="00DD64BB" w:rsidRDefault="00DD64BB" w:rsidP="00DD64BB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2.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Pavarësisht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shuma</w:t>
      </w:r>
      <w:r>
        <w:rPr>
          <w:rFonts w:ascii="Times New Roman" w:hAnsi="Times New Roman" w:cs="Times New Roman"/>
          <w:sz w:val="24"/>
          <w:szCs w:val="24"/>
          <w:lang w:val="en-GB"/>
        </w:rPr>
        <w:t>ve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specifike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parashikuara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ligjin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rregullon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procedurat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mosparaqitja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deklaratë</w:t>
      </w:r>
      <w:r>
        <w:rPr>
          <w:rFonts w:ascii="Times New Roman" w:hAnsi="Times New Roman" w:cs="Times New Roman"/>
          <w:sz w:val="24"/>
          <w:szCs w:val="24"/>
          <w:lang w:val="en-GB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informacionit</w:t>
      </w:r>
      <w:proofErr w:type="spellEnd"/>
      <w:proofErr w:type="gram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njoftimi</w:t>
      </w:r>
      <w:r>
        <w:rPr>
          <w:rFonts w:ascii="Times New Roman" w:hAnsi="Times New Roman" w:cs="Times New Roman"/>
          <w:sz w:val="24"/>
          <w:szCs w:val="24"/>
          <w:lang w:val="en-GB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neni</w:t>
      </w:r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54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DD64BB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deklaratën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brendshme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neni</w:t>
      </w:r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52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DD64BB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brenda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afatit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përcaktuar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dënohet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gjobë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masën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2,500,000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lekë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94E86F4" w14:textId="77777777" w:rsidR="00350AFB" w:rsidRPr="00DD64BB" w:rsidRDefault="00350AFB" w:rsidP="00DD64BB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139FE81" w14:textId="4C062B71" w:rsidR="00DD64BB" w:rsidRDefault="00DD64BB" w:rsidP="00DD64BB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3. </w:t>
      </w:r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Kur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paraqet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deklaratë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informacioni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deklaratë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brendshme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paplotë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përmban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dhëna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pasakta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cilat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sjellin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mund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sjellin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ulje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detyrimit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tatimi</w:t>
      </w:r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 w:rsidRPr="00865283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brendsh</w:t>
      </w:r>
      <w:r w:rsidR="00AB7580" w:rsidRPr="00865283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865283">
        <w:rPr>
          <w:rFonts w:ascii="Times New Roman" w:hAnsi="Times New Roman" w:cs="Times New Roman"/>
          <w:sz w:val="24"/>
          <w:szCs w:val="24"/>
          <w:lang w:val="en-GB"/>
        </w:rPr>
        <w:t>m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zbatohet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gjobë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masën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100%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diferencës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midis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shumës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saktë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shumës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deklaruar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1BEB2A5" w14:textId="77777777" w:rsidR="00DD64BB" w:rsidRPr="00DD64BB" w:rsidRDefault="00DD64BB" w:rsidP="00DD64BB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8E548F1" w14:textId="34A3635D" w:rsidR="00DD64BB" w:rsidRPr="00DD64BB" w:rsidRDefault="00DD64BB" w:rsidP="00DD64BB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4.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Pavarësisht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paragrafëve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2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3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dispozitave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përkatëse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A7BF9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igjit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rregullon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procedurat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zbatohen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sanksione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administrative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ndaj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A7BF9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mosparaqitjen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paraqitjen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pasaktë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deklaratës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informacionit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deklaratës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A7BF9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A7BF9">
        <w:rPr>
          <w:rFonts w:ascii="Times New Roman" w:hAnsi="Times New Roman" w:cs="Times New Roman"/>
          <w:sz w:val="24"/>
          <w:szCs w:val="24"/>
          <w:lang w:val="en-GB"/>
        </w:rPr>
        <w:t>brendshme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gjatë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tre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viteve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para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fiskale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fillojnë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pas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datës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zbatimit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A7BF9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DD64BB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siç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përcaktohet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nenin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62</w:t>
      </w:r>
      <w:r w:rsidR="005A7BF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A7BF9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DD64BB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periudha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tranzitore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>).</w:t>
      </w:r>
    </w:p>
    <w:p w14:paraId="6BA079D8" w14:textId="77777777" w:rsidR="00DD64BB" w:rsidRDefault="00DD64BB" w:rsidP="00DD64BB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F2C3A98" w14:textId="643C2670" w:rsidR="00DD64BB" w:rsidRPr="00DD64BB" w:rsidRDefault="00DD64BB" w:rsidP="00DD64BB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5.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Përjashtimi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parashikuar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4</w:t>
      </w:r>
      <w:r w:rsidR="005A7BF9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5A7BF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zbatohet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vetëm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A7BF9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provon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administratës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se ka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vepruar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mirëbesim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marrë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masa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arsyeshme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kuptuar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respektuar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kërkesat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A7BF9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DD64BB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udhëzimet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përkatëse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administrative.</w:t>
      </w:r>
    </w:p>
    <w:p w14:paraId="08320059" w14:textId="77777777" w:rsidR="00DD64BB" w:rsidRDefault="00DD64BB" w:rsidP="00DD64BB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C5F6D67" w14:textId="26360378" w:rsidR="00DD64BB" w:rsidRDefault="00DD64BB" w:rsidP="00DD64BB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6.</w:t>
      </w:r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Administrata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njofton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A7BF9">
        <w:rPr>
          <w:rFonts w:ascii="Times New Roman" w:hAnsi="Times New Roman" w:cs="Times New Roman"/>
          <w:sz w:val="24"/>
          <w:szCs w:val="24"/>
          <w:lang w:val="en-GB"/>
        </w:rPr>
        <w:t>entitetin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gabim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mungesë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identifikuar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gjatë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periudhës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tranzitore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kërkon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korrigjimin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e tyre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brenda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afati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arsyeshëm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, pa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sanksione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kusht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A7BF9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bashkëpunojë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korrigjojë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64BB">
        <w:rPr>
          <w:rFonts w:ascii="Times New Roman" w:hAnsi="Times New Roman" w:cs="Times New Roman"/>
          <w:sz w:val="24"/>
          <w:szCs w:val="24"/>
          <w:lang w:val="en-GB"/>
        </w:rPr>
        <w:t>gabimet</w:t>
      </w:r>
      <w:proofErr w:type="spellEnd"/>
      <w:r w:rsidRPr="00DD64B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12FE2D9" w14:textId="251E408D" w:rsidR="005A7BF9" w:rsidRDefault="005A7BF9" w:rsidP="00DD64BB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2A35CD8" w14:textId="77777777" w:rsidR="005A7BF9" w:rsidRPr="005A7BF9" w:rsidRDefault="005A7BF9" w:rsidP="005A7BF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5A7BF9">
        <w:rPr>
          <w:rFonts w:ascii="Times New Roman" w:hAnsi="Times New Roman" w:cs="Times New Roman"/>
          <w:sz w:val="24"/>
          <w:szCs w:val="24"/>
          <w:lang w:val="en-GB"/>
        </w:rPr>
        <w:t>KAPITULLI X</w:t>
      </w:r>
    </w:p>
    <w:p w14:paraId="73884301" w14:textId="4CBF74C5" w:rsidR="003D1EB8" w:rsidRDefault="005A7BF9" w:rsidP="001A5482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5A7BF9">
        <w:rPr>
          <w:rFonts w:ascii="Times New Roman" w:hAnsi="Times New Roman" w:cs="Times New Roman"/>
          <w:b/>
          <w:bCs/>
          <w:sz w:val="24"/>
          <w:szCs w:val="24"/>
          <w:lang w:val="en-GB"/>
        </w:rPr>
        <w:t>DISPOZITA KALIMTARE DHE PËRFUNDIMTARE</w:t>
      </w:r>
    </w:p>
    <w:p w14:paraId="2DDEA290" w14:textId="77777777" w:rsidR="003D1EB8" w:rsidRDefault="003D1EB8" w:rsidP="003D1EB8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484C4503" w14:textId="4D7F75FF" w:rsidR="003D1EB8" w:rsidRDefault="005A7BF9" w:rsidP="003D1EB8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5A7BF9">
        <w:rPr>
          <w:rFonts w:ascii="Times New Roman" w:hAnsi="Times New Roman" w:cs="Times New Roman"/>
          <w:sz w:val="24"/>
          <w:szCs w:val="24"/>
          <w:lang w:val="en-GB"/>
        </w:rPr>
        <w:t>Neni 57</w:t>
      </w:r>
    </w:p>
    <w:p w14:paraId="149F3107" w14:textId="0C577E8E" w:rsidR="005A7BF9" w:rsidRPr="003D1EB8" w:rsidRDefault="005A7BF9" w:rsidP="003D1EB8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A7BF9">
        <w:rPr>
          <w:rFonts w:ascii="Times New Roman" w:hAnsi="Times New Roman" w:cs="Times New Roman"/>
          <w:b/>
          <w:bCs/>
          <w:sz w:val="24"/>
          <w:szCs w:val="24"/>
          <w:lang w:val="en-GB"/>
        </w:rPr>
        <w:t>Trajtimi</w:t>
      </w:r>
      <w:proofErr w:type="spellEnd"/>
      <w:r w:rsidRPr="005A7BF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proofErr w:type="spellEnd"/>
      <w:r w:rsidRPr="005A7BF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b/>
          <w:bCs/>
          <w:sz w:val="24"/>
          <w:szCs w:val="24"/>
          <w:lang w:val="en-GB"/>
        </w:rPr>
        <w:t>aktiveve</w:t>
      </w:r>
      <w:proofErr w:type="spellEnd"/>
      <w:r w:rsidRPr="005A7BF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b/>
          <w:bCs/>
          <w:sz w:val="24"/>
          <w:szCs w:val="24"/>
          <w:lang w:val="en-GB"/>
        </w:rPr>
        <w:t>tatimore</w:t>
      </w:r>
      <w:proofErr w:type="spellEnd"/>
      <w:r w:rsidRPr="005A7BF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b/>
          <w:bCs/>
          <w:sz w:val="24"/>
          <w:szCs w:val="24"/>
          <w:lang w:val="en-GB"/>
        </w:rPr>
        <w:t>të</w:t>
      </w:r>
      <w:proofErr w:type="spellEnd"/>
      <w:r w:rsidRPr="005A7BF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b/>
          <w:bCs/>
          <w:sz w:val="24"/>
          <w:szCs w:val="24"/>
          <w:lang w:val="en-GB"/>
        </w:rPr>
        <w:t>shtyra</w:t>
      </w:r>
      <w:proofErr w:type="spellEnd"/>
      <w:r w:rsidRPr="005A7BF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5A7BF9">
        <w:rPr>
          <w:rFonts w:ascii="Times New Roman" w:hAnsi="Times New Roman" w:cs="Times New Roman"/>
          <w:b/>
          <w:bCs/>
          <w:sz w:val="24"/>
          <w:szCs w:val="24"/>
          <w:lang w:val="en-GB"/>
        </w:rPr>
        <w:t>detyrimeve</w:t>
      </w:r>
      <w:proofErr w:type="spellEnd"/>
      <w:r w:rsidRPr="005A7BF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b/>
          <w:bCs/>
          <w:sz w:val="24"/>
          <w:szCs w:val="24"/>
          <w:lang w:val="en-GB"/>
        </w:rPr>
        <w:t>tatimore</w:t>
      </w:r>
      <w:proofErr w:type="spellEnd"/>
      <w:r w:rsidRPr="005A7BF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b/>
          <w:bCs/>
          <w:sz w:val="24"/>
          <w:szCs w:val="24"/>
          <w:lang w:val="en-GB"/>
        </w:rPr>
        <w:t>të</w:t>
      </w:r>
      <w:proofErr w:type="spellEnd"/>
      <w:r w:rsidRPr="005A7BF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b/>
          <w:bCs/>
          <w:sz w:val="24"/>
          <w:szCs w:val="24"/>
          <w:lang w:val="en-GB"/>
        </w:rPr>
        <w:t>shtyra</w:t>
      </w:r>
      <w:proofErr w:type="spellEnd"/>
      <w:r w:rsidRPr="005A7BF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b/>
          <w:bCs/>
          <w:sz w:val="24"/>
          <w:szCs w:val="24"/>
          <w:lang w:val="en-GB"/>
        </w:rPr>
        <w:t>dhe</w:t>
      </w:r>
      <w:proofErr w:type="spellEnd"/>
      <w:r w:rsidRPr="005A7BF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b/>
          <w:bCs/>
          <w:sz w:val="24"/>
          <w:szCs w:val="24"/>
          <w:lang w:val="en-GB"/>
        </w:rPr>
        <w:t>aktiveve</w:t>
      </w:r>
      <w:proofErr w:type="spellEnd"/>
      <w:r w:rsidRPr="005A7BF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b/>
          <w:bCs/>
          <w:sz w:val="24"/>
          <w:szCs w:val="24"/>
          <w:lang w:val="en-GB"/>
        </w:rPr>
        <w:t>të</w:t>
      </w:r>
      <w:proofErr w:type="spellEnd"/>
      <w:r w:rsidRPr="005A7BF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b/>
          <w:bCs/>
          <w:sz w:val="24"/>
          <w:szCs w:val="24"/>
          <w:lang w:val="en-GB"/>
        </w:rPr>
        <w:t>transferuara</w:t>
      </w:r>
      <w:proofErr w:type="spellEnd"/>
      <w:r w:rsidRPr="005A7BF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b/>
          <w:bCs/>
          <w:sz w:val="24"/>
          <w:szCs w:val="24"/>
          <w:lang w:val="en-GB"/>
        </w:rPr>
        <w:t>gjatë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periudh</w:t>
      </w:r>
      <w:r w:rsidR="00AB7580">
        <w:rPr>
          <w:rFonts w:ascii="Times New Roman" w:hAnsi="Times New Roman" w:cs="Times New Roman"/>
          <w:b/>
          <w:bCs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s</w:t>
      </w:r>
      <w:proofErr w:type="spellEnd"/>
      <w:r w:rsidRPr="005A7BF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3D1EB8">
        <w:rPr>
          <w:rFonts w:ascii="Times New Roman" w:hAnsi="Times New Roman" w:cs="Times New Roman"/>
          <w:b/>
          <w:bCs/>
          <w:sz w:val="24"/>
          <w:szCs w:val="24"/>
          <w:lang w:val="en-GB"/>
        </w:rPr>
        <w:t>së</w:t>
      </w:r>
      <w:proofErr w:type="spellEnd"/>
      <w:r w:rsidR="003D1EB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tranzi</w:t>
      </w:r>
      <w:r w:rsidR="003D1EB8">
        <w:rPr>
          <w:rFonts w:ascii="Times New Roman" w:hAnsi="Times New Roman" w:cs="Times New Roman"/>
          <w:b/>
          <w:bCs/>
          <w:sz w:val="24"/>
          <w:szCs w:val="24"/>
          <w:lang w:val="en-GB"/>
        </w:rPr>
        <w:t>cionit</w:t>
      </w:r>
      <w:proofErr w:type="spellEnd"/>
    </w:p>
    <w:p w14:paraId="06DF732D" w14:textId="45524A35" w:rsidR="005A7BF9" w:rsidRPr="005A7BF9" w:rsidRDefault="005A7BF9" w:rsidP="005A7BF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33BA236" w14:textId="12526D33" w:rsidR="005A7BF9" w:rsidRPr="005A7BF9" w:rsidRDefault="005A7BF9" w:rsidP="005A7BF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1.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tranzicioni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thot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4D009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viti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parë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D009D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Pr="004D00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D009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4D00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D009D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4D009D"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Pr="004D00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D009D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D009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rfshihet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fushën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zbatimit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5A7BF9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A44F269" w14:textId="77777777" w:rsidR="005A7BF9" w:rsidRDefault="005A7BF9" w:rsidP="005A7BF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1CAE589" w14:textId="0A439BEA" w:rsidR="005A7BF9" w:rsidRPr="005A7BF9" w:rsidRDefault="005A7BF9" w:rsidP="005A7BF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2.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përcaktimit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normës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efektive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tranzicioni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pasues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merr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konsideratë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aktivet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shtyra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detyrimet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shtyra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pasqyruara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deklaruara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pasqyrat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tranzicionit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64A1750" w14:textId="77777777" w:rsidR="005A7BF9" w:rsidRDefault="005A7BF9" w:rsidP="005A7BF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FD46C2B" w14:textId="43A07E0F" w:rsidR="005A7BF9" w:rsidRPr="005A7BF9" w:rsidRDefault="005A7BF9" w:rsidP="005A7BF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3.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Aktivet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shtyra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detyrimet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shtyra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pë</w:t>
      </w:r>
      <w:r>
        <w:rPr>
          <w:rFonts w:ascii="Times New Roman" w:hAnsi="Times New Roman" w:cs="Times New Roman"/>
          <w:sz w:val="24"/>
          <w:szCs w:val="24"/>
          <w:lang w:val="en-GB"/>
        </w:rPr>
        <w:t>rcaktuara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2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merren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konsideratë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nivelin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3469EB0" w14:textId="77777777" w:rsidR="005A7BF9" w:rsidRPr="005A7BF9" w:rsidRDefault="005A7BF9" w:rsidP="005A7BF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742BA73" w14:textId="77777777" w:rsidR="005A7BF9" w:rsidRPr="005A7BF9" w:rsidRDefault="005A7BF9" w:rsidP="005A7BF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normës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minimale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(15%);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</w:p>
    <w:p w14:paraId="55F7B900" w14:textId="77777777" w:rsidR="005A7BF9" w:rsidRPr="005A7BF9" w:rsidRDefault="005A7BF9" w:rsidP="005A7BF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normës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zbatueshme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tatimit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cilën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regjistruar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B810C25" w14:textId="77777777" w:rsidR="005A7BF9" w:rsidRPr="005A7BF9" w:rsidRDefault="005A7BF9" w:rsidP="005A7BF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0BBA46F" w14:textId="08BDD1B0" w:rsidR="005A7BF9" w:rsidRPr="005A7BF9" w:rsidRDefault="005A7BF9" w:rsidP="005A7BF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4.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Përjashtimisht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paragrafi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3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aktiv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regjistruar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normë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ulët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se norma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minimale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mund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merret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konsideratë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normën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minimale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tatimpaguesi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gjendje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provojë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aktivi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rrjedh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humbje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CC60D61" w14:textId="77777777" w:rsidR="005A7BF9" w:rsidRDefault="005A7BF9" w:rsidP="005A7BF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9A00A9E" w14:textId="2F18591A" w:rsidR="005A7BF9" w:rsidRPr="005A7BF9" w:rsidRDefault="005A7BF9" w:rsidP="005A7BF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5. </w:t>
      </w:r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Ndikimi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vlerësimi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056419">
        <w:rPr>
          <w:rFonts w:ascii="Times New Roman" w:hAnsi="Times New Roman" w:cs="Times New Roman"/>
          <w:sz w:val="24"/>
          <w:szCs w:val="24"/>
          <w:lang w:val="en-GB"/>
        </w:rPr>
        <w:t>r</w:t>
      </w:r>
      <w:proofErr w:type="spellEnd"/>
      <w:r w:rsid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>
        <w:rPr>
          <w:rFonts w:ascii="Times New Roman" w:hAnsi="Times New Roman" w:cs="Times New Roman"/>
          <w:sz w:val="24"/>
          <w:szCs w:val="24"/>
          <w:lang w:val="en-GB"/>
        </w:rPr>
        <w:t>korrigjim</w:t>
      </w:r>
      <w:proofErr w:type="spellEnd"/>
      <w:r w:rsid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>
        <w:rPr>
          <w:rFonts w:ascii="Times New Roman" w:hAnsi="Times New Roman" w:cs="Times New Roman"/>
          <w:sz w:val="24"/>
          <w:szCs w:val="24"/>
          <w:lang w:val="en-GB"/>
        </w:rPr>
        <w:t>korrigjimi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aktiv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shtyrë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merret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parasysh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llogaritjes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përcaktuar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2</w:t>
      </w:r>
      <w:r w:rsidR="0005641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3B0F0E9" w14:textId="77777777" w:rsidR="005A7BF9" w:rsidRDefault="005A7BF9" w:rsidP="005A7BF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0F5AA53" w14:textId="515BD7C0" w:rsidR="005A7BF9" w:rsidRDefault="005A7BF9" w:rsidP="005A7BF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6.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Paragrafët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2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deri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4</w:t>
      </w:r>
      <w:r w:rsidR="0005641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05641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zbatohen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aktivet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shtyra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rrjedhin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zërat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përjashtuar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llogaritja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humbjes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Kapitullit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III</w:t>
      </w:r>
      <w:r w:rsidR="0005641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5A7BF9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këto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aktive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shtyra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krijohen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transaksion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ndodh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pas 30 </w:t>
      </w:r>
      <w:proofErr w:type="spellStart"/>
      <w:r w:rsidRPr="005A7BF9">
        <w:rPr>
          <w:rFonts w:ascii="Times New Roman" w:hAnsi="Times New Roman" w:cs="Times New Roman"/>
          <w:sz w:val="24"/>
          <w:szCs w:val="24"/>
          <w:lang w:val="en-GB"/>
        </w:rPr>
        <w:t>nëntorit</w:t>
      </w:r>
      <w:proofErr w:type="spellEnd"/>
      <w:r w:rsidRPr="005A7BF9">
        <w:rPr>
          <w:rFonts w:ascii="Times New Roman" w:hAnsi="Times New Roman" w:cs="Times New Roman"/>
          <w:sz w:val="24"/>
          <w:szCs w:val="24"/>
          <w:lang w:val="en-GB"/>
        </w:rPr>
        <w:t xml:space="preserve"> 2021.</w:t>
      </w:r>
    </w:p>
    <w:p w14:paraId="4B70C8FA" w14:textId="5F4224D5" w:rsidR="00056419" w:rsidRDefault="00056419" w:rsidP="005A7BF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78BD8EC" w14:textId="4423EB2E" w:rsidR="00056419" w:rsidRDefault="00056419" w:rsidP="0005641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7.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rast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transferimit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aktiveve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përveç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inventarit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ndërmjet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subjekteve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pas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datës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30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nëntor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2021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para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fillimit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viti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tranzicioni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vlera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aktiveve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blera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përfshirë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aktivet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amortizueshme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zhvlerësueshme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bazohet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vlerën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aktiveve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transferuara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subjektit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transferues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momentin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shitjes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kalimit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aktivet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detyrimet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shtyra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përcaktuara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bazë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Ky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paragraf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zbatohet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56419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e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trajton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paguar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transferimin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tatim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mbuluar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transferimit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përfshin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fitimin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llogaritjen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kualifikuara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39D24B1" w14:textId="4E958154" w:rsidR="00056419" w:rsidRDefault="00056419" w:rsidP="0005641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1F7069C" w14:textId="77777777" w:rsidR="00056419" w:rsidRPr="00056419" w:rsidRDefault="00056419" w:rsidP="0005641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056419">
        <w:rPr>
          <w:rFonts w:ascii="Times New Roman" w:hAnsi="Times New Roman" w:cs="Times New Roman"/>
          <w:sz w:val="24"/>
          <w:szCs w:val="24"/>
          <w:lang w:val="en-GB"/>
        </w:rPr>
        <w:t>Neni 58</w:t>
      </w:r>
    </w:p>
    <w:p w14:paraId="5CC58009" w14:textId="480A18B4" w:rsidR="00056419" w:rsidRPr="00056419" w:rsidRDefault="00056419" w:rsidP="0005641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056419">
        <w:rPr>
          <w:rFonts w:ascii="Times New Roman" w:hAnsi="Times New Roman" w:cs="Times New Roman"/>
          <w:b/>
          <w:bCs/>
          <w:sz w:val="24"/>
          <w:szCs w:val="24"/>
          <w:lang w:val="en-GB"/>
        </w:rPr>
        <w:t>Faza</w:t>
      </w:r>
      <w:proofErr w:type="spellEnd"/>
      <w:r w:rsidRPr="0005641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b/>
          <w:bCs/>
          <w:sz w:val="24"/>
          <w:szCs w:val="24"/>
          <w:lang w:val="en-GB"/>
        </w:rPr>
        <w:t>fillestare</w:t>
      </w:r>
      <w:proofErr w:type="spellEnd"/>
      <w:r w:rsidRPr="0005641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 </w:t>
      </w:r>
      <w:proofErr w:type="spellStart"/>
      <w:r w:rsidRPr="00056419">
        <w:rPr>
          <w:rFonts w:ascii="Times New Roman" w:hAnsi="Times New Roman" w:cs="Times New Roman"/>
          <w:b/>
          <w:bCs/>
          <w:sz w:val="24"/>
          <w:szCs w:val="24"/>
          <w:lang w:val="en-GB"/>
        </w:rPr>
        <w:t>përjashtimit</w:t>
      </w:r>
      <w:proofErr w:type="spellEnd"/>
      <w:r w:rsidRPr="0005641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b/>
          <w:bCs/>
          <w:sz w:val="24"/>
          <w:szCs w:val="24"/>
          <w:lang w:val="en-GB"/>
        </w:rPr>
        <w:t>nga</w:t>
      </w:r>
      <w:proofErr w:type="spellEnd"/>
      <w:r w:rsidRPr="0005641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2667C0">
        <w:rPr>
          <w:rFonts w:ascii="Times New Roman" w:hAnsi="Times New Roman" w:cs="Times New Roman"/>
          <w:b/>
          <w:bCs/>
          <w:sz w:val="24"/>
          <w:szCs w:val="24"/>
          <w:lang w:val="en-GB"/>
        </w:rPr>
        <w:t>RPA</w:t>
      </w:r>
      <w:r w:rsidR="005C43A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="00B16EE1">
        <w:rPr>
          <w:rFonts w:ascii="Times New Roman" w:hAnsi="Times New Roman" w:cs="Times New Roman"/>
          <w:b/>
          <w:bCs/>
          <w:sz w:val="24"/>
          <w:szCs w:val="24"/>
          <w:lang w:val="en-GB"/>
        </w:rPr>
        <w:t>RFN</w:t>
      </w:r>
      <w:r w:rsidRPr="0005641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5C43A3">
        <w:rPr>
          <w:rFonts w:ascii="Times New Roman" w:hAnsi="Times New Roman" w:cs="Times New Roman"/>
          <w:b/>
          <w:bCs/>
          <w:sz w:val="24"/>
          <w:szCs w:val="24"/>
          <w:lang w:val="en-GB"/>
        </w:rPr>
        <w:t>dhe</w:t>
      </w:r>
      <w:proofErr w:type="spellEnd"/>
      <w:r w:rsidR="005C43A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TMBK</w:t>
      </w:r>
      <w:r w:rsidR="007757DE">
        <w:rPr>
          <w:rFonts w:ascii="Times New Roman" w:hAnsi="Times New Roman" w:cs="Times New Roman"/>
          <w:b/>
          <w:bCs/>
          <w:sz w:val="24"/>
          <w:szCs w:val="24"/>
          <w:lang w:val="en-GB"/>
        </w:rPr>
        <w:t>S</w:t>
      </w:r>
      <w:r w:rsidR="005C43A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3D1EB8">
        <w:rPr>
          <w:rFonts w:ascii="Times New Roman" w:hAnsi="Times New Roman" w:cs="Times New Roman"/>
          <w:b/>
          <w:bCs/>
          <w:sz w:val="24"/>
          <w:szCs w:val="24"/>
          <w:lang w:val="en-GB"/>
        </w:rPr>
        <w:t>për</w:t>
      </w:r>
      <w:proofErr w:type="spellEnd"/>
      <w:r w:rsidR="003D1EB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3D1EB8">
        <w:rPr>
          <w:rFonts w:ascii="Times New Roman" w:hAnsi="Times New Roman" w:cs="Times New Roman"/>
          <w:b/>
          <w:bCs/>
          <w:sz w:val="24"/>
          <w:szCs w:val="24"/>
          <w:lang w:val="en-GB"/>
        </w:rPr>
        <w:t>grupet</w:t>
      </w:r>
      <w:proofErr w:type="spellEnd"/>
      <w:r w:rsidR="003D1EB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</w:t>
      </w:r>
      <w:r w:rsidRPr="0005641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shoq</w:t>
      </w:r>
      <w:r w:rsidR="00AB7580">
        <w:rPr>
          <w:rFonts w:ascii="Times New Roman" w:hAnsi="Times New Roman" w:cs="Times New Roman"/>
          <w:b/>
          <w:bCs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rive</w:t>
      </w:r>
      <w:proofErr w:type="spellEnd"/>
      <w:r w:rsidRPr="0005641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b/>
          <w:bCs/>
          <w:sz w:val="24"/>
          <w:szCs w:val="24"/>
          <w:lang w:val="en-GB"/>
        </w:rPr>
        <w:t>shumëkombëshe</w:t>
      </w:r>
      <w:proofErr w:type="spellEnd"/>
      <w:r w:rsidRPr="0005641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b/>
          <w:bCs/>
          <w:sz w:val="24"/>
          <w:szCs w:val="24"/>
          <w:lang w:val="en-GB"/>
        </w:rPr>
        <w:t>dhe</w:t>
      </w:r>
      <w:proofErr w:type="spellEnd"/>
      <w:r w:rsidRPr="0005641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b/>
          <w:bCs/>
          <w:sz w:val="24"/>
          <w:szCs w:val="24"/>
          <w:lang w:val="en-GB"/>
        </w:rPr>
        <w:t>grupe</w:t>
      </w:r>
      <w:r w:rsidR="003D1EB8">
        <w:rPr>
          <w:rFonts w:ascii="Times New Roman" w:hAnsi="Times New Roman" w:cs="Times New Roman"/>
          <w:b/>
          <w:bCs/>
          <w:sz w:val="24"/>
          <w:szCs w:val="24"/>
          <w:lang w:val="en-GB"/>
        </w:rPr>
        <w:t>t</w:t>
      </w:r>
      <w:proofErr w:type="spellEnd"/>
      <w:r w:rsidR="003D1EB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m</w:t>
      </w:r>
      <w:r w:rsidR="00AB7580">
        <w:rPr>
          <w:rFonts w:ascii="Times New Roman" w:hAnsi="Times New Roman" w:cs="Times New Roman"/>
          <w:b/>
          <w:bCs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dha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vendase</w:t>
      </w:r>
      <w:proofErr w:type="spellEnd"/>
    </w:p>
    <w:p w14:paraId="1FCDD2A8" w14:textId="77777777" w:rsidR="00056419" w:rsidRPr="00056419" w:rsidRDefault="00056419" w:rsidP="0005641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6173466" w14:textId="0C020E92" w:rsidR="00056419" w:rsidRPr="00056419" w:rsidRDefault="00056419" w:rsidP="0005641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1.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detyrueshëm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nenin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6</w:t>
      </w:r>
      <w:r w:rsidR="003D1EB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056419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ndërmjetëm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nenin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8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056419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kur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përjashtuar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ulet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zero:</w:t>
      </w:r>
    </w:p>
    <w:p w14:paraId="3341FDD4" w14:textId="77777777" w:rsidR="00056419" w:rsidRPr="00056419" w:rsidRDefault="00056419" w:rsidP="0005641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255FAE7" w14:textId="46629AE4" w:rsidR="00056419" w:rsidRPr="00056419" w:rsidRDefault="00056419" w:rsidP="005C43A3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pesë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vitet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e para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fazës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fillestare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aktivitetit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ndërkombëtar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pavarësisht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kërkesave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përcaktuara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Kapitullin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056419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7875D8A" w14:textId="77777777" w:rsidR="00056419" w:rsidRPr="00056419" w:rsidRDefault="00056419" w:rsidP="0005641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pesë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vitet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e para, duke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filluar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dita e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parë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vendor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shkallë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gjerë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bie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herë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parë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fushën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zbatimit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F1C4702" w14:textId="77777777" w:rsidR="00056419" w:rsidRPr="00056419" w:rsidRDefault="00056419" w:rsidP="0005641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ADCE354" w14:textId="75316A02" w:rsidR="00056419" w:rsidRDefault="00056419" w:rsidP="0005641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2. </w:t>
      </w:r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Kur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entiteti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përfundimtar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ndodhet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vendi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tretë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tatimi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detyrueshëm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entitet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përbërës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vendosur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nenin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12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056419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ulet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zero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pesë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vitet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e para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fazës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fillestare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aktivitetit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ndërkombëtar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atij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pavarësisht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kërkesave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përcaktuara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Kapitullin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056419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4F93D58" w14:textId="77777777" w:rsidR="005C43A3" w:rsidRDefault="005C43A3" w:rsidP="0005641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49E8042" w14:textId="235349AF" w:rsidR="005C43A3" w:rsidRPr="005C43A3" w:rsidRDefault="005C43A3" w:rsidP="005C43A3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3. </w:t>
      </w:r>
      <w:proofErr w:type="spellStart"/>
      <w:r w:rsidRPr="00DC6727">
        <w:rPr>
          <w:rFonts w:ascii="Times New Roman" w:hAnsi="Times New Roman" w:cs="Times New Roman"/>
          <w:sz w:val="24"/>
          <w:szCs w:val="24"/>
          <w:lang w:val="en-GB"/>
        </w:rPr>
        <w:t>Çdo</w:t>
      </w:r>
      <w:proofErr w:type="spellEnd"/>
      <w:r w:rsidRPr="00DC6727">
        <w:rPr>
          <w:rFonts w:ascii="Times New Roman" w:hAnsi="Times New Roman" w:cs="Times New Roman"/>
          <w:sz w:val="24"/>
          <w:szCs w:val="24"/>
          <w:lang w:val="en-GB"/>
        </w:rPr>
        <w:t xml:space="preserve"> Tatim </w:t>
      </w:r>
      <w:proofErr w:type="gramStart"/>
      <w:r w:rsidRPr="00DC6727">
        <w:rPr>
          <w:rFonts w:ascii="Times New Roman" w:hAnsi="Times New Roman" w:cs="Times New Roman"/>
          <w:sz w:val="24"/>
          <w:szCs w:val="24"/>
          <w:lang w:val="en-GB"/>
        </w:rPr>
        <w:t xml:space="preserve">Minimal  </w:t>
      </w:r>
      <w:proofErr w:type="spellStart"/>
      <w:r w:rsidRPr="00DC672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proofErr w:type="gramEnd"/>
      <w:r w:rsidRPr="00DC6727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DC6727">
        <w:rPr>
          <w:rFonts w:ascii="Times New Roman" w:hAnsi="Times New Roman" w:cs="Times New Roman"/>
          <w:sz w:val="24"/>
          <w:szCs w:val="24"/>
          <w:lang w:val="en-GB"/>
        </w:rPr>
        <w:t>Brendshëm</w:t>
      </w:r>
      <w:proofErr w:type="spellEnd"/>
      <w:r w:rsidRPr="00DC67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C672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DC67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C6727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DC67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C6727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DC6727">
        <w:rPr>
          <w:rFonts w:ascii="Times New Roman" w:hAnsi="Times New Roman" w:cs="Times New Roman"/>
          <w:sz w:val="24"/>
          <w:szCs w:val="24"/>
          <w:lang w:val="en-GB"/>
        </w:rPr>
        <w:t xml:space="preserve"> (TMBKS)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duhet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paguhet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Kapitullit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VIII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5C43A3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lidhje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reduktohet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zero:</w:t>
      </w:r>
    </w:p>
    <w:p w14:paraId="2FAB5426" w14:textId="77777777" w:rsidR="005C43A3" w:rsidRPr="005C43A3" w:rsidRDefault="005C43A3" w:rsidP="005C43A3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5441EB0" w14:textId="6F084DAD" w:rsidR="005C43A3" w:rsidRPr="005C43A3" w:rsidRDefault="005C43A3" w:rsidP="005C43A3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pesë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vitet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e para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fazës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fillestare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aktivitetit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ndërkombëtar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DC6727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DC6727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shumëkombësh</w:t>
      </w:r>
      <w:r>
        <w:rPr>
          <w:rFonts w:ascii="Times New Roman" w:hAnsi="Times New Roman" w:cs="Times New Roman"/>
          <w:sz w:val="24"/>
          <w:szCs w:val="24"/>
          <w:lang w:val="en-GB"/>
        </w:rPr>
        <w:t>e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</w:p>
    <w:p w14:paraId="10B9FDAB" w14:textId="370F3CF7" w:rsidR="005C43A3" w:rsidRDefault="005C43A3" w:rsidP="005C43A3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pesë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vitet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e para, duke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filluar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dita e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parë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madh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vendas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bëhet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subjekt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zbatimit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herë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3A3">
        <w:rPr>
          <w:rFonts w:ascii="Times New Roman" w:hAnsi="Times New Roman" w:cs="Times New Roman"/>
          <w:sz w:val="24"/>
          <w:szCs w:val="24"/>
          <w:lang w:val="en-GB"/>
        </w:rPr>
        <w:t>parë</w:t>
      </w:r>
      <w:proofErr w:type="spellEnd"/>
      <w:r w:rsidRPr="005C43A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A23256E" w14:textId="77777777" w:rsidR="00056419" w:rsidRPr="00056419" w:rsidRDefault="00056419" w:rsidP="0005641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709F1EC" w14:textId="4FDCED13" w:rsidR="00056419" w:rsidRPr="00056419" w:rsidRDefault="001D2629" w:rsidP="0005641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05641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056419"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konsiderohet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fazën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fillestare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aktivitetit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ndërkombëtar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1392AD80" w14:textId="77777777" w:rsidR="00056419" w:rsidRPr="00056419" w:rsidRDefault="00056419" w:rsidP="0005641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D16B4E7" w14:textId="74FEE4DF" w:rsidR="00056419" w:rsidRPr="00056419" w:rsidRDefault="00056419" w:rsidP="0005641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a) ka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entitete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jo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gjashtë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juridiksione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</w:p>
    <w:p w14:paraId="6B2704F7" w14:textId="54108536" w:rsidR="00056419" w:rsidRPr="00056419" w:rsidRDefault="00056419" w:rsidP="0005641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vlerës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aktiveve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materiale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E44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juridiksionet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përveç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juridiksionit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referues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6419">
        <w:rPr>
          <w:rFonts w:ascii="Times New Roman" w:hAnsi="Times New Roman" w:cs="Times New Roman"/>
          <w:sz w:val="24"/>
          <w:szCs w:val="24"/>
          <w:lang w:val="en-GB"/>
        </w:rPr>
        <w:t>tejkalon</w:t>
      </w:r>
      <w:proofErr w:type="spellEnd"/>
      <w:r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50 000 000 euro.</w:t>
      </w:r>
    </w:p>
    <w:p w14:paraId="52F66C18" w14:textId="77777777" w:rsidR="00056419" w:rsidRPr="00056419" w:rsidRDefault="00056419" w:rsidP="0005641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29DB201" w14:textId="722A7149" w:rsidR="00056419" w:rsidRPr="00056419" w:rsidRDefault="001D2629" w:rsidP="0005641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5</w:t>
      </w:r>
      <w:r w:rsidR="00B95E4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qëllimet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shkronjës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“b”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4,</w:t>
      </w:r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, “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referues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juridiksioni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E44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E44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B95E44"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kanë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vlerën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lartë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totale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aktiveve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vitin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E44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B95E44">
        <w:rPr>
          <w:rFonts w:ascii="Times New Roman" w:hAnsi="Times New Roman" w:cs="Times New Roman"/>
          <w:sz w:val="24"/>
          <w:szCs w:val="24"/>
          <w:lang w:val="en-GB"/>
        </w:rPr>
        <w:t>rshihet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herë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parë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fushën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zbatimit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. Vlera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totale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aktiveve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materiale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vlerës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neto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kontabël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aktiveve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materiale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E44">
        <w:rPr>
          <w:rFonts w:ascii="Times New Roman" w:hAnsi="Times New Roman" w:cs="Times New Roman"/>
          <w:sz w:val="24"/>
          <w:szCs w:val="24"/>
          <w:lang w:val="en-GB"/>
        </w:rPr>
        <w:t>entiteteve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ndodhen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atë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0EE1707" w14:textId="77777777" w:rsidR="00B95E44" w:rsidRDefault="00B95E44" w:rsidP="0005641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6C2AFAD" w14:textId="40931DD8" w:rsidR="00056419" w:rsidRDefault="001D2629" w:rsidP="0005641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B95E44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Periudha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pesëvjeçare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B95E44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B95E44">
        <w:rPr>
          <w:rFonts w:ascii="Times New Roman" w:hAnsi="Times New Roman" w:cs="Times New Roman"/>
          <w:sz w:val="24"/>
          <w:szCs w:val="24"/>
          <w:lang w:val="en-GB"/>
        </w:rPr>
        <w:t>rcaktuar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shkronjën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“a”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1</w:t>
      </w:r>
      <w:r w:rsidR="00B95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paragrafi</w:t>
      </w:r>
      <w:r w:rsidR="00035692">
        <w:rPr>
          <w:rFonts w:ascii="Times New Roman" w:hAnsi="Times New Roman" w:cs="Times New Roman"/>
          <w:sz w:val="24"/>
          <w:szCs w:val="24"/>
          <w:lang w:val="en-GB"/>
        </w:rPr>
        <w:t>t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2</w:t>
      </w:r>
      <w:r w:rsidR="00B95E44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035692" w:rsidRPr="00035692">
        <w:t xml:space="preserve"> </w:t>
      </w:r>
      <w:proofErr w:type="spellStart"/>
      <w:r w:rsidR="00035692" w:rsidRPr="00035692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035692" w:rsidRPr="0003569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35692" w:rsidRPr="0003569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035692" w:rsidRPr="0003569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35692" w:rsidRPr="00035692">
        <w:rPr>
          <w:rFonts w:ascii="Times New Roman" w:hAnsi="Times New Roman" w:cs="Times New Roman"/>
          <w:sz w:val="24"/>
          <w:szCs w:val="24"/>
          <w:lang w:val="en-GB"/>
        </w:rPr>
        <w:t>shkronjën</w:t>
      </w:r>
      <w:proofErr w:type="spellEnd"/>
      <w:r w:rsidR="00035692" w:rsidRPr="00035692">
        <w:rPr>
          <w:rFonts w:ascii="Times New Roman" w:hAnsi="Times New Roman" w:cs="Times New Roman"/>
          <w:sz w:val="24"/>
          <w:szCs w:val="24"/>
          <w:lang w:val="en-GB"/>
        </w:rPr>
        <w:t xml:space="preserve"> “a” </w:t>
      </w:r>
      <w:proofErr w:type="spellStart"/>
      <w:r w:rsidR="00035692" w:rsidRPr="0003569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35692" w:rsidRPr="0003569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35692" w:rsidRPr="00035692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="00035692" w:rsidRPr="00035692">
        <w:rPr>
          <w:rFonts w:ascii="Times New Roman" w:hAnsi="Times New Roman" w:cs="Times New Roman"/>
          <w:sz w:val="24"/>
          <w:szCs w:val="24"/>
          <w:lang w:val="en-GB"/>
        </w:rPr>
        <w:t xml:space="preserve"> 3</w:t>
      </w:r>
      <w:r w:rsidR="0003569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03569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35692">
        <w:rPr>
          <w:rFonts w:ascii="Times New Roman" w:hAnsi="Times New Roman" w:cs="Times New Roman"/>
          <w:sz w:val="24"/>
          <w:szCs w:val="24"/>
          <w:lang w:val="en-GB"/>
        </w:rPr>
        <w:t>fillon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3569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03569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35692">
        <w:rPr>
          <w:rFonts w:ascii="Times New Roman" w:hAnsi="Times New Roman" w:cs="Times New Roman"/>
          <w:sz w:val="24"/>
          <w:szCs w:val="24"/>
          <w:lang w:val="en-GB"/>
        </w:rPr>
        <w:t>fillim</w:t>
      </w:r>
      <w:proofErr w:type="spellEnd"/>
      <w:r w:rsidR="0003569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3569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E44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E44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B95E44"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E44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B95E44">
        <w:rPr>
          <w:rFonts w:ascii="Times New Roman" w:hAnsi="Times New Roman" w:cs="Times New Roman"/>
          <w:sz w:val="24"/>
          <w:szCs w:val="24"/>
          <w:lang w:val="en-GB"/>
        </w:rPr>
        <w:t>rfshihet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herë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parë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fushën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zbatimit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E44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8BA52B7" w14:textId="77777777" w:rsidR="00B95E44" w:rsidRPr="00056419" w:rsidRDefault="00B95E44" w:rsidP="0005641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5DA351E" w14:textId="0DF52D35" w:rsidR="00056419" w:rsidRDefault="001D2629" w:rsidP="0005641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B95E44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Për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grupet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B95E44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B95E44"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grupet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95E44">
        <w:rPr>
          <w:rFonts w:ascii="Times New Roman" w:hAnsi="Times New Roman" w:cs="Times New Roman"/>
          <w:sz w:val="24"/>
          <w:szCs w:val="24"/>
          <w:lang w:val="en-GB"/>
        </w:rPr>
        <w:t xml:space="preserve">e </w:t>
      </w:r>
      <w:proofErr w:type="spellStart"/>
      <w:r w:rsidR="00B95E44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B95E44">
        <w:rPr>
          <w:rFonts w:ascii="Times New Roman" w:hAnsi="Times New Roman" w:cs="Times New Roman"/>
          <w:sz w:val="24"/>
          <w:szCs w:val="24"/>
          <w:lang w:val="en-GB"/>
        </w:rPr>
        <w:t>dha</w:t>
      </w:r>
      <w:proofErr w:type="spellEnd"/>
      <w:r w:rsid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E44">
        <w:rPr>
          <w:rFonts w:ascii="Times New Roman" w:hAnsi="Times New Roman" w:cs="Times New Roman"/>
          <w:sz w:val="24"/>
          <w:szCs w:val="24"/>
          <w:lang w:val="en-GB"/>
        </w:rPr>
        <w:t>vendase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brenda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fushës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zbatimit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E44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momentin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hyrjes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fuqi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periudha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pesëvjeçare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35692">
        <w:rPr>
          <w:rFonts w:ascii="Times New Roman" w:hAnsi="Times New Roman" w:cs="Times New Roman"/>
          <w:sz w:val="24"/>
          <w:szCs w:val="24"/>
          <w:lang w:val="en-GB"/>
        </w:rPr>
        <w:t>referuar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paragrafët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1</w:t>
      </w:r>
      <w:r w:rsidR="0003569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2 </w:t>
      </w:r>
      <w:proofErr w:type="spellStart"/>
      <w:r w:rsidR="00035692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035692">
        <w:rPr>
          <w:rFonts w:ascii="Times New Roman" w:hAnsi="Times New Roman" w:cs="Times New Roman"/>
          <w:sz w:val="24"/>
          <w:szCs w:val="24"/>
          <w:lang w:val="en-GB"/>
        </w:rPr>
        <w:t xml:space="preserve"> 3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fillon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dita e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parë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parë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nis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pas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datës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anëtarësimit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Republikës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Bashkimin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Evropian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kusht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plotësohen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kushtet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35692">
        <w:rPr>
          <w:rFonts w:ascii="Times New Roman" w:hAnsi="Times New Roman" w:cs="Times New Roman"/>
          <w:sz w:val="24"/>
          <w:szCs w:val="24"/>
          <w:lang w:val="en-GB"/>
        </w:rPr>
        <w:t>4,</w:t>
      </w:r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8467159" w14:textId="77777777" w:rsidR="00B95E44" w:rsidRPr="00056419" w:rsidRDefault="00B95E44" w:rsidP="0005641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F34C5B8" w14:textId="11D3FDE2" w:rsidR="00056419" w:rsidRPr="00056419" w:rsidRDefault="001D2629" w:rsidP="0005641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8</w:t>
      </w:r>
      <w:r w:rsidR="00B95E44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Subjekti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caktuar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paraqitje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njofton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administratën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fillimin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fazës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fillestare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deklaratën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parë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informacionit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paraqitur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="00B95E44"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B95E44"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="00056419" w:rsidRPr="0005641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88F43FD" w14:textId="67143377" w:rsidR="00056419" w:rsidRDefault="00056419" w:rsidP="0005641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A48A79D" w14:textId="77777777" w:rsidR="00B95E44" w:rsidRPr="00B95E44" w:rsidRDefault="00B95E44" w:rsidP="00B95E44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B95E44">
        <w:rPr>
          <w:rFonts w:ascii="Times New Roman" w:hAnsi="Times New Roman" w:cs="Times New Roman"/>
          <w:sz w:val="24"/>
          <w:szCs w:val="24"/>
          <w:lang w:val="en-GB"/>
        </w:rPr>
        <w:t>Neni 59</w:t>
      </w:r>
    </w:p>
    <w:p w14:paraId="0053115A" w14:textId="2761D01C" w:rsidR="00B95E44" w:rsidRPr="00B95E44" w:rsidRDefault="00B95E44" w:rsidP="00B95E44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B95E44">
        <w:rPr>
          <w:rFonts w:ascii="Times New Roman" w:hAnsi="Times New Roman" w:cs="Times New Roman"/>
          <w:b/>
          <w:bCs/>
          <w:sz w:val="24"/>
          <w:szCs w:val="24"/>
          <w:lang w:val="en-GB"/>
        </w:rPr>
        <w:t>Zgjedhja</w:t>
      </w:r>
      <w:proofErr w:type="spellEnd"/>
      <w:r w:rsidRPr="00B95E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b/>
          <w:bCs/>
          <w:sz w:val="24"/>
          <w:szCs w:val="24"/>
          <w:lang w:val="en-GB"/>
        </w:rPr>
        <w:t>për</w:t>
      </w:r>
      <w:proofErr w:type="spellEnd"/>
      <w:r w:rsidRPr="00B95E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B16EE1">
        <w:rPr>
          <w:rFonts w:ascii="Times New Roman" w:hAnsi="Times New Roman" w:cs="Times New Roman"/>
          <w:b/>
          <w:bCs/>
          <w:sz w:val="24"/>
          <w:szCs w:val="24"/>
          <w:lang w:val="en-GB"/>
        </w:rPr>
        <w:t>shtyrjen</w:t>
      </w:r>
      <w:proofErr w:type="spellEnd"/>
      <w:r w:rsidR="00B16EE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 </w:t>
      </w:r>
      <w:proofErr w:type="spellStart"/>
      <w:r w:rsidR="00B16EE1">
        <w:rPr>
          <w:rFonts w:ascii="Times New Roman" w:hAnsi="Times New Roman" w:cs="Times New Roman"/>
          <w:b/>
          <w:bCs/>
          <w:sz w:val="24"/>
          <w:szCs w:val="24"/>
          <w:lang w:val="en-GB"/>
        </w:rPr>
        <w:t>zbatimit</w:t>
      </w:r>
      <w:proofErr w:type="spellEnd"/>
      <w:r w:rsidR="00B16EE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b/>
          <w:bCs/>
          <w:sz w:val="24"/>
          <w:szCs w:val="24"/>
          <w:lang w:val="en-GB"/>
        </w:rPr>
        <w:t>të</w:t>
      </w:r>
      <w:proofErr w:type="spellEnd"/>
      <w:r w:rsidRPr="00B95E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6F3EC4">
        <w:rPr>
          <w:rFonts w:ascii="Times New Roman" w:hAnsi="Times New Roman" w:cs="Times New Roman"/>
          <w:b/>
          <w:bCs/>
          <w:sz w:val="24"/>
          <w:szCs w:val="24"/>
          <w:lang w:val="en-GB"/>
        </w:rPr>
        <w:t>RPA</w:t>
      </w:r>
      <w:r w:rsidRPr="00B95E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b/>
          <w:bCs/>
          <w:sz w:val="24"/>
          <w:szCs w:val="24"/>
          <w:lang w:val="en-GB"/>
        </w:rPr>
        <w:t>dhe</w:t>
      </w:r>
      <w:proofErr w:type="spellEnd"/>
      <w:r w:rsidRPr="00B95E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B16EE1">
        <w:rPr>
          <w:rFonts w:ascii="Times New Roman" w:hAnsi="Times New Roman" w:cs="Times New Roman"/>
          <w:b/>
          <w:bCs/>
          <w:sz w:val="24"/>
          <w:szCs w:val="24"/>
          <w:lang w:val="en-GB"/>
        </w:rPr>
        <w:t>RFN</w:t>
      </w:r>
    </w:p>
    <w:p w14:paraId="0DCD4F9D" w14:textId="77777777" w:rsidR="00B95E44" w:rsidRPr="00B95E44" w:rsidRDefault="00B95E44" w:rsidP="00B95E44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873EA12" w14:textId="0B5A7AB9" w:rsidR="00B95E44" w:rsidRPr="00D227D9" w:rsidRDefault="00035692" w:rsidP="00D227D9">
      <w:pPr>
        <w:pStyle w:val="ListParagraph"/>
        <w:numPr>
          <w:ilvl w:val="0"/>
          <w:numId w:val="37"/>
        </w:num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227D9">
        <w:rPr>
          <w:rFonts w:ascii="Times New Roman" w:hAnsi="Times New Roman" w:cs="Times New Roman"/>
          <w:sz w:val="24"/>
          <w:szCs w:val="24"/>
          <w:lang w:val="en-GB"/>
        </w:rPr>
        <w:t>Zbatimi</w:t>
      </w:r>
      <w:proofErr w:type="spellEnd"/>
      <w:r w:rsidRPr="00D227D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27D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D227D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27D9">
        <w:rPr>
          <w:rFonts w:ascii="Times New Roman" w:hAnsi="Times New Roman" w:cs="Times New Roman"/>
          <w:sz w:val="24"/>
          <w:szCs w:val="24"/>
          <w:lang w:val="en-GB"/>
        </w:rPr>
        <w:t>Rregullit</w:t>
      </w:r>
      <w:proofErr w:type="spellEnd"/>
      <w:r w:rsidRPr="00D227D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27D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227D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27D9">
        <w:rPr>
          <w:rFonts w:ascii="Times New Roman" w:hAnsi="Times New Roman" w:cs="Times New Roman"/>
          <w:sz w:val="24"/>
          <w:szCs w:val="24"/>
          <w:lang w:val="en-GB"/>
        </w:rPr>
        <w:t>Përfshirjes</w:t>
      </w:r>
      <w:proofErr w:type="spellEnd"/>
      <w:r w:rsidRPr="00D227D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27D9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D227D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27D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227D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27D9">
        <w:rPr>
          <w:rFonts w:ascii="Times New Roman" w:hAnsi="Times New Roman" w:cs="Times New Roman"/>
          <w:sz w:val="24"/>
          <w:szCs w:val="24"/>
          <w:lang w:val="en-GB"/>
        </w:rPr>
        <w:t>Ardhurave</w:t>
      </w:r>
      <w:proofErr w:type="spellEnd"/>
      <w:r w:rsidRPr="00D227D9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GB"/>
        </w:rPr>
        <w:t>RPA</w:t>
      </w:r>
      <w:r w:rsidRPr="00D227D9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D227D9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D227D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27D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D227D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27D9">
        <w:rPr>
          <w:rFonts w:ascii="Times New Roman" w:hAnsi="Times New Roman" w:cs="Times New Roman"/>
          <w:sz w:val="24"/>
          <w:szCs w:val="24"/>
          <w:lang w:val="en-GB"/>
        </w:rPr>
        <w:t>Rregulli</w:t>
      </w:r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27D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D227D9">
        <w:rPr>
          <w:rFonts w:ascii="Times New Roman" w:hAnsi="Times New Roman" w:cs="Times New Roman"/>
          <w:sz w:val="24"/>
          <w:szCs w:val="24"/>
          <w:lang w:val="en-GB"/>
        </w:rPr>
        <w:t xml:space="preserve"> Fitimet e </w:t>
      </w:r>
      <w:proofErr w:type="spellStart"/>
      <w:r w:rsidRPr="00D227D9">
        <w:rPr>
          <w:rFonts w:ascii="Times New Roman" w:hAnsi="Times New Roman" w:cs="Times New Roman"/>
          <w:sz w:val="24"/>
          <w:szCs w:val="24"/>
          <w:lang w:val="en-GB"/>
        </w:rPr>
        <w:t>Nën-Tatuara</w:t>
      </w:r>
      <w:proofErr w:type="spellEnd"/>
      <w:r w:rsidRPr="00D227D9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GB"/>
        </w:rPr>
        <w:t>RFN</w:t>
      </w:r>
      <w:r w:rsidRPr="00D227D9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D227D9">
        <w:rPr>
          <w:rFonts w:ascii="Times New Roman" w:hAnsi="Times New Roman" w:cs="Times New Roman"/>
          <w:sz w:val="24"/>
          <w:szCs w:val="24"/>
          <w:lang w:val="en-GB"/>
        </w:rPr>
        <w:t>shtyhet</w:t>
      </w:r>
      <w:proofErr w:type="spellEnd"/>
      <w:r w:rsidRPr="00D227D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27D9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D227D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27D9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D227D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27D9">
        <w:rPr>
          <w:rFonts w:ascii="Times New Roman" w:hAnsi="Times New Roman" w:cs="Times New Roman"/>
          <w:sz w:val="24"/>
          <w:szCs w:val="24"/>
          <w:lang w:val="en-GB"/>
        </w:rPr>
        <w:t>periudhë</w:t>
      </w:r>
      <w:proofErr w:type="spellEnd"/>
      <w:r w:rsidRPr="00D227D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27D9">
        <w:rPr>
          <w:rFonts w:ascii="Times New Roman" w:hAnsi="Times New Roman" w:cs="Times New Roman"/>
          <w:sz w:val="24"/>
          <w:szCs w:val="24"/>
          <w:lang w:val="en-GB"/>
        </w:rPr>
        <w:t>prej</w:t>
      </w:r>
      <w:proofErr w:type="spellEnd"/>
      <w:r w:rsidRPr="00D227D9">
        <w:rPr>
          <w:rFonts w:ascii="Times New Roman" w:hAnsi="Times New Roman" w:cs="Times New Roman"/>
          <w:sz w:val="24"/>
          <w:szCs w:val="24"/>
          <w:lang w:val="en-GB"/>
        </w:rPr>
        <w:t xml:space="preserve"> 6 </w:t>
      </w:r>
      <w:proofErr w:type="spellStart"/>
      <w:r w:rsidRPr="00D227D9">
        <w:rPr>
          <w:rFonts w:ascii="Times New Roman" w:hAnsi="Times New Roman" w:cs="Times New Roman"/>
          <w:sz w:val="24"/>
          <w:szCs w:val="24"/>
          <w:lang w:val="en-GB"/>
        </w:rPr>
        <w:t>vitesh</w:t>
      </w:r>
      <w:proofErr w:type="spellEnd"/>
      <w:r w:rsidRPr="00D227D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27D9">
        <w:rPr>
          <w:rFonts w:ascii="Times New Roman" w:hAnsi="Times New Roman" w:cs="Times New Roman"/>
          <w:sz w:val="24"/>
          <w:szCs w:val="24"/>
          <w:lang w:val="en-GB"/>
        </w:rPr>
        <w:t>fiskale</w:t>
      </w:r>
      <w:proofErr w:type="spellEnd"/>
      <w:r w:rsidRPr="00D227D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27D9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D227D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27D9">
        <w:rPr>
          <w:rFonts w:ascii="Times New Roman" w:hAnsi="Times New Roman" w:cs="Times New Roman"/>
          <w:sz w:val="24"/>
          <w:szCs w:val="24"/>
          <w:lang w:val="en-GB"/>
        </w:rPr>
        <w:t>njëpasnjëshme</w:t>
      </w:r>
      <w:proofErr w:type="spellEnd"/>
      <w:r w:rsidRPr="00D227D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DC6727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D227D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27D9">
        <w:rPr>
          <w:rFonts w:ascii="Times New Roman" w:hAnsi="Times New Roman" w:cs="Times New Roman"/>
          <w:sz w:val="24"/>
          <w:szCs w:val="24"/>
          <w:lang w:val="en-GB"/>
        </w:rPr>
        <w:t>përfundon</w:t>
      </w:r>
      <w:proofErr w:type="spellEnd"/>
      <w:r w:rsidRPr="00D227D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27D9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D227D9">
        <w:rPr>
          <w:rFonts w:ascii="Times New Roman" w:hAnsi="Times New Roman" w:cs="Times New Roman"/>
          <w:sz w:val="24"/>
          <w:szCs w:val="24"/>
          <w:lang w:val="en-GB"/>
        </w:rPr>
        <w:t xml:space="preserve"> 31 </w:t>
      </w:r>
      <w:proofErr w:type="spellStart"/>
      <w:r w:rsidRPr="00D227D9">
        <w:rPr>
          <w:rFonts w:ascii="Times New Roman" w:hAnsi="Times New Roman" w:cs="Times New Roman"/>
          <w:sz w:val="24"/>
          <w:szCs w:val="24"/>
          <w:lang w:val="en-GB"/>
        </w:rPr>
        <w:t>dhjetor</w:t>
      </w:r>
      <w:proofErr w:type="spellEnd"/>
      <w:r w:rsidRPr="00D227D9">
        <w:rPr>
          <w:rFonts w:ascii="Times New Roman" w:hAnsi="Times New Roman" w:cs="Times New Roman"/>
          <w:sz w:val="24"/>
          <w:szCs w:val="24"/>
          <w:lang w:val="en-GB"/>
        </w:rPr>
        <w:t xml:space="preserve"> 2029.</w:t>
      </w:r>
    </w:p>
    <w:p w14:paraId="1CB198E2" w14:textId="77777777" w:rsidR="00B95E44" w:rsidRPr="00B95E44" w:rsidRDefault="00B95E44" w:rsidP="00B95E44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1E76094" w14:textId="4B864614" w:rsidR="00B95E44" w:rsidRPr="00B95E44" w:rsidRDefault="00B95E44" w:rsidP="00B95E44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2.</w:t>
      </w:r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Në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paragrafin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pavarësisht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neneve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6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deri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13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B95E44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përfundimtare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detyrohen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zbatojnë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F3EC4">
        <w:rPr>
          <w:rFonts w:ascii="Times New Roman" w:hAnsi="Times New Roman" w:cs="Times New Roman"/>
          <w:sz w:val="24"/>
          <w:szCs w:val="24"/>
          <w:lang w:val="en-GB"/>
        </w:rPr>
        <w:t>RPA</w:t>
      </w:r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16EE1">
        <w:rPr>
          <w:rFonts w:ascii="Times New Roman" w:hAnsi="Times New Roman" w:cs="Times New Roman"/>
          <w:sz w:val="24"/>
          <w:szCs w:val="24"/>
          <w:lang w:val="en-GB"/>
        </w:rPr>
        <w:t>RFN</w:t>
      </w:r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asnjë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vit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fillon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përpara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1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janarit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2030.</w:t>
      </w:r>
    </w:p>
    <w:p w14:paraId="50D23B2C" w14:textId="77777777" w:rsidR="00B95E44" w:rsidRDefault="00B95E44" w:rsidP="00B95E44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470E7F7" w14:textId="0352BAA8" w:rsidR="00B95E44" w:rsidRPr="00B95E44" w:rsidRDefault="00B95E44" w:rsidP="00B95E44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3.</w:t>
      </w:r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Pavarësisht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2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përbërëse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zbatojnë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brendsh</w:t>
      </w:r>
      <w:r w:rsidR="00AB7580" w:rsidRPr="00865283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865283">
        <w:rPr>
          <w:rFonts w:ascii="Times New Roman" w:hAnsi="Times New Roman" w:cs="Times New Roman"/>
          <w:sz w:val="24"/>
          <w:szCs w:val="24"/>
          <w:lang w:val="en-GB"/>
        </w:rPr>
        <w:t>m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8652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65283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nenin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47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B95E44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vitet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fiskale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fillojnë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pas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datës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zbatimit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B95E44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siç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përcaktohet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nenin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62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B95E44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36F999B" w14:textId="77777777" w:rsidR="00B95E44" w:rsidRDefault="00B95E44" w:rsidP="00B95E44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D074C1A" w14:textId="0CADB3CD" w:rsidR="00B95E44" w:rsidRDefault="00B95E44" w:rsidP="00B95E44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4.</w:t>
      </w:r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Për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vitet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fiskale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cilat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zbatohet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shtyrja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entitetet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mëmë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përfundimtare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grupeve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shoq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rive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shumëkombëshe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vendosura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caktojnë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subjekt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caktuar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paraqitje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tjetër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paraqitur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deklaratën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lastRenderedPageBreak/>
        <w:t>informacionit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kusht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juridiksion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ketë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fuqi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marrëveshje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kompetente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autoriteti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B95E44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B95E4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54BB1D5" w14:textId="77777777" w:rsidR="001A5482" w:rsidRDefault="001A5482" w:rsidP="00B95E44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676D81B" w14:textId="0C175773" w:rsidR="000B748E" w:rsidRDefault="001A5482" w:rsidP="00CD4599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5.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Përqindja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r>
        <w:rPr>
          <w:rFonts w:ascii="Times New Roman" w:hAnsi="Times New Roman" w:cs="Times New Roman"/>
          <w:sz w:val="24"/>
          <w:szCs w:val="24"/>
          <w:lang w:val="en-GB"/>
        </w:rPr>
        <w:t>RF</w:t>
      </w:r>
      <w:r w:rsidR="00672012">
        <w:rPr>
          <w:rFonts w:ascii="Times New Roman" w:hAnsi="Times New Roman" w:cs="Times New Roman"/>
          <w:sz w:val="24"/>
          <w:szCs w:val="24"/>
          <w:lang w:val="en-GB"/>
        </w:rPr>
        <w:t>N</w:t>
      </w:r>
      <w:r>
        <w:rPr>
          <w:rFonts w:ascii="Times New Roman" w:hAnsi="Times New Roman" w:cs="Times New Roman"/>
          <w:sz w:val="24"/>
          <w:szCs w:val="24"/>
          <w:lang w:val="en-GB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përcaktuar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konsiderohet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672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DC67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6727">
        <w:rPr>
          <w:rFonts w:ascii="Times New Roman" w:hAnsi="Times New Roman" w:cs="Times New Roman"/>
          <w:sz w:val="24"/>
          <w:szCs w:val="24"/>
          <w:lang w:val="en-GB"/>
        </w:rPr>
        <w:t>vlerën</w:t>
      </w:r>
      <w:proofErr w:type="spellEnd"/>
      <w:r w:rsidR="00DC67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zero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vitet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fiskale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cilat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zbatohet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zgjedhja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paragrafit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5482">
        <w:rPr>
          <w:rFonts w:ascii="Times New Roman" w:hAnsi="Times New Roman" w:cs="Times New Roman"/>
          <w:sz w:val="24"/>
          <w:szCs w:val="24"/>
          <w:lang w:val="en-GB"/>
        </w:rPr>
        <w:t>neni</w:t>
      </w:r>
      <w:proofErr w:type="spellEnd"/>
      <w:r w:rsidRPr="001A548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BF2DB8D" w14:textId="77777777" w:rsidR="00DC6727" w:rsidRDefault="00DC6727" w:rsidP="000B748E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700BDA08" w14:textId="4CBF8F8C" w:rsidR="000B748E" w:rsidRPr="000B748E" w:rsidRDefault="000B748E" w:rsidP="000B748E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0B748E">
        <w:rPr>
          <w:rFonts w:ascii="Times New Roman" w:hAnsi="Times New Roman" w:cs="Times New Roman"/>
          <w:sz w:val="24"/>
          <w:szCs w:val="24"/>
          <w:lang w:val="en-GB"/>
        </w:rPr>
        <w:t>Neni 60</w:t>
      </w:r>
    </w:p>
    <w:p w14:paraId="11B84558" w14:textId="77777777" w:rsidR="000B748E" w:rsidRPr="000B748E" w:rsidRDefault="000B748E" w:rsidP="000B748E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0B748E">
        <w:rPr>
          <w:rFonts w:ascii="Times New Roman" w:hAnsi="Times New Roman" w:cs="Times New Roman"/>
          <w:b/>
          <w:bCs/>
          <w:sz w:val="24"/>
          <w:szCs w:val="24"/>
          <w:lang w:val="en-GB"/>
        </w:rPr>
        <w:t>Akte</w:t>
      </w:r>
      <w:proofErr w:type="spellEnd"/>
      <w:r w:rsidRPr="000B748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b/>
          <w:bCs/>
          <w:sz w:val="24"/>
          <w:szCs w:val="24"/>
          <w:lang w:val="en-GB"/>
        </w:rPr>
        <w:t>nënligjore</w:t>
      </w:r>
      <w:proofErr w:type="spellEnd"/>
    </w:p>
    <w:p w14:paraId="6548EBC0" w14:textId="77777777" w:rsidR="000B748E" w:rsidRPr="000B748E" w:rsidRDefault="000B748E" w:rsidP="000B748E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9891A17" w14:textId="2922C906" w:rsidR="000B748E" w:rsidRDefault="000B748E" w:rsidP="000B748E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1.</w:t>
      </w:r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Ministri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përgjegjës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financat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ngarkohet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nxjerrë</w:t>
      </w:r>
      <w:proofErr w:type="spellEnd"/>
      <w:r w:rsidR="00DC67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brenda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4599">
        <w:rPr>
          <w:rFonts w:ascii="Times New Roman" w:hAnsi="Times New Roman" w:cs="Times New Roman"/>
          <w:sz w:val="24"/>
          <w:szCs w:val="24"/>
          <w:lang w:val="en-GB"/>
        </w:rPr>
        <w:t>dy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viteve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hyrja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fuqi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udhëzimet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nevojshme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zbatimin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3465217" w14:textId="77777777" w:rsidR="000B748E" w:rsidRPr="000B748E" w:rsidRDefault="000B748E" w:rsidP="000B748E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BBAA910" w14:textId="4BE7BB87" w:rsidR="000B748E" w:rsidRPr="000B748E" w:rsidRDefault="000B748E" w:rsidP="000B748E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2.</w:t>
      </w:r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Këshilli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Ministrave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, me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propozim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ministrit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përgjegjës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financat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miraton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marrëveshjen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shumëpalëshe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autoriteteve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kompetente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shkëmbimin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automatik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deklaratës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informacionit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tatimin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përputhje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Konventën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Ndihmën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Ndërsjellë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Administrative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Çështjet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Tatimore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cilën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Republika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palë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2F4BA4F" w14:textId="77777777" w:rsidR="000B748E" w:rsidRPr="000B748E" w:rsidRDefault="000B748E" w:rsidP="000B748E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19C26F8" w14:textId="77777777" w:rsidR="000B748E" w:rsidRPr="000B748E" w:rsidRDefault="000B748E" w:rsidP="000B748E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0B748E">
        <w:rPr>
          <w:rFonts w:ascii="Times New Roman" w:hAnsi="Times New Roman" w:cs="Times New Roman"/>
          <w:sz w:val="24"/>
          <w:szCs w:val="24"/>
          <w:lang w:val="en-GB"/>
        </w:rPr>
        <w:t>Neni 61</w:t>
      </w:r>
    </w:p>
    <w:p w14:paraId="7E8FA965" w14:textId="0CF1E672" w:rsidR="000B748E" w:rsidRPr="000B748E" w:rsidRDefault="000B748E" w:rsidP="000B748E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0B748E">
        <w:rPr>
          <w:rFonts w:ascii="Times New Roman" w:hAnsi="Times New Roman" w:cs="Times New Roman"/>
          <w:b/>
          <w:bCs/>
          <w:sz w:val="24"/>
          <w:szCs w:val="24"/>
          <w:lang w:val="en-GB"/>
        </w:rPr>
        <w:t>Marrëdhënia</w:t>
      </w:r>
      <w:proofErr w:type="spellEnd"/>
      <w:r w:rsidRPr="000B748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me </w:t>
      </w:r>
      <w:proofErr w:type="spellStart"/>
      <w:r w:rsidRPr="000B748E">
        <w:rPr>
          <w:rFonts w:ascii="Times New Roman" w:hAnsi="Times New Roman" w:cs="Times New Roman"/>
          <w:b/>
          <w:bCs/>
          <w:sz w:val="24"/>
          <w:szCs w:val="24"/>
          <w:lang w:val="en-GB"/>
        </w:rPr>
        <w:t>ligjet</w:t>
      </w:r>
      <w:proofErr w:type="spellEnd"/>
      <w:r w:rsidRPr="000B748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 </w:t>
      </w:r>
      <w:proofErr w:type="spellStart"/>
      <w:r w:rsidRPr="000B748E">
        <w:rPr>
          <w:rFonts w:ascii="Times New Roman" w:hAnsi="Times New Roman" w:cs="Times New Roman"/>
          <w:b/>
          <w:bCs/>
          <w:sz w:val="24"/>
          <w:szCs w:val="24"/>
          <w:lang w:val="en-GB"/>
        </w:rPr>
        <w:t>tjera</w:t>
      </w:r>
      <w:proofErr w:type="spellEnd"/>
    </w:p>
    <w:p w14:paraId="68627576" w14:textId="77777777" w:rsidR="000B748E" w:rsidRPr="000B748E" w:rsidRDefault="000B748E" w:rsidP="000B748E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4410DC1" w14:textId="2A70054E" w:rsidR="000B748E" w:rsidRPr="000B748E" w:rsidRDefault="000B748E" w:rsidP="000B748E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subjektet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AB7580">
        <w:rPr>
          <w:rFonts w:ascii="Times New Roman" w:hAnsi="Times New Roman" w:cs="Times New Roman"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sz w:val="24"/>
          <w:szCs w:val="24"/>
          <w:lang w:val="en-GB"/>
        </w:rPr>
        <w:t>rfshihen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fushën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zbatimit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0B748E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rast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ndonjë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mospërputhjeje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konflikti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ndërmjet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dispozitave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dispozitave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legjislacionit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tjetër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tatimor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fuqi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prevalojnë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dispozitat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këtij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0B748E">
        <w:rPr>
          <w:rFonts w:ascii="Times New Roman" w:hAnsi="Times New Roman" w:cs="Times New Roman"/>
          <w:sz w:val="24"/>
          <w:szCs w:val="24"/>
          <w:lang w:val="en-GB"/>
        </w:rPr>
        <w:t>igji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EB96F71" w14:textId="77777777" w:rsidR="000B748E" w:rsidRPr="000B748E" w:rsidRDefault="000B748E" w:rsidP="000B748E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AF52315" w14:textId="77777777" w:rsidR="000B748E" w:rsidRPr="000B748E" w:rsidRDefault="000B748E" w:rsidP="000B748E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0B748E">
        <w:rPr>
          <w:rFonts w:ascii="Times New Roman" w:hAnsi="Times New Roman" w:cs="Times New Roman"/>
          <w:sz w:val="24"/>
          <w:szCs w:val="24"/>
          <w:lang w:val="en-GB"/>
        </w:rPr>
        <w:t>Neni 62</w:t>
      </w:r>
    </w:p>
    <w:p w14:paraId="094FBF2A" w14:textId="77777777" w:rsidR="000B748E" w:rsidRPr="000B748E" w:rsidRDefault="000B748E" w:rsidP="000B748E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0B748E">
        <w:rPr>
          <w:rFonts w:ascii="Times New Roman" w:hAnsi="Times New Roman" w:cs="Times New Roman"/>
          <w:b/>
          <w:bCs/>
          <w:sz w:val="24"/>
          <w:szCs w:val="24"/>
          <w:lang w:val="en-GB"/>
        </w:rPr>
        <w:t>Hyrja</w:t>
      </w:r>
      <w:proofErr w:type="spellEnd"/>
      <w:r w:rsidRPr="000B748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b/>
          <w:bCs/>
          <w:sz w:val="24"/>
          <w:szCs w:val="24"/>
          <w:lang w:val="en-GB"/>
        </w:rPr>
        <w:t>në</w:t>
      </w:r>
      <w:proofErr w:type="spellEnd"/>
      <w:r w:rsidRPr="000B748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b/>
          <w:bCs/>
          <w:sz w:val="24"/>
          <w:szCs w:val="24"/>
          <w:lang w:val="en-GB"/>
        </w:rPr>
        <w:t>fuqi</w:t>
      </w:r>
      <w:proofErr w:type="spellEnd"/>
      <w:r w:rsidRPr="000B748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b/>
          <w:bCs/>
          <w:sz w:val="24"/>
          <w:szCs w:val="24"/>
          <w:lang w:val="en-GB"/>
        </w:rPr>
        <w:t>dhe</w:t>
      </w:r>
      <w:proofErr w:type="spellEnd"/>
      <w:r w:rsidRPr="000B748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b/>
          <w:bCs/>
          <w:sz w:val="24"/>
          <w:szCs w:val="24"/>
          <w:lang w:val="en-GB"/>
        </w:rPr>
        <w:t>zbatimi</w:t>
      </w:r>
      <w:proofErr w:type="spellEnd"/>
    </w:p>
    <w:p w14:paraId="53655C43" w14:textId="77777777" w:rsidR="000B748E" w:rsidRPr="000B748E" w:rsidRDefault="000B748E" w:rsidP="000B748E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7D58017" w14:textId="72916468" w:rsidR="000B748E" w:rsidRPr="005A7BF9" w:rsidRDefault="000B748E" w:rsidP="000B748E">
      <w:pPr>
        <w:tabs>
          <w:tab w:val="left" w:pos="-90"/>
          <w:tab w:val="left" w:pos="0"/>
          <w:tab w:val="left" w:pos="180"/>
          <w:tab w:val="left" w:pos="360"/>
          <w:tab w:val="left" w:pos="54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Ky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ligj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hyn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fuqi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15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ditë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pas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publikimit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Fletoren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Zyrtare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dispozitat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fillojnë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zbatohen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më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1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janar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fiskal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fillon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pas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datës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anëtarësimit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Republikës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Bashkimin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  <w:lang w:val="en-GB"/>
        </w:rPr>
        <w:t>Evropian</w:t>
      </w:r>
      <w:proofErr w:type="spellEnd"/>
      <w:r w:rsidRPr="000B748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sectPr w:rsidR="000B748E" w:rsidRPr="005A7BF9" w:rsidSect="006574E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5C754" w14:textId="77777777" w:rsidR="00E443DE" w:rsidRDefault="00E443DE" w:rsidP="00C1128C">
      <w:pPr>
        <w:spacing w:after="0" w:line="240" w:lineRule="auto"/>
      </w:pPr>
      <w:r>
        <w:separator/>
      </w:r>
    </w:p>
  </w:endnote>
  <w:endnote w:type="continuationSeparator" w:id="0">
    <w:p w14:paraId="1ADD2694" w14:textId="77777777" w:rsidR="00E443DE" w:rsidRDefault="00E443DE" w:rsidP="00C1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A44F7" w14:textId="0368D2E5" w:rsidR="00412D88" w:rsidRDefault="00412D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76F4DC4" wp14:editId="0D16B3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20215" cy="368935"/>
              <wp:effectExtent l="0" t="0" r="13335" b="0"/>
              <wp:wrapNone/>
              <wp:docPr id="1536982070" name="Text Box 2" descr="Restricted Use - À usage 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02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C9A83" w14:textId="3E303CE0" w:rsidR="00412D88" w:rsidRPr="00C1128C" w:rsidRDefault="00412D88" w:rsidP="00C112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C1128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Restricted Use - À usage 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F4D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 Use - À usage restreint" style="position:absolute;margin-left:0;margin-top:0;width:135.45pt;height:29.0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" filled="f" stroked="f">
              <v:textbox style="mso-fit-shape-to-text:t" inset="0,0,0,15pt">
                <w:txbxContent>
                  <w:p w14:paraId="042C9A83" w14:textId="3E303CE0" w:rsidR="00412D88" w:rsidRPr="00C1128C" w:rsidRDefault="00412D88" w:rsidP="00C112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C1128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Restricted Use - À usage 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5B4B9" w14:textId="656F2E3B" w:rsidR="00412D88" w:rsidRDefault="00412D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9E4C8" w14:textId="36F86742" w:rsidR="00412D88" w:rsidRDefault="00412D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9E2837" wp14:editId="62DDB2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20215" cy="368935"/>
              <wp:effectExtent l="0" t="0" r="13335" b="0"/>
              <wp:wrapNone/>
              <wp:docPr id="2025344367" name="Text Box 1" descr="Restricted Use - À usage 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02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D8DCC" w14:textId="1805D129" w:rsidR="00412D88" w:rsidRPr="00C1128C" w:rsidRDefault="00412D88" w:rsidP="00C112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C1128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Restricted Use - À usage 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E28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 Use - À usage restreint" style="position:absolute;margin-left:0;margin-top:0;width:135.45pt;height:29.0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" filled="f" stroked="f">
              <v:textbox style="mso-fit-shape-to-text:t" inset="0,0,0,15pt">
                <w:txbxContent>
                  <w:p w14:paraId="790D8DCC" w14:textId="1805D129" w:rsidR="00412D88" w:rsidRPr="00C1128C" w:rsidRDefault="00412D88" w:rsidP="00C112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C1128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Restricted Use - À usage 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508B3" w14:textId="77777777" w:rsidR="00E443DE" w:rsidRDefault="00E443DE" w:rsidP="00C1128C">
      <w:pPr>
        <w:spacing w:after="0" w:line="240" w:lineRule="auto"/>
      </w:pPr>
      <w:r>
        <w:separator/>
      </w:r>
    </w:p>
  </w:footnote>
  <w:footnote w:type="continuationSeparator" w:id="0">
    <w:p w14:paraId="5B580F41" w14:textId="77777777" w:rsidR="00E443DE" w:rsidRDefault="00E443DE" w:rsidP="00C1128C">
      <w:pPr>
        <w:spacing w:after="0" w:line="240" w:lineRule="auto"/>
      </w:pPr>
      <w:r>
        <w:continuationSeparator/>
      </w:r>
    </w:p>
  </w:footnote>
  <w:footnote w:id="1">
    <w:p w14:paraId="73413305" w14:textId="4244953B" w:rsidR="00412D88" w:rsidRPr="00011032" w:rsidRDefault="00412D88" w:rsidP="00E912B9">
      <w:pPr>
        <w:pStyle w:val="FootnoteText"/>
        <w:jc w:val="both"/>
        <w:rPr>
          <w:rFonts w:ascii="Times New Roman" w:hAnsi="Times New Roman" w:cs="Times New Roman"/>
          <w:lang w:val="sq-AL"/>
        </w:rPr>
      </w:pPr>
      <w:r w:rsidRPr="00011032">
        <w:rPr>
          <w:rStyle w:val="FootnoteReference"/>
          <w:rFonts w:ascii="Times New Roman" w:hAnsi="Times New Roman" w:cs="Times New Roman"/>
        </w:rPr>
        <w:footnoteRef/>
      </w:r>
      <w:r w:rsidR="00E912B9" w:rsidRPr="00E912B9">
        <w:rPr>
          <w:rFonts w:ascii="Times New Roman" w:hAnsi="Times New Roman" w:cs="Times New Roman"/>
        </w:rPr>
        <w:t xml:space="preserve">Ky ligj është plotësisht i përafruar me Direktivën e Këshillit (BE) 2022/2523 të datës 14 dhjetor 2022 </w:t>
      </w:r>
      <w:r w:rsidR="00E912B9">
        <w:rPr>
          <w:rFonts w:ascii="Times New Roman" w:hAnsi="Times New Roman" w:cs="Times New Roman"/>
        </w:rPr>
        <w:t>mbi</w:t>
      </w:r>
      <w:r w:rsidR="00E912B9" w:rsidRPr="00E912B9">
        <w:rPr>
          <w:rFonts w:ascii="Times New Roman" w:hAnsi="Times New Roman" w:cs="Times New Roman"/>
        </w:rPr>
        <w:t xml:space="preserve"> sigurimin e një niveli global minimal të tatimit për grupet e </w:t>
      </w:r>
      <w:r w:rsidR="00E912B9">
        <w:rPr>
          <w:rFonts w:ascii="Times New Roman" w:hAnsi="Times New Roman" w:cs="Times New Roman"/>
        </w:rPr>
        <w:t>shoqërive</w:t>
      </w:r>
      <w:r w:rsidR="00E912B9" w:rsidRPr="00E912B9">
        <w:rPr>
          <w:rFonts w:ascii="Times New Roman" w:hAnsi="Times New Roman" w:cs="Times New Roman"/>
        </w:rPr>
        <w:t xml:space="preserve"> shumëkombëshe dhe grupet vendase të shkallës së madhe në Bashkimin Evropian. Numri CELEX 32022L2523, Gazeta Zyrtare e Bashkimit Evropian, seria L, nr. 328, datë 22.12.2022, f. 1–58.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0F69A" w14:textId="77777777" w:rsidR="008C4762" w:rsidRDefault="008C47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18D1" w14:textId="77777777" w:rsidR="008C4762" w:rsidRDefault="008C47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1E1E" w14:textId="77777777" w:rsidR="008C4762" w:rsidRDefault="008C47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94A7DEF"/>
    <w:multiLevelType w:val="multilevel"/>
    <w:tmpl w:val="29DC3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09A353ED"/>
    <w:multiLevelType w:val="multilevel"/>
    <w:tmpl w:val="816ECE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0E697B82"/>
    <w:multiLevelType w:val="hybridMultilevel"/>
    <w:tmpl w:val="09DA2D20"/>
    <w:lvl w:ilvl="0" w:tplc="CF2A3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D768FA"/>
    <w:multiLevelType w:val="multilevel"/>
    <w:tmpl w:val="3DB6EA0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entative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entative="1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0" w15:restartNumberingAfterBreak="0">
    <w:nsid w:val="14536178"/>
    <w:multiLevelType w:val="hybridMultilevel"/>
    <w:tmpl w:val="94D664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C71ACF"/>
    <w:multiLevelType w:val="hybridMultilevel"/>
    <w:tmpl w:val="2EE46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E3854"/>
    <w:multiLevelType w:val="hybridMultilevel"/>
    <w:tmpl w:val="A5122AD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32D10"/>
    <w:multiLevelType w:val="hybridMultilevel"/>
    <w:tmpl w:val="2C1A54C0"/>
    <w:lvl w:ilvl="0" w:tplc="297E1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D3869"/>
    <w:multiLevelType w:val="hybridMultilevel"/>
    <w:tmpl w:val="3EB2A0BA"/>
    <w:lvl w:ilvl="0" w:tplc="7890B0A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26AE2763"/>
    <w:multiLevelType w:val="multilevel"/>
    <w:tmpl w:val="DE76F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307C3268"/>
    <w:multiLevelType w:val="hybridMultilevel"/>
    <w:tmpl w:val="A3D22F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C277B"/>
    <w:multiLevelType w:val="hybridMultilevel"/>
    <w:tmpl w:val="E55EFDA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606D2"/>
    <w:multiLevelType w:val="hybridMultilevel"/>
    <w:tmpl w:val="3EB2C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31E6A"/>
    <w:multiLevelType w:val="hybridMultilevel"/>
    <w:tmpl w:val="2AB6126E"/>
    <w:lvl w:ilvl="0" w:tplc="002CDD6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DB0997"/>
    <w:multiLevelType w:val="hybridMultilevel"/>
    <w:tmpl w:val="D312FA3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27A24"/>
    <w:multiLevelType w:val="hybridMultilevel"/>
    <w:tmpl w:val="13EE19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10C2006"/>
    <w:multiLevelType w:val="hybridMultilevel"/>
    <w:tmpl w:val="90BCF8A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46CD5FB3"/>
    <w:multiLevelType w:val="hybridMultilevel"/>
    <w:tmpl w:val="5F083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A38A9"/>
    <w:multiLevelType w:val="hybridMultilevel"/>
    <w:tmpl w:val="8B18BB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50273FC8"/>
    <w:multiLevelType w:val="multilevel"/>
    <w:tmpl w:val="816ECE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4F17376"/>
    <w:multiLevelType w:val="hybridMultilevel"/>
    <w:tmpl w:val="55F06A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084BC3"/>
    <w:multiLevelType w:val="multilevel"/>
    <w:tmpl w:val="133E7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6293667"/>
    <w:multiLevelType w:val="hybridMultilevel"/>
    <w:tmpl w:val="0770A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64B56"/>
    <w:multiLevelType w:val="hybridMultilevel"/>
    <w:tmpl w:val="D4902D1C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2A4EBF"/>
    <w:multiLevelType w:val="hybridMultilevel"/>
    <w:tmpl w:val="CC66DA4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63C83117"/>
    <w:multiLevelType w:val="multilevel"/>
    <w:tmpl w:val="DC2E948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entative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entative="1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32" w15:restartNumberingAfterBreak="0">
    <w:nsid w:val="6829432F"/>
    <w:multiLevelType w:val="hybridMultilevel"/>
    <w:tmpl w:val="67267E9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68D502E2"/>
    <w:multiLevelType w:val="multilevel"/>
    <w:tmpl w:val="AA5E67B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entative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entative="1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34" w15:restartNumberingAfterBreak="0">
    <w:nsid w:val="6E8355A3"/>
    <w:multiLevelType w:val="hybridMultilevel"/>
    <w:tmpl w:val="4F4CA2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720491"/>
    <w:multiLevelType w:val="hybridMultilevel"/>
    <w:tmpl w:val="A6B4CE2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6" w15:restartNumberingAfterBreak="0">
    <w:nsid w:val="7E7C20C6"/>
    <w:multiLevelType w:val="multilevel"/>
    <w:tmpl w:val="0C8A8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722875256">
    <w:abstractNumId w:val="5"/>
  </w:num>
  <w:num w:numId="2" w16cid:durableId="803544852">
    <w:abstractNumId w:val="3"/>
  </w:num>
  <w:num w:numId="3" w16cid:durableId="859856866">
    <w:abstractNumId w:val="2"/>
  </w:num>
  <w:num w:numId="4" w16cid:durableId="360977665">
    <w:abstractNumId w:val="4"/>
  </w:num>
  <w:num w:numId="5" w16cid:durableId="1579633733">
    <w:abstractNumId w:val="1"/>
  </w:num>
  <w:num w:numId="6" w16cid:durableId="704670370">
    <w:abstractNumId w:val="0"/>
  </w:num>
  <w:num w:numId="7" w16cid:durableId="1236816861">
    <w:abstractNumId w:val="33"/>
  </w:num>
  <w:num w:numId="8" w16cid:durableId="1105926975">
    <w:abstractNumId w:val="31"/>
  </w:num>
  <w:num w:numId="9" w16cid:durableId="759760298">
    <w:abstractNumId w:val="9"/>
  </w:num>
  <w:num w:numId="10" w16cid:durableId="2053727725">
    <w:abstractNumId w:val="6"/>
  </w:num>
  <w:num w:numId="11" w16cid:durableId="735516228">
    <w:abstractNumId w:val="36"/>
  </w:num>
  <w:num w:numId="12" w16cid:durableId="1167400192">
    <w:abstractNumId w:val="27"/>
  </w:num>
  <w:num w:numId="13" w16cid:durableId="762531622">
    <w:abstractNumId w:val="15"/>
  </w:num>
  <w:num w:numId="14" w16cid:durableId="322127769">
    <w:abstractNumId w:val="25"/>
  </w:num>
  <w:num w:numId="15" w16cid:durableId="1758283912">
    <w:abstractNumId w:val="19"/>
  </w:num>
  <w:num w:numId="16" w16cid:durableId="228075512">
    <w:abstractNumId w:val="7"/>
  </w:num>
  <w:num w:numId="17" w16cid:durableId="884492194">
    <w:abstractNumId w:val="16"/>
  </w:num>
  <w:num w:numId="18" w16cid:durableId="1125659128">
    <w:abstractNumId w:val="17"/>
  </w:num>
  <w:num w:numId="19" w16cid:durableId="1822456103">
    <w:abstractNumId w:val="29"/>
  </w:num>
  <w:num w:numId="20" w16cid:durableId="458308303">
    <w:abstractNumId w:val="13"/>
  </w:num>
  <w:num w:numId="21" w16cid:durableId="1742826718">
    <w:abstractNumId w:val="8"/>
  </w:num>
  <w:num w:numId="22" w16cid:durableId="1385135408">
    <w:abstractNumId w:val="10"/>
  </w:num>
  <w:num w:numId="23" w16cid:durableId="540173339">
    <w:abstractNumId w:val="24"/>
  </w:num>
  <w:num w:numId="24" w16cid:durableId="1197155336">
    <w:abstractNumId w:val="20"/>
  </w:num>
  <w:num w:numId="25" w16cid:durableId="849681377">
    <w:abstractNumId w:val="18"/>
  </w:num>
  <w:num w:numId="26" w16cid:durableId="1021127363">
    <w:abstractNumId w:val="11"/>
  </w:num>
  <w:num w:numId="27" w16cid:durableId="1898666410">
    <w:abstractNumId w:val="26"/>
  </w:num>
  <w:num w:numId="28" w16cid:durableId="173885595">
    <w:abstractNumId w:val="23"/>
  </w:num>
  <w:num w:numId="29" w16cid:durableId="2016878718">
    <w:abstractNumId w:val="34"/>
  </w:num>
  <w:num w:numId="30" w16cid:durableId="370032766">
    <w:abstractNumId w:val="22"/>
  </w:num>
  <w:num w:numId="31" w16cid:durableId="1545826512">
    <w:abstractNumId w:val="32"/>
  </w:num>
  <w:num w:numId="32" w16cid:durableId="955016370">
    <w:abstractNumId w:val="30"/>
  </w:num>
  <w:num w:numId="33" w16cid:durableId="1466774819">
    <w:abstractNumId w:val="21"/>
  </w:num>
  <w:num w:numId="34" w16cid:durableId="217981543">
    <w:abstractNumId w:val="35"/>
  </w:num>
  <w:num w:numId="35" w16cid:durableId="1421439513">
    <w:abstractNumId w:val="12"/>
  </w:num>
  <w:num w:numId="36" w16cid:durableId="201485584">
    <w:abstractNumId w:val="14"/>
  </w:num>
  <w:num w:numId="37" w16cid:durableId="855388833">
    <w:abstractNumId w:val="2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0296"/>
    <w:rsid w:val="000010E6"/>
    <w:rsid w:val="00001B86"/>
    <w:rsid w:val="000024D1"/>
    <w:rsid w:val="0000299A"/>
    <w:rsid w:val="00003E03"/>
    <w:rsid w:val="00004C12"/>
    <w:rsid w:val="00005025"/>
    <w:rsid w:val="0000577D"/>
    <w:rsid w:val="000069B3"/>
    <w:rsid w:val="00006E50"/>
    <w:rsid w:val="0000725D"/>
    <w:rsid w:val="000108F6"/>
    <w:rsid w:val="00010F7C"/>
    <w:rsid w:val="00011032"/>
    <w:rsid w:val="00011064"/>
    <w:rsid w:val="00012E29"/>
    <w:rsid w:val="0001423A"/>
    <w:rsid w:val="00014FD4"/>
    <w:rsid w:val="000157D4"/>
    <w:rsid w:val="000169E6"/>
    <w:rsid w:val="000172F3"/>
    <w:rsid w:val="00020382"/>
    <w:rsid w:val="00021C3A"/>
    <w:rsid w:val="00023EF3"/>
    <w:rsid w:val="000242B3"/>
    <w:rsid w:val="00025C5C"/>
    <w:rsid w:val="00030002"/>
    <w:rsid w:val="0003088B"/>
    <w:rsid w:val="000308CF"/>
    <w:rsid w:val="00030964"/>
    <w:rsid w:val="000310BA"/>
    <w:rsid w:val="00033D29"/>
    <w:rsid w:val="00034346"/>
    <w:rsid w:val="00034616"/>
    <w:rsid w:val="0003503B"/>
    <w:rsid w:val="000353CB"/>
    <w:rsid w:val="00035419"/>
    <w:rsid w:val="00035692"/>
    <w:rsid w:val="000374EE"/>
    <w:rsid w:val="00037860"/>
    <w:rsid w:val="000423E6"/>
    <w:rsid w:val="000426B0"/>
    <w:rsid w:val="00043944"/>
    <w:rsid w:val="000442FA"/>
    <w:rsid w:val="00045131"/>
    <w:rsid w:val="0004541D"/>
    <w:rsid w:val="000455C0"/>
    <w:rsid w:val="0004708E"/>
    <w:rsid w:val="00047349"/>
    <w:rsid w:val="00050C03"/>
    <w:rsid w:val="0005132A"/>
    <w:rsid w:val="00054A92"/>
    <w:rsid w:val="0005510A"/>
    <w:rsid w:val="00056419"/>
    <w:rsid w:val="000604DB"/>
    <w:rsid w:val="0006063C"/>
    <w:rsid w:val="0006197C"/>
    <w:rsid w:val="000630B7"/>
    <w:rsid w:val="00065E6C"/>
    <w:rsid w:val="000672B9"/>
    <w:rsid w:val="00070508"/>
    <w:rsid w:val="00070EA2"/>
    <w:rsid w:val="00071AFC"/>
    <w:rsid w:val="0007213E"/>
    <w:rsid w:val="0007278A"/>
    <w:rsid w:val="000731D2"/>
    <w:rsid w:val="0007376C"/>
    <w:rsid w:val="00073798"/>
    <w:rsid w:val="000738F8"/>
    <w:rsid w:val="00074962"/>
    <w:rsid w:val="00074B35"/>
    <w:rsid w:val="00074BFB"/>
    <w:rsid w:val="000750EF"/>
    <w:rsid w:val="000756DA"/>
    <w:rsid w:val="000766AC"/>
    <w:rsid w:val="00076AAC"/>
    <w:rsid w:val="00077D7E"/>
    <w:rsid w:val="00080993"/>
    <w:rsid w:val="00081229"/>
    <w:rsid w:val="00081DA6"/>
    <w:rsid w:val="00081FB9"/>
    <w:rsid w:val="00083E69"/>
    <w:rsid w:val="0008502A"/>
    <w:rsid w:val="000859FD"/>
    <w:rsid w:val="00085A8A"/>
    <w:rsid w:val="000904EE"/>
    <w:rsid w:val="00092ABE"/>
    <w:rsid w:val="00095330"/>
    <w:rsid w:val="00096171"/>
    <w:rsid w:val="00096E44"/>
    <w:rsid w:val="00097C61"/>
    <w:rsid w:val="000A04AD"/>
    <w:rsid w:val="000A0DA6"/>
    <w:rsid w:val="000A0ECD"/>
    <w:rsid w:val="000A27DA"/>
    <w:rsid w:val="000A3B55"/>
    <w:rsid w:val="000A4B61"/>
    <w:rsid w:val="000A4BDC"/>
    <w:rsid w:val="000A5FF5"/>
    <w:rsid w:val="000A79BF"/>
    <w:rsid w:val="000B087B"/>
    <w:rsid w:val="000B1D0E"/>
    <w:rsid w:val="000B26AD"/>
    <w:rsid w:val="000B31D2"/>
    <w:rsid w:val="000B388D"/>
    <w:rsid w:val="000B4288"/>
    <w:rsid w:val="000B4F3C"/>
    <w:rsid w:val="000B50A8"/>
    <w:rsid w:val="000B568F"/>
    <w:rsid w:val="000B5AAF"/>
    <w:rsid w:val="000B748E"/>
    <w:rsid w:val="000B753A"/>
    <w:rsid w:val="000B7D57"/>
    <w:rsid w:val="000C0569"/>
    <w:rsid w:val="000C0BF5"/>
    <w:rsid w:val="000C1595"/>
    <w:rsid w:val="000C2458"/>
    <w:rsid w:val="000C3176"/>
    <w:rsid w:val="000C5FB6"/>
    <w:rsid w:val="000C63BC"/>
    <w:rsid w:val="000D2D47"/>
    <w:rsid w:val="000D2F89"/>
    <w:rsid w:val="000D4CDF"/>
    <w:rsid w:val="000D74FD"/>
    <w:rsid w:val="000D7FE2"/>
    <w:rsid w:val="000E17DD"/>
    <w:rsid w:val="000E1B0D"/>
    <w:rsid w:val="000E1EA0"/>
    <w:rsid w:val="000E3E20"/>
    <w:rsid w:val="000E44A3"/>
    <w:rsid w:val="000E5AF2"/>
    <w:rsid w:val="000E5C78"/>
    <w:rsid w:val="000E6955"/>
    <w:rsid w:val="000E6F41"/>
    <w:rsid w:val="000E7026"/>
    <w:rsid w:val="000F01CD"/>
    <w:rsid w:val="000F0646"/>
    <w:rsid w:val="000F339C"/>
    <w:rsid w:val="000F4575"/>
    <w:rsid w:val="000F52F8"/>
    <w:rsid w:val="000F5855"/>
    <w:rsid w:val="000F7575"/>
    <w:rsid w:val="000F78E7"/>
    <w:rsid w:val="00100B81"/>
    <w:rsid w:val="00100BEA"/>
    <w:rsid w:val="00104152"/>
    <w:rsid w:val="00106681"/>
    <w:rsid w:val="00106769"/>
    <w:rsid w:val="001109E2"/>
    <w:rsid w:val="001120DD"/>
    <w:rsid w:val="00113B8D"/>
    <w:rsid w:val="00114E73"/>
    <w:rsid w:val="00117EF3"/>
    <w:rsid w:val="00120B1B"/>
    <w:rsid w:val="001210C8"/>
    <w:rsid w:val="00121DF0"/>
    <w:rsid w:val="00122835"/>
    <w:rsid w:val="00123842"/>
    <w:rsid w:val="00123F97"/>
    <w:rsid w:val="00124CE9"/>
    <w:rsid w:val="00127600"/>
    <w:rsid w:val="0012787C"/>
    <w:rsid w:val="00130411"/>
    <w:rsid w:val="00130FBF"/>
    <w:rsid w:val="0013302B"/>
    <w:rsid w:val="00133594"/>
    <w:rsid w:val="001337FC"/>
    <w:rsid w:val="001353C9"/>
    <w:rsid w:val="00135464"/>
    <w:rsid w:val="00135931"/>
    <w:rsid w:val="00137B56"/>
    <w:rsid w:val="00137F50"/>
    <w:rsid w:val="00137F8B"/>
    <w:rsid w:val="001404BA"/>
    <w:rsid w:val="00140890"/>
    <w:rsid w:val="0014147D"/>
    <w:rsid w:val="00143934"/>
    <w:rsid w:val="001445BC"/>
    <w:rsid w:val="0014461E"/>
    <w:rsid w:val="00145638"/>
    <w:rsid w:val="0014583F"/>
    <w:rsid w:val="00145A84"/>
    <w:rsid w:val="00145BAA"/>
    <w:rsid w:val="00146BE2"/>
    <w:rsid w:val="00146E50"/>
    <w:rsid w:val="001476F2"/>
    <w:rsid w:val="001478E7"/>
    <w:rsid w:val="0015074B"/>
    <w:rsid w:val="0015156C"/>
    <w:rsid w:val="0015316A"/>
    <w:rsid w:val="001534D5"/>
    <w:rsid w:val="001540FD"/>
    <w:rsid w:val="00154888"/>
    <w:rsid w:val="00154D66"/>
    <w:rsid w:val="00154DA9"/>
    <w:rsid w:val="00154EB1"/>
    <w:rsid w:val="00155BFC"/>
    <w:rsid w:val="0016089D"/>
    <w:rsid w:val="00160BA7"/>
    <w:rsid w:val="00161E49"/>
    <w:rsid w:val="00165099"/>
    <w:rsid w:val="00165426"/>
    <w:rsid w:val="00166067"/>
    <w:rsid w:val="00166382"/>
    <w:rsid w:val="001665D0"/>
    <w:rsid w:val="0016699B"/>
    <w:rsid w:val="001678F7"/>
    <w:rsid w:val="00170D6F"/>
    <w:rsid w:val="001712C5"/>
    <w:rsid w:val="0017218E"/>
    <w:rsid w:val="0017312D"/>
    <w:rsid w:val="001829F8"/>
    <w:rsid w:val="0018301E"/>
    <w:rsid w:val="00183DD7"/>
    <w:rsid w:val="001867BD"/>
    <w:rsid w:val="001867DA"/>
    <w:rsid w:val="00186A74"/>
    <w:rsid w:val="001877EF"/>
    <w:rsid w:val="00191A12"/>
    <w:rsid w:val="00192243"/>
    <w:rsid w:val="00192A71"/>
    <w:rsid w:val="00194A4B"/>
    <w:rsid w:val="001953A3"/>
    <w:rsid w:val="00195A6B"/>
    <w:rsid w:val="00195FA3"/>
    <w:rsid w:val="001A062A"/>
    <w:rsid w:val="001A0BDF"/>
    <w:rsid w:val="001A2016"/>
    <w:rsid w:val="001A2785"/>
    <w:rsid w:val="001A2AA3"/>
    <w:rsid w:val="001A4DB3"/>
    <w:rsid w:val="001A5482"/>
    <w:rsid w:val="001A56B1"/>
    <w:rsid w:val="001A5F02"/>
    <w:rsid w:val="001A7103"/>
    <w:rsid w:val="001B0F4A"/>
    <w:rsid w:val="001B1070"/>
    <w:rsid w:val="001B13C7"/>
    <w:rsid w:val="001B14C8"/>
    <w:rsid w:val="001B30BC"/>
    <w:rsid w:val="001B39B9"/>
    <w:rsid w:val="001B59A1"/>
    <w:rsid w:val="001B6878"/>
    <w:rsid w:val="001C0CD1"/>
    <w:rsid w:val="001C1114"/>
    <w:rsid w:val="001C215F"/>
    <w:rsid w:val="001C293F"/>
    <w:rsid w:val="001C2E80"/>
    <w:rsid w:val="001C3BC8"/>
    <w:rsid w:val="001C3EE6"/>
    <w:rsid w:val="001C4A5A"/>
    <w:rsid w:val="001C4DEB"/>
    <w:rsid w:val="001C4E14"/>
    <w:rsid w:val="001C65B4"/>
    <w:rsid w:val="001C7FAA"/>
    <w:rsid w:val="001D2629"/>
    <w:rsid w:val="001D5A20"/>
    <w:rsid w:val="001D6C10"/>
    <w:rsid w:val="001D70E8"/>
    <w:rsid w:val="001D7352"/>
    <w:rsid w:val="001E0569"/>
    <w:rsid w:val="001E1FE7"/>
    <w:rsid w:val="001E2560"/>
    <w:rsid w:val="001E2974"/>
    <w:rsid w:val="001E30F5"/>
    <w:rsid w:val="001E40EF"/>
    <w:rsid w:val="001E5545"/>
    <w:rsid w:val="001E5844"/>
    <w:rsid w:val="001E588A"/>
    <w:rsid w:val="001E5C20"/>
    <w:rsid w:val="001E688E"/>
    <w:rsid w:val="001F00FF"/>
    <w:rsid w:val="001F087B"/>
    <w:rsid w:val="001F16D1"/>
    <w:rsid w:val="001F187A"/>
    <w:rsid w:val="001F2FC5"/>
    <w:rsid w:val="001F32EB"/>
    <w:rsid w:val="001F3BEA"/>
    <w:rsid w:val="001F54ED"/>
    <w:rsid w:val="001F562E"/>
    <w:rsid w:val="001F5C06"/>
    <w:rsid w:val="001F5E7C"/>
    <w:rsid w:val="001F61DE"/>
    <w:rsid w:val="001F70B4"/>
    <w:rsid w:val="00200664"/>
    <w:rsid w:val="0020103A"/>
    <w:rsid w:val="00203981"/>
    <w:rsid w:val="00203BE0"/>
    <w:rsid w:val="0020400D"/>
    <w:rsid w:val="00204700"/>
    <w:rsid w:val="00204998"/>
    <w:rsid w:val="00204F8D"/>
    <w:rsid w:val="002059BC"/>
    <w:rsid w:val="00206CE9"/>
    <w:rsid w:val="00207E1C"/>
    <w:rsid w:val="0021026A"/>
    <w:rsid w:val="002103F8"/>
    <w:rsid w:val="002134B2"/>
    <w:rsid w:val="002138C3"/>
    <w:rsid w:val="0021570C"/>
    <w:rsid w:val="002169ED"/>
    <w:rsid w:val="0021755B"/>
    <w:rsid w:val="00217E66"/>
    <w:rsid w:val="00220AC9"/>
    <w:rsid w:val="00221D38"/>
    <w:rsid w:val="00222616"/>
    <w:rsid w:val="00222948"/>
    <w:rsid w:val="00222E37"/>
    <w:rsid w:val="00222F04"/>
    <w:rsid w:val="002238D8"/>
    <w:rsid w:val="0022584B"/>
    <w:rsid w:val="002274DC"/>
    <w:rsid w:val="00227B65"/>
    <w:rsid w:val="0023004C"/>
    <w:rsid w:val="00230E5B"/>
    <w:rsid w:val="00230FBB"/>
    <w:rsid w:val="00236CE1"/>
    <w:rsid w:val="002377FC"/>
    <w:rsid w:val="002402C7"/>
    <w:rsid w:val="00241E4B"/>
    <w:rsid w:val="002426E8"/>
    <w:rsid w:val="00244A46"/>
    <w:rsid w:val="00244C46"/>
    <w:rsid w:val="0024633A"/>
    <w:rsid w:val="002479F6"/>
    <w:rsid w:val="00250A72"/>
    <w:rsid w:val="00250BD1"/>
    <w:rsid w:val="0025367E"/>
    <w:rsid w:val="002546CA"/>
    <w:rsid w:val="0025470E"/>
    <w:rsid w:val="00255698"/>
    <w:rsid w:val="002559C3"/>
    <w:rsid w:val="002568B2"/>
    <w:rsid w:val="00257578"/>
    <w:rsid w:val="00257732"/>
    <w:rsid w:val="00257EE1"/>
    <w:rsid w:val="0026112F"/>
    <w:rsid w:val="00261573"/>
    <w:rsid w:val="002617A1"/>
    <w:rsid w:val="00261C2C"/>
    <w:rsid w:val="00262DC8"/>
    <w:rsid w:val="00262E18"/>
    <w:rsid w:val="00264CAE"/>
    <w:rsid w:val="002667C0"/>
    <w:rsid w:val="00266D43"/>
    <w:rsid w:val="0026715B"/>
    <w:rsid w:val="00267230"/>
    <w:rsid w:val="002700ED"/>
    <w:rsid w:val="00270D31"/>
    <w:rsid w:val="00271B57"/>
    <w:rsid w:val="00271ECA"/>
    <w:rsid w:val="002730D6"/>
    <w:rsid w:val="00273F55"/>
    <w:rsid w:val="002754EC"/>
    <w:rsid w:val="00276832"/>
    <w:rsid w:val="00276D7A"/>
    <w:rsid w:val="00277703"/>
    <w:rsid w:val="002777A4"/>
    <w:rsid w:val="00280413"/>
    <w:rsid w:val="00280C63"/>
    <w:rsid w:val="00282423"/>
    <w:rsid w:val="00282E9B"/>
    <w:rsid w:val="00291FEF"/>
    <w:rsid w:val="00293589"/>
    <w:rsid w:val="0029382A"/>
    <w:rsid w:val="0029639D"/>
    <w:rsid w:val="00296B81"/>
    <w:rsid w:val="002976D1"/>
    <w:rsid w:val="00297B19"/>
    <w:rsid w:val="002A2183"/>
    <w:rsid w:val="002A303C"/>
    <w:rsid w:val="002A46D1"/>
    <w:rsid w:val="002A7D21"/>
    <w:rsid w:val="002B0692"/>
    <w:rsid w:val="002B0B4A"/>
    <w:rsid w:val="002B1BDF"/>
    <w:rsid w:val="002B2D75"/>
    <w:rsid w:val="002B3FAD"/>
    <w:rsid w:val="002B6117"/>
    <w:rsid w:val="002B6F4D"/>
    <w:rsid w:val="002B7340"/>
    <w:rsid w:val="002C0FA2"/>
    <w:rsid w:val="002C1728"/>
    <w:rsid w:val="002C28A1"/>
    <w:rsid w:val="002C293C"/>
    <w:rsid w:val="002C2F04"/>
    <w:rsid w:val="002C4372"/>
    <w:rsid w:val="002C5560"/>
    <w:rsid w:val="002C5BA4"/>
    <w:rsid w:val="002C7645"/>
    <w:rsid w:val="002C78EF"/>
    <w:rsid w:val="002D0D5E"/>
    <w:rsid w:val="002D0FB1"/>
    <w:rsid w:val="002D238E"/>
    <w:rsid w:val="002D2A3B"/>
    <w:rsid w:val="002D4BB8"/>
    <w:rsid w:val="002D5A49"/>
    <w:rsid w:val="002D630D"/>
    <w:rsid w:val="002E2AF9"/>
    <w:rsid w:val="002E2FAA"/>
    <w:rsid w:val="002E30A3"/>
    <w:rsid w:val="002E4E73"/>
    <w:rsid w:val="002E5BB2"/>
    <w:rsid w:val="002F014B"/>
    <w:rsid w:val="002F021A"/>
    <w:rsid w:val="002F1467"/>
    <w:rsid w:val="002F20D7"/>
    <w:rsid w:val="002F2979"/>
    <w:rsid w:val="002F2BC9"/>
    <w:rsid w:val="002F3D15"/>
    <w:rsid w:val="002F3D82"/>
    <w:rsid w:val="002F4142"/>
    <w:rsid w:val="002F47D3"/>
    <w:rsid w:val="002F573F"/>
    <w:rsid w:val="002F6051"/>
    <w:rsid w:val="002F7E48"/>
    <w:rsid w:val="00300EE5"/>
    <w:rsid w:val="00303296"/>
    <w:rsid w:val="003037EB"/>
    <w:rsid w:val="003100C3"/>
    <w:rsid w:val="00311235"/>
    <w:rsid w:val="0031250C"/>
    <w:rsid w:val="00313A47"/>
    <w:rsid w:val="003141D1"/>
    <w:rsid w:val="003151AA"/>
    <w:rsid w:val="0031662A"/>
    <w:rsid w:val="00316798"/>
    <w:rsid w:val="00316CFF"/>
    <w:rsid w:val="00317114"/>
    <w:rsid w:val="00317478"/>
    <w:rsid w:val="00320AA8"/>
    <w:rsid w:val="00320FB4"/>
    <w:rsid w:val="00321593"/>
    <w:rsid w:val="003217C5"/>
    <w:rsid w:val="003222CA"/>
    <w:rsid w:val="003223DD"/>
    <w:rsid w:val="00324DA5"/>
    <w:rsid w:val="00326F90"/>
    <w:rsid w:val="003305C4"/>
    <w:rsid w:val="00330920"/>
    <w:rsid w:val="00330936"/>
    <w:rsid w:val="003311E0"/>
    <w:rsid w:val="00331E34"/>
    <w:rsid w:val="00331F33"/>
    <w:rsid w:val="00332692"/>
    <w:rsid w:val="003335E7"/>
    <w:rsid w:val="00333CD9"/>
    <w:rsid w:val="00334AE9"/>
    <w:rsid w:val="00334EEE"/>
    <w:rsid w:val="00336A58"/>
    <w:rsid w:val="00337E23"/>
    <w:rsid w:val="00341A38"/>
    <w:rsid w:val="00342736"/>
    <w:rsid w:val="00342B6A"/>
    <w:rsid w:val="00344E2F"/>
    <w:rsid w:val="00345BF8"/>
    <w:rsid w:val="003460FD"/>
    <w:rsid w:val="003468EC"/>
    <w:rsid w:val="003506BD"/>
    <w:rsid w:val="00350AFB"/>
    <w:rsid w:val="0035180C"/>
    <w:rsid w:val="00352B6A"/>
    <w:rsid w:val="003546D8"/>
    <w:rsid w:val="00354A92"/>
    <w:rsid w:val="00355156"/>
    <w:rsid w:val="00355CC5"/>
    <w:rsid w:val="00356565"/>
    <w:rsid w:val="00356AB9"/>
    <w:rsid w:val="00360CB7"/>
    <w:rsid w:val="00362CA5"/>
    <w:rsid w:val="00362CE7"/>
    <w:rsid w:val="0036312B"/>
    <w:rsid w:val="00363546"/>
    <w:rsid w:val="0036354A"/>
    <w:rsid w:val="00363E7F"/>
    <w:rsid w:val="00364990"/>
    <w:rsid w:val="00365734"/>
    <w:rsid w:val="00365808"/>
    <w:rsid w:val="003664F5"/>
    <w:rsid w:val="003666DD"/>
    <w:rsid w:val="003705EF"/>
    <w:rsid w:val="00370ADF"/>
    <w:rsid w:val="0037109F"/>
    <w:rsid w:val="00371471"/>
    <w:rsid w:val="00371EB0"/>
    <w:rsid w:val="003720D5"/>
    <w:rsid w:val="0037226C"/>
    <w:rsid w:val="00376669"/>
    <w:rsid w:val="0037688C"/>
    <w:rsid w:val="00376A12"/>
    <w:rsid w:val="00376E38"/>
    <w:rsid w:val="00376EFF"/>
    <w:rsid w:val="003810C9"/>
    <w:rsid w:val="00382283"/>
    <w:rsid w:val="00382556"/>
    <w:rsid w:val="00382D66"/>
    <w:rsid w:val="00383928"/>
    <w:rsid w:val="00383E4D"/>
    <w:rsid w:val="00385A7F"/>
    <w:rsid w:val="00385BB3"/>
    <w:rsid w:val="00386493"/>
    <w:rsid w:val="003865F5"/>
    <w:rsid w:val="00386734"/>
    <w:rsid w:val="003868AE"/>
    <w:rsid w:val="00386E9F"/>
    <w:rsid w:val="003909FF"/>
    <w:rsid w:val="00391610"/>
    <w:rsid w:val="0039264A"/>
    <w:rsid w:val="0039374E"/>
    <w:rsid w:val="00393C3F"/>
    <w:rsid w:val="003942B8"/>
    <w:rsid w:val="00394934"/>
    <w:rsid w:val="0039576E"/>
    <w:rsid w:val="003957AE"/>
    <w:rsid w:val="0039611D"/>
    <w:rsid w:val="0039665B"/>
    <w:rsid w:val="00397671"/>
    <w:rsid w:val="003A0121"/>
    <w:rsid w:val="003A2A16"/>
    <w:rsid w:val="003A33A4"/>
    <w:rsid w:val="003A3507"/>
    <w:rsid w:val="003A3C5F"/>
    <w:rsid w:val="003A55B6"/>
    <w:rsid w:val="003A5AA0"/>
    <w:rsid w:val="003A6D4F"/>
    <w:rsid w:val="003B0BEA"/>
    <w:rsid w:val="003B2DDD"/>
    <w:rsid w:val="003B2E6F"/>
    <w:rsid w:val="003B5732"/>
    <w:rsid w:val="003B66C2"/>
    <w:rsid w:val="003C1C4E"/>
    <w:rsid w:val="003C213C"/>
    <w:rsid w:val="003C34CE"/>
    <w:rsid w:val="003C3BD1"/>
    <w:rsid w:val="003C4133"/>
    <w:rsid w:val="003C5C9F"/>
    <w:rsid w:val="003C5D25"/>
    <w:rsid w:val="003C6022"/>
    <w:rsid w:val="003C63E1"/>
    <w:rsid w:val="003C70AB"/>
    <w:rsid w:val="003D089E"/>
    <w:rsid w:val="003D1EB8"/>
    <w:rsid w:val="003D20BE"/>
    <w:rsid w:val="003D261E"/>
    <w:rsid w:val="003D2A99"/>
    <w:rsid w:val="003D2C1C"/>
    <w:rsid w:val="003D37FF"/>
    <w:rsid w:val="003D383E"/>
    <w:rsid w:val="003D684A"/>
    <w:rsid w:val="003D7624"/>
    <w:rsid w:val="003E0DE9"/>
    <w:rsid w:val="003E2A8F"/>
    <w:rsid w:val="003E45FA"/>
    <w:rsid w:val="003E4F16"/>
    <w:rsid w:val="003E53CF"/>
    <w:rsid w:val="003E58AA"/>
    <w:rsid w:val="003E5EB7"/>
    <w:rsid w:val="003E69BC"/>
    <w:rsid w:val="003E6A1A"/>
    <w:rsid w:val="003E6D03"/>
    <w:rsid w:val="003F263B"/>
    <w:rsid w:val="003F292F"/>
    <w:rsid w:val="003F4603"/>
    <w:rsid w:val="003F5DB6"/>
    <w:rsid w:val="003F6494"/>
    <w:rsid w:val="003F64D0"/>
    <w:rsid w:val="004003C7"/>
    <w:rsid w:val="00400574"/>
    <w:rsid w:val="004006A4"/>
    <w:rsid w:val="00400FF8"/>
    <w:rsid w:val="004024A7"/>
    <w:rsid w:val="00407F40"/>
    <w:rsid w:val="0041037F"/>
    <w:rsid w:val="00412ABF"/>
    <w:rsid w:val="00412D88"/>
    <w:rsid w:val="0041394E"/>
    <w:rsid w:val="00415876"/>
    <w:rsid w:val="00420483"/>
    <w:rsid w:val="00421271"/>
    <w:rsid w:val="00421A18"/>
    <w:rsid w:val="00421B66"/>
    <w:rsid w:val="00421B83"/>
    <w:rsid w:val="0042380E"/>
    <w:rsid w:val="00424005"/>
    <w:rsid w:val="00425722"/>
    <w:rsid w:val="00425B29"/>
    <w:rsid w:val="00426AA2"/>
    <w:rsid w:val="00426ADE"/>
    <w:rsid w:val="0042710A"/>
    <w:rsid w:val="0043137C"/>
    <w:rsid w:val="00432D86"/>
    <w:rsid w:val="00440621"/>
    <w:rsid w:val="00440A4F"/>
    <w:rsid w:val="0044144A"/>
    <w:rsid w:val="00441B62"/>
    <w:rsid w:val="00442201"/>
    <w:rsid w:val="0044342A"/>
    <w:rsid w:val="00444E49"/>
    <w:rsid w:val="004463E8"/>
    <w:rsid w:val="004506D9"/>
    <w:rsid w:val="004515D0"/>
    <w:rsid w:val="00452328"/>
    <w:rsid w:val="004533AE"/>
    <w:rsid w:val="0045377F"/>
    <w:rsid w:val="00456C02"/>
    <w:rsid w:val="004579E5"/>
    <w:rsid w:val="00457B91"/>
    <w:rsid w:val="00457BA5"/>
    <w:rsid w:val="0046034D"/>
    <w:rsid w:val="004612F2"/>
    <w:rsid w:val="00461BF7"/>
    <w:rsid w:val="00462FF0"/>
    <w:rsid w:val="0046325B"/>
    <w:rsid w:val="00463A39"/>
    <w:rsid w:val="00465E91"/>
    <w:rsid w:val="0046696A"/>
    <w:rsid w:val="00466978"/>
    <w:rsid w:val="00466F9B"/>
    <w:rsid w:val="00470FE1"/>
    <w:rsid w:val="00473126"/>
    <w:rsid w:val="004734D9"/>
    <w:rsid w:val="00473A8C"/>
    <w:rsid w:val="00473DC7"/>
    <w:rsid w:val="00474AC5"/>
    <w:rsid w:val="004752CD"/>
    <w:rsid w:val="0047578A"/>
    <w:rsid w:val="00476187"/>
    <w:rsid w:val="0047689F"/>
    <w:rsid w:val="00476E1B"/>
    <w:rsid w:val="004779F0"/>
    <w:rsid w:val="004804AA"/>
    <w:rsid w:val="00480984"/>
    <w:rsid w:val="00480F9F"/>
    <w:rsid w:val="00480FF4"/>
    <w:rsid w:val="00482E9F"/>
    <w:rsid w:val="004833AA"/>
    <w:rsid w:val="00486368"/>
    <w:rsid w:val="00486691"/>
    <w:rsid w:val="00486B66"/>
    <w:rsid w:val="00486CC8"/>
    <w:rsid w:val="00486E9B"/>
    <w:rsid w:val="00490C94"/>
    <w:rsid w:val="00492B6E"/>
    <w:rsid w:val="00492C87"/>
    <w:rsid w:val="00493214"/>
    <w:rsid w:val="00495334"/>
    <w:rsid w:val="004962E4"/>
    <w:rsid w:val="0049652A"/>
    <w:rsid w:val="0049784F"/>
    <w:rsid w:val="004A17CB"/>
    <w:rsid w:val="004A34A7"/>
    <w:rsid w:val="004A4A0C"/>
    <w:rsid w:val="004A4D60"/>
    <w:rsid w:val="004A60B9"/>
    <w:rsid w:val="004A641B"/>
    <w:rsid w:val="004A6C25"/>
    <w:rsid w:val="004A7BEE"/>
    <w:rsid w:val="004B13AC"/>
    <w:rsid w:val="004B1F29"/>
    <w:rsid w:val="004B3397"/>
    <w:rsid w:val="004B36FC"/>
    <w:rsid w:val="004B540E"/>
    <w:rsid w:val="004B597C"/>
    <w:rsid w:val="004B59B1"/>
    <w:rsid w:val="004B7AA6"/>
    <w:rsid w:val="004C1B23"/>
    <w:rsid w:val="004C284D"/>
    <w:rsid w:val="004C3AC7"/>
    <w:rsid w:val="004C44E5"/>
    <w:rsid w:val="004C4A90"/>
    <w:rsid w:val="004C6306"/>
    <w:rsid w:val="004C7434"/>
    <w:rsid w:val="004C745E"/>
    <w:rsid w:val="004D009D"/>
    <w:rsid w:val="004D113F"/>
    <w:rsid w:val="004D134C"/>
    <w:rsid w:val="004D1479"/>
    <w:rsid w:val="004D14C9"/>
    <w:rsid w:val="004D1670"/>
    <w:rsid w:val="004D2588"/>
    <w:rsid w:val="004D33D8"/>
    <w:rsid w:val="004D4EC6"/>
    <w:rsid w:val="004D76A7"/>
    <w:rsid w:val="004E0F09"/>
    <w:rsid w:val="004E3AE8"/>
    <w:rsid w:val="004E6E35"/>
    <w:rsid w:val="004E727A"/>
    <w:rsid w:val="004E74C1"/>
    <w:rsid w:val="004E7560"/>
    <w:rsid w:val="004E7F23"/>
    <w:rsid w:val="004F004B"/>
    <w:rsid w:val="004F06B5"/>
    <w:rsid w:val="004F25A5"/>
    <w:rsid w:val="004F2DE8"/>
    <w:rsid w:val="004F2EB0"/>
    <w:rsid w:val="004F35C6"/>
    <w:rsid w:val="004F4A09"/>
    <w:rsid w:val="004F577D"/>
    <w:rsid w:val="004F59C6"/>
    <w:rsid w:val="004F64E7"/>
    <w:rsid w:val="004F699E"/>
    <w:rsid w:val="005007C9"/>
    <w:rsid w:val="00501368"/>
    <w:rsid w:val="005018BF"/>
    <w:rsid w:val="00503639"/>
    <w:rsid w:val="00503A5B"/>
    <w:rsid w:val="00503FEE"/>
    <w:rsid w:val="00505210"/>
    <w:rsid w:val="00506992"/>
    <w:rsid w:val="0050710C"/>
    <w:rsid w:val="005103FE"/>
    <w:rsid w:val="005118C9"/>
    <w:rsid w:val="005135D8"/>
    <w:rsid w:val="00513974"/>
    <w:rsid w:val="0051402E"/>
    <w:rsid w:val="00514061"/>
    <w:rsid w:val="005162A4"/>
    <w:rsid w:val="005163CB"/>
    <w:rsid w:val="0051766E"/>
    <w:rsid w:val="0051797E"/>
    <w:rsid w:val="005201C9"/>
    <w:rsid w:val="005220A8"/>
    <w:rsid w:val="0052220F"/>
    <w:rsid w:val="00525C81"/>
    <w:rsid w:val="0053053D"/>
    <w:rsid w:val="0053057A"/>
    <w:rsid w:val="00531B56"/>
    <w:rsid w:val="0053273F"/>
    <w:rsid w:val="00534D91"/>
    <w:rsid w:val="005354E8"/>
    <w:rsid w:val="005359B9"/>
    <w:rsid w:val="00536D2F"/>
    <w:rsid w:val="005408FF"/>
    <w:rsid w:val="00540EB1"/>
    <w:rsid w:val="00541956"/>
    <w:rsid w:val="00542BCC"/>
    <w:rsid w:val="00542CE3"/>
    <w:rsid w:val="0054357E"/>
    <w:rsid w:val="00543A80"/>
    <w:rsid w:val="0054429F"/>
    <w:rsid w:val="005442DF"/>
    <w:rsid w:val="0054472D"/>
    <w:rsid w:val="005450D8"/>
    <w:rsid w:val="00546A22"/>
    <w:rsid w:val="00547841"/>
    <w:rsid w:val="005506FE"/>
    <w:rsid w:val="005510F1"/>
    <w:rsid w:val="005529D3"/>
    <w:rsid w:val="00552F80"/>
    <w:rsid w:val="005539DE"/>
    <w:rsid w:val="0055437D"/>
    <w:rsid w:val="005547E2"/>
    <w:rsid w:val="00556F29"/>
    <w:rsid w:val="0056069A"/>
    <w:rsid w:val="005615B4"/>
    <w:rsid w:val="0056370A"/>
    <w:rsid w:val="0056441F"/>
    <w:rsid w:val="00564E3F"/>
    <w:rsid w:val="00565E76"/>
    <w:rsid w:val="00566AB2"/>
    <w:rsid w:val="0056753B"/>
    <w:rsid w:val="00567B52"/>
    <w:rsid w:val="00567C32"/>
    <w:rsid w:val="00570678"/>
    <w:rsid w:val="00570A1E"/>
    <w:rsid w:val="0057140D"/>
    <w:rsid w:val="005736F9"/>
    <w:rsid w:val="00576506"/>
    <w:rsid w:val="00577C5E"/>
    <w:rsid w:val="00580151"/>
    <w:rsid w:val="005805A3"/>
    <w:rsid w:val="00580F31"/>
    <w:rsid w:val="00581A34"/>
    <w:rsid w:val="0058378D"/>
    <w:rsid w:val="00584B6C"/>
    <w:rsid w:val="00585C9E"/>
    <w:rsid w:val="00586128"/>
    <w:rsid w:val="00587238"/>
    <w:rsid w:val="0059076A"/>
    <w:rsid w:val="005908BD"/>
    <w:rsid w:val="00590968"/>
    <w:rsid w:val="00592A83"/>
    <w:rsid w:val="005931B0"/>
    <w:rsid w:val="00593CD9"/>
    <w:rsid w:val="005950B4"/>
    <w:rsid w:val="0059532C"/>
    <w:rsid w:val="005956AF"/>
    <w:rsid w:val="00595A59"/>
    <w:rsid w:val="005961ED"/>
    <w:rsid w:val="005976C3"/>
    <w:rsid w:val="005A147A"/>
    <w:rsid w:val="005A1CAE"/>
    <w:rsid w:val="005A39A3"/>
    <w:rsid w:val="005A3C45"/>
    <w:rsid w:val="005A6CD4"/>
    <w:rsid w:val="005A788C"/>
    <w:rsid w:val="005A7BF9"/>
    <w:rsid w:val="005B1C6A"/>
    <w:rsid w:val="005B3AA7"/>
    <w:rsid w:val="005B468A"/>
    <w:rsid w:val="005B48F1"/>
    <w:rsid w:val="005B4EF3"/>
    <w:rsid w:val="005B5DE9"/>
    <w:rsid w:val="005B637D"/>
    <w:rsid w:val="005C0BC2"/>
    <w:rsid w:val="005C3E88"/>
    <w:rsid w:val="005C400D"/>
    <w:rsid w:val="005C43A3"/>
    <w:rsid w:val="005C46E4"/>
    <w:rsid w:val="005C6ACC"/>
    <w:rsid w:val="005C722E"/>
    <w:rsid w:val="005C747E"/>
    <w:rsid w:val="005D02F4"/>
    <w:rsid w:val="005D0F54"/>
    <w:rsid w:val="005D49C3"/>
    <w:rsid w:val="005D4CDB"/>
    <w:rsid w:val="005D68FD"/>
    <w:rsid w:val="005D7460"/>
    <w:rsid w:val="005D79D1"/>
    <w:rsid w:val="005E04D0"/>
    <w:rsid w:val="005E1250"/>
    <w:rsid w:val="005E14CA"/>
    <w:rsid w:val="005E29B7"/>
    <w:rsid w:val="005E5D44"/>
    <w:rsid w:val="005E6D19"/>
    <w:rsid w:val="005F0C07"/>
    <w:rsid w:val="005F3EE7"/>
    <w:rsid w:val="005F409D"/>
    <w:rsid w:val="005F57DD"/>
    <w:rsid w:val="005F5CCC"/>
    <w:rsid w:val="005F64AB"/>
    <w:rsid w:val="005F6C3C"/>
    <w:rsid w:val="005F70FF"/>
    <w:rsid w:val="006024CA"/>
    <w:rsid w:val="00602530"/>
    <w:rsid w:val="00602B9A"/>
    <w:rsid w:val="00605215"/>
    <w:rsid w:val="006056C0"/>
    <w:rsid w:val="00605BE9"/>
    <w:rsid w:val="00606B74"/>
    <w:rsid w:val="00606D3B"/>
    <w:rsid w:val="006071AE"/>
    <w:rsid w:val="006075DA"/>
    <w:rsid w:val="00607769"/>
    <w:rsid w:val="006104D9"/>
    <w:rsid w:val="00611D36"/>
    <w:rsid w:val="00611F0D"/>
    <w:rsid w:val="00613AA4"/>
    <w:rsid w:val="00616B59"/>
    <w:rsid w:val="0061751F"/>
    <w:rsid w:val="006179B6"/>
    <w:rsid w:val="006203CA"/>
    <w:rsid w:val="00620469"/>
    <w:rsid w:val="006219DC"/>
    <w:rsid w:val="00622EAC"/>
    <w:rsid w:val="00623304"/>
    <w:rsid w:val="006241AD"/>
    <w:rsid w:val="006247EB"/>
    <w:rsid w:val="00624EDE"/>
    <w:rsid w:val="00625B47"/>
    <w:rsid w:val="00626D4A"/>
    <w:rsid w:val="00626FEC"/>
    <w:rsid w:val="0062716D"/>
    <w:rsid w:val="006272C2"/>
    <w:rsid w:val="006274F4"/>
    <w:rsid w:val="00627CA3"/>
    <w:rsid w:val="00627E3F"/>
    <w:rsid w:val="0063026A"/>
    <w:rsid w:val="00630399"/>
    <w:rsid w:val="00634347"/>
    <w:rsid w:val="00635A75"/>
    <w:rsid w:val="00635AFA"/>
    <w:rsid w:val="006369ED"/>
    <w:rsid w:val="00636A6D"/>
    <w:rsid w:val="00636D30"/>
    <w:rsid w:val="00640150"/>
    <w:rsid w:val="00640BF5"/>
    <w:rsid w:val="0064165E"/>
    <w:rsid w:val="0064230F"/>
    <w:rsid w:val="00642941"/>
    <w:rsid w:val="00642D56"/>
    <w:rsid w:val="0064342E"/>
    <w:rsid w:val="00644A99"/>
    <w:rsid w:val="00644B00"/>
    <w:rsid w:val="00646935"/>
    <w:rsid w:val="00650BF4"/>
    <w:rsid w:val="00651726"/>
    <w:rsid w:val="00656A11"/>
    <w:rsid w:val="00656EEC"/>
    <w:rsid w:val="006574E3"/>
    <w:rsid w:val="006621E7"/>
    <w:rsid w:val="00663E84"/>
    <w:rsid w:val="00664AAF"/>
    <w:rsid w:val="00665B32"/>
    <w:rsid w:val="00665BDE"/>
    <w:rsid w:val="006661F0"/>
    <w:rsid w:val="006663F3"/>
    <w:rsid w:val="00666B25"/>
    <w:rsid w:val="006676E1"/>
    <w:rsid w:val="00667F5B"/>
    <w:rsid w:val="00670530"/>
    <w:rsid w:val="00671530"/>
    <w:rsid w:val="00671C39"/>
    <w:rsid w:val="00671C80"/>
    <w:rsid w:val="00672012"/>
    <w:rsid w:val="00672B12"/>
    <w:rsid w:val="0067394A"/>
    <w:rsid w:val="00673FFE"/>
    <w:rsid w:val="00674691"/>
    <w:rsid w:val="00674B38"/>
    <w:rsid w:val="006767B2"/>
    <w:rsid w:val="00676B49"/>
    <w:rsid w:val="00677090"/>
    <w:rsid w:val="006778B1"/>
    <w:rsid w:val="006812CA"/>
    <w:rsid w:val="006813D4"/>
    <w:rsid w:val="006818C5"/>
    <w:rsid w:val="00682AB3"/>
    <w:rsid w:val="0068579E"/>
    <w:rsid w:val="00685974"/>
    <w:rsid w:val="006879D0"/>
    <w:rsid w:val="00687CAD"/>
    <w:rsid w:val="00687FEF"/>
    <w:rsid w:val="00691F4F"/>
    <w:rsid w:val="00692310"/>
    <w:rsid w:val="006929CB"/>
    <w:rsid w:val="00692AEC"/>
    <w:rsid w:val="006931B6"/>
    <w:rsid w:val="00693CAA"/>
    <w:rsid w:val="006A4273"/>
    <w:rsid w:val="006A5B36"/>
    <w:rsid w:val="006A6CEE"/>
    <w:rsid w:val="006A78C4"/>
    <w:rsid w:val="006B221A"/>
    <w:rsid w:val="006B223D"/>
    <w:rsid w:val="006B420C"/>
    <w:rsid w:val="006B4478"/>
    <w:rsid w:val="006B5470"/>
    <w:rsid w:val="006B5A8B"/>
    <w:rsid w:val="006B5C69"/>
    <w:rsid w:val="006B5DE3"/>
    <w:rsid w:val="006B6273"/>
    <w:rsid w:val="006B7A8B"/>
    <w:rsid w:val="006C0CD7"/>
    <w:rsid w:val="006C152F"/>
    <w:rsid w:val="006C197C"/>
    <w:rsid w:val="006C20C7"/>
    <w:rsid w:val="006C2E33"/>
    <w:rsid w:val="006C2F14"/>
    <w:rsid w:val="006C43D5"/>
    <w:rsid w:val="006C45A5"/>
    <w:rsid w:val="006C45D4"/>
    <w:rsid w:val="006C508F"/>
    <w:rsid w:val="006C568A"/>
    <w:rsid w:val="006C68A9"/>
    <w:rsid w:val="006C6E2C"/>
    <w:rsid w:val="006C6ED5"/>
    <w:rsid w:val="006D06C5"/>
    <w:rsid w:val="006D0DAE"/>
    <w:rsid w:val="006D166B"/>
    <w:rsid w:val="006D1671"/>
    <w:rsid w:val="006D2314"/>
    <w:rsid w:val="006D247E"/>
    <w:rsid w:val="006D2922"/>
    <w:rsid w:val="006D34BB"/>
    <w:rsid w:val="006D3686"/>
    <w:rsid w:val="006D4EF0"/>
    <w:rsid w:val="006D50D5"/>
    <w:rsid w:val="006D5FA2"/>
    <w:rsid w:val="006D7612"/>
    <w:rsid w:val="006E2AFC"/>
    <w:rsid w:val="006E2CA0"/>
    <w:rsid w:val="006E328A"/>
    <w:rsid w:val="006E366B"/>
    <w:rsid w:val="006E4362"/>
    <w:rsid w:val="006E5073"/>
    <w:rsid w:val="006E6C4D"/>
    <w:rsid w:val="006E73A8"/>
    <w:rsid w:val="006F1DED"/>
    <w:rsid w:val="006F2055"/>
    <w:rsid w:val="006F27D7"/>
    <w:rsid w:val="006F29A6"/>
    <w:rsid w:val="006F36E0"/>
    <w:rsid w:val="006F3EC4"/>
    <w:rsid w:val="006F54CF"/>
    <w:rsid w:val="006F63AF"/>
    <w:rsid w:val="006F6E29"/>
    <w:rsid w:val="006F6EF3"/>
    <w:rsid w:val="0070077E"/>
    <w:rsid w:val="00702D72"/>
    <w:rsid w:val="007036E2"/>
    <w:rsid w:val="0070438F"/>
    <w:rsid w:val="00704B44"/>
    <w:rsid w:val="00704E7B"/>
    <w:rsid w:val="00705470"/>
    <w:rsid w:val="00705641"/>
    <w:rsid w:val="00706A9B"/>
    <w:rsid w:val="0071026D"/>
    <w:rsid w:val="00711932"/>
    <w:rsid w:val="00711B4E"/>
    <w:rsid w:val="00712DB9"/>
    <w:rsid w:val="00714A2D"/>
    <w:rsid w:val="00715E92"/>
    <w:rsid w:val="00716585"/>
    <w:rsid w:val="007176CA"/>
    <w:rsid w:val="00717E1A"/>
    <w:rsid w:val="00721E2E"/>
    <w:rsid w:val="007224EE"/>
    <w:rsid w:val="00723F2A"/>
    <w:rsid w:val="00724EF6"/>
    <w:rsid w:val="00724EF8"/>
    <w:rsid w:val="00727604"/>
    <w:rsid w:val="007276F4"/>
    <w:rsid w:val="007303CE"/>
    <w:rsid w:val="007346B3"/>
    <w:rsid w:val="00735E6D"/>
    <w:rsid w:val="00737134"/>
    <w:rsid w:val="0074217B"/>
    <w:rsid w:val="00742319"/>
    <w:rsid w:val="00743F54"/>
    <w:rsid w:val="00744224"/>
    <w:rsid w:val="00746C7C"/>
    <w:rsid w:val="00746DEC"/>
    <w:rsid w:val="00750E18"/>
    <w:rsid w:val="0075269D"/>
    <w:rsid w:val="00752C23"/>
    <w:rsid w:val="00755242"/>
    <w:rsid w:val="00755EE2"/>
    <w:rsid w:val="007568F4"/>
    <w:rsid w:val="00756E17"/>
    <w:rsid w:val="007576A7"/>
    <w:rsid w:val="00761A5B"/>
    <w:rsid w:val="00761E6E"/>
    <w:rsid w:val="00762114"/>
    <w:rsid w:val="0076231F"/>
    <w:rsid w:val="00762327"/>
    <w:rsid w:val="00763166"/>
    <w:rsid w:val="00763178"/>
    <w:rsid w:val="00763842"/>
    <w:rsid w:val="00764A4C"/>
    <w:rsid w:val="00770438"/>
    <w:rsid w:val="00771F73"/>
    <w:rsid w:val="00772528"/>
    <w:rsid w:val="007727DD"/>
    <w:rsid w:val="00772E44"/>
    <w:rsid w:val="00773352"/>
    <w:rsid w:val="00773AE4"/>
    <w:rsid w:val="00773B09"/>
    <w:rsid w:val="007757DE"/>
    <w:rsid w:val="00777CD3"/>
    <w:rsid w:val="007810A6"/>
    <w:rsid w:val="007813F1"/>
    <w:rsid w:val="0078303E"/>
    <w:rsid w:val="00783507"/>
    <w:rsid w:val="00783AAF"/>
    <w:rsid w:val="00784E1F"/>
    <w:rsid w:val="00785555"/>
    <w:rsid w:val="00787B49"/>
    <w:rsid w:val="00787B8F"/>
    <w:rsid w:val="00787C16"/>
    <w:rsid w:val="0079494A"/>
    <w:rsid w:val="00794B5C"/>
    <w:rsid w:val="0079517F"/>
    <w:rsid w:val="007953B1"/>
    <w:rsid w:val="007953CB"/>
    <w:rsid w:val="00795931"/>
    <w:rsid w:val="007A05EE"/>
    <w:rsid w:val="007A0D11"/>
    <w:rsid w:val="007A214F"/>
    <w:rsid w:val="007A30F5"/>
    <w:rsid w:val="007A3259"/>
    <w:rsid w:val="007A5397"/>
    <w:rsid w:val="007B1C1B"/>
    <w:rsid w:val="007B1CD9"/>
    <w:rsid w:val="007B2CE6"/>
    <w:rsid w:val="007B45F7"/>
    <w:rsid w:val="007B55B3"/>
    <w:rsid w:val="007B6C2E"/>
    <w:rsid w:val="007C09BA"/>
    <w:rsid w:val="007C0D54"/>
    <w:rsid w:val="007C161C"/>
    <w:rsid w:val="007C283C"/>
    <w:rsid w:val="007C2FC8"/>
    <w:rsid w:val="007C35DC"/>
    <w:rsid w:val="007C3649"/>
    <w:rsid w:val="007C3F79"/>
    <w:rsid w:val="007C413E"/>
    <w:rsid w:val="007C44A5"/>
    <w:rsid w:val="007C5B7F"/>
    <w:rsid w:val="007C68CB"/>
    <w:rsid w:val="007D08CC"/>
    <w:rsid w:val="007D0B91"/>
    <w:rsid w:val="007D0DC3"/>
    <w:rsid w:val="007D1D1E"/>
    <w:rsid w:val="007D2E3C"/>
    <w:rsid w:val="007D6047"/>
    <w:rsid w:val="007D6712"/>
    <w:rsid w:val="007D6927"/>
    <w:rsid w:val="007D73CB"/>
    <w:rsid w:val="007E00FC"/>
    <w:rsid w:val="007E0452"/>
    <w:rsid w:val="007E1A45"/>
    <w:rsid w:val="007E2B1D"/>
    <w:rsid w:val="007E4B62"/>
    <w:rsid w:val="007E4DCE"/>
    <w:rsid w:val="007E6401"/>
    <w:rsid w:val="007E6CB7"/>
    <w:rsid w:val="007E7690"/>
    <w:rsid w:val="007F2D4A"/>
    <w:rsid w:val="007F32E2"/>
    <w:rsid w:val="007F6E91"/>
    <w:rsid w:val="007F7433"/>
    <w:rsid w:val="007F79E9"/>
    <w:rsid w:val="008015E0"/>
    <w:rsid w:val="00801AEE"/>
    <w:rsid w:val="00801B5F"/>
    <w:rsid w:val="00802855"/>
    <w:rsid w:val="00805178"/>
    <w:rsid w:val="0080626A"/>
    <w:rsid w:val="0080670C"/>
    <w:rsid w:val="00806F55"/>
    <w:rsid w:val="00807151"/>
    <w:rsid w:val="0080742B"/>
    <w:rsid w:val="0080753D"/>
    <w:rsid w:val="008077DC"/>
    <w:rsid w:val="008079B3"/>
    <w:rsid w:val="00807A7F"/>
    <w:rsid w:val="0081020E"/>
    <w:rsid w:val="008103E4"/>
    <w:rsid w:val="00810905"/>
    <w:rsid w:val="00811437"/>
    <w:rsid w:val="0081173D"/>
    <w:rsid w:val="00811B10"/>
    <w:rsid w:val="008146B6"/>
    <w:rsid w:val="00814C83"/>
    <w:rsid w:val="00817569"/>
    <w:rsid w:val="00817B64"/>
    <w:rsid w:val="00821EA9"/>
    <w:rsid w:val="00822EC7"/>
    <w:rsid w:val="008230D9"/>
    <w:rsid w:val="00824E72"/>
    <w:rsid w:val="008300FF"/>
    <w:rsid w:val="00830AB6"/>
    <w:rsid w:val="00831DDF"/>
    <w:rsid w:val="00831F03"/>
    <w:rsid w:val="00832175"/>
    <w:rsid w:val="00832C6B"/>
    <w:rsid w:val="00833F2C"/>
    <w:rsid w:val="00834383"/>
    <w:rsid w:val="00835126"/>
    <w:rsid w:val="008404FC"/>
    <w:rsid w:val="008423A3"/>
    <w:rsid w:val="00842FD7"/>
    <w:rsid w:val="00843582"/>
    <w:rsid w:val="00844FC4"/>
    <w:rsid w:val="008458DF"/>
    <w:rsid w:val="00845B20"/>
    <w:rsid w:val="00845EFB"/>
    <w:rsid w:val="00845F7D"/>
    <w:rsid w:val="008478FA"/>
    <w:rsid w:val="008501A8"/>
    <w:rsid w:val="008502C5"/>
    <w:rsid w:val="00850A42"/>
    <w:rsid w:val="008540DC"/>
    <w:rsid w:val="00855713"/>
    <w:rsid w:val="008560F7"/>
    <w:rsid w:val="008605D5"/>
    <w:rsid w:val="00860659"/>
    <w:rsid w:val="00860731"/>
    <w:rsid w:val="00863066"/>
    <w:rsid w:val="00864757"/>
    <w:rsid w:val="00864D5B"/>
    <w:rsid w:val="00864E1A"/>
    <w:rsid w:val="00865154"/>
    <w:rsid w:val="00865283"/>
    <w:rsid w:val="00865C11"/>
    <w:rsid w:val="0086707F"/>
    <w:rsid w:val="00867401"/>
    <w:rsid w:val="00867F72"/>
    <w:rsid w:val="00870C3C"/>
    <w:rsid w:val="00871313"/>
    <w:rsid w:val="00872644"/>
    <w:rsid w:val="00873982"/>
    <w:rsid w:val="00876DBF"/>
    <w:rsid w:val="00877477"/>
    <w:rsid w:val="00880195"/>
    <w:rsid w:val="00880F56"/>
    <w:rsid w:val="00881339"/>
    <w:rsid w:val="00881C8C"/>
    <w:rsid w:val="008833E1"/>
    <w:rsid w:val="00883A07"/>
    <w:rsid w:val="00884E69"/>
    <w:rsid w:val="00885321"/>
    <w:rsid w:val="00885ECB"/>
    <w:rsid w:val="00885FA5"/>
    <w:rsid w:val="00886B20"/>
    <w:rsid w:val="00887545"/>
    <w:rsid w:val="00890EBA"/>
    <w:rsid w:val="00892310"/>
    <w:rsid w:val="0089356A"/>
    <w:rsid w:val="00893DB9"/>
    <w:rsid w:val="008946AC"/>
    <w:rsid w:val="00894811"/>
    <w:rsid w:val="00894985"/>
    <w:rsid w:val="00897848"/>
    <w:rsid w:val="008A1262"/>
    <w:rsid w:val="008A23A0"/>
    <w:rsid w:val="008A6FE2"/>
    <w:rsid w:val="008A7965"/>
    <w:rsid w:val="008B08CB"/>
    <w:rsid w:val="008B1DA5"/>
    <w:rsid w:val="008B245E"/>
    <w:rsid w:val="008B2686"/>
    <w:rsid w:val="008B2899"/>
    <w:rsid w:val="008B2FEE"/>
    <w:rsid w:val="008B3AAB"/>
    <w:rsid w:val="008B3FDD"/>
    <w:rsid w:val="008B451E"/>
    <w:rsid w:val="008B5624"/>
    <w:rsid w:val="008B64E1"/>
    <w:rsid w:val="008B7FFA"/>
    <w:rsid w:val="008C05AF"/>
    <w:rsid w:val="008C1196"/>
    <w:rsid w:val="008C160A"/>
    <w:rsid w:val="008C4762"/>
    <w:rsid w:val="008C5C45"/>
    <w:rsid w:val="008C6758"/>
    <w:rsid w:val="008C6BC6"/>
    <w:rsid w:val="008C7602"/>
    <w:rsid w:val="008C7AE1"/>
    <w:rsid w:val="008D0896"/>
    <w:rsid w:val="008D1997"/>
    <w:rsid w:val="008D1B9C"/>
    <w:rsid w:val="008D29D6"/>
    <w:rsid w:val="008D344D"/>
    <w:rsid w:val="008D4575"/>
    <w:rsid w:val="008D4C76"/>
    <w:rsid w:val="008D5269"/>
    <w:rsid w:val="008D5B40"/>
    <w:rsid w:val="008D5B8C"/>
    <w:rsid w:val="008D7E5C"/>
    <w:rsid w:val="008E3277"/>
    <w:rsid w:val="008E3CBE"/>
    <w:rsid w:val="008E46B7"/>
    <w:rsid w:val="008E5066"/>
    <w:rsid w:val="008E5361"/>
    <w:rsid w:val="008E60DE"/>
    <w:rsid w:val="008E6339"/>
    <w:rsid w:val="008E63C7"/>
    <w:rsid w:val="008E6841"/>
    <w:rsid w:val="008E6EA6"/>
    <w:rsid w:val="008E7BA7"/>
    <w:rsid w:val="008F19FB"/>
    <w:rsid w:val="008F304D"/>
    <w:rsid w:val="008F4125"/>
    <w:rsid w:val="008F491C"/>
    <w:rsid w:val="008F4D99"/>
    <w:rsid w:val="008F5A40"/>
    <w:rsid w:val="008F6CB2"/>
    <w:rsid w:val="008F70A2"/>
    <w:rsid w:val="008F7CBC"/>
    <w:rsid w:val="0090092A"/>
    <w:rsid w:val="00900BCD"/>
    <w:rsid w:val="00900C56"/>
    <w:rsid w:val="00901811"/>
    <w:rsid w:val="00901B8E"/>
    <w:rsid w:val="00902DE6"/>
    <w:rsid w:val="0090440F"/>
    <w:rsid w:val="00904AFF"/>
    <w:rsid w:val="009051E3"/>
    <w:rsid w:val="00905810"/>
    <w:rsid w:val="00905FE1"/>
    <w:rsid w:val="00912700"/>
    <w:rsid w:val="0091336B"/>
    <w:rsid w:val="00913C82"/>
    <w:rsid w:val="0091559B"/>
    <w:rsid w:val="009170E0"/>
    <w:rsid w:val="00917DA7"/>
    <w:rsid w:val="00920386"/>
    <w:rsid w:val="00921CC4"/>
    <w:rsid w:val="0092354D"/>
    <w:rsid w:val="0092480E"/>
    <w:rsid w:val="00924BD9"/>
    <w:rsid w:val="00924CC4"/>
    <w:rsid w:val="00925BC7"/>
    <w:rsid w:val="00925CCD"/>
    <w:rsid w:val="00930AE3"/>
    <w:rsid w:val="00932054"/>
    <w:rsid w:val="009329A7"/>
    <w:rsid w:val="00941349"/>
    <w:rsid w:val="00941D68"/>
    <w:rsid w:val="00941F8C"/>
    <w:rsid w:val="00942350"/>
    <w:rsid w:val="00942D06"/>
    <w:rsid w:val="0094383D"/>
    <w:rsid w:val="0094389A"/>
    <w:rsid w:val="00943E4C"/>
    <w:rsid w:val="009440D4"/>
    <w:rsid w:val="009449A2"/>
    <w:rsid w:val="00944E2D"/>
    <w:rsid w:val="00950362"/>
    <w:rsid w:val="0095044D"/>
    <w:rsid w:val="00951D28"/>
    <w:rsid w:val="0095522E"/>
    <w:rsid w:val="00955722"/>
    <w:rsid w:val="00955DA4"/>
    <w:rsid w:val="00957518"/>
    <w:rsid w:val="009602E4"/>
    <w:rsid w:val="00960419"/>
    <w:rsid w:val="009613AA"/>
    <w:rsid w:val="009640D4"/>
    <w:rsid w:val="009658C2"/>
    <w:rsid w:val="009663FF"/>
    <w:rsid w:val="00967876"/>
    <w:rsid w:val="00967919"/>
    <w:rsid w:val="00970BCE"/>
    <w:rsid w:val="009712DA"/>
    <w:rsid w:val="009753C9"/>
    <w:rsid w:val="0097582C"/>
    <w:rsid w:val="009773B3"/>
    <w:rsid w:val="00977734"/>
    <w:rsid w:val="00977C32"/>
    <w:rsid w:val="0098012B"/>
    <w:rsid w:val="009805AC"/>
    <w:rsid w:val="00980B6E"/>
    <w:rsid w:val="00983315"/>
    <w:rsid w:val="009836F1"/>
    <w:rsid w:val="00983756"/>
    <w:rsid w:val="009851B1"/>
    <w:rsid w:val="00986AC3"/>
    <w:rsid w:val="00986FC1"/>
    <w:rsid w:val="0099079D"/>
    <w:rsid w:val="00990AF1"/>
    <w:rsid w:val="0099225B"/>
    <w:rsid w:val="00992BA4"/>
    <w:rsid w:val="009969EF"/>
    <w:rsid w:val="00997CA3"/>
    <w:rsid w:val="00997D1A"/>
    <w:rsid w:val="009A0040"/>
    <w:rsid w:val="009A10A7"/>
    <w:rsid w:val="009A10C2"/>
    <w:rsid w:val="009A1DE2"/>
    <w:rsid w:val="009A507E"/>
    <w:rsid w:val="009A6088"/>
    <w:rsid w:val="009A688E"/>
    <w:rsid w:val="009A6C5D"/>
    <w:rsid w:val="009A6D6A"/>
    <w:rsid w:val="009A71E7"/>
    <w:rsid w:val="009A79D4"/>
    <w:rsid w:val="009B0BD2"/>
    <w:rsid w:val="009B14E0"/>
    <w:rsid w:val="009B1751"/>
    <w:rsid w:val="009B28C5"/>
    <w:rsid w:val="009B2DB7"/>
    <w:rsid w:val="009B5F75"/>
    <w:rsid w:val="009B5F83"/>
    <w:rsid w:val="009B633D"/>
    <w:rsid w:val="009B63AE"/>
    <w:rsid w:val="009B7729"/>
    <w:rsid w:val="009B7D51"/>
    <w:rsid w:val="009C0281"/>
    <w:rsid w:val="009C0284"/>
    <w:rsid w:val="009C1193"/>
    <w:rsid w:val="009C1B9B"/>
    <w:rsid w:val="009C4508"/>
    <w:rsid w:val="009C5405"/>
    <w:rsid w:val="009D05E7"/>
    <w:rsid w:val="009D0BC4"/>
    <w:rsid w:val="009D1262"/>
    <w:rsid w:val="009D1AF7"/>
    <w:rsid w:val="009D2E1B"/>
    <w:rsid w:val="009D6646"/>
    <w:rsid w:val="009D7B47"/>
    <w:rsid w:val="009E0E56"/>
    <w:rsid w:val="009E152F"/>
    <w:rsid w:val="009E2744"/>
    <w:rsid w:val="009E4F9A"/>
    <w:rsid w:val="009E5311"/>
    <w:rsid w:val="009E619B"/>
    <w:rsid w:val="009E627D"/>
    <w:rsid w:val="009E62B7"/>
    <w:rsid w:val="009E6515"/>
    <w:rsid w:val="009E6B97"/>
    <w:rsid w:val="009E74C7"/>
    <w:rsid w:val="009F1898"/>
    <w:rsid w:val="009F1A03"/>
    <w:rsid w:val="009F3B24"/>
    <w:rsid w:val="009F41DB"/>
    <w:rsid w:val="009F458D"/>
    <w:rsid w:val="009F45A3"/>
    <w:rsid w:val="009F69F0"/>
    <w:rsid w:val="009F6D23"/>
    <w:rsid w:val="00A03F75"/>
    <w:rsid w:val="00A0689A"/>
    <w:rsid w:val="00A07A8B"/>
    <w:rsid w:val="00A07C6B"/>
    <w:rsid w:val="00A07DFA"/>
    <w:rsid w:val="00A10006"/>
    <w:rsid w:val="00A13B6C"/>
    <w:rsid w:val="00A14624"/>
    <w:rsid w:val="00A14B39"/>
    <w:rsid w:val="00A1573B"/>
    <w:rsid w:val="00A17890"/>
    <w:rsid w:val="00A17E91"/>
    <w:rsid w:val="00A20100"/>
    <w:rsid w:val="00A204CE"/>
    <w:rsid w:val="00A20D9C"/>
    <w:rsid w:val="00A20FC0"/>
    <w:rsid w:val="00A237F3"/>
    <w:rsid w:val="00A23FD0"/>
    <w:rsid w:val="00A24A1E"/>
    <w:rsid w:val="00A25F90"/>
    <w:rsid w:val="00A269ED"/>
    <w:rsid w:val="00A26C30"/>
    <w:rsid w:val="00A31391"/>
    <w:rsid w:val="00A318C4"/>
    <w:rsid w:val="00A31A0A"/>
    <w:rsid w:val="00A31CCB"/>
    <w:rsid w:val="00A31F25"/>
    <w:rsid w:val="00A3253D"/>
    <w:rsid w:val="00A3278A"/>
    <w:rsid w:val="00A32CFA"/>
    <w:rsid w:val="00A32E1A"/>
    <w:rsid w:val="00A330F3"/>
    <w:rsid w:val="00A33D59"/>
    <w:rsid w:val="00A3472B"/>
    <w:rsid w:val="00A34E11"/>
    <w:rsid w:val="00A35EE1"/>
    <w:rsid w:val="00A36646"/>
    <w:rsid w:val="00A37A57"/>
    <w:rsid w:val="00A37C4D"/>
    <w:rsid w:val="00A409A1"/>
    <w:rsid w:val="00A40AE0"/>
    <w:rsid w:val="00A4120F"/>
    <w:rsid w:val="00A43563"/>
    <w:rsid w:val="00A47F71"/>
    <w:rsid w:val="00A50514"/>
    <w:rsid w:val="00A513F1"/>
    <w:rsid w:val="00A51D95"/>
    <w:rsid w:val="00A5200B"/>
    <w:rsid w:val="00A546CB"/>
    <w:rsid w:val="00A547B5"/>
    <w:rsid w:val="00A54F17"/>
    <w:rsid w:val="00A5581B"/>
    <w:rsid w:val="00A56BA4"/>
    <w:rsid w:val="00A5710B"/>
    <w:rsid w:val="00A6037D"/>
    <w:rsid w:val="00A61462"/>
    <w:rsid w:val="00A61778"/>
    <w:rsid w:val="00A631F4"/>
    <w:rsid w:val="00A63219"/>
    <w:rsid w:val="00A6611E"/>
    <w:rsid w:val="00A673F3"/>
    <w:rsid w:val="00A675CC"/>
    <w:rsid w:val="00A70AA8"/>
    <w:rsid w:val="00A73F0A"/>
    <w:rsid w:val="00A74B89"/>
    <w:rsid w:val="00A74D7C"/>
    <w:rsid w:val="00A75618"/>
    <w:rsid w:val="00A75C36"/>
    <w:rsid w:val="00A808BC"/>
    <w:rsid w:val="00A81351"/>
    <w:rsid w:val="00A81C08"/>
    <w:rsid w:val="00A821CB"/>
    <w:rsid w:val="00A82693"/>
    <w:rsid w:val="00A83B36"/>
    <w:rsid w:val="00A84A16"/>
    <w:rsid w:val="00A858D1"/>
    <w:rsid w:val="00A87404"/>
    <w:rsid w:val="00A87812"/>
    <w:rsid w:val="00A91494"/>
    <w:rsid w:val="00A91AA7"/>
    <w:rsid w:val="00A92221"/>
    <w:rsid w:val="00A95F9B"/>
    <w:rsid w:val="00AA1792"/>
    <w:rsid w:val="00AA1A09"/>
    <w:rsid w:val="00AA1D8D"/>
    <w:rsid w:val="00AA22A6"/>
    <w:rsid w:val="00AA3E3C"/>
    <w:rsid w:val="00AA5EBD"/>
    <w:rsid w:val="00AA6EBA"/>
    <w:rsid w:val="00AA784B"/>
    <w:rsid w:val="00AB16F3"/>
    <w:rsid w:val="00AB380D"/>
    <w:rsid w:val="00AB4274"/>
    <w:rsid w:val="00AB4D02"/>
    <w:rsid w:val="00AB7580"/>
    <w:rsid w:val="00AC21E7"/>
    <w:rsid w:val="00AC2BBB"/>
    <w:rsid w:val="00AC4EAE"/>
    <w:rsid w:val="00AD0118"/>
    <w:rsid w:val="00AD088F"/>
    <w:rsid w:val="00AD1BB1"/>
    <w:rsid w:val="00AD306A"/>
    <w:rsid w:val="00AD3DAB"/>
    <w:rsid w:val="00AD3F02"/>
    <w:rsid w:val="00AD4613"/>
    <w:rsid w:val="00AD4E33"/>
    <w:rsid w:val="00AD4EF1"/>
    <w:rsid w:val="00AE038D"/>
    <w:rsid w:val="00AE07EE"/>
    <w:rsid w:val="00AE0848"/>
    <w:rsid w:val="00AE1AE8"/>
    <w:rsid w:val="00AE1F60"/>
    <w:rsid w:val="00AE30B3"/>
    <w:rsid w:val="00AE4E11"/>
    <w:rsid w:val="00AE632A"/>
    <w:rsid w:val="00AE730F"/>
    <w:rsid w:val="00AE7DC6"/>
    <w:rsid w:val="00AF0939"/>
    <w:rsid w:val="00AF1FBB"/>
    <w:rsid w:val="00AF3184"/>
    <w:rsid w:val="00AF3257"/>
    <w:rsid w:val="00AF3D03"/>
    <w:rsid w:val="00AF3FB3"/>
    <w:rsid w:val="00AF466F"/>
    <w:rsid w:val="00AF5A29"/>
    <w:rsid w:val="00AF6FB7"/>
    <w:rsid w:val="00AF77A0"/>
    <w:rsid w:val="00AF7D81"/>
    <w:rsid w:val="00B01C4C"/>
    <w:rsid w:val="00B020D9"/>
    <w:rsid w:val="00B02ADC"/>
    <w:rsid w:val="00B0304C"/>
    <w:rsid w:val="00B03BDC"/>
    <w:rsid w:val="00B046F4"/>
    <w:rsid w:val="00B067C1"/>
    <w:rsid w:val="00B12B5D"/>
    <w:rsid w:val="00B13177"/>
    <w:rsid w:val="00B14D07"/>
    <w:rsid w:val="00B15E19"/>
    <w:rsid w:val="00B16EE1"/>
    <w:rsid w:val="00B22638"/>
    <w:rsid w:val="00B23231"/>
    <w:rsid w:val="00B236F3"/>
    <w:rsid w:val="00B268EE"/>
    <w:rsid w:val="00B2792D"/>
    <w:rsid w:val="00B308C0"/>
    <w:rsid w:val="00B31661"/>
    <w:rsid w:val="00B34D25"/>
    <w:rsid w:val="00B351E1"/>
    <w:rsid w:val="00B35427"/>
    <w:rsid w:val="00B37CEC"/>
    <w:rsid w:val="00B41C31"/>
    <w:rsid w:val="00B41F14"/>
    <w:rsid w:val="00B42329"/>
    <w:rsid w:val="00B42865"/>
    <w:rsid w:val="00B42F40"/>
    <w:rsid w:val="00B430EC"/>
    <w:rsid w:val="00B43145"/>
    <w:rsid w:val="00B445BF"/>
    <w:rsid w:val="00B446B4"/>
    <w:rsid w:val="00B4534F"/>
    <w:rsid w:val="00B46DA1"/>
    <w:rsid w:val="00B47730"/>
    <w:rsid w:val="00B47DF7"/>
    <w:rsid w:val="00B50F7F"/>
    <w:rsid w:val="00B525B5"/>
    <w:rsid w:val="00B567F9"/>
    <w:rsid w:val="00B61228"/>
    <w:rsid w:val="00B617CA"/>
    <w:rsid w:val="00B61896"/>
    <w:rsid w:val="00B64907"/>
    <w:rsid w:val="00B64A35"/>
    <w:rsid w:val="00B669CB"/>
    <w:rsid w:val="00B66D2A"/>
    <w:rsid w:val="00B66F8E"/>
    <w:rsid w:val="00B70073"/>
    <w:rsid w:val="00B71E8B"/>
    <w:rsid w:val="00B720AE"/>
    <w:rsid w:val="00B726B9"/>
    <w:rsid w:val="00B730DB"/>
    <w:rsid w:val="00B73B60"/>
    <w:rsid w:val="00B73E96"/>
    <w:rsid w:val="00B74110"/>
    <w:rsid w:val="00B76F90"/>
    <w:rsid w:val="00B80848"/>
    <w:rsid w:val="00B836A7"/>
    <w:rsid w:val="00B84594"/>
    <w:rsid w:val="00B8515B"/>
    <w:rsid w:val="00B85F63"/>
    <w:rsid w:val="00B87C23"/>
    <w:rsid w:val="00B91D68"/>
    <w:rsid w:val="00B91E79"/>
    <w:rsid w:val="00B921CB"/>
    <w:rsid w:val="00B92FC9"/>
    <w:rsid w:val="00B947D4"/>
    <w:rsid w:val="00B94D2B"/>
    <w:rsid w:val="00B95E44"/>
    <w:rsid w:val="00B97AA3"/>
    <w:rsid w:val="00BA28C5"/>
    <w:rsid w:val="00BA2BEE"/>
    <w:rsid w:val="00BA2FB5"/>
    <w:rsid w:val="00BA74AC"/>
    <w:rsid w:val="00BA7DD3"/>
    <w:rsid w:val="00BB0B21"/>
    <w:rsid w:val="00BB1549"/>
    <w:rsid w:val="00BB1675"/>
    <w:rsid w:val="00BB24F0"/>
    <w:rsid w:val="00BB3B0E"/>
    <w:rsid w:val="00BB4CC6"/>
    <w:rsid w:val="00BB52DB"/>
    <w:rsid w:val="00BB5D55"/>
    <w:rsid w:val="00BB7406"/>
    <w:rsid w:val="00BB7B8F"/>
    <w:rsid w:val="00BC0D56"/>
    <w:rsid w:val="00BC22BD"/>
    <w:rsid w:val="00BC274F"/>
    <w:rsid w:val="00BC441D"/>
    <w:rsid w:val="00BC47E6"/>
    <w:rsid w:val="00BC53DD"/>
    <w:rsid w:val="00BC6445"/>
    <w:rsid w:val="00BC6BB8"/>
    <w:rsid w:val="00BD0240"/>
    <w:rsid w:val="00BD1C53"/>
    <w:rsid w:val="00BD1E8B"/>
    <w:rsid w:val="00BD23B1"/>
    <w:rsid w:val="00BD2833"/>
    <w:rsid w:val="00BD28AF"/>
    <w:rsid w:val="00BD2B30"/>
    <w:rsid w:val="00BD395C"/>
    <w:rsid w:val="00BD50CB"/>
    <w:rsid w:val="00BE11DF"/>
    <w:rsid w:val="00BE2405"/>
    <w:rsid w:val="00BE2CB2"/>
    <w:rsid w:val="00BE2D4D"/>
    <w:rsid w:val="00BE2F66"/>
    <w:rsid w:val="00BE3F8C"/>
    <w:rsid w:val="00BE5227"/>
    <w:rsid w:val="00BE5E84"/>
    <w:rsid w:val="00BE637B"/>
    <w:rsid w:val="00BE668A"/>
    <w:rsid w:val="00BE72B7"/>
    <w:rsid w:val="00BF028D"/>
    <w:rsid w:val="00BF205D"/>
    <w:rsid w:val="00BF2567"/>
    <w:rsid w:val="00BF5437"/>
    <w:rsid w:val="00BF55A2"/>
    <w:rsid w:val="00BF5CBB"/>
    <w:rsid w:val="00BF5EE9"/>
    <w:rsid w:val="00BF5F16"/>
    <w:rsid w:val="00BF7542"/>
    <w:rsid w:val="00C00FA9"/>
    <w:rsid w:val="00C01234"/>
    <w:rsid w:val="00C0125E"/>
    <w:rsid w:val="00C016E7"/>
    <w:rsid w:val="00C0185F"/>
    <w:rsid w:val="00C02E44"/>
    <w:rsid w:val="00C04520"/>
    <w:rsid w:val="00C066AB"/>
    <w:rsid w:val="00C067F7"/>
    <w:rsid w:val="00C07156"/>
    <w:rsid w:val="00C10680"/>
    <w:rsid w:val="00C10BE2"/>
    <w:rsid w:val="00C10C06"/>
    <w:rsid w:val="00C1128C"/>
    <w:rsid w:val="00C11B23"/>
    <w:rsid w:val="00C13362"/>
    <w:rsid w:val="00C13969"/>
    <w:rsid w:val="00C14613"/>
    <w:rsid w:val="00C14650"/>
    <w:rsid w:val="00C1471A"/>
    <w:rsid w:val="00C156AA"/>
    <w:rsid w:val="00C15B0B"/>
    <w:rsid w:val="00C16FD8"/>
    <w:rsid w:val="00C20619"/>
    <w:rsid w:val="00C21B1F"/>
    <w:rsid w:val="00C229AF"/>
    <w:rsid w:val="00C24367"/>
    <w:rsid w:val="00C2572A"/>
    <w:rsid w:val="00C259C9"/>
    <w:rsid w:val="00C25F98"/>
    <w:rsid w:val="00C26938"/>
    <w:rsid w:val="00C30069"/>
    <w:rsid w:val="00C30316"/>
    <w:rsid w:val="00C30413"/>
    <w:rsid w:val="00C33CDF"/>
    <w:rsid w:val="00C33E21"/>
    <w:rsid w:val="00C33EF9"/>
    <w:rsid w:val="00C36E44"/>
    <w:rsid w:val="00C36E83"/>
    <w:rsid w:val="00C376D3"/>
    <w:rsid w:val="00C4057F"/>
    <w:rsid w:val="00C408B5"/>
    <w:rsid w:val="00C43B45"/>
    <w:rsid w:val="00C444D1"/>
    <w:rsid w:val="00C45578"/>
    <w:rsid w:val="00C4604F"/>
    <w:rsid w:val="00C460DA"/>
    <w:rsid w:val="00C46ABF"/>
    <w:rsid w:val="00C477CD"/>
    <w:rsid w:val="00C50810"/>
    <w:rsid w:val="00C50BBF"/>
    <w:rsid w:val="00C50D88"/>
    <w:rsid w:val="00C50DB1"/>
    <w:rsid w:val="00C52529"/>
    <w:rsid w:val="00C527C4"/>
    <w:rsid w:val="00C52C28"/>
    <w:rsid w:val="00C53507"/>
    <w:rsid w:val="00C54CF2"/>
    <w:rsid w:val="00C5654E"/>
    <w:rsid w:val="00C5711F"/>
    <w:rsid w:val="00C577B9"/>
    <w:rsid w:val="00C57CCE"/>
    <w:rsid w:val="00C62F21"/>
    <w:rsid w:val="00C6492F"/>
    <w:rsid w:val="00C6599B"/>
    <w:rsid w:val="00C677F9"/>
    <w:rsid w:val="00C705C3"/>
    <w:rsid w:val="00C71625"/>
    <w:rsid w:val="00C7282D"/>
    <w:rsid w:val="00C73554"/>
    <w:rsid w:val="00C73BF7"/>
    <w:rsid w:val="00C7523B"/>
    <w:rsid w:val="00C75C49"/>
    <w:rsid w:val="00C76EEC"/>
    <w:rsid w:val="00C76F94"/>
    <w:rsid w:val="00C80D4C"/>
    <w:rsid w:val="00C80D7E"/>
    <w:rsid w:val="00C81C7F"/>
    <w:rsid w:val="00C822A5"/>
    <w:rsid w:val="00C82E32"/>
    <w:rsid w:val="00C837D0"/>
    <w:rsid w:val="00C83E30"/>
    <w:rsid w:val="00C84903"/>
    <w:rsid w:val="00C859D7"/>
    <w:rsid w:val="00C86323"/>
    <w:rsid w:val="00C865FE"/>
    <w:rsid w:val="00C87306"/>
    <w:rsid w:val="00C87501"/>
    <w:rsid w:val="00C87A44"/>
    <w:rsid w:val="00C917A1"/>
    <w:rsid w:val="00C91C11"/>
    <w:rsid w:val="00C928B1"/>
    <w:rsid w:val="00C9623D"/>
    <w:rsid w:val="00CA09DB"/>
    <w:rsid w:val="00CA35C1"/>
    <w:rsid w:val="00CA56EB"/>
    <w:rsid w:val="00CA5CCF"/>
    <w:rsid w:val="00CA64E7"/>
    <w:rsid w:val="00CA702C"/>
    <w:rsid w:val="00CB0664"/>
    <w:rsid w:val="00CB0F73"/>
    <w:rsid w:val="00CB1DE8"/>
    <w:rsid w:val="00CB24C6"/>
    <w:rsid w:val="00CB42B5"/>
    <w:rsid w:val="00CB4A2D"/>
    <w:rsid w:val="00CB5898"/>
    <w:rsid w:val="00CB5BCD"/>
    <w:rsid w:val="00CB643E"/>
    <w:rsid w:val="00CB685E"/>
    <w:rsid w:val="00CB68A5"/>
    <w:rsid w:val="00CB6AC1"/>
    <w:rsid w:val="00CB769F"/>
    <w:rsid w:val="00CC01E8"/>
    <w:rsid w:val="00CC0FEC"/>
    <w:rsid w:val="00CC1974"/>
    <w:rsid w:val="00CC2014"/>
    <w:rsid w:val="00CC3135"/>
    <w:rsid w:val="00CC382E"/>
    <w:rsid w:val="00CC3DD5"/>
    <w:rsid w:val="00CC3F31"/>
    <w:rsid w:val="00CC438C"/>
    <w:rsid w:val="00CC4958"/>
    <w:rsid w:val="00CC6B6F"/>
    <w:rsid w:val="00CD1DBD"/>
    <w:rsid w:val="00CD35C3"/>
    <w:rsid w:val="00CD4599"/>
    <w:rsid w:val="00CD4ABE"/>
    <w:rsid w:val="00CD6F49"/>
    <w:rsid w:val="00CE0346"/>
    <w:rsid w:val="00CE076E"/>
    <w:rsid w:val="00CE4BE0"/>
    <w:rsid w:val="00CE4F99"/>
    <w:rsid w:val="00CE609D"/>
    <w:rsid w:val="00CE6458"/>
    <w:rsid w:val="00CE78A3"/>
    <w:rsid w:val="00CF164A"/>
    <w:rsid w:val="00CF225A"/>
    <w:rsid w:val="00CF2639"/>
    <w:rsid w:val="00CF27C0"/>
    <w:rsid w:val="00CF3497"/>
    <w:rsid w:val="00CF36D7"/>
    <w:rsid w:val="00CF43BB"/>
    <w:rsid w:val="00CF492E"/>
    <w:rsid w:val="00D00EF4"/>
    <w:rsid w:val="00D02D84"/>
    <w:rsid w:val="00D038C1"/>
    <w:rsid w:val="00D048DB"/>
    <w:rsid w:val="00D05982"/>
    <w:rsid w:val="00D068AD"/>
    <w:rsid w:val="00D07218"/>
    <w:rsid w:val="00D10BAE"/>
    <w:rsid w:val="00D10D0E"/>
    <w:rsid w:val="00D114D2"/>
    <w:rsid w:val="00D134CA"/>
    <w:rsid w:val="00D151AD"/>
    <w:rsid w:val="00D15CAE"/>
    <w:rsid w:val="00D1608C"/>
    <w:rsid w:val="00D17EA0"/>
    <w:rsid w:val="00D21D13"/>
    <w:rsid w:val="00D227D9"/>
    <w:rsid w:val="00D22D40"/>
    <w:rsid w:val="00D23442"/>
    <w:rsid w:val="00D242F6"/>
    <w:rsid w:val="00D26AA2"/>
    <w:rsid w:val="00D26F39"/>
    <w:rsid w:val="00D27984"/>
    <w:rsid w:val="00D30E7B"/>
    <w:rsid w:val="00D31DFC"/>
    <w:rsid w:val="00D32F3F"/>
    <w:rsid w:val="00D331CB"/>
    <w:rsid w:val="00D34C86"/>
    <w:rsid w:val="00D36036"/>
    <w:rsid w:val="00D366CB"/>
    <w:rsid w:val="00D41636"/>
    <w:rsid w:val="00D45284"/>
    <w:rsid w:val="00D4683A"/>
    <w:rsid w:val="00D47428"/>
    <w:rsid w:val="00D4792C"/>
    <w:rsid w:val="00D52091"/>
    <w:rsid w:val="00D52A2D"/>
    <w:rsid w:val="00D537CA"/>
    <w:rsid w:val="00D547DD"/>
    <w:rsid w:val="00D552FE"/>
    <w:rsid w:val="00D5621F"/>
    <w:rsid w:val="00D57271"/>
    <w:rsid w:val="00D61E35"/>
    <w:rsid w:val="00D62982"/>
    <w:rsid w:val="00D6300B"/>
    <w:rsid w:val="00D647A7"/>
    <w:rsid w:val="00D655C5"/>
    <w:rsid w:val="00D659D9"/>
    <w:rsid w:val="00D66072"/>
    <w:rsid w:val="00D66939"/>
    <w:rsid w:val="00D67A28"/>
    <w:rsid w:val="00D700AD"/>
    <w:rsid w:val="00D713D7"/>
    <w:rsid w:val="00D72EA9"/>
    <w:rsid w:val="00D73C86"/>
    <w:rsid w:val="00D75CB2"/>
    <w:rsid w:val="00D775BD"/>
    <w:rsid w:val="00D7774A"/>
    <w:rsid w:val="00D811F4"/>
    <w:rsid w:val="00D81632"/>
    <w:rsid w:val="00D826EA"/>
    <w:rsid w:val="00D832DF"/>
    <w:rsid w:val="00D8564A"/>
    <w:rsid w:val="00D87055"/>
    <w:rsid w:val="00D874C5"/>
    <w:rsid w:val="00D8773B"/>
    <w:rsid w:val="00D87A19"/>
    <w:rsid w:val="00D87B4F"/>
    <w:rsid w:val="00D87B76"/>
    <w:rsid w:val="00D87EBF"/>
    <w:rsid w:val="00D926F2"/>
    <w:rsid w:val="00D93B77"/>
    <w:rsid w:val="00D93BF6"/>
    <w:rsid w:val="00D957DC"/>
    <w:rsid w:val="00D96000"/>
    <w:rsid w:val="00DA0C42"/>
    <w:rsid w:val="00DA0F26"/>
    <w:rsid w:val="00DA2168"/>
    <w:rsid w:val="00DA2BC8"/>
    <w:rsid w:val="00DA39F1"/>
    <w:rsid w:val="00DA4A25"/>
    <w:rsid w:val="00DA6801"/>
    <w:rsid w:val="00DB2DC5"/>
    <w:rsid w:val="00DB468F"/>
    <w:rsid w:val="00DB648F"/>
    <w:rsid w:val="00DC03C3"/>
    <w:rsid w:val="00DC072C"/>
    <w:rsid w:val="00DC0EF1"/>
    <w:rsid w:val="00DC18E0"/>
    <w:rsid w:val="00DC46B1"/>
    <w:rsid w:val="00DC65AC"/>
    <w:rsid w:val="00DC6727"/>
    <w:rsid w:val="00DC685E"/>
    <w:rsid w:val="00DC6B41"/>
    <w:rsid w:val="00DC7539"/>
    <w:rsid w:val="00DD07C8"/>
    <w:rsid w:val="00DD2EBE"/>
    <w:rsid w:val="00DD3E18"/>
    <w:rsid w:val="00DD64BB"/>
    <w:rsid w:val="00DD77FD"/>
    <w:rsid w:val="00DE0E3F"/>
    <w:rsid w:val="00DE2D51"/>
    <w:rsid w:val="00DE3AD9"/>
    <w:rsid w:val="00DE4011"/>
    <w:rsid w:val="00DE442C"/>
    <w:rsid w:val="00DE4B7F"/>
    <w:rsid w:val="00DE6526"/>
    <w:rsid w:val="00DE6A2C"/>
    <w:rsid w:val="00DE6A9E"/>
    <w:rsid w:val="00DF469F"/>
    <w:rsid w:val="00DF4A1E"/>
    <w:rsid w:val="00DF4B04"/>
    <w:rsid w:val="00DF58C2"/>
    <w:rsid w:val="00DF6152"/>
    <w:rsid w:val="00DF73C9"/>
    <w:rsid w:val="00E00A16"/>
    <w:rsid w:val="00E00F54"/>
    <w:rsid w:val="00E0105F"/>
    <w:rsid w:val="00E01430"/>
    <w:rsid w:val="00E01FC8"/>
    <w:rsid w:val="00E022F8"/>
    <w:rsid w:val="00E0472B"/>
    <w:rsid w:val="00E051B7"/>
    <w:rsid w:val="00E053F6"/>
    <w:rsid w:val="00E0621A"/>
    <w:rsid w:val="00E06BE1"/>
    <w:rsid w:val="00E07760"/>
    <w:rsid w:val="00E078DA"/>
    <w:rsid w:val="00E07945"/>
    <w:rsid w:val="00E10A85"/>
    <w:rsid w:val="00E11F00"/>
    <w:rsid w:val="00E120CF"/>
    <w:rsid w:val="00E1552E"/>
    <w:rsid w:val="00E15B22"/>
    <w:rsid w:val="00E15C68"/>
    <w:rsid w:val="00E167C9"/>
    <w:rsid w:val="00E167E9"/>
    <w:rsid w:val="00E201BC"/>
    <w:rsid w:val="00E21ECA"/>
    <w:rsid w:val="00E249D0"/>
    <w:rsid w:val="00E25054"/>
    <w:rsid w:val="00E251D1"/>
    <w:rsid w:val="00E2632E"/>
    <w:rsid w:val="00E26BC5"/>
    <w:rsid w:val="00E26F5D"/>
    <w:rsid w:val="00E30AE7"/>
    <w:rsid w:val="00E31669"/>
    <w:rsid w:val="00E321BD"/>
    <w:rsid w:val="00E329D8"/>
    <w:rsid w:val="00E32FFB"/>
    <w:rsid w:val="00E338E7"/>
    <w:rsid w:val="00E3524B"/>
    <w:rsid w:val="00E35612"/>
    <w:rsid w:val="00E35CA0"/>
    <w:rsid w:val="00E35E68"/>
    <w:rsid w:val="00E36169"/>
    <w:rsid w:val="00E36992"/>
    <w:rsid w:val="00E36F96"/>
    <w:rsid w:val="00E42997"/>
    <w:rsid w:val="00E435D9"/>
    <w:rsid w:val="00E43A02"/>
    <w:rsid w:val="00E443DE"/>
    <w:rsid w:val="00E45E25"/>
    <w:rsid w:val="00E526DF"/>
    <w:rsid w:val="00E52E06"/>
    <w:rsid w:val="00E562D4"/>
    <w:rsid w:val="00E57669"/>
    <w:rsid w:val="00E57CFB"/>
    <w:rsid w:val="00E57DD8"/>
    <w:rsid w:val="00E60139"/>
    <w:rsid w:val="00E614D9"/>
    <w:rsid w:val="00E618DB"/>
    <w:rsid w:val="00E61973"/>
    <w:rsid w:val="00E6218F"/>
    <w:rsid w:val="00E63113"/>
    <w:rsid w:val="00E641EA"/>
    <w:rsid w:val="00E644F8"/>
    <w:rsid w:val="00E66F62"/>
    <w:rsid w:val="00E6723F"/>
    <w:rsid w:val="00E675A7"/>
    <w:rsid w:val="00E67F3A"/>
    <w:rsid w:val="00E710A7"/>
    <w:rsid w:val="00E716B4"/>
    <w:rsid w:val="00E7173C"/>
    <w:rsid w:val="00E718CE"/>
    <w:rsid w:val="00E72C13"/>
    <w:rsid w:val="00E741E6"/>
    <w:rsid w:val="00E7514D"/>
    <w:rsid w:val="00E77709"/>
    <w:rsid w:val="00E8158B"/>
    <w:rsid w:val="00E81B4C"/>
    <w:rsid w:val="00E81DC6"/>
    <w:rsid w:val="00E83331"/>
    <w:rsid w:val="00E843F8"/>
    <w:rsid w:val="00E850F0"/>
    <w:rsid w:val="00E8510D"/>
    <w:rsid w:val="00E86F93"/>
    <w:rsid w:val="00E873E3"/>
    <w:rsid w:val="00E90AAE"/>
    <w:rsid w:val="00E90C9F"/>
    <w:rsid w:val="00E90D17"/>
    <w:rsid w:val="00E912B9"/>
    <w:rsid w:val="00E91E02"/>
    <w:rsid w:val="00E91EA9"/>
    <w:rsid w:val="00E9334B"/>
    <w:rsid w:val="00E93883"/>
    <w:rsid w:val="00E95265"/>
    <w:rsid w:val="00E95DF5"/>
    <w:rsid w:val="00E95E21"/>
    <w:rsid w:val="00EA2606"/>
    <w:rsid w:val="00EA395F"/>
    <w:rsid w:val="00EA596D"/>
    <w:rsid w:val="00EA5D31"/>
    <w:rsid w:val="00EA7FB0"/>
    <w:rsid w:val="00EB02CC"/>
    <w:rsid w:val="00EC18B2"/>
    <w:rsid w:val="00EC1F69"/>
    <w:rsid w:val="00EC5085"/>
    <w:rsid w:val="00EC553C"/>
    <w:rsid w:val="00EC5E28"/>
    <w:rsid w:val="00EC6234"/>
    <w:rsid w:val="00EC63FD"/>
    <w:rsid w:val="00EC7344"/>
    <w:rsid w:val="00ED041F"/>
    <w:rsid w:val="00ED0BEC"/>
    <w:rsid w:val="00ED26BA"/>
    <w:rsid w:val="00ED4577"/>
    <w:rsid w:val="00ED5911"/>
    <w:rsid w:val="00ED759F"/>
    <w:rsid w:val="00ED7639"/>
    <w:rsid w:val="00ED7B24"/>
    <w:rsid w:val="00ED7DFA"/>
    <w:rsid w:val="00EE1560"/>
    <w:rsid w:val="00EE158D"/>
    <w:rsid w:val="00EE1EB6"/>
    <w:rsid w:val="00EE2B46"/>
    <w:rsid w:val="00EE3D21"/>
    <w:rsid w:val="00EE40BD"/>
    <w:rsid w:val="00EE468B"/>
    <w:rsid w:val="00EE629A"/>
    <w:rsid w:val="00EE7436"/>
    <w:rsid w:val="00EF10CC"/>
    <w:rsid w:val="00EF49A3"/>
    <w:rsid w:val="00EF49D7"/>
    <w:rsid w:val="00EF5189"/>
    <w:rsid w:val="00F01961"/>
    <w:rsid w:val="00F03614"/>
    <w:rsid w:val="00F0362F"/>
    <w:rsid w:val="00F04F0A"/>
    <w:rsid w:val="00F065AA"/>
    <w:rsid w:val="00F07C70"/>
    <w:rsid w:val="00F1069A"/>
    <w:rsid w:val="00F12CEF"/>
    <w:rsid w:val="00F139E0"/>
    <w:rsid w:val="00F1471F"/>
    <w:rsid w:val="00F169BD"/>
    <w:rsid w:val="00F16B17"/>
    <w:rsid w:val="00F175C8"/>
    <w:rsid w:val="00F208FF"/>
    <w:rsid w:val="00F2112C"/>
    <w:rsid w:val="00F241CA"/>
    <w:rsid w:val="00F24212"/>
    <w:rsid w:val="00F27641"/>
    <w:rsid w:val="00F27687"/>
    <w:rsid w:val="00F303A1"/>
    <w:rsid w:val="00F3086D"/>
    <w:rsid w:val="00F31999"/>
    <w:rsid w:val="00F32113"/>
    <w:rsid w:val="00F328A6"/>
    <w:rsid w:val="00F32950"/>
    <w:rsid w:val="00F337B4"/>
    <w:rsid w:val="00F34AF9"/>
    <w:rsid w:val="00F3569B"/>
    <w:rsid w:val="00F37BAF"/>
    <w:rsid w:val="00F37C13"/>
    <w:rsid w:val="00F45003"/>
    <w:rsid w:val="00F4506E"/>
    <w:rsid w:val="00F4518E"/>
    <w:rsid w:val="00F46B5D"/>
    <w:rsid w:val="00F539BA"/>
    <w:rsid w:val="00F55625"/>
    <w:rsid w:val="00F569EB"/>
    <w:rsid w:val="00F60431"/>
    <w:rsid w:val="00F6308A"/>
    <w:rsid w:val="00F63774"/>
    <w:rsid w:val="00F6472D"/>
    <w:rsid w:val="00F652F3"/>
    <w:rsid w:val="00F66755"/>
    <w:rsid w:val="00F66B3A"/>
    <w:rsid w:val="00F67BB0"/>
    <w:rsid w:val="00F71499"/>
    <w:rsid w:val="00F72B34"/>
    <w:rsid w:val="00F81915"/>
    <w:rsid w:val="00F82105"/>
    <w:rsid w:val="00F831DD"/>
    <w:rsid w:val="00F832D5"/>
    <w:rsid w:val="00F85047"/>
    <w:rsid w:val="00F85D60"/>
    <w:rsid w:val="00F910F7"/>
    <w:rsid w:val="00F91590"/>
    <w:rsid w:val="00F92A7B"/>
    <w:rsid w:val="00F93480"/>
    <w:rsid w:val="00F95100"/>
    <w:rsid w:val="00F96289"/>
    <w:rsid w:val="00F97326"/>
    <w:rsid w:val="00F97687"/>
    <w:rsid w:val="00F97BE8"/>
    <w:rsid w:val="00FA059C"/>
    <w:rsid w:val="00FA0A8A"/>
    <w:rsid w:val="00FA0FBD"/>
    <w:rsid w:val="00FA4CA2"/>
    <w:rsid w:val="00FA612C"/>
    <w:rsid w:val="00FB1C4B"/>
    <w:rsid w:val="00FB6A6C"/>
    <w:rsid w:val="00FB7034"/>
    <w:rsid w:val="00FB7C91"/>
    <w:rsid w:val="00FC0DFE"/>
    <w:rsid w:val="00FC1BB5"/>
    <w:rsid w:val="00FC66BB"/>
    <w:rsid w:val="00FC693F"/>
    <w:rsid w:val="00FC6C89"/>
    <w:rsid w:val="00FD08ED"/>
    <w:rsid w:val="00FD1129"/>
    <w:rsid w:val="00FD215D"/>
    <w:rsid w:val="00FD22EB"/>
    <w:rsid w:val="00FD248B"/>
    <w:rsid w:val="00FD3344"/>
    <w:rsid w:val="00FD620D"/>
    <w:rsid w:val="00FD68DE"/>
    <w:rsid w:val="00FD70A6"/>
    <w:rsid w:val="00FD7E27"/>
    <w:rsid w:val="00FE008B"/>
    <w:rsid w:val="00FE03EB"/>
    <w:rsid w:val="00FE1E18"/>
    <w:rsid w:val="00FE3462"/>
    <w:rsid w:val="00FE3D8F"/>
    <w:rsid w:val="00FE4973"/>
    <w:rsid w:val="00FF022E"/>
    <w:rsid w:val="00FF3D47"/>
    <w:rsid w:val="00FF527F"/>
    <w:rsid w:val="00FF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6227DF"/>
  <w15:docId w15:val="{2A9A981E-C146-41E0-9B55-AB781D60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1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94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B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81D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1D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1D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DC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9149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149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4604F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77734"/>
    <w:rPr>
      <w:color w:val="66666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2E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2E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2E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51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6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51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5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98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922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705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95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4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51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29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90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01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6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3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7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6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69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86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60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93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8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14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69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74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1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10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97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03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2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36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25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42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0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55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6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51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96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65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2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52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8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5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8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80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7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54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71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3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70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05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1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11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88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12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3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25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55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9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94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6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7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41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1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6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86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0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83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00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29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0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71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1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35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03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9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71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0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31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0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2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3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45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39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53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47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01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96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66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86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61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96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698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0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0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78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715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17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89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64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77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32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king Document" ma:contentTypeID="0x0101008B4DD370EC31429186F3AD49F0D3098F00D44DBCB9EB4F45278CB5C9765BE5299500A4858B360C6A491AA753F8BCA47AA910002507BED6B5908645AAA96978AD5D1987" ma:contentTypeVersion="84" ma:contentTypeDescription="" ma:contentTypeScope="" ma:versionID="4b9e4c91350cf35f50d1d6b61051afd7">
  <xsd:schema xmlns:xsd="http://www.w3.org/2001/XMLSchema" xmlns:xs="http://www.w3.org/2001/XMLSchema" xmlns:p="http://schemas.microsoft.com/office/2006/metadata/properties" xmlns:ns1="54c4cd27-f286-408f-9ce0-33c1e0f3ab39" xmlns:ns2="9e406c50-2549-4f1e-a767-e9b68096b47b" xmlns:ns3="cf16f947-c9fc-4be9-80b4-2a32b4ac226e" xmlns:ns5="c9f238dd-bb73-4aef-a7a5-d644ad823e52" xmlns:ns6="ca82dde9-3436-4d3d-bddd-d31447390034" xmlns:ns7="http://schemas.microsoft.com/sharepoint/v4" targetNamespace="http://schemas.microsoft.com/office/2006/metadata/properties" ma:root="true" ma:fieldsID="2273f3d944750c630511b0d01f641b8c" ns1:_="" ns2:_="" ns3:_="" ns5:_="" ns6:_="" ns7:_="">
    <xsd:import namespace="54c4cd27-f286-408f-9ce0-33c1e0f3ab39"/>
    <xsd:import namespace="9e406c50-2549-4f1e-a767-e9b68096b47b"/>
    <xsd:import namespace="cf16f947-c9fc-4be9-80b4-2a32b4ac226e"/>
    <xsd:import namespace="c9f238dd-bb73-4aef-a7a5-d644ad823e52"/>
    <xsd:import namespace="ca82dde9-3436-4d3d-bddd-d3144739003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OECDKimStatus" minOccurs="0"/>
                <xsd:element ref="ns1:OECDKimBussinessContext" minOccurs="0"/>
                <xsd:element ref="ns1:OECDKimProvenance" minOccurs="0"/>
                <xsd:element ref="ns2:OECDExpirationDate" minOccurs="0"/>
                <xsd:element ref="ns3:OECDProjectLookup" minOccurs="0"/>
                <xsd:element ref="ns3:OECDProjectManager" minOccurs="0"/>
                <xsd:element ref="ns3:OECDProjectMembers" minOccurs="0"/>
                <xsd:element ref="ns3:OECDMainProject" minOccurs="0"/>
                <xsd:element ref="ns3:OECDPinnedBy" minOccurs="0"/>
                <xsd:element ref="ns5:eShareCountryTaxHTField0" minOccurs="0"/>
                <xsd:element ref="ns5:eShareTopicTaxHTField0" minOccurs="0"/>
                <xsd:element ref="ns5:eShareKeywordsTaxHTField0" minOccurs="0"/>
                <xsd:element ref="ns5:eShareCommitteeTaxHTField0" minOccurs="0"/>
                <xsd:element ref="ns5:eSharePWBTaxHTField0" minOccurs="0"/>
                <xsd:element ref="ns6:TaxCatchAll" minOccurs="0"/>
                <xsd:element ref="ns3:l9a152565aff414c8d842958d210d414" minOccurs="0"/>
                <xsd:element ref="ns6:TaxCatchAllLabel" minOccurs="0"/>
                <xsd:element ref="ns1:OECDMeetingDate" minOccurs="0"/>
                <xsd:element ref="ns6:OECDlanguage" minOccurs="0"/>
                <xsd:element ref="ns2:hfa66f2e5af148f08064c2e62791b306" minOccurs="0"/>
                <xsd:element ref="ns3:g48437ce2c3c4c508e6dbb232c223ecb" minOccurs="0"/>
                <xsd:element ref="ns3:OECDSharingStatus" minOccurs="0"/>
                <xsd:element ref="ns3:OECDCommunityDocumentURL" minOccurs="0"/>
                <xsd:element ref="ns3:OECDCommunityDocumentID" minOccurs="0"/>
                <xsd:element ref="ns2:eShareHorizProjTaxHTField0" minOccurs="0"/>
                <xsd:element ref="ns3:OECDTagsCache" minOccurs="0"/>
                <xsd:element ref="ns3:OECDDeliverableManager" minOccurs="0"/>
                <xsd:element ref="ns7:IconOverlay" minOccurs="0"/>
                <xsd:element ref="ns2:OECDAllRelatedUsers" minOccurs="0"/>
                <xsd:element ref="ns3:SharedWithUsers" minOccurs="0"/>
                <xsd:element ref="ns1:OECD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4cd27-f286-408f-9ce0-33c1e0f3ab39" elementFormDefault="qualified">
    <xsd:import namespace="http://schemas.microsoft.com/office/2006/documentManagement/types"/>
    <xsd:import namespace="http://schemas.microsoft.com/office/infopath/2007/PartnerControls"/>
    <xsd:element name="OECDKimStatus" ma:index="3" nillable="true" ma:displayName="Kim status" ma:default="Draft" ma:description="" ma:format="Dropdown" ma:hidden="true" ma:internalName="OECDKimStatus" ma:readOnly="false">
      <xsd:simpleType>
        <xsd:restriction base="dms:Choice">
          <xsd:enumeration value="Draft"/>
          <xsd:enumeration value="Final"/>
        </xsd:restriction>
      </xsd:simpleType>
    </xsd:element>
    <xsd:element name="OECDKimBussinessContext" ma:index="4" nillable="true" ma:displayName="Kim bussiness context" ma:description="" ma:hidden="true" ma:internalName="OECDKimBussinessContext" ma:readOnly="false">
      <xsd:simpleType>
        <xsd:restriction base="dms:Text"/>
      </xsd:simpleType>
    </xsd:element>
    <xsd:element name="OECDKimProvenance" ma:index="5" nillable="true" ma:displayName="Kim provenance" ma:description="" ma:hidden="true" ma:internalName="OECDKimProvenance" ma:readOnly="false">
      <xsd:simpleType>
        <xsd:restriction base="dms:Text">
          <xsd:maxLength value="255"/>
        </xsd:restriction>
      </xsd:simpleType>
    </xsd:element>
    <xsd:element name="OECDMeetingDate" ma:index="28" nillable="true" ma:displayName="Meeting Date" ma:default="" ma:format="DateOnly" ma:hidden="true" ma:internalName="OECDMeetingDate">
      <xsd:simpleType>
        <xsd:restriction base="dms:DateTime"/>
      </xsd:simpleType>
    </xsd:element>
    <xsd:element name="OECDYear" ma:index="45" nillable="true" ma:displayName="Year" ma:description="" ma:internalName="OECDYea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06c50-2549-4f1e-a767-e9b68096b47b" elementFormDefault="qualified">
    <xsd:import namespace="http://schemas.microsoft.com/office/2006/documentManagement/types"/>
    <xsd:import namespace="http://schemas.microsoft.com/office/infopath/2007/PartnerControls"/>
    <xsd:element name="OECDExpirationDate" ma:index="8" nillable="true" ma:displayName="Highlights" ma:default="" ma:description="" ma:format="DateOnly" ma:hidden="true" ma:indexed="true" ma:internalName="OECDExpirationDate">
      <xsd:simpleType>
        <xsd:restriction base="dms:DateTime"/>
      </xsd:simpleType>
    </xsd:element>
    <xsd:element name="hfa66f2e5af148f08064c2e62791b306" ma:index="33" nillable="true" ma:taxonomy="true" ma:internalName="hfa66f2e5af148f08064c2e62791b306" ma:taxonomyFieldName="OECDHorizontalProjects" ma:displayName="Horizontal project" ma:readOnly="false" ma:default="" ma:fieldId="{1fa66f2e-5af1-48f0-8064-c2e62791b306}" ma:taxonomyMulti="true" ma:sspId="27ec883c-a62c-444f-a935-fcddb579e39d" ma:termSetId="d3ca0e0e-65f9-44bf-9d98-5271504f6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hareHorizProjTaxHTField0" ma:index="38" nillable="true" ma:displayName="OECDHorizontalProjects_0" ma:description="" ma:hidden="true" ma:internalName="eShareHorizProjTaxHTField0">
      <xsd:simpleType>
        <xsd:restriction base="dms:Note"/>
      </xsd:simpleType>
    </xsd:element>
    <xsd:element name="OECDAllRelatedUsers" ma:index="43" nillable="true" ma:displayName="All related users" ma:description="" ma:hidden="true" ma:internalName="OECDAllRelatedUs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6f947-c9fc-4be9-80b4-2a32b4ac226e" elementFormDefault="qualified">
    <xsd:import namespace="http://schemas.microsoft.com/office/2006/documentManagement/types"/>
    <xsd:import namespace="http://schemas.microsoft.com/office/infopath/2007/PartnerControls"/>
    <xsd:element name="OECDProjectLookup" ma:index="9" nillable="true" ma:displayName="Project" ma:description="" ma:hidden="true" ma:indexed="true" ma:list="639da05e-b3c6-46a1-b83b-8ce0cfde2092" ma:internalName="OECDProjectLookup" ma:readOnly="false" ma:showField="OECDShortProjectName" ma:web="cf16f947-c9fc-4be9-80b4-2a32b4ac226e">
      <xsd:simpleType>
        <xsd:restriction base="dms:Lookup"/>
      </xsd:simpleType>
    </xsd:element>
    <xsd:element name="OECDProjectManager" ma:index="10" nillable="true" ma:displayName="Project manager" ma:description="" ma:hidden="true" ma:indexed="true" ma:internalName="OECDProjectManag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ECDProjectMembers" ma:index="11" nillable="true" ma:displayName="Project members" ma:description="" ma:hidden="true" ma:internalName="OECDProjectMemb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ECDMainProject" ma:index="14" nillable="true" ma:displayName="Main project" ma:description="" ma:hidden="true" ma:indexed="true" ma:list="639da05e-b3c6-46a1-b83b-8ce0cfde2092" ma:internalName="OECDMainProject" ma:readOnly="false" ma:showField="OECDShortProjectName">
      <xsd:simpleType>
        <xsd:restriction base="dms:Lookup"/>
      </xsd:simpleType>
    </xsd:element>
    <xsd:element name="OECDPinnedBy" ma:index="15" nillable="true" ma:displayName="Pinned by" ma:description="" ma:hidden="true" ma:internalName="OECDPinn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9a152565aff414c8d842958d210d414" ma:index="25" nillable="true" ma:displayName="Deliverable owner_0" ma:hidden="true" ma:internalName="l9a152565aff414c8d842958d210d414">
      <xsd:simpleType>
        <xsd:restriction base="dms:Note"/>
      </xsd:simpleType>
    </xsd:element>
    <xsd:element name="g48437ce2c3c4c508e6dbb232c223ecb" ma:index="34" nillable="true" ma:taxonomy="true" ma:internalName="g48437ce2c3c4c508e6dbb232c223ecb" ma:taxonomyFieldName="OECDProjectOwnerStructure" ma:displayName="Project owner" ma:readOnly="false" ma:default="" ma:fieldId="048437ce-2c3c-4c50-8e6d-bb232c223ecb" ma:taxonomyMulti="true" ma:sspId="27ec883c-a62c-444f-a935-fcddb579e39d" ma:termSetId="aeec4dcb-19ee-4bc0-941f-681845b568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DSharingStatus" ma:index="35" nillable="true" ma:displayName="O.N.E Document Sharing Status" ma:description="" ma:hidden="true" ma:internalName="OECDSharingStatus">
      <xsd:simpleType>
        <xsd:restriction base="dms:Text"/>
      </xsd:simpleType>
    </xsd:element>
    <xsd:element name="OECDCommunityDocumentURL" ma:index="36" nillable="true" ma:displayName="O.N.E Community Document URL" ma:description="" ma:hidden="true" ma:internalName="OECDCommunityDocumentURL">
      <xsd:simpleType>
        <xsd:restriction base="dms:Text"/>
      </xsd:simpleType>
    </xsd:element>
    <xsd:element name="OECDCommunityDocumentID" ma:index="37" nillable="true" ma:displayName="O.N.E Community Document ID" ma:decimals="0" ma:description="" ma:hidden="true" ma:internalName="OECDCommunityDocumentID">
      <xsd:simpleType>
        <xsd:restriction base="dms:Number"/>
      </xsd:simpleType>
    </xsd:element>
    <xsd:element name="OECDTagsCache" ma:index="40" nillable="true" ma:displayName="Tags cache" ma:description="" ma:hidden="true" ma:internalName="OECDTagsCache">
      <xsd:simpleType>
        <xsd:restriction base="dms:Note"/>
      </xsd:simpleType>
    </xsd:element>
    <xsd:element name="OECDDeliverableManager" ma:index="41" nillable="true" ma:displayName="In charge" ma:description="" ma:hidden="true" ma:internalName="OECDDeliverableManag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4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238dd-bb73-4aef-a7a5-d644ad823e52" elementFormDefault="qualified">
    <xsd:import namespace="http://schemas.microsoft.com/office/2006/documentManagement/types"/>
    <xsd:import namespace="http://schemas.microsoft.com/office/infopath/2007/PartnerControls"/>
    <xsd:element name="eShareCountryTaxHTField0" ma:index="18" nillable="true" ma:taxonomy="true" ma:internalName="eShareCountryTaxHTField0" ma:taxonomyFieldName="OECDCountry" ma:displayName="Country" ma:readOnly="false" ma:default="" ma:fieldId="{aa366335-bba6-4f71-86c6-f91b1ae503c2}" ma:taxonomyMulti="true" ma:sspId="27ec883c-a62c-444f-a935-fcddb579e39d" ma:termSetId="e1026e78-e24d-4b33-a8f4-6ff75b8e5a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hareTopicTaxHTField0" ma:index="19" nillable="true" ma:taxonomy="true" ma:internalName="eShareTopicTaxHTField0" ma:taxonomyFieldName="OECDTopic" ma:displayName="Topic" ma:readOnly="false" ma:default="" ma:fieldId="{9b5335f8-765c-484a-86dd-d10580650a95}" ma:taxonomyMulti="true" ma:sspId="27ec883c-a62c-444f-a935-fcddb579e39d" ma:termSetId="d0043ed9-7fdc-4b21-8641-a864cc50d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hareKeywordsTaxHTField0" ma:index="20" nillable="true" ma:taxonomy="true" ma:internalName="eShareKeywordsTaxHTField0" ma:taxonomyFieldName="OECDKeywords" ma:displayName="Keywords" ma:default="" ma:fieldId="{8a7c3663-990d-467c-b1b8-bb4b775674ad}" ma:taxonomyMulti="true" ma:sspId="27ec883c-a62c-444f-a935-fcddb579e39d" ma:termSetId="f51791ee-8e04-4654-a875-fc747102cd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ShareCommitteeTaxHTField0" ma:index="21" nillable="true" ma:taxonomy="true" ma:internalName="eShareCommitteeTaxHTField0" ma:taxonomyFieldName="OECDCommittee" ma:displayName="Committee" ma:fieldId="{29494d90-e667-47b5-adc1-d09dfb5832ab}" ma:sspId="27ec883c-a62c-444f-a935-fcddb579e39d" ma:termSetId="87919aae-be42-4481-84cf-2389a5c84a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harePWBTaxHTField0" ma:index="22" nillable="true" ma:taxonomy="true" ma:internalName="eSharePWBTaxHTField0" ma:taxonomyFieldName="OECDPWB" ma:displayName="PWB" ma:fieldId="{fe327ce1-b783-48aa-9b0b-52ad26d1c9f6}" ma:sspId="27ec883c-a62c-444f-a935-fcddb579e39d" ma:termSetId="7bc7477d-4ef0-4820-a158-bb7b3cda138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2dde9-3436-4d3d-bddd-d3144739003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b313c73-16b7-424d-af27-bacb5b0305bc}" ma:internalName="TaxCatchAll" ma:showField="CatchAllData" ma:web="9e406c50-2549-4f1e-a767-e9b68096b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6" nillable="true" ma:displayName="Taxonomy Catch All Column1" ma:hidden="true" ma:list="{bb313c73-16b7-424d-af27-bacb5b0305bc}" ma:internalName="TaxCatchAllLabel" ma:readOnly="true" ma:showField="CatchAllDataLabel" ma:web="9e406c50-2549-4f1e-a767-e9b68096b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ECDlanguage" ma:index="30" nillable="true" ma:displayName="Document language" ma:default="English" ma:description="" ma:format="Dropdown" ma:hidden="true" ma:internalName="OECDlanguage" ma:readOnly="false">
      <xsd:simpleType>
        <xsd:restriction base="dms:Choice">
          <xsd:enumeration value="English"/>
          <xsd:enumeration value="Frenc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7ec883c-a62c-444f-a935-fcddb579e39d" ContentTypeId="0x0101008B4DD370EC31429186F3AD49F0D3098F00D44DBCB9EB4F45278CB5C9765BE52995" PreviousValue="false"/>
</file>

<file path=customXml/item3.xml><?xml version="1.0" encoding="utf-8"?>
<?mso-contentType ?>
<FormTemplates xmlns="http://schemas.microsoft.com/sharepoint/v3/contenttype/forms">
  <Display>OECDListFormCollapsible</Display>
  <Edit>OECDListFormCollapsible</Edit>
  <New>OECDListFormCollapsible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48437ce2c3c4c508e6dbb232c223ecb xmlns="cf16f947-c9fc-4be9-80b4-2a32b4ac22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CTP/ICA</TermName>
          <TermId xmlns="http://schemas.microsoft.com/office/infopath/2007/PartnerControls">a205d8d6-27c5-4a1c-843f-3682e900f629</TermId>
        </TermInfo>
      </Terms>
    </g48437ce2c3c4c508e6dbb232c223ecb>
    <OECDKimBussinessContext xmlns="54c4cd27-f286-408f-9ce0-33c1e0f3ab39" xsi:nil="true"/>
    <eSharePWBTaxHTField0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3.3.1.1.2 Actions 2 (Hybrids), 3 (CFC), 4 (Interest Deductibility) and 12 (Mandatory Disclosure) Support countries in the implementation of BEPS Action Items 2, 4 and 12, including the development of guidance on key areas Gather data on the implementation</TermName>
          <TermId xmlns="http://schemas.microsoft.com/office/infopath/2007/PartnerControls">4a93a23e-67e2-40dd-8d06-2ba406c82b6a</TermId>
        </TermInfo>
      </Terms>
    </eSharePWBTaxHTField0>
    <OECDlanguage xmlns="ca82dde9-3436-4d3d-bddd-d31447390034">English</OECDlanguage>
    <OECDProjectMembers xmlns="cf16f947-c9fc-4be9-80b4-2a32b4ac226e">
      <UserInfo>
        <DisplayName>NICOLAS Sonia, CTP/TAV</DisplayName>
        <AccountId>189</AccountId>
        <AccountType/>
      </UserInfo>
      <UserInfo>
        <DisplayName>BONNET Felicie, CTP/CBI</DisplayName>
        <AccountId>475</AccountId>
        <AccountType/>
      </UserInfo>
      <UserInfo>
        <DisplayName>PROSS Achim, CTP</DisplayName>
        <AccountId>156</AccountId>
        <AccountType/>
      </UserInfo>
      <UserInfo>
        <DisplayName>MITCHELL Jeff, CTP/CBI</DisplayName>
        <AccountId>2293</AccountId>
        <AccountType/>
      </UserInfo>
      <UserInfo>
        <DisplayName>DE LOS SANTOS Manuel, CTP/CBI</DisplayName>
        <AccountId>474</AccountId>
        <AccountType/>
      </UserInfo>
      <UserInfo>
        <DisplayName>LEE Han Chul, CTP/CBI</DisplayName>
        <AccountId>3166</AccountId>
        <AccountType/>
      </UserInfo>
      <UserInfo>
        <DisplayName>SOLLECITO Andrea, CTP/CBI</DisplayName>
        <AccountId>3222</AccountId>
        <AccountType/>
      </UserInfo>
      <UserInfo>
        <DisplayName>PUIG PIMENTEL Jose, CTP/RMU</DisplayName>
        <AccountId>3466</AccountId>
        <AccountType/>
      </UserInfo>
      <UserInfo>
        <DisplayName>BONTET Maud, CTP/GRD</DisplayName>
        <AccountId>3638</AccountId>
        <AccountType/>
      </UserInfo>
      <UserInfo>
        <DisplayName>STEFANELLI Laura, CTP/GRD</DisplayName>
        <AccountId>232</AccountId>
        <AccountType/>
      </UserInfo>
      <UserInfo>
        <DisplayName>LIU Kaidi, CTP/CBI (EXT)</DisplayName>
        <AccountId>3665</AccountId>
        <AccountType/>
      </UserInfo>
      <UserInfo>
        <DisplayName>HAN Lingyu, CTP/CBI</DisplayName>
        <AccountId>3520</AccountId>
        <AccountType/>
      </UserInfo>
      <UserInfo>
        <DisplayName>SACCOMANNI Maria, CTP/CBI</DisplayName>
        <AccountId>3666</AccountId>
        <AccountType/>
      </UserInfo>
      <UserInfo>
        <DisplayName>DE VRIES Jessica, CTP/CBI</DisplayName>
        <AccountId>643</AccountId>
        <AccountType/>
      </UserInfo>
      <UserInfo>
        <DisplayName>KUA Li-Anne, CTP/CBI</DisplayName>
        <AccountId>3810</AccountId>
        <AccountType/>
      </UserInfo>
      <UserInfo>
        <DisplayName>VOJE Jasna, CTP/TAV</DisplayName>
        <AccountId>3818</AccountId>
        <AccountType/>
      </UserInfo>
      <UserInfo>
        <DisplayName>WIKSTRÖM Krista, CTP/CBI</DisplayName>
        <AccountId>4036</AccountId>
        <AccountType/>
      </UserInfo>
      <UserInfo>
        <DisplayName>ALPSTEN Linus, CTP/ICA</DisplayName>
        <AccountId>4046</AccountId>
        <AccountType/>
      </UserInfo>
      <UserInfo>
        <DisplayName>NAVARRO CATALAN Mariana, CTP/GRD</DisplayName>
        <AccountId>3828</AccountId>
        <AccountType/>
      </UserInfo>
    </OECDProjectMembers>
    <IconOverlay xmlns="http://schemas.microsoft.com/sharepoint/v4" xsi:nil="true"/>
    <OECDPinnedBy xmlns="cf16f947-c9fc-4be9-80b4-2a32b4ac226e">
      <UserInfo>
        <DisplayName/>
        <AccountId xsi:nil="true"/>
        <AccountType/>
      </UserInfo>
    </OECDPinnedBy>
    <OECDProjectManager xmlns="cf16f947-c9fc-4be9-80b4-2a32b4ac226e">
      <UserInfo>
        <DisplayName/>
        <AccountId>263</AccountId>
        <AccountType/>
      </UserInfo>
    </OECDProjectManager>
    <OECDSharingStatus xmlns="cf16f947-c9fc-4be9-80b4-2a32b4ac226e" xsi:nil="true"/>
    <OECDProjectLookup xmlns="cf16f947-c9fc-4be9-80b4-2a32b4ac226e">38</OECDProjectLookup>
    <OECDMeetingDate xmlns="54c4cd27-f286-408f-9ce0-33c1e0f3ab39" xsi:nil="true"/>
    <OECDCommunityDocumentURL xmlns="cf16f947-c9fc-4be9-80b4-2a32b4ac226e" xsi:nil="true"/>
    <OECDTagsCache xmlns="cf16f947-c9fc-4be9-80b4-2a32b4ac226e" xsi:nil="true"/>
    <OECDDeliverableManager xmlns="cf16f947-c9fc-4be9-80b4-2a32b4ac226e">
      <UserInfo>
        <DisplayName/>
        <AccountId xsi:nil="true"/>
        <AccountType/>
      </UserInfo>
    </OECDDeliverableManager>
    <l9a152565aff414c8d842958d210d414 xmlns="cf16f947-c9fc-4be9-80b4-2a32b4ac226e" xsi:nil="true"/>
    <OECDAllRelatedUsers xmlns="9e406c50-2549-4f1e-a767-e9b68096b47b">
      <UserInfo>
        <DisplayName/>
        <AccountId xsi:nil="true"/>
        <AccountType/>
      </UserInfo>
    </OECDAllRelatedUsers>
    <eShareCommitteeTaxHTField0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Party No. 11 on Aggressive Tax Planning</TermName>
          <TermId xmlns="http://schemas.microsoft.com/office/infopath/2007/PartnerControls">da63d4a2-5691-4aab-9ec8-d928eeead023</TermId>
        </TermInfo>
      </Terms>
    </eShareCommitteeTaxHTField0>
    <OECDYear xmlns="54c4cd27-f286-408f-9ce0-33c1e0f3ab39" xsi:nil="true"/>
    <OECDKimProvenance xmlns="54c4cd27-f286-408f-9ce0-33c1e0f3ab39" xsi:nil="true"/>
    <OECDExpirationDate xmlns="9e406c50-2549-4f1e-a767-e9b68096b47b" xsi:nil="true"/>
    <OECDMainProject xmlns="cf16f947-c9fc-4be9-80b4-2a32b4ac226e">36</OECDMainProject>
    <OECDKimStatus xmlns="54c4cd27-f286-408f-9ce0-33c1e0f3ab39">Draft</OECDKimStatus>
    <eShareCountryTaxHTField0 xmlns="c9f238dd-bb73-4aef-a7a5-d644ad823e52">
      <Terms xmlns="http://schemas.microsoft.com/office/infopath/2007/PartnerControls"/>
    </eShareCountryTaxHTField0>
    <eShareTopicTaxHTField0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Aggressive Tax Planning</TermName>
          <TermId xmlns="http://schemas.microsoft.com/office/infopath/2007/PartnerControls">e6c455ad-c5ba-4e71-ac33-b4d5a1b84682</TermId>
        </TermInfo>
      </Terms>
    </eShareTopicTaxHTField0>
    <eShareKeywordsTaxHTField0 xmlns="c9f238dd-bb73-4aef-a7a5-d644ad823e52">
      <Terms xmlns="http://schemas.microsoft.com/office/infopath/2007/PartnerControls"/>
    </eShareKeywordsTaxHTField0>
    <OECDCommunityDocumentID xmlns="cf16f947-c9fc-4be9-80b4-2a32b4ac226e" xsi:nil="true"/>
    <TaxCatchAll xmlns="ca82dde9-3436-4d3d-bddd-d31447390034">
      <Value>559</Value>
      <Value>548</Value>
      <Value>160</Value>
      <Value>560</Value>
    </TaxCatchAll>
    <hfa66f2e5af148f08064c2e62791b306 xmlns="9e406c50-2549-4f1e-a767-e9b68096b47b">
      <Terms xmlns="http://schemas.microsoft.com/office/infopath/2007/PartnerControls"/>
    </hfa66f2e5af148f08064c2e62791b306>
    <eShareHorizProjTaxHTField0 xmlns="9e406c50-2549-4f1e-a767-e9b68096b47b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6.xml><?xml version="1.0" encoding="utf-8"?>
<?mso-contentType ?>
<CtFieldPriority xmlns="http://www.oecd.org/eshare/projectsentre/CtFieldPriority/" xmlns:i="http://www.w3.org/2001/XMLSchema-instance">
  <PriorityFields xmlns:a="http://schemas.microsoft.com/2003/10/Serialization/Arrays">
    <a:string>Title</a:string>
    <a:string>OECDCountry</a:string>
    <a:string>OECDTopic</a:string>
    <a:string>OECDKeywords</a:string>
  </PriorityFields>
</CtFieldPriority>
</file>

<file path=customXml/itemProps1.xml><?xml version="1.0" encoding="utf-8"?>
<ds:datastoreItem xmlns:ds="http://schemas.openxmlformats.org/officeDocument/2006/customXml" ds:itemID="{58FC4E60-BE32-43E2-9EF1-9205F2746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4cd27-f286-408f-9ce0-33c1e0f3ab39"/>
    <ds:schemaRef ds:uri="9e406c50-2549-4f1e-a767-e9b68096b47b"/>
    <ds:schemaRef ds:uri="cf16f947-c9fc-4be9-80b4-2a32b4ac226e"/>
    <ds:schemaRef ds:uri="c9f238dd-bb73-4aef-a7a5-d644ad823e52"/>
    <ds:schemaRef ds:uri="ca82dde9-3436-4d3d-bddd-d3144739003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6B863C-7D5A-4AF5-A0CB-854667BE5B8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5F91C3B-7940-4251-85B1-1E2974AE84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30FD6B-9053-4C02-9EF1-8CC701DD874F}">
  <ds:schemaRefs>
    <ds:schemaRef ds:uri="http://schemas.microsoft.com/office/2006/metadata/properties"/>
    <ds:schemaRef ds:uri="http://schemas.microsoft.com/office/infopath/2007/PartnerControls"/>
    <ds:schemaRef ds:uri="cf16f947-c9fc-4be9-80b4-2a32b4ac226e"/>
    <ds:schemaRef ds:uri="54c4cd27-f286-408f-9ce0-33c1e0f3ab39"/>
    <ds:schemaRef ds:uri="c9f238dd-bb73-4aef-a7a5-d644ad823e52"/>
    <ds:schemaRef ds:uri="ca82dde9-3436-4d3d-bddd-d31447390034"/>
    <ds:schemaRef ds:uri="http://schemas.microsoft.com/sharepoint/v4"/>
    <ds:schemaRef ds:uri="9e406c50-2549-4f1e-a767-e9b68096b47b"/>
  </ds:schemaRefs>
</ds:datastoreItem>
</file>

<file path=customXml/itemProps5.xml><?xml version="1.0" encoding="utf-8"?>
<ds:datastoreItem xmlns:ds="http://schemas.openxmlformats.org/officeDocument/2006/customXml" ds:itemID="{FF9F8ADF-D264-4453-9B71-2991CDF45C7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CC1AF87-72BF-46B6-9F4C-E3CD84B6B461}">
  <ds:schemaRefs>
    <ds:schemaRef ds:uri="http://www.oecd.org/eshare/projectsentre/CtFieldPriority/"/>
    <ds:schemaRef ds:uri="http://schemas.microsoft.com/2003/10/Serialization/Arrays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80</Pages>
  <Words>30476</Words>
  <Characters>173714</Characters>
  <Application>Microsoft Office Word</Application>
  <DocSecurity>0</DocSecurity>
  <Lines>1447</Lines>
  <Paragraphs>407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Author</cp:lastModifiedBy>
  <cp:revision>24</cp:revision>
  <cp:lastPrinted>2026-06-05T13:07:00Z</cp:lastPrinted>
  <dcterms:created xsi:type="dcterms:W3CDTF">2026-06-10T11:28:00Z</dcterms:created>
  <dcterms:modified xsi:type="dcterms:W3CDTF">2026-07-03T09:04:00Z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c84d0c88-f625-4f1d-93ce-3b2697db4ce1</vt:lpwstr>
  </property>
  <property fmtid="{D5CDD505-2E9C-101B-9397-08002B2CF9AE}" pid="3" name="ContentTypeId">
    <vt:lpwstr>0x0101008B4DD370EC31429186F3AD49F0D3098F00D44DBCB9EB4F45278CB5C9765BE5299500A4858B360C6A491AA753F8BCA47AA910002507BED6B5908645AAA96978AD5D1987</vt:lpwstr>
  </property>
  <property fmtid="{D5CDD505-2E9C-101B-9397-08002B2CF9AE}" pid="4" name="ClassificationContentMarkingFooterShapeIds">
    <vt:lpwstr>78b84d6f,5b9c7c36,7c081f75</vt:lpwstr>
  </property>
  <property fmtid="{D5CDD505-2E9C-101B-9397-08002B2CF9AE}" pid="5" name="ClassificationContentMarkingFooterFontProps">
    <vt:lpwstr>#0000ff,10,Calibri</vt:lpwstr>
  </property>
  <property fmtid="{D5CDD505-2E9C-101B-9397-08002B2CF9AE}" pid="6" name="ClassificationContentMarkingFooterText">
    <vt:lpwstr>Restricted Use - À usage restreint</vt:lpwstr>
  </property>
  <property fmtid="{D5CDD505-2E9C-101B-9397-08002B2CF9AE}" pid="7" name="MSIP_Label_0e5510b0-e729-4ef0-a3dd-4ba0dfe56c99_Enabled">
    <vt:lpwstr>true</vt:lpwstr>
  </property>
  <property fmtid="{D5CDD505-2E9C-101B-9397-08002B2CF9AE}" pid="8" name="MSIP_Label_0e5510b0-e729-4ef0-a3dd-4ba0dfe56c99_SetDate">
    <vt:lpwstr>2026-02-11T12:55:24Z</vt:lpwstr>
  </property>
  <property fmtid="{D5CDD505-2E9C-101B-9397-08002B2CF9AE}" pid="9" name="MSIP_Label_0e5510b0-e729-4ef0-a3dd-4ba0dfe56c99_Method">
    <vt:lpwstr>Standard</vt:lpwstr>
  </property>
  <property fmtid="{D5CDD505-2E9C-101B-9397-08002B2CF9AE}" pid="10" name="MSIP_Label_0e5510b0-e729-4ef0-a3dd-4ba0dfe56c99_Name">
    <vt:lpwstr>Restricted Use</vt:lpwstr>
  </property>
  <property fmtid="{D5CDD505-2E9C-101B-9397-08002B2CF9AE}" pid="11" name="MSIP_Label_0e5510b0-e729-4ef0-a3dd-4ba0dfe56c99_SiteId">
    <vt:lpwstr>ac41c7d4-1f61-460d-b0f4-fc925a2b471c</vt:lpwstr>
  </property>
  <property fmtid="{D5CDD505-2E9C-101B-9397-08002B2CF9AE}" pid="12" name="MSIP_Label_0e5510b0-e729-4ef0-a3dd-4ba0dfe56c99_ActionId">
    <vt:lpwstr>da1c1e55-212c-4a3b-baaf-b60fd1d00bce</vt:lpwstr>
  </property>
  <property fmtid="{D5CDD505-2E9C-101B-9397-08002B2CF9AE}" pid="13" name="MSIP_Label_0e5510b0-e729-4ef0-a3dd-4ba0dfe56c99_ContentBits">
    <vt:lpwstr>2</vt:lpwstr>
  </property>
  <property fmtid="{D5CDD505-2E9C-101B-9397-08002B2CF9AE}" pid="14" name="MSIP_Label_0e5510b0-e729-4ef0-a3dd-4ba0dfe56c99_Tag">
    <vt:lpwstr>10, 3, 0, 1</vt:lpwstr>
  </property>
  <property fmtid="{D5CDD505-2E9C-101B-9397-08002B2CF9AE}" pid="15" name="OECDCountry">
    <vt:lpwstr/>
  </property>
  <property fmtid="{D5CDD505-2E9C-101B-9397-08002B2CF9AE}" pid="16" name="OECDTopic">
    <vt:lpwstr>559;#Aggressive Tax Planning|e6c455ad-c5ba-4e71-ac33-b4d5a1b84682</vt:lpwstr>
  </property>
  <property fmtid="{D5CDD505-2E9C-101B-9397-08002B2CF9AE}" pid="17" name="OECDCommittee">
    <vt:lpwstr>560;#Working Party No. 11 on Aggressive Tax Planning|da63d4a2-5691-4aab-9ec8-d928eeead023</vt:lpwstr>
  </property>
  <property fmtid="{D5CDD505-2E9C-101B-9397-08002B2CF9AE}" pid="18" name="OECDPWB">
    <vt:lpwstr>548;#3.3.1.1.2 Actions 2 (Hybrids), 3 (CFC), 4 (Interest Deductibility) and 12 (Mandatory Disclosure) Support countries in the implementation of BEPS Action Items 2, 4 and 12, including the development of guidance on key areas Gather data on the implement</vt:lpwstr>
  </property>
  <property fmtid="{D5CDD505-2E9C-101B-9397-08002B2CF9AE}" pid="19" name="OECDKeywords">
    <vt:lpwstr/>
  </property>
  <property fmtid="{D5CDD505-2E9C-101B-9397-08002B2CF9AE}" pid="20" name="OECDHorizontalProjects">
    <vt:lpwstr/>
  </property>
  <property fmtid="{D5CDD505-2E9C-101B-9397-08002B2CF9AE}" pid="21" name="OECDProjectOwnerStructure">
    <vt:lpwstr>160;#CTP/ICA|a205d8d6-27c5-4a1c-843f-3682e900f629</vt:lpwstr>
  </property>
</Properties>
</file>