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4BCA" w14:textId="77777777" w:rsidR="00C421C7" w:rsidRPr="005E6D70" w:rsidRDefault="00C421C7" w:rsidP="006C6732">
      <w:pPr>
        <w:pStyle w:val="BodyText"/>
        <w:ind w:left="0" w:firstLine="0"/>
        <w:rPr>
          <w:rFonts w:ascii="Times New Roman" w:hAnsi="Times New Roman" w:cs="Times New Roman"/>
          <w:b/>
          <w:bCs/>
          <w:sz w:val="18"/>
          <w:szCs w:val="18"/>
          <w:lang w:val="en-US"/>
        </w:rPr>
      </w:pPr>
    </w:p>
    <w:p w14:paraId="6E88CBE4" w14:textId="77777777" w:rsidR="00C421C7" w:rsidRPr="005E6D70" w:rsidRDefault="00C421C7" w:rsidP="006C6732">
      <w:pPr>
        <w:pStyle w:val="BodyText"/>
        <w:ind w:left="361"/>
        <w:jc w:val="center"/>
        <w:rPr>
          <w:rFonts w:ascii="Times New Roman" w:hAnsi="Times New Roman" w:cs="Times New Roman"/>
          <w:b/>
          <w:bCs/>
          <w:sz w:val="18"/>
          <w:szCs w:val="18"/>
          <w:lang w:val="en-US"/>
        </w:rPr>
      </w:pPr>
      <w:bookmarkStart w:id="0" w:name="_Hlk231381714"/>
    </w:p>
    <w:p w14:paraId="1F69D40D" w14:textId="459613B9" w:rsidR="00922FEB" w:rsidRPr="005E6D70" w:rsidRDefault="00922FEB" w:rsidP="00595172">
      <w:pPr>
        <w:pStyle w:val="BodyText"/>
        <w:ind w:left="361" w:right="232"/>
        <w:jc w:val="center"/>
        <w:rPr>
          <w:rFonts w:ascii="Times New Roman" w:hAnsi="Times New Roman" w:cs="Times New Roman"/>
          <w:b/>
          <w:bCs/>
          <w:sz w:val="18"/>
          <w:szCs w:val="18"/>
          <w:lang w:val="en-US"/>
        </w:rPr>
      </w:pPr>
      <w:r w:rsidRPr="005E6D70">
        <w:rPr>
          <w:rFonts w:ascii="Times New Roman" w:hAnsi="Times New Roman" w:cs="Times New Roman"/>
          <w:b/>
          <w:bCs/>
          <w:sz w:val="18"/>
          <w:szCs w:val="18"/>
          <w:lang w:val="en-US"/>
        </w:rPr>
        <w:t>TRANSPOSITION TABLE</w:t>
      </w:r>
    </w:p>
    <w:p w14:paraId="1A5A5175" w14:textId="77777777" w:rsidR="006C6732" w:rsidRPr="005E6D70" w:rsidRDefault="006C6732" w:rsidP="006C6732">
      <w:pPr>
        <w:pStyle w:val="BodyText"/>
        <w:ind w:left="361"/>
        <w:jc w:val="center"/>
        <w:rPr>
          <w:rFonts w:ascii="Times New Roman" w:hAnsi="Times New Roman" w:cs="Times New Roman"/>
          <w:b/>
          <w:bCs/>
          <w:sz w:val="18"/>
          <w:szCs w:val="18"/>
          <w:lang w:val="en-US"/>
        </w:rPr>
      </w:pPr>
    </w:p>
    <w:tbl>
      <w:tblPr>
        <w:tblStyle w:val="TableGrid"/>
        <w:tblW w:w="15480" w:type="dxa"/>
        <w:tblInd w:w="-635" w:type="dxa"/>
        <w:tblLayout w:type="fixed"/>
        <w:tblLook w:val="04A0" w:firstRow="1" w:lastRow="0" w:firstColumn="1" w:lastColumn="0" w:noHBand="0" w:noVBand="1"/>
      </w:tblPr>
      <w:tblGrid>
        <w:gridCol w:w="810"/>
        <w:gridCol w:w="180"/>
        <w:gridCol w:w="4860"/>
        <w:gridCol w:w="810"/>
        <w:gridCol w:w="180"/>
        <w:gridCol w:w="810"/>
        <w:gridCol w:w="270"/>
        <w:gridCol w:w="4410"/>
        <w:gridCol w:w="270"/>
        <w:gridCol w:w="1530"/>
        <w:gridCol w:w="1350"/>
      </w:tblGrid>
      <w:tr w:rsidR="0088332E" w:rsidRPr="005E6D70" w14:paraId="70A68739" w14:textId="77777777" w:rsidTr="00073B1B">
        <w:trPr>
          <w:cantSplit/>
        </w:trPr>
        <w:tc>
          <w:tcPr>
            <w:tcW w:w="990" w:type="dxa"/>
            <w:gridSpan w:val="2"/>
          </w:tcPr>
          <w:p w14:paraId="6E0F7ED7" w14:textId="77777777" w:rsidR="003B3ACA" w:rsidRPr="005E6D70" w:rsidRDefault="003B3ACA" w:rsidP="006645AC">
            <w:pPr>
              <w:pStyle w:val="Heading1"/>
              <w:jc w:val="both"/>
              <w:rPr>
                <w:rFonts w:ascii="Times New Roman" w:hAnsi="Times New Roman" w:cs="Times New Roman"/>
                <w:b/>
                <w:bCs/>
                <w:color w:val="auto"/>
                <w:sz w:val="18"/>
                <w:szCs w:val="18"/>
                <w:lang w:val="en-US"/>
              </w:rPr>
            </w:pPr>
          </w:p>
        </w:tc>
        <w:tc>
          <w:tcPr>
            <w:tcW w:w="4860" w:type="dxa"/>
          </w:tcPr>
          <w:p w14:paraId="1CF64BA9" w14:textId="77777777" w:rsidR="00031D37" w:rsidRPr="005E6D70" w:rsidRDefault="00031D37" w:rsidP="006645AC">
            <w:pPr>
              <w:pStyle w:val="Heading1"/>
              <w:jc w:val="both"/>
              <w:rPr>
                <w:rFonts w:ascii="Times New Roman" w:hAnsi="Times New Roman" w:cs="Times New Roman"/>
                <w:b/>
                <w:bCs/>
                <w:color w:val="auto"/>
                <w:sz w:val="18"/>
                <w:szCs w:val="18"/>
                <w:lang w:val="en-US"/>
              </w:rPr>
            </w:pPr>
            <w:r w:rsidRPr="005E6D70">
              <w:rPr>
                <w:rFonts w:ascii="Times New Roman" w:hAnsi="Times New Roman" w:cs="Times New Roman"/>
                <w:b/>
                <w:bCs/>
                <w:color w:val="auto"/>
                <w:sz w:val="18"/>
                <w:szCs w:val="18"/>
                <w:lang w:val="en-US"/>
              </w:rPr>
              <w:t>European Union legislation:</w:t>
            </w:r>
          </w:p>
          <w:p w14:paraId="061B259F" w14:textId="77777777" w:rsidR="00031D37" w:rsidRPr="005E6D70" w:rsidRDefault="00031D37" w:rsidP="00031D37">
            <w:pPr>
              <w:pStyle w:val="Heading1"/>
              <w:spacing w:before="0"/>
              <w:jc w:val="both"/>
              <w:rPr>
                <w:rFonts w:ascii="Times New Roman" w:hAnsi="Times New Roman" w:cs="Times New Roman"/>
                <w:b/>
                <w:bCs/>
                <w:color w:val="auto"/>
                <w:sz w:val="18"/>
                <w:szCs w:val="18"/>
                <w:lang w:val="en-US"/>
              </w:rPr>
            </w:pPr>
          </w:p>
          <w:p w14:paraId="51D2EBF2" w14:textId="3EE70DA6" w:rsidR="003B3ACA" w:rsidRPr="005E6D70" w:rsidRDefault="00124C0B" w:rsidP="00031D37">
            <w:pPr>
              <w:pStyle w:val="Heading1"/>
              <w:spacing w:before="0"/>
              <w:jc w:val="both"/>
              <w:rPr>
                <w:rFonts w:ascii="Times New Roman" w:hAnsi="Times New Roman" w:cs="Times New Roman"/>
                <w:b/>
                <w:bCs/>
                <w:color w:val="auto"/>
                <w:sz w:val="18"/>
                <w:szCs w:val="18"/>
                <w:lang w:val="en-US"/>
              </w:rPr>
            </w:pPr>
            <w:r w:rsidRPr="005E6D70">
              <w:rPr>
                <w:rFonts w:ascii="Times New Roman" w:hAnsi="Times New Roman" w:cs="Times New Roman"/>
                <w:b/>
                <w:bCs/>
                <w:color w:val="auto"/>
                <w:sz w:val="18"/>
                <w:szCs w:val="18"/>
                <w:lang w:val="en-US"/>
              </w:rPr>
              <w:t xml:space="preserve">1. </w:t>
            </w:r>
            <w:r w:rsidR="00EA4099" w:rsidRPr="005E6D70">
              <w:rPr>
                <w:rFonts w:ascii="Times New Roman" w:hAnsi="Times New Roman" w:cs="Times New Roman"/>
                <w:b/>
                <w:bCs/>
                <w:color w:val="auto"/>
                <w:sz w:val="18"/>
                <w:szCs w:val="18"/>
                <w:lang w:val="en-US"/>
              </w:rPr>
              <w:t>Council Directive (EU) 2022/2523 of 14 December 2022 on ensuring a global minimum level of taxation for multinational enterprise groups and large-scale domestic groups in the Union</w:t>
            </w:r>
            <w:r w:rsidR="003B3ACA" w:rsidRPr="005E6D70">
              <w:rPr>
                <w:rStyle w:val="FootnoteReference"/>
                <w:rFonts w:ascii="Times New Roman" w:hAnsi="Times New Roman" w:cs="Times New Roman"/>
                <w:b/>
                <w:bCs/>
                <w:color w:val="auto"/>
                <w:sz w:val="18"/>
                <w:szCs w:val="18"/>
                <w:lang w:val="en-US"/>
              </w:rPr>
              <w:footnoteReference w:id="1"/>
            </w:r>
          </w:p>
        </w:tc>
        <w:tc>
          <w:tcPr>
            <w:tcW w:w="9630" w:type="dxa"/>
            <w:gridSpan w:val="8"/>
          </w:tcPr>
          <w:p w14:paraId="2913A08B" w14:textId="77777777" w:rsidR="003B3ACA" w:rsidRPr="005E6D70" w:rsidRDefault="003B3ACA" w:rsidP="006C6732">
            <w:pPr>
              <w:rPr>
                <w:rFonts w:ascii="Times New Roman" w:eastAsia="Calibri" w:hAnsi="Times New Roman" w:cs="Times New Roman"/>
                <w:b/>
                <w:bCs/>
                <w:sz w:val="18"/>
                <w:szCs w:val="18"/>
                <w:lang w:val="en-US"/>
              </w:rPr>
            </w:pPr>
          </w:p>
          <w:p w14:paraId="24016225" w14:textId="25F452A7" w:rsidR="003B3ACA" w:rsidRPr="005E6D70" w:rsidRDefault="003B3ACA" w:rsidP="006C6732">
            <w:pPr>
              <w:rPr>
                <w:rFonts w:ascii="Times New Roman" w:eastAsia="Calibri" w:hAnsi="Times New Roman" w:cs="Times New Roman"/>
                <w:b/>
                <w:bCs/>
                <w:sz w:val="18"/>
                <w:szCs w:val="18"/>
                <w:lang w:val="en-US"/>
              </w:rPr>
            </w:pPr>
            <w:r w:rsidRPr="005E6D70">
              <w:rPr>
                <w:rFonts w:ascii="Times New Roman" w:eastAsia="Calibri" w:hAnsi="Times New Roman" w:cs="Times New Roman"/>
                <w:b/>
                <w:bCs/>
                <w:sz w:val="18"/>
                <w:szCs w:val="18"/>
                <w:lang w:val="en-US"/>
              </w:rPr>
              <w:t>Albanian legislation:</w:t>
            </w:r>
          </w:p>
          <w:p w14:paraId="027AB2F2" w14:textId="77777777" w:rsidR="003B3ACA" w:rsidRPr="005E6D70" w:rsidRDefault="003B3ACA" w:rsidP="006C6732">
            <w:pPr>
              <w:rPr>
                <w:rFonts w:ascii="Times New Roman" w:eastAsia="Calibri" w:hAnsi="Times New Roman" w:cs="Times New Roman"/>
                <w:b/>
                <w:bCs/>
                <w:sz w:val="18"/>
                <w:szCs w:val="18"/>
                <w:lang w:val="en-US"/>
              </w:rPr>
            </w:pPr>
          </w:p>
          <w:p w14:paraId="641EF7B6" w14:textId="46BCF5A9" w:rsidR="003B3ACA" w:rsidRPr="005E6D70" w:rsidRDefault="00124C0B" w:rsidP="006C6732">
            <w:pPr>
              <w:rPr>
                <w:rFonts w:ascii="Times New Roman" w:eastAsia="Calibri" w:hAnsi="Times New Roman" w:cs="Times New Roman"/>
                <w:b/>
                <w:bCs/>
                <w:sz w:val="18"/>
                <w:szCs w:val="18"/>
                <w:lang w:val="en-US"/>
              </w:rPr>
            </w:pPr>
            <w:r w:rsidRPr="005E6D70">
              <w:rPr>
                <w:rFonts w:ascii="Times New Roman" w:eastAsia="Calibri" w:hAnsi="Times New Roman" w:cs="Times New Roman"/>
                <w:b/>
                <w:bCs/>
                <w:sz w:val="18"/>
                <w:szCs w:val="18"/>
                <w:lang w:val="en-US"/>
              </w:rPr>
              <w:t xml:space="preserve">1. </w:t>
            </w:r>
            <w:r w:rsidR="003B3ACA" w:rsidRPr="005E6D70">
              <w:rPr>
                <w:rFonts w:ascii="Times New Roman" w:eastAsia="Calibri" w:hAnsi="Times New Roman" w:cs="Times New Roman"/>
                <w:b/>
                <w:bCs/>
                <w:sz w:val="18"/>
                <w:szCs w:val="18"/>
                <w:lang w:val="en-US"/>
              </w:rPr>
              <w:t>Draft-law “</w:t>
            </w:r>
            <w:r w:rsidR="006F5866" w:rsidRPr="005E6D70">
              <w:rPr>
                <w:rFonts w:ascii="Times New Roman" w:eastAsia="Calibri" w:hAnsi="Times New Roman" w:cs="Times New Roman"/>
                <w:b/>
                <w:bCs/>
                <w:sz w:val="18"/>
                <w:szCs w:val="18"/>
                <w:lang w:val="en-US"/>
              </w:rPr>
              <w:t>On ensuring a global minimum level of taxation for multinational enterprise groups and large-scale domestic groups</w:t>
            </w:r>
            <w:r w:rsidR="003B3ACA" w:rsidRPr="005E6D70">
              <w:rPr>
                <w:rFonts w:ascii="Times New Roman" w:eastAsia="Calibri" w:hAnsi="Times New Roman" w:cs="Times New Roman"/>
                <w:b/>
                <w:bCs/>
                <w:sz w:val="18"/>
                <w:szCs w:val="18"/>
                <w:lang w:val="en-US"/>
              </w:rPr>
              <w:t>”</w:t>
            </w:r>
          </w:p>
          <w:p w14:paraId="01292420" w14:textId="77777777" w:rsidR="003B3ACA" w:rsidRPr="005E6D70" w:rsidRDefault="003B3ACA" w:rsidP="0061029B">
            <w:pPr>
              <w:rPr>
                <w:rFonts w:ascii="Times New Roman" w:eastAsia="Calibri" w:hAnsi="Times New Roman" w:cs="Times New Roman"/>
                <w:b/>
                <w:bCs/>
                <w:sz w:val="18"/>
                <w:szCs w:val="18"/>
                <w:lang w:val="en-US"/>
              </w:rPr>
            </w:pPr>
          </w:p>
          <w:p w14:paraId="7D74D386" w14:textId="77777777" w:rsidR="003B3ACA" w:rsidRPr="005E6D70" w:rsidRDefault="003B3ACA" w:rsidP="006C6732">
            <w:pPr>
              <w:rPr>
                <w:rFonts w:ascii="Times New Roman" w:eastAsia="Calibri" w:hAnsi="Times New Roman" w:cs="Times New Roman"/>
                <w:b/>
                <w:bCs/>
                <w:sz w:val="18"/>
                <w:szCs w:val="18"/>
                <w:lang w:val="en-US"/>
              </w:rPr>
            </w:pPr>
            <w:r w:rsidRPr="005E6D70">
              <w:rPr>
                <w:rFonts w:ascii="Times New Roman" w:eastAsia="Calibri" w:hAnsi="Times New Roman" w:cs="Times New Roman"/>
                <w:b/>
                <w:bCs/>
                <w:sz w:val="18"/>
                <w:szCs w:val="18"/>
                <w:lang w:val="en-US"/>
              </w:rPr>
              <w:t>The overall degree of approximation with the national legislation:</w:t>
            </w:r>
          </w:p>
          <w:p w14:paraId="05E3B837" w14:textId="77777777" w:rsidR="003B3ACA" w:rsidRPr="005E6D70" w:rsidRDefault="003B3ACA" w:rsidP="006C6732">
            <w:pPr>
              <w:rPr>
                <w:rFonts w:ascii="Times New Roman" w:eastAsia="Calibri" w:hAnsi="Times New Roman" w:cs="Times New Roman"/>
                <w:b/>
                <w:bCs/>
                <w:sz w:val="18"/>
                <w:szCs w:val="18"/>
                <w:lang w:val="en-US"/>
              </w:rPr>
            </w:pPr>
            <w:r w:rsidRPr="005E6D70">
              <w:rPr>
                <w:rFonts w:ascii="Times New Roman" w:eastAsia="Calibri" w:hAnsi="Times New Roman" w:cs="Times New Roman"/>
                <w:b/>
                <w:bCs/>
                <w:sz w:val="18"/>
                <w:szCs w:val="18"/>
                <w:lang w:val="en-US"/>
              </w:rPr>
              <w:t>F - full compliance</w:t>
            </w:r>
          </w:p>
          <w:p w14:paraId="0C1EC544" w14:textId="77777777" w:rsidR="003B3ACA" w:rsidRPr="005E6D70" w:rsidRDefault="003B3ACA" w:rsidP="006C6732">
            <w:pPr>
              <w:rPr>
                <w:rFonts w:ascii="Times New Roman" w:eastAsia="Calibri" w:hAnsi="Times New Roman" w:cs="Times New Roman"/>
                <w:b/>
                <w:bCs/>
                <w:sz w:val="18"/>
                <w:szCs w:val="18"/>
                <w:lang w:val="en-US"/>
              </w:rPr>
            </w:pPr>
            <w:r w:rsidRPr="005E6D70">
              <w:rPr>
                <w:rFonts w:ascii="Times New Roman" w:eastAsia="Calibri" w:hAnsi="Times New Roman" w:cs="Times New Roman"/>
                <w:b/>
                <w:bCs/>
                <w:sz w:val="18"/>
                <w:szCs w:val="18"/>
                <w:lang w:val="en-US"/>
              </w:rPr>
              <w:t>P - partial compliance</w:t>
            </w:r>
          </w:p>
          <w:p w14:paraId="1190637D" w14:textId="77777777" w:rsidR="003B3ACA" w:rsidRPr="005E6D70" w:rsidRDefault="003B3ACA" w:rsidP="006C6732">
            <w:pPr>
              <w:rPr>
                <w:rFonts w:ascii="Times New Roman" w:eastAsia="Calibri" w:hAnsi="Times New Roman" w:cs="Times New Roman"/>
                <w:b/>
                <w:bCs/>
                <w:sz w:val="18"/>
                <w:szCs w:val="18"/>
                <w:lang w:val="en-US"/>
              </w:rPr>
            </w:pPr>
            <w:r w:rsidRPr="005E6D70">
              <w:rPr>
                <w:rFonts w:ascii="Times New Roman" w:eastAsia="Calibri" w:hAnsi="Times New Roman" w:cs="Times New Roman"/>
                <w:b/>
                <w:bCs/>
                <w:sz w:val="18"/>
                <w:szCs w:val="18"/>
                <w:lang w:val="en-US"/>
              </w:rPr>
              <w:t>N - non compliance</w:t>
            </w:r>
          </w:p>
          <w:p w14:paraId="01C7FFA1" w14:textId="1382666C" w:rsidR="003B3ACA" w:rsidRPr="005E6D70" w:rsidRDefault="003B3ACA" w:rsidP="006C6732">
            <w:pPr>
              <w:rPr>
                <w:rFonts w:ascii="Times New Roman" w:eastAsia="Calibri" w:hAnsi="Times New Roman" w:cs="Times New Roman"/>
                <w:sz w:val="18"/>
                <w:szCs w:val="18"/>
                <w:lang w:val="en-US"/>
              </w:rPr>
            </w:pPr>
          </w:p>
        </w:tc>
      </w:tr>
      <w:tr w:rsidR="0088332E" w:rsidRPr="005E6D70" w14:paraId="5B0A8ADB" w14:textId="77777777" w:rsidTr="00073B1B">
        <w:tc>
          <w:tcPr>
            <w:tcW w:w="990" w:type="dxa"/>
            <w:gridSpan w:val="2"/>
            <w:shd w:val="clear" w:color="auto" w:fill="AEAAAA" w:themeFill="background2" w:themeFillShade="BF"/>
          </w:tcPr>
          <w:p w14:paraId="4B5514EC" w14:textId="77777777" w:rsidR="001E4694" w:rsidRPr="005E6D70" w:rsidRDefault="001E4694" w:rsidP="00BE757D">
            <w:pPr>
              <w:jc w:val="center"/>
              <w:rPr>
                <w:rFonts w:ascii="Times New Roman" w:eastAsia="Calibri" w:hAnsi="Times New Roman" w:cs="Times New Roman"/>
                <w:b/>
                <w:sz w:val="18"/>
                <w:szCs w:val="18"/>
                <w:lang w:val="en-US"/>
              </w:rPr>
            </w:pPr>
          </w:p>
          <w:p w14:paraId="2FDA588F" w14:textId="77777777" w:rsidR="001E4694" w:rsidRPr="005E6D70" w:rsidRDefault="001E4694" w:rsidP="00BE757D">
            <w:pPr>
              <w:jc w:val="center"/>
              <w:rPr>
                <w:rFonts w:ascii="Times New Roman" w:eastAsia="Calibri" w:hAnsi="Times New Roman" w:cs="Times New Roman"/>
                <w:b/>
                <w:sz w:val="18"/>
                <w:szCs w:val="18"/>
                <w:lang w:val="en-US"/>
              </w:rPr>
            </w:pPr>
            <w:r w:rsidRPr="005E6D70">
              <w:rPr>
                <w:rFonts w:ascii="Times New Roman" w:eastAsia="Calibri" w:hAnsi="Times New Roman" w:cs="Times New Roman"/>
                <w:b/>
                <w:sz w:val="18"/>
                <w:szCs w:val="18"/>
                <w:lang w:val="en-US"/>
              </w:rPr>
              <w:t>1</w:t>
            </w:r>
          </w:p>
          <w:p w14:paraId="067A108A" w14:textId="61670710" w:rsidR="00BE757D" w:rsidRPr="005E6D70" w:rsidRDefault="00BE757D" w:rsidP="00BE757D">
            <w:pPr>
              <w:jc w:val="center"/>
              <w:rPr>
                <w:rFonts w:ascii="Times New Roman" w:eastAsia="Calibri" w:hAnsi="Times New Roman" w:cs="Times New Roman"/>
                <w:b/>
                <w:sz w:val="18"/>
                <w:szCs w:val="18"/>
                <w:lang w:val="en-US"/>
              </w:rPr>
            </w:pPr>
          </w:p>
        </w:tc>
        <w:tc>
          <w:tcPr>
            <w:tcW w:w="4860" w:type="dxa"/>
            <w:shd w:val="clear" w:color="auto" w:fill="AEAAAA" w:themeFill="background2" w:themeFillShade="BF"/>
          </w:tcPr>
          <w:p w14:paraId="24D8B87B" w14:textId="4886D571" w:rsidR="001E4694" w:rsidRPr="005E6D70" w:rsidRDefault="001E4694" w:rsidP="00BE757D">
            <w:pPr>
              <w:jc w:val="center"/>
              <w:rPr>
                <w:rFonts w:ascii="Times New Roman" w:eastAsia="Calibri" w:hAnsi="Times New Roman" w:cs="Times New Roman"/>
                <w:b/>
                <w:bCs/>
                <w:sz w:val="18"/>
                <w:szCs w:val="18"/>
                <w:lang w:val="en-US"/>
              </w:rPr>
            </w:pPr>
          </w:p>
          <w:p w14:paraId="08FDFCCD" w14:textId="54643F2E" w:rsidR="001E4694" w:rsidRPr="005E6D70" w:rsidRDefault="001E4694" w:rsidP="00BE757D">
            <w:pPr>
              <w:jc w:val="center"/>
              <w:rPr>
                <w:rFonts w:ascii="Times New Roman" w:eastAsia="Calibri" w:hAnsi="Times New Roman" w:cs="Times New Roman"/>
                <w:sz w:val="18"/>
                <w:szCs w:val="18"/>
                <w:lang w:val="en-US"/>
              </w:rPr>
            </w:pPr>
            <w:r w:rsidRPr="005E6D70">
              <w:rPr>
                <w:rFonts w:ascii="Times New Roman" w:eastAsia="Calibri" w:hAnsi="Times New Roman" w:cs="Times New Roman"/>
                <w:b/>
                <w:bCs/>
                <w:sz w:val="18"/>
                <w:szCs w:val="18"/>
                <w:lang w:val="en-US"/>
              </w:rPr>
              <w:t>2</w:t>
            </w:r>
          </w:p>
        </w:tc>
        <w:tc>
          <w:tcPr>
            <w:tcW w:w="990" w:type="dxa"/>
            <w:gridSpan w:val="2"/>
            <w:shd w:val="clear" w:color="auto" w:fill="AEAAAA" w:themeFill="background2" w:themeFillShade="BF"/>
          </w:tcPr>
          <w:p w14:paraId="01B9C38F" w14:textId="6381E368" w:rsidR="001E4694" w:rsidRPr="005E6D70" w:rsidRDefault="001E4694" w:rsidP="00BE757D">
            <w:pPr>
              <w:jc w:val="center"/>
              <w:rPr>
                <w:rFonts w:ascii="Times New Roman" w:eastAsia="Calibri" w:hAnsi="Times New Roman" w:cs="Times New Roman"/>
                <w:sz w:val="18"/>
                <w:szCs w:val="18"/>
                <w:lang w:val="en-US"/>
              </w:rPr>
            </w:pPr>
          </w:p>
          <w:p w14:paraId="0CBE9174" w14:textId="77B727B7" w:rsidR="001E4694" w:rsidRPr="005E6D70" w:rsidRDefault="001E4694" w:rsidP="00BE757D">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b/>
                <w:bCs/>
                <w:sz w:val="18"/>
                <w:szCs w:val="18"/>
                <w:lang w:val="en-US"/>
              </w:rPr>
              <w:t>3</w:t>
            </w:r>
          </w:p>
        </w:tc>
        <w:tc>
          <w:tcPr>
            <w:tcW w:w="1080" w:type="dxa"/>
            <w:gridSpan w:val="2"/>
            <w:shd w:val="clear" w:color="auto" w:fill="AEAAAA" w:themeFill="background2" w:themeFillShade="BF"/>
          </w:tcPr>
          <w:p w14:paraId="6ED31E90" w14:textId="77777777" w:rsidR="001E4694" w:rsidRPr="005E6D70" w:rsidRDefault="001E4694" w:rsidP="00BE757D">
            <w:pPr>
              <w:jc w:val="center"/>
              <w:rPr>
                <w:rFonts w:ascii="Times New Roman" w:eastAsia="Calibri" w:hAnsi="Times New Roman" w:cs="Times New Roman"/>
                <w:b/>
                <w:bCs/>
                <w:sz w:val="18"/>
                <w:szCs w:val="18"/>
                <w:lang w:val="en-US"/>
              </w:rPr>
            </w:pPr>
          </w:p>
          <w:p w14:paraId="05DEC3AB" w14:textId="487B8540" w:rsidR="001E4694" w:rsidRPr="005E6D70" w:rsidRDefault="001E4694" w:rsidP="00BE757D">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b/>
                <w:bCs/>
                <w:sz w:val="18"/>
                <w:szCs w:val="18"/>
                <w:lang w:val="en-US"/>
              </w:rPr>
              <w:t>4</w:t>
            </w:r>
          </w:p>
        </w:tc>
        <w:tc>
          <w:tcPr>
            <w:tcW w:w="4680" w:type="dxa"/>
            <w:gridSpan w:val="2"/>
            <w:shd w:val="clear" w:color="auto" w:fill="AEAAAA" w:themeFill="background2" w:themeFillShade="BF"/>
          </w:tcPr>
          <w:p w14:paraId="4F5AEDCF" w14:textId="77777777" w:rsidR="001E4694" w:rsidRPr="005E6D70" w:rsidRDefault="001E4694" w:rsidP="00BE757D">
            <w:pPr>
              <w:jc w:val="center"/>
              <w:rPr>
                <w:rFonts w:ascii="Times New Roman" w:eastAsia="Calibri" w:hAnsi="Times New Roman" w:cs="Times New Roman"/>
                <w:b/>
                <w:bCs/>
                <w:sz w:val="18"/>
                <w:szCs w:val="18"/>
                <w:lang w:val="en-US"/>
              </w:rPr>
            </w:pPr>
          </w:p>
          <w:p w14:paraId="4E053742" w14:textId="45B3C623" w:rsidR="001E4694" w:rsidRPr="005E6D70" w:rsidRDefault="001E4694" w:rsidP="00BE757D">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b/>
                <w:bCs/>
                <w:sz w:val="18"/>
                <w:szCs w:val="18"/>
                <w:lang w:val="en-US"/>
              </w:rPr>
              <w:t>5</w:t>
            </w:r>
          </w:p>
        </w:tc>
        <w:tc>
          <w:tcPr>
            <w:tcW w:w="1530" w:type="dxa"/>
            <w:shd w:val="clear" w:color="auto" w:fill="AEAAAA" w:themeFill="background2" w:themeFillShade="BF"/>
          </w:tcPr>
          <w:p w14:paraId="7DBFF0DF" w14:textId="77777777" w:rsidR="001E4694" w:rsidRPr="005E6D70" w:rsidRDefault="001E4694" w:rsidP="00BE757D">
            <w:pPr>
              <w:jc w:val="center"/>
              <w:rPr>
                <w:rFonts w:ascii="Times New Roman" w:eastAsia="Calibri" w:hAnsi="Times New Roman" w:cs="Times New Roman"/>
                <w:b/>
                <w:sz w:val="18"/>
                <w:szCs w:val="18"/>
                <w:lang w:val="en-US"/>
              </w:rPr>
            </w:pPr>
          </w:p>
          <w:p w14:paraId="3925CB66" w14:textId="1CC4F70C" w:rsidR="001E4694" w:rsidRPr="005E6D70" w:rsidRDefault="001E4694" w:rsidP="00BE757D">
            <w:pPr>
              <w:jc w:val="center"/>
              <w:rPr>
                <w:rFonts w:ascii="Times New Roman" w:eastAsia="Calibri" w:hAnsi="Times New Roman" w:cs="Times New Roman"/>
                <w:b/>
                <w:sz w:val="18"/>
                <w:szCs w:val="18"/>
                <w:lang w:val="en-US"/>
              </w:rPr>
            </w:pPr>
            <w:r w:rsidRPr="005E6D70">
              <w:rPr>
                <w:rFonts w:ascii="Times New Roman" w:eastAsia="Calibri" w:hAnsi="Times New Roman" w:cs="Times New Roman"/>
                <w:b/>
                <w:sz w:val="18"/>
                <w:szCs w:val="18"/>
                <w:lang w:val="en-US"/>
              </w:rPr>
              <w:t>6</w:t>
            </w:r>
          </w:p>
        </w:tc>
        <w:tc>
          <w:tcPr>
            <w:tcW w:w="1350" w:type="dxa"/>
            <w:shd w:val="clear" w:color="auto" w:fill="AEAAAA" w:themeFill="background2" w:themeFillShade="BF"/>
          </w:tcPr>
          <w:p w14:paraId="62F42517" w14:textId="77777777" w:rsidR="001E4694" w:rsidRPr="005E6D70" w:rsidRDefault="001E4694" w:rsidP="00BE757D">
            <w:pPr>
              <w:jc w:val="center"/>
              <w:rPr>
                <w:rFonts w:ascii="Times New Roman" w:eastAsia="Calibri" w:hAnsi="Times New Roman" w:cs="Times New Roman"/>
                <w:b/>
                <w:bCs/>
                <w:sz w:val="18"/>
                <w:szCs w:val="18"/>
                <w:lang w:val="en-US"/>
              </w:rPr>
            </w:pPr>
          </w:p>
          <w:p w14:paraId="79F8DB86" w14:textId="4B464207" w:rsidR="001E4694" w:rsidRPr="005E6D70" w:rsidRDefault="001E4694" w:rsidP="00BE757D">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b/>
                <w:bCs/>
                <w:sz w:val="18"/>
                <w:szCs w:val="18"/>
                <w:lang w:val="en-US"/>
              </w:rPr>
              <w:t>7</w:t>
            </w:r>
          </w:p>
        </w:tc>
      </w:tr>
      <w:tr w:rsidR="0088332E" w:rsidRPr="005E6D70" w14:paraId="1B39F8C3" w14:textId="77777777" w:rsidTr="00073B1B">
        <w:tc>
          <w:tcPr>
            <w:tcW w:w="990" w:type="dxa"/>
            <w:gridSpan w:val="2"/>
            <w:shd w:val="clear" w:color="auto" w:fill="AEAAAA" w:themeFill="background2" w:themeFillShade="BF"/>
          </w:tcPr>
          <w:p w14:paraId="3AF9C2CF" w14:textId="77777777" w:rsidR="001E4694" w:rsidRPr="005E6D70" w:rsidRDefault="001E4694" w:rsidP="00BE757D">
            <w:pPr>
              <w:jc w:val="center"/>
              <w:rPr>
                <w:rFonts w:ascii="Times New Roman" w:eastAsia="Calibri" w:hAnsi="Times New Roman" w:cs="Times New Roman"/>
                <w:b/>
                <w:sz w:val="18"/>
                <w:szCs w:val="18"/>
                <w:lang w:val="en-US"/>
              </w:rPr>
            </w:pPr>
          </w:p>
          <w:p w14:paraId="2E4914E5" w14:textId="77777777" w:rsidR="001E4694" w:rsidRPr="005E6D70" w:rsidRDefault="001E4694" w:rsidP="00BE757D">
            <w:pPr>
              <w:jc w:val="center"/>
              <w:rPr>
                <w:rFonts w:ascii="Times New Roman" w:eastAsia="Calibri" w:hAnsi="Times New Roman" w:cs="Times New Roman"/>
                <w:b/>
                <w:i/>
                <w:iCs/>
                <w:sz w:val="18"/>
                <w:szCs w:val="18"/>
                <w:lang w:val="en-US"/>
              </w:rPr>
            </w:pPr>
            <w:r w:rsidRPr="005E6D70">
              <w:rPr>
                <w:rFonts w:ascii="Times New Roman" w:eastAsia="Calibri" w:hAnsi="Times New Roman" w:cs="Times New Roman"/>
                <w:b/>
                <w:i/>
                <w:iCs/>
                <w:sz w:val="18"/>
                <w:szCs w:val="18"/>
                <w:lang w:val="en-US"/>
              </w:rPr>
              <w:t>Article</w:t>
            </w:r>
          </w:p>
          <w:p w14:paraId="653933ED" w14:textId="1DB81B3D" w:rsidR="00BE757D" w:rsidRPr="005E6D70" w:rsidRDefault="00BE757D" w:rsidP="00BE757D">
            <w:pPr>
              <w:jc w:val="center"/>
              <w:rPr>
                <w:rFonts w:ascii="Times New Roman" w:eastAsia="Calibri" w:hAnsi="Times New Roman" w:cs="Times New Roman"/>
                <w:b/>
                <w:i/>
                <w:iCs/>
                <w:sz w:val="18"/>
                <w:szCs w:val="18"/>
                <w:lang w:val="en-US"/>
              </w:rPr>
            </w:pPr>
          </w:p>
        </w:tc>
        <w:tc>
          <w:tcPr>
            <w:tcW w:w="4860" w:type="dxa"/>
            <w:shd w:val="clear" w:color="auto" w:fill="AEAAAA" w:themeFill="background2" w:themeFillShade="BF"/>
          </w:tcPr>
          <w:p w14:paraId="776AB9BB" w14:textId="77777777" w:rsidR="001E4694" w:rsidRPr="005E6D70" w:rsidRDefault="001E4694" w:rsidP="00BE757D">
            <w:pPr>
              <w:jc w:val="center"/>
              <w:rPr>
                <w:rFonts w:ascii="Times New Roman" w:eastAsia="Calibri" w:hAnsi="Times New Roman" w:cs="Times New Roman"/>
                <w:b/>
                <w:bCs/>
                <w:i/>
                <w:iCs/>
                <w:sz w:val="18"/>
                <w:szCs w:val="18"/>
                <w:lang w:val="en-US"/>
              </w:rPr>
            </w:pPr>
          </w:p>
          <w:p w14:paraId="057D725B" w14:textId="5B195F52" w:rsidR="001E4694" w:rsidRPr="005E6D70" w:rsidRDefault="001E4694" w:rsidP="00BE757D">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b/>
                <w:bCs/>
                <w:i/>
                <w:iCs/>
                <w:sz w:val="18"/>
                <w:szCs w:val="18"/>
                <w:lang w:val="en-US"/>
              </w:rPr>
              <w:t>Text</w:t>
            </w:r>
          </w:p>
        </w:tc>
        <w:tc>
          <w:tcPr>
            <w:tcW w:w="990" w:type="dxa"/>
            <w:gridSpan w:val="2"/>
            <w:shd w:val="clear" w:color="auto" w:fill="AEAAAA" w:themeFill="background2" w:themeFillShade="BF"/>
          </w:tcPr>
          <w:p w14:paraId="6917A42D" w14:textId="77777777" w:rsidR="00BE757D" w:rsidRPr="005E6D70" w:rsidRDefault="00BE757D" w:rsidP="00BE757D">
            <w:pPr>
              <w:jc w:val="center"/>
              <w:rPr>
                <w:rFonts w:ascii="Times New Roman" w:eastAsia="Calibri" w:hAnsi="Times New Roman" w:cs="Times New Roman"/>
                <w:b/>
                <w:bCs/>
                <w:i/>
                <w:iCs/>
                <w:sz w:val="18"/>
                <w:szCs w:val="18"/>
                <w:lang w:val="en-US"/>
              </w:rPr>
            </w:pPr>
          </w:p>
          <w:p w14:paraId="6EF4D0C2" w14:textId="0B62D1CF" w:rsidR="001E4694" w:rsidRPr="005E6D70" w:rsidRDefault="001E4694" w:rsidP="00BE757D">
            <w:pPr>
              <w:jc w:val="center"/>
              <w:rPr>
                <w:rFonts w:ascii="Times New Roman" w:eastAsia="Calibri" w:hAnsi="Times New Roman" w:cs="Times New Roman"/>
                <w:b/>
                <w:bCs/>
                <w:i/>
                <w:iCs/>
                <w:sz w:val="18"/>
                <w:szCs w:val="18"/>
                <w:lang w:val="en-US"/>
              </w:rPr>
            </w:pPr>
            <w:r w:rsidRPr="005E6D70">
              <w:rPr>
                <w:rFonts w:ascii="Times New Roman" w:eastAsia="Calibri" w:hAnsi="Times New Roman" w:cs="Times New Roman"/>
                <w:b/>
                <w:bCs/>
                <w:i/>
                <w:iCs/>
                <w:sz w:val="18"/>
                <w:szCs w:val="18"/>
                <w:lang w:val="en-US"/>
              </w:rPr>
              <w:t>Reference</w:t>
            </w:r>
          </w:p>
        </w:tc>
        <w:tc>
          <w:tcPr>
            <w:tcW w:w="1080" w:type="dxa"/>
            <w:gridSpan w:val="2"/>
            <w:shd w:val="clear" w:color="auto" w:fill="AEAAAA" w:themeFill="background2" w:themeFillShade="BF"/>
          </w:tcPr>
          <w:p w14:paraId="2762D1D7" w14:textId="77777777" w:rsidR="001E4694" w:rsidRPr="005E6D70" w:rsidRDefault="001E4694" w:rsidP="00BE757D">
            <w:pPr>
              <w:jc w:val="center"/>
              <w:rPr>
                <w:rFonts w:ascii="Times New Roman" w:eastAsia="Calibri" w:hAnsi="Times New Roman" w:cs="Times New Roman"/>
                <w:b/>
                <w:bCs/>
                <w:i/>
                <w:iCs/>
                <w:sz w:val="18"/>
                <w:szCs w:val="18"/>
                <w:lang w:val="en-US"/>
              </w:rPr>
            </w:pPr>
          </w:p>
          <w:p w14:paraId="40F98A07" w14:textId="0FCF8660" w:rsidR="001E4694" w:rsidRPr="005E6D70" w:rsidRDefault="001E4694" w:rsidP="00BE757D">
            <w:pPr>
              <w:jc w:val="center"/>
              <w:rPr>
                <w:rFonts w:ascii="Times New Roman" w:eastAsia="Calibri" w:hAnsi="Times New Roman" w:cs="Times New Roman"/>
                <w:sz w:val="18"/>
                <w:szCs w:val="18"/>
                <w:lang w:val="en-US"/>
              </w:rPr>
            </w:pPr>
            <w:r w:rsidRPr="005E6D70">
              <w:rPr>
                <w:rFonts w:ascii="Times New Roman" w:eastAsia="Calibri" w:hAnsi="Times New Roman" w:cs="Times New Roman"/>
                <w:b/>
                <w:bCs/>
                <w:i/>
                <w:iCs/>
                <w:sz w:val="18"/>
                <w:szCs w:val="18"/>
                <w:lang w:val="en-US"/>
              </w:rPr>
              <w:t>Article</w:t>
            </w:r>
          </w:p>
        </w:tc>
        <w:tc>
          <w:tcPr>
            <w:tcW w:w="4680" w:type="dxa"/>
            <w:gridSpan w:val="2"/>
            <w:shd w:val="clear" w:color="auto" w:fill="AEAAAA" w:themeFill="background2" w:themeFillShade="BF"/>
          </w:tcPr>
          <w:p w14:paraId="66B47A3A" w14:textId="77777777" w:rsidR="001E4694" w:rsidRPr="005E6D70" w:rsidRDefault="001E4694" w:rsidP="00BE757D">
            <w:pPr>
              <w:jc w:val="center"/>
              <w:rPr>
                <w:rFonts w:ascii="Times New Roman" w:eastAsia="Calibri" w:hAnsi="Times New Roman" w:cs="Times New Roman"/>
                <w:b/>
                <w:bCs/>
                <w:i/>
                <w:iCs/>
                <w:sz w:val="18"/>
                <w:szCs w:val="18"/>
                <w:lang w:val="en-US"/>
              </w:rPr>
            </w:pPr>
          </w:p>
          <w:p w14:paraId="40310995" w14:textId="377A7267" w:rsidR="001E4694" w:rsidRPr="005E6D70" w:rsidRDefault="001E4694" w:rsidP="00BE757D">
            <w:pPr>
              <w:jc w:val="center"/>
              <w:rPr>
                <w:rFonts w:ascii="Times New Roman" w:eastAsia="Calibri" w:hAnsi="Times New Roman" w:cs="Times New Roman"/>
                <w:b/>
                <w:bCs/>
                <w:i/>
                <w:iCs/>
                <w:sz w:val="18"/>
                <w:szCs w:val="18"/>
                <w:lang w:val="en-US"/>
              </w:rPr>
            </w:pPr>
            <w:r w:rsidRPr="005E6D70">
              <w:rPr>
                <w:rFonts w:ascii="Times New Roman" w:eastAsia="Calibri" w:hAnsi="Times New Roman" w:cs="Times New Roman"/>
                <w:b/>
                <w:bCs/>
                <w:i/>
                <w:iCs/>
                <w:sz w:val="18"/>
                <w:szCs w:val="18"/>
                <w:lang w:val="en-US"/>
              </w:rPr>
              <w:t>Text</w:t>
            </w:r>
          </w:p>
        </w:tc>
        <w:tc>
          <w:tcPr>
            <w:tcW w:w="1530" w:type="dxa"/>
            <w:shd w:val="clear" w:color="auto" w:fill="AEAAAA" w:themeFill="background2" w:themeFillShade="BF"/>
          </w:tcPr>
          <w:p w14:paraId="733488F4" w14:textId="77777777" w:rsidR="001E4694" w:rsidRPr="005E6D70" w:rsidRDefault="001E4694" w:rsidP="00BE757D">
            <w:pPr>
              <w:jc w:val="center"/>
              <w:rPr>
                <w:rFonts w:ascii="Times New Roman" w:eastAsia="Calibri" w:hAnsi="Times New Roman" w:cs="Times New Roman"/>
                <w:b/>
                <w:i/>
                <w:iCs/>
                <w:sz w:val="18"/>
                <w:szCs w:val="18"/>
                <w:lang w:val="en-US"/>
              </w:rPr>
            </w:pPr>
          </w:p>
          <w:p w14:paraId="34496735" w14:textId="78F1E6EA" w:rsidR="001E4694" w:rsidRPr="005E6D70" w:rsidRDefault="001E4694" w:rsidP="00BE757D">
            <w:pPr>
              <w:jc w:val="center"/>
              <w:rPr>
                <w:rFonts w:ascii="Times New Roman" w:eastAsia="Calibri" w:hAnsi="Times New Roman" w:cs="Times New Roman"/>
                <w:b/>
                <w:i/>
                <w:iCs/>
                <w:sz w:val="18"/>
                <w:szCs w:val="18"/>
                <w:lang w:val="en-US"/>
              </w:rPr>
            </w:pPr>
            <w:r w:rsidRPr="005E6D70">
              <w:rPr>
                <w:rFonts w:ascii="Times New Roman" w:eastAsia="Calibri" w:hAnsi="Times New Roman" w:cs="Times New Roman"/>
                <w:b/>
                <w:i/>
                <w:iCs/>
                <w:sz w:val="18"/>
                <w:szCs w:val="18"/>
                <w:lang w:val="en-US"/>
              </w:rPr>
              <w:t>Compliance</w:t>
            </w:r>
          </w:p>
        </w:tc>
        <w:tc>
          <w:tcPr>
            <w:tcW w:w="1350" w:type="dxa"/>
            <w:shd w:val="clear" w:color="auto" w:fill="AEAAAA" w:themeFill="background2" w:themeFillShade="BF"/>
          </w:tcPr>
          <w:p w14:paraId="4D875A71" w14:textId="77777777" w:rsidR="001E4694" w:rsidRPr="005E6D70" w:rsidRDefault="001E4694" w:rsidP="00BE757D">
            <w:pPr>
              <w:jc w:val="center"/>
              <w:rPr>
                <w:rFonts w:ascii="Times New Roman" w:eastAsia="Calibri" w:hAnsi="Times New Roman" w:cs="Times New Roman"/>
                <w:b/>
                <w:bCs/>
                <w:i/>
                <w:iCs/>
                <w:sz w:val="18"/>
                <w:szCs w:val="18"/>
                <w:lang w:val="en-US"/>
              </w:rPr>
            </w:pPr>
          </w:p>
          <w:p w14:paraId="7F091A11" w14:textId="6F83A53E" w:rsidR="001E4694" w:rsidRPr="005E6D70" w:rsidRDefault="001E4694" w:rsidP="00BE757D">
            <w:pPr>
              <w:jc w:val="center"/>
              <w:rPr>
                <w:rFonts w:ascii="Times New Roman" w:eastAsia="Calibri" w:hAnsi="Times New Roman" w:cs="Times New Roman"/>
                <w:b/>
                <w:bCs/>
                <w:i/>
                <w:iCs/>
                <w:sz w:val="18"/>
                <w:szCs w:val="18"/>
                <w:lang w:val="en-US"/>
              </w:rPr>
            </w:pPr>
            <w:r w:rsidRPr="005E6D70">
              <w:rPr>
                <w:rFonts w:ascii="Times New Roman" w:eastAsia="Calibri" w:hAnsi="Times New Roman" w:cs="Times New Roman"/>
                <w:b/>
                <w:bCs/>
                <w:i/>
                <w:iCs/>
                <w:sz w:val="18"/>
                <w:szCs w:val="18"/>
                <w:lang w:val="en-US"/>
              </w:rPr>
              <w:t>Notes</w:t>
            </w:r>
          </w:p>
        </w:tc>
      </w:tr>
      <w:tr w:rsidR="0088332E" w:rsidRPr="005E6D70" w14:paraId="3101C841" w14:textId="77777777" w:rsidTr="00073B1B">
        <w:trPr>
          <w:trHeight w:val="449"/>
        </w:trPr>
        <w:tc>
          <w:tcPr>
            <w:tcW w:w="990" w:type="dxa"/>
            <w:gridSpan w:val="2"/>
            <w:shd w:val="clear" w:color="auto" w:fill="92D050"/>
          </w:tcPr>
          <w:p w14:paraId="171C88DE" w14:textId="77777777" w:rsidR="001E4694" w:rsidRPr="005E6D70" w:rsidRDefault="001E4694" w:rsidP="000A7EA3">
            <w:pPr>
              <w:rPr>
                <w:rFonts w:ascii="Times New Roman" w:eastAsia="Calibri" w:hAnsi="Times New Roman" w:cs="Times New Roman"/>
                <w:b/>
                <w:sz w:val="18"/>
                <w:szCs w:val="18"/>
                <w:lang w:val="en-US"/>
              </w:rPr>
            </w:pPr>
          </w:p>
        </w:tc>
        <w:tc>
          <w:tcPr>
            <w:tcW w:w="4860" w:type="dxa"/>
            <w:shd w:val="clear" w:color="auto" w:fill="92D050"/>
          </w:tcPr>
          <w:p w14:paraId="4F874F86" w14:textId="77777777" w:rsidR="001E4694" w:rsidRPr="005E6D70" w:rsidRDefault="001E4694" w:rsidP="001907AC">
            <w:pPr>
              <w:pStyle w:val="Heading1"/>
              <w:spacing w:before="0"/>
              <w:rPr>
                <w:rFonts w:ascii="Times New Roman" w:eastAsia="Calibri" w:hAnsi="Times New Roman" w:cs="Times New Roman"/>
                <w:b/>
                <w:bCs/>
                <w:color w:val="auto"/>
                <w:sz w:val="18"/>
                <w:szCs w:val="18"/>
                <w:lang w:val="en-US"/>
              </w:rPr>
            </w:pPr>
            <w:bookmarkStart w:id="1" w:name="_Toc216435513"/>
            <w:r w:rsidRPr="005E6D70">
              <w:rPr>
                <w:rFonts w:ascii="Times New Roman" w:eastAsia="Calibri" w:hAnsi="Times New Roman" w:cs="Times New Roman"/>
                <w:color w:val="auto"/>
                <w:sz w:val="18"/>
                <w:szCs w:val="18"/>
                <w:lang w:val="en-US"/>
              </w:rPr>
              <w:t>CHAPTER I</w:t>
            </w:r>
            <w:r w:rsidRPr="005E6D70">
              <w:rPr>
                <w:rFonts w:ascii="Times New Roman" w:eastAsia="Calibri" w:hAnsi="Times New Roman" w:cs="Times New Roman"/>
                <w:b/>
                <w:bCs/>
                <w:color w:val="auto"/>
                <w:sz w:val="18"/>
                <w:szCs w:val="18"/>
                <w:lang w:val="en-US"/>
              </w:rPr>
              <w:t xml:space="preserve"> </w:t>
            </w:r>
            <w:bookmarkEnd w:id="1"/>
          </w:p>
          <w:p w14:paraId="54C094BA" w14:textId="1502B767" w:rsidR="001E4694" w:rsidRPr="005E6D70" w:rsidRDefault="001E4694" w:rsidP="000A7EA3">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GENERAL PROVISIONS</w:t>
            </w:r>
          </w:p>
        </w:tc>
        <w:tc>
          <w:tcPr>
            <w:tcW w:w="990" w:type="dxa"/>
            <w:gridSpan w:val="2"/>
            <w:shd w:val="clear" w:color="auto" w:fill="92D050"/>
          </w:tcPr>
          <w:p w14:paraId="4950B37F" w14:textId="3145C0A9" w:rsidR="001E4694" w:rsidRPr="005E6D70" w:rsidRDefault="007E78EB" w:rsidP="007E7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shd w:val="clear" w:color="auto" w:fill="92D050"/>
          </w:tcPr>
          <w:p w14:paraId="4039FF8E" w14:textId="396A8AF5" w:rsidR="001E4694" w:rsidRPr="005E6D70" w:rsidRDefault="001E4694" w:rsidP="000A7EA3">
            <w:pPr>
              <w:rPr>
                <w:rFonts w:ascii="Times New Roman" w:eastAsia="Calibri" w:hAnsi="Times New Roman" w:cs="Times New Roman"/>
                <w:sz w:val="18"/>
                <w:szCs w:val="18"/>
                <w:lang w:val="en-US"/>
              </w:rPr>
            </w:pPr>
          </w:p>
        </w:tc>
        <w:tc>
          <w:tcPr>
            <w:tcW w:w="4680" w:type="dxa"/>
            <w:gridSpan w:val="2"/>
            <w:shd w:val="clear" w:color="auto" w:fill="92D050"/>
          </w:tcPr>
          <w:p w14:paraId="0E1CE0E5" w14:textId="77777777" w:rsidR="004D6CD1" w:rsidRPr="005E6D70" w:rsidRDefault="004D6CD1"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CHAPTER I</w:t>
            </w:r>
          </w:p>
          <w:p w14:paraId="0C0DB225" w14:textId="6C6B43D2" w:rsidR="001E4694" w:rsidRPr="005E6D70" w:rsidRDefault="004D6CD1"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GENERAL PROVISIONS</w:t>
            </w:r>
          </w:p>
        </w:tc>
        <w:tc>
          <w:tcPr>
            <w:tcW w:w="1530" w:type="dxa"/>
            <w:shd w:val="clear" w:color="auto" w:fill="92D050"/>
          </w:tcPr>
          <w:p w14:paraId="0477FAD4" w14:textId="27E398BB" w:rsidR="001E4694" w:rsidRPr="005E6D70" w:rsidRDefault="00BE757D" w:rsidP="00BE757D">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shd w:val="clear" w:color="auto" w:fill="92D050"/>
          </w:tcPr>
          <w:p w14:paraId="09DE5223" w14:textId="0D0ACCCC" w:rsidR="001E4694" w:rsidRPr="005E6D70" w:rsidRDefault="00786557" w:rsidP="000A7EA3">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Direct structural alignment with the Directive.</w:t>
            </w:r>
          </w:p>
        </w:tc>
      </w:tr>
      <w:bookmarkEnd w:id="0"/>
      <w:tr w:rsidR="0088332E" w:rsidRPr="005E6D70" w14:paraId="6560FCB0" w14:textId="77777777" w:rsidTr="00073B1B">
        <w:tc>
          <w:tcPr>
            <w:tcW w:w="990" w:type="dxa"/>
            <w:gridSpan w:val="2"/>
            <w:shd w:val="clear" w:color="auto" w:fill="D9D9D9" w:themeFill="background1" w:themeFillShade="D9"/>
          </w:tcPr>
          <w:p w14:paraId="2C6C40A7" w14:textId="77777777" w:rsidR="00D41BD2" w:rsidRPr="005E6D70" w:rsidRDefault="00D41BD2" w:rsidP="00D41BD2">
            <w:pPr>
              <w:jc w:val="center"/>
              <w:rPr>
                <w:rFonts w:ascii="Times New Roman" w:eastAsia="Calibri" w:hAnsi="Times New Roman" w:cs="Times New Roman"/>
                <w:i/>
                <w:iCs/>
                <w:sz w:val="18"/>
                <w:szCs w:val="18"/>
                <w:lang w:val="en-US"/>
              </w:rPr>
            </w:pPr>
          </w:p>
        </w:tc>
        <w:tc>
          <w:tcPr>
            <w:tcW w:w="4860" w:type="dxa"/>
            <w:shd w:val="clear" w:color="auto" w:fill="D9D9D9" w:themeFill="background1" w:themeFillShade="D9"/>
          </w:tcPr>
          <w:p w14:paraId="2C98EB7E" w14:textId="3C2BC0F5" w:rsidR="00D41BD2" w:rsidRPr="005E6D70" w:rsidRDefault="00D41BD2" w:rsidP="00D41BD2">
            <w:pPr>
              <w:rPr>
                <w:rFonts w:ascii="Times New Roman" w:eastAsia="Calibri" w:hAnsi="Times New Roman" w:cs="Times New Roman"/>
                <w:sz w:val="18"/>
                <w:szCs w:val="18"/>
                <w:lang w:val="en-US"/>
              </w:rPr>
            </w:pPr>
            <w:bookmarkStart w:id="2" w:name="articolul1"/>
            <w:bookmarkStart w:id="3" w:name="_Toc216435514"/>
            <w:bookmarkEnd w:id="2"/>
            <w:r w:rsidRPr="005E6D70">
              <w:rPr>
                <w:rFonts w:ascii="Times New Roman" w:eastAsia="Calibri" w:hAnsi="Times New Roman" w:cs="Times New Roman"/>
                <w:b/>
                <w:bCs/>
                <w:iCs/>
                <w:sz w:val="18"/>
                <w:szCs w:val="18"/>
                <w:lang w:val="en-US"/>
              </w:rPr>
              <w:t>Article 1</w:t>
            </w:r>
            <w:bookmarkEnd w:id="3"/>
            <w:r w:rsidRPr="005E6D70">
              <w:rPr>
                <w:rFonts w:ascii="Times New Roman" w:eastAsia="Calibri" w:hAnsi="Times New Roman" w:cs="Times New Roman"/>
                <w:b/>
                <w:bCs/>
                <w:iCs/>
                <w:sz w:val="18"/>
                <w:szCs w:val="18"/>
                <w:lang w:val="en-US"/>
              </w:rPr>
              <w:t>. Subject-matter</w:t>
            </w:r>
          </w:p>
        </w:tc>
        <w:tc>
          <w:tcPr>
            <w:tcW w:w="990" w:type="dxa"/>
            <w:gridSpan w:val="2"/>
            <w:shd w:val="clear" w:color="auto" w:fill="D9D9D9" w:themeFill="background1" w:themeFillShade="D9"/>
          </w:tcPr>
          <w:p w14:paraId="63FB219E" w14:textId="446A4234"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shd w:val="clear" w:color="auto" w:fill="D9D9D9" w:themeFill="background1" w:themeFillShade="D9"/>
          </w:tcPr>
          <w:p w14:paraId="373E1C1C" w14:textId="340FB685" w:rsidR="00D41BD2" w:rsidRPr="005E6D70" w:rsidRDefault="006437AB"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4680" w:type="dxa"/>
            <w:gridSpan w:val="2"/>
            <w:shd w:val="clear" w:color="auto" w:fill="D9D9D9" w:themeFill="background1" w:themeFillShade="D9"/>
          </w:tcPr>
          <w:p w14:paraId="64C93E4E" w14:textId="68DA377A" w:rsidR="00D41BD2" w:rsidRPr="005E6D70" w:rsidRDefault="00470417" w:rsidP="00754FB1">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b/>
                <w:bCs/>
                <w:sz w:val="18"/>
                <w:szCs w:val="18"/>
                <w:lang w:val="en-US"/>
              </w:rPr>
              <w:t>Article 1</w:t>
            </w:r>
            <w:r w:rsidR="004670D8" w:rsidRPr="005E6D70">
              <w:rPr>
                <w:rFonts w:ascii="Times New Roman" w:eastAsia="Calibri" w:hAnsi="Times New Roman" w:cs="Times New Roman"/>
                <w:b/>
                <w:bCs/>
                <w:sz w:val="18"/>
                <w:szCs w:val="18"/>
                <w:lang w:val="en-US"/>
              </w:rPr>
              <w:t>.</w:t>
            </w:r>
            <w:r w:rsidRPr="005E6D70">
              <w:rPr>
                <w:rFonts w:ascii="Times New Roman" w:eastAsia="Calibri" w:hAnsi="Times New Roman" w:cs="Times New Roman"/>
                <w:b/>
                <w:bCs/>
                <w:sz w:val="18"/>
                <w:szCs w:val="18"/>
                <w:lang w:val="en-US"/>
              </w:rPr>
              <w:t xml:space="preserve"> Object</w:t>
            </w:r>
          </w:p>
        </w:tc>
        <w:tc>
          <w:tcPr>
            <w:tcW w:w="1530" w:type="dxa"/>
            <w:shd w:val="clear" w:color="auto" w:fill="D9D9D9" w:themeFill="background1" w:themeFillShade="D9"/>
          </w:tcPr>
          <w:p w14:paraId="176811E7" w14:textId="3C2AB771" w:rsidR="00D41BD2" w:rsidRPr="005E6D70" w:rsidRDefault="00D41BD2" w:rsidP="00D41BD2">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shd w:val="clear" w:color="auto" w:fill="D9D9D9" w:themeFill="background1" w:themeFillShade="D9"/>
          </w:tcPr>
          <w:p w14:paraId="0E837D0C" w14:textId="226EC41D" w:rsidR="00D41BD2" w:rsidRPr="005E6D70" w:rsidRDefault="0060448B"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title of the article is adapted to standard national legislative drafting terminology ("Object" instead of "Subject-matter").</w:t>
            </w:r>
          </w:p>
        </w:tc>
      </w:tr>
      <w:tr w:rsidR="00D37F89" w:rsidRPr="005E6D70" w14:paraId="40546224" w14:textId="77777777" w:rsidTr="00073B1B">
        <w:trPr>
          <w:trHeight w:val="638"/>
        </w:trPr>
        <w:tc>
          <w:tcPr>
            <w:tcW w:w="990" w:type="dxa"/>
            <w:gridSpan w:val="2"/>
          </w:tcPr>
          <w:p w14:paraId="20F1E7D8" w14:textId="0539AA25"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1(1)</w:t>
            </w:r>
          </w:p>
        </w:tc>
        <w:tc>
          <w:tcPr>
            <w:tcW w:w="4860" w:type="dxa"/>
          </w:tcPr>
          <w:p w14:paraId="6A028A72" w14:textId="0759FC7B" w:rsidR="00D41BD2" w:rsidRPr="005E6D70" w:rsidRDefault="00D41BD2" w:rsidP="00D41BD2">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This Directive establishes common measures for the minimum effective taxation of multinational enterprise (MNE) groups and large-scale domestic groups in the form of:</w:t>
            </w:r>
          </w:p>
        </w:tc>
        <w:tc>
          <w:tcPr>
            <w:tcW w:w="990" w:type="dxa"/>
            <w:gridSpan w:val="2"/>
            <w:tcBorders>
              <w:bottom w:val="single" w:sz="4" w:space="0" w:color="auto"/>
            </w:tcBorders>
          </w:tcPr>
          <w:p w14:paraId="7D7DB452" w14:textId="3B7AAFBD"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Borders>
              <w:bottom w:val="single" w:sz="4" w:space="0" w:color="auto"/>
            </w:tcBorders>
          </w:tcPr>
          <w:p w14:paraId="5A7B969D" w14:textId="76394D28" w:rsidR="00D41BD2" w:rsidRPr="005E6D70" w:rsidRDefault="003D62A6" w:rsidP="00D41BD2">
            <w:pP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1</w:t>
            </w:r>
          </w:p>
        </w:tc>
        <w:tc>
          <w:tcPr>
            <w:tcW w:w="4680" w:type="dxa"/>
            <w:gridSpan w:val="2"/>
            <w:tcBorders>
              <w:bottom w:val="single" w:sz="4" w:space="0" w:color="auto"/>
            </w:tcBorders>
          </w:tcPr>
          <w:p w14:paraId="524DE35E" w14:textId="588FF1D7" w:rsidR="00D41BD2" w:rsidRPr="005E6D70" w:rsidRDefault="008A070B"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This Law establishes the legal framework for ensuring a minimum effective level of taxation of 15% for multinational enterprise groups and large-scale domestic groups operating in the Republic of Albania, through the following rules:</w:t>
            </w:r>
          </w:p>
        </w:tc>
        <w:tc>
          <w:tcPr>
            <w:tcW w:w="1530" w:type="dxa"/>
            <w:tcBorders>
              <w:bottom w:val="single" w:sz="4" w:space="0" w:color="auto"/>
            </w:tcBorders>
          </w:tcPr>
          <w:p w14:paraId="1118814A" w14:textId="4DCC48FC" w:rsidR="00D41BD2" w:rsidRPr="005E6D70" w:rsidRDefault="00D41BD2" w:rsidP="00D41BD2">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Borders>
              <w:bottom w:val="single" w:sz="4" w:space="0" w:color="auto"/>
            </w:tcBorders>
          </w:tcPr>
          <w:p w14:paraId="7424BC30" w14:textId="69F5AB1B" w:rsidR="00D41BD2" w:rsidRPr="005E6D70" w:rsidRDefault="0007119D"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introductory provision is structurally adapted into the main preamble of Article 1. The general term 'Directive' is transposed as 'Law', while the explicit 15% threshold and the specific national territorial scope have been accurately integrated to reflect domestic application.</w:t>
            </w:r>
          </w:p>
        </w:tc>
      </w:tr>
      <w:tr w:rsidR="00D37F89" w:rsidRPr="005E6D70" w14:paraId="09BEA8A8" w14:textId="77777777" w:rsidTr="00073B1B">
        <w:trPr>
          <w:trHeight w:val="791"/>
        </w:trPr>
        <w:tc>
          <w:tcPr>
            <w:tcW w:w="990" w:type="dxa"/>
            <w:gridSpan w:val="2"/>
          </w:tcPr>
          <w:p w14:paraId="234927A4" w14:textId="00BDE527"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1(1)(a)</w:t>
            </w:r>
          </w:p>
        </w:tc>
        <w:tc>
          <w:tcPr>
            <w:tcW w:w="4860" w:type="dxa"/>
          </w:tcPr>
          <w:p w14:paraId="7CC31488" w14:textId="141F90D5" w:rsidR="00D41BD2" w:rsidRPr="005E6D70" w:rsidRDefault="00D41BD2" w:rsidP="00D41BD2">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an income inclusion rule (IIR) in accordance with which a parent entity of an MNE group or of a large-scale domestic group computes and pays its allocable share of top-up tax in respect of the low-taxed constituent entities of the group; and</w:t>
            </w:r>
          </w:p>
        </w:tc>
        <w:tc>
          <w:tcPr>
            <w:tcW w:w="990" w:type="dxa"/>
            <w:gridSpan w:val="2"/>
            <w:tcBorders>
              <w:bottom w:val="single" w:sz="4" w:space="0" w:color="auto"/>
            </w:tcBorders>
          </w:tcPr>
          <w:p w14:paraId="517ABC72" w14:textId="6CB4C03F"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Borders>
              <w:bottom w:val="single" w:sz="4" w:space="0" w:color="auto"/>
            </w:tcBorders>
          </w:tcPr>
          <w:p w14:paraId="6C9C334F" w14:textId="5B5F6B2F" w:rsidR="00D41BD2" w:rsidRPr="005E6D70" w:rsidRDefault="004F61E8" w:rsidP="00D41BD2">
            <w:pP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1(a)</w:t>
            </w:r>
          </w:p>
        </w:tc>
        <w:tc>
          <w:tcPr>
            <w:tcW w:w="4680" w:type="dxa"/>
            <w:gridSpan w:val="2"/>
            <w:tcBorders>
              <w:bottom w:val="single" w:sz="4" w:space="0" w:color="auto"/>
            </w:tcBorders>
          </w:tcPr>
          <w:p w14:paraId="3F694BFE" w14:textId="05E59706" w:rsidR="00D41BD2" w:rsidRPr="005E6D70" w:rsidRDefault="009B0104"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a) an income inclusion rule (IIR), under which </w:t>
            </w:r>
            <w:r w:rsidR="00CF11E5" w:rsidRPr="005E6D70">
              <w:rPr>
                <w:rFonts w:ascii="Times New Roman" w:eastAsia="Calibri" w:hAnsi="Times New Roman" w:cs="Times New Roman"/>
                <w:sz w:val="18"/>
                <w:szCs w:val="18"/>
                <w:lang w:val="en-US"/>
              </w:rPr>
              <w:t>a</w:t>
            </w:r>
            <w:r w:rsidRPr="005E6D70">
              <w:rPr>
                <w:rFonts w:ascii="Times New Roman" w:eastAsia="Calibri" w:hAnsi="Times New Roman" w:cs="Times New Roman"/>
                <w:sz w:val="18"/>
                <w:szCs w:val="18"/>
                <w:lang w:val="en-US"/>
              </w:rPr>
              <w:t xml:space="preserve"> parent entity of a multinational enterprise group or of a large-scale domestic group shall compute and pay its allocable share of top-up tax in respect of the low-taxed constituent entities of the group;</w:t>
            </w:r>
          </w:p>
        </w:tc>
        <w:tc>
          <w:tcPr>
            <w:tcW w:w="1530" w:type="dxa"/>
            <w:tcBorders>
              <w:bottom w:val="single" w:sz="4" w:space="0" w:color="auto"/>
            </w:tcBorders>
          </w:tcPr>
          <w:p w14:paraId="45953780" w14:textId="3118CAB5" w:rsidR="00D41BD2" w:rsidRPr="005E6D70" w:rsidRDefault="00D41BD2" w:rsidP="00D41BD2">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Borders>
              <w:bottom w:val="single" w:sz="4" w:space="0" w:color="auto"/>
            </w:tcBorders>
          </w:tcPr>
          <w:p w14:paraId="087EF661" w14:textId="234FB351" w:rsidR="00D41BD2" w:rsidRPr="005E6D70" w:rsidRDefault="009B0104"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34357F57" w14:textId="77777777" w:rsidTr="00073B1B">
        <w:trPr>
          <w:trHeight w:val="881"/>
        </w:trPr>
        <w:tc>
          <w:tcPr>
            <w:tcW w:w="990" w:type="dxa"/>
            <w:gridSpan w:val="2"/>
          </w:tcPr>
          <w:p w14:paraId="65F45E80" w14:textId="537FD9AF"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1(1)(b)</w:t>
            </w:r>
          </w:p>
          <w:p w14:paraId="50642370" w14:textId="77777777" w:rsidR="00D41BD2" w:rsidRPr="005E6D70" w:rsidRDefault="00D41BD2" w:rsidP="00D41BD2">
            <w:pPr>
              <w:jc w:val="center"/>
              <w:rPr>
                <w:rFonts w:ascii="Times New Roman" w:eastAsia="Calibri" w:hAnsi="Times New Roman" w:cs="Times New Roman"/>
                <w:sz w:val="18"/>
                <w:szCs w:val="18"/>
                <w:lang w:val="en-US"/>
              </w:rPr>
            </w:pPr>
          </w:p>
          <w:p w14:paraId="074180DF" w14:textId="77777777" w:rsidR="00D41BD2" w:rsidRPr="005E6D70" w:rsidRDefault="00D41BD2" w:rsidP="00D41BD2">
            <w:pPr>
              <w:jc w:val="center"/>
              <w:rPr>
                <w:rFonts w:ascii="Times New Roman" w:eastAsia="Calibri" w:hAnsi="Times New Roman" w:cs="Times New Roman"/>
                <w:sz w:val="18"/>
                <w:szCs w:val="18"/>
                <w:lang w:val="en-US"/>
              </w:rPr>
            </w:pPr>
          </w:p>
          <w:p w14:paraId="2E24A742" w14:textId="7AD938E0" w:rsidR="00D41BD2" w:rsidRPr="005E6D70" w:rsidRDefault="00D41BD2" w:rsidP="00D41BD2">
            <w:pPr>
              <w:rPr>
                <w:rFonts w:ascii="Times New Roman" w:eastAsia="Calibri" w:hAnsi="Times New Roman" w:cs="Times New Roman"/>
                <w:sz w:val="18"/>
                <w:szCs w:val="18"/>
                <w:lang w:val="en-US"/>
              </w:rPr>
            </w:pPr>
          </w:p>
        </w:tc>
        <w:tc>
          <w:tcPr>
            <w:tcW w:w="4860" w:type="dxa"/>
          </w:tcPr>
          <w:p w14:paraId="52FD9362" w14:textId="3815CF41" w:rsidR="00D41BD2" w:rsidRPr="005E6D70" w:rsidRDefault="00D41BD2" w:rsidP="00D41BD2">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an undertaxed profit rule (UTPR) in accordance with which a constituent entity of an MNE group has an additional cash tax expense equal to\ its share of top-up tax that was not charged under the IIR in respect of the low-taxed constituent entities of the group.</w:t>
            </w:r>
          </w:p>
        </w:tc>
        <w:tc>
          <w:tcPr>
            <w:tcW w:w="990" w:type="dxa"/>
            <w:gridSpan w:val="2"/>
            <w:tcBorders>
              <w:bottom w:val="single" w:sz="4" w:space="0" w:color="auto"/>
            </w:tcBorders>
          </w:tcPr>
          <w:p w14:paraId="34023D72" w14:textId="6D4021E0"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Borders>
              <w:bottom w:val="single" w:sz="4" w:space="0" w:color="auto"/>
            </w:tcBorders>
          </w:tcPr>
          <w:p w14:paraId="54FC110F" w14:textId="4A72D05E" w:rsidR="00D41BD2" w:rsidRPr="005E6D70" w:rsidRDefault="00284C5B" w:rsidP="00D41BD2">
            <w:pP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1(b)</w:t>
            </w:r>
          </w:p>
        </w:tc>
        <w:tc>
          <w:tcPr>
            <w:tcW w:w="4680" w:type="dxa"/>
            <w:gridSpan w:val="2"/>
            <w:tcBorders>
              <w:bottom w:val="single" w:sz="4" w:space="0" w:color="auto"/>
            </w:tcBorders>
          </w:tcPr>
          <w:p w14:paraId="652753B3" w14:textId="1329F5FF" w:rsidR="00D41BD2" w:rsidRPr="005E6D70" w:rsidRDefault="00284C5B"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an undertaxed profit rule (UTPR), under which a constituent entity of a multinational enterprise group shall be subject to an additional cash tax expense equal to its share of the top-up tax that was not charged under the IIR in respect of the low-taxed constituent entities of the group; and</w:t>
            </w:r>
          </w:p>
        </w:tc>
        <w:tc>
          <w:tcPr>
            <w:tcW w:w="1530" w:type="dxa"/>
            <w:tcBorders>
              <w:bottom w:val="single" w:sz="4" w:space="0" w:color="auto"/>
            </w:tcBorders>
          </w:tcPr>
          <w:p w14:paraId="30C2DF68" w14:textId="1F254F75" w:rsidR="00D41BD2" w:rsidRPr="005E6D70" w:rsidRDefault="00D41BD2" w:rsidP="00D41BD2">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Borders>
              <w:bottom w:val="single" w:sz="4" w:space="0" w:color="auto"/>
            </w:tcBorders>
          </w:tcPr>
          <w:p w14:paraId="3F016968" w14:textId="1AB61369" w:rsidR="00D41BD2" w:rsidRPr="005E6D70" w:rsidRDefault="00284C5B"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3489C287" w14:textId="77777777" w:rsidTr="00073B1B">
        <w:tc>
          <w:tcPr>
            <w:tcW w:w="990" w:type="dxa"/>
            <w:gridSpan w:val="2"/>
          </w:tcPr>
          <w:p w14:paraId="254C8400" w14:textId="704B5834" w:rsidR="00D41BD2" w:rsidRPr="005E6D70" w:rsidRDefault="00D41BD2" w:rsidP="00D41BD2">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1(2)</w:t>
            </w:r>
          </w:p>
        </w:tc>
        <w:tc>
          <w:tcPr>
            <w:tcW w:w="4860" w:type="dxa"/>
          </w:tcPr>
          <w:p w14:paraId="7528180E" w14:textId="77777777" w:rsidR="00D41BD2" w:rsidRPr="005E6D70" w:rsidRDefault="00D41BD2" w:rsidP="00D41BD2">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Member States may elect to apply a qualified domestic top-up tax in accordance with which top-up tax shall be computed and paid</w:t>
            </w:r>
          </w:p>
          <w:p w14:paraId="15369AAF" w14:textId="1E2FD8C9" w:rsidR="00D41BD2" w:rsidRPr="005E6D70" w:rsidRDefault="00D41BD2" w:rsidP="00D41BD2">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on the excess profit of all the low-taxed constituent entities located in their jurisdiction pursuant to this Directive.</w:t>
            </w:r>
          </w:p>
        </w:tc>
        <w:tc>
          <w:tcPr>
            <w:tcW w:w="990" w:type="dxa"/>
            <w:gridSpan w:val="2"/>
          </w:tcPr>
          <w:p w14:paraId="140F5969" w14:textId="50608B48" w:rsidR="00D41BD2" w:rsidRPr="005E6D70" w:rsidRDefault="00D41BD2" w:rsidP="00D41BD2">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BE5DBC6" w14:textId="0DDF8BDF" w:rsidR="00D41BD2" w:rsidRPr="005E6D70" w:rsidRDefault="00284C5B" w:rsidP="00D41BD2">
            <w:pP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1(c)</w:t>
            </w:r>
          </w:p>
        </w:tc>
        <w:tc>
          <w:tcPr>
            <w:tcW w:w="4680" w:type="dxa"/>
            <w:gridSpan w:val="2"/>
          </w:tcPr>
          <w:p w14:paraId="2C2D1179" w14:textId="0D2A696E" w:rsidR="00D41BD2" w:rsidRPr="005E6D70" w:rsidRDefault="00284C5B"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c) a qualified domestic top-up tax (QDMTT), under which a top-up tax shall be computed and paid on the excess profits of all low-taxed constituent entities located in the Republic of Albania, in accordance with this Law.</w:t>
            </w:r>
          </w:p>
        </w:tc>
        <w:tc>
          <w:tcPr>
            <w:tcW w:w="1530" w:type="dxa"/>
          </w:tcPr>
          <w:p w14:paraId="580420ED" w14:textId="7565FCD7" w:rsidR="00D41BD2" w:rsidRPr="005E6D70" w:rsidRDefault="00D41BD2" w:rsidP="00D41BD2">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3170195D" w14:textId="71B320FC" w:rsidR="00D41BD2" w:rsidRPr="005E6D70" w:rsidRDefault="00284C5B"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Paragraph 2 of the Directive grants Member States the option to elect a QDMTT. The draft law formally exercises this </w:t>
            </w:r>
            <w:r w:rsidRPr="005E6D70">
              <w:rPr>
                <w:rFonts w:ascii="Times New Roman" w:eastAsia="Calibri" w:hAnsi="Times New Roman" w:cs="Times New Roman"/>
                <w:sz w:val="18"/>
                <w:szCs w:val="18"/>
                <w:lang w:val="en-US"/>
              </w:rPr>
              <w:lastRenderedPageBreak/>
              <w:t>option by establishing the QDMTT directly as a primary tax rule under letter "c" to safeguard the national tax base.</w:t>
            </w:r>
          </w:p>
        </w:tc>
      </w:tr>
      <w:tr w:rsidR="0088332E" w:rsidRPr="005E6D70" w14:paraId="0EC2C01A" w14:textId="77777777" w:rsidTr="00073B1B">
        <w:tc>
          <w:tcPr>
            <w:tcW w:w="990" w:type="dxa"/>
            <w:gridSpan w:val="2"/>
            <w:shd w:val="clear" w:color="auto" w:fill="D9D9D9" w:themeFill="background1" w:themeFillShade="D9"/>
          </w:tcPr>
          <w:p w14:paraId="7C818E7C" w14:textId="77777777" w:rsidR="00D41BD2" w:rsidRPr="005E6D70" w:rsidRDefault="00D41BD2" w:rsidP="00D41BD2">
            <w:pPr>
              <w:jc w:val="center"/>
              <w:rPr>
                <w:rFonts w:ascii="Times New Roman" w:eastAsia="Calibri" w:hAnsi="Times New Roman" w:cs="Times New Roman"/>
                <w:i/>
                <w:sz w:val="18"/>
                <w:szCs w:val="18"/>
                <w:lang w:val="en-US"/>
              </w:rPr>
            </w:pPr>
          </w:p>
        </w:tc>
        <w:tc>
          <w:tcPr>
            <w:tcW w:w="4860" w:type="dxa"/>
            <w:shd w:val="clear" w:color="auto" w:fill="D9D9D9" w:themeFill="background1" w:themeFillShade="D9"/>
          </w:tcPr>
          <w:p w14:paraId="1E701632" w14:textId="61E03F24" w:rsidR="00D41BD2" w:rsidRPr="005E6D70" w:rsidRDefault="00D41BD2" w:rsidP="00D41BD2">
            <w:pPr>
              <w:rPr>
                <w:rFonts w:ascii="Times New Roman" w:eastAsia="Calibri" w:hAnsi="Times New Roman" w:cs="Times New Roman"/>
                <w:b/>
                <w:sz w:val="18"/>
                <w:szCs w:val="18"/>
                <w:lang w:val="en-US"/>
              </w:rPr>
            </w:pPr>
            <w:bookmarkStart w:id="4" w:name="_Toc216435515"/>
            <w:r w:rsidRPr="005E6D70">
              <w:rPr>
                <w:rFonts w:ascii="Times New Roman" w:eastAsia="Calibri" w:hAnsi="Times New Roman" w:cs="Times New Roman"/>
                <w:b/>
                <w:bCs/>
                <w:iCs/>
                <w:sz w:val="18"/>
                <w:szCs w:val="18"/>
                <w:lang w:val="en-US"/>
              </w:rPr>
              <w:t>Article 2</w:t>
            </w:r>
            <w:bookmarkEnd w:id="4"/>
            <w:r w:rsidRPr="005E6D70">
              <w:rPr>
                <w:rFonts w:ascii="Times New Roman" w:eastAsia="Calibri" w:hAnsi="Times New Roman" w:cs="Times New Roman"/>
                <w:b/>
                <w:bCs/>
                <w:iCs/>
                <w:sz w:val="18"/>
                <w:szCs w:val="18"/>
                <w:lang w:val="en-US"/>
              </w:rPr>
              <w:t>. Scope</w:t>
            </w:r>
          </w:p>
        </w:tc>
        <w:tc>
          <w:tcPr>
            <w:tcW w:w="990" w:type="dxa"/>
            <w:gridSpan w:val="2"/>
            <w:shd w:val="clear" w:color="auto" w:fill="D9D9D9" w:themeFill="background1" w:themeFillShade="D9"/>
          </w:tcPr>
          <w:p w14:paraId="35014AD7" w14:textId="22CC1B34" w:rsidR="00D41BD2" w:rsidRPr="005E6D70" w:rsidRDefault="00D41BD2" w:rsidP="00D41BD2">
            <w:pPr>
              <w:jc w:val="center"/>
              <w:rPr>
                <w:rFonts w:ascii="Times New Roman" w:eastAsia="Calibri" w:hAnsi="Times New Roman" w:cs="Times New Roman"/>
                <w:b/>
                <w:sz w:val="18"/>
                <w:szCs w:val="18"/>
                <w:lang w:val="en-US"/>
              </w:rPr>
            </w:pPr>
            <w:r w:rsidRPr="005E6D70">
              <w:rPr>
                <w:rFonts w:ascii="Times New Roman" w:eastAsia="Calibri" w:hAnsi="Times New Roman" w:cs="Times New Roman"/>
                <w:sz w:val="18"/>
                <w:szCs w:val="18"/>
                <w:lang w:val="en-US"/>
              </w:rPr>
              <w:t>1</w:t>
            </w:r>
          </w:p>
        </w:tc>
        <w:tc>
          <w:tcPr>
            <w:tcW w:w="1080" w:type="dxa"/>
            <w:gridSpan w:val="2"/>
            <w:shd w:val="clear" w:color="auto" w:fill="D9D9D9" w:themeFill="background1" w:themeFillShade="D9"/>
          </w:tcPr>
          <w:p w14:paraId="142203CD" w14:textId="59D9DE5D" w:rsidR="00D41BD2" w:rsidRPr="005E6D70" w:rsidRDefault="006437AB" w:rsidP="00D41BD2">
            <w:pPr>
              <w:jc w:val="center"/>
              <w:rPr>
                <w:rFonts w:ascii="Times New Roman" w:eastAsia="Calibri" w:hAnsi="Times New Roman" w:cs="Times New Roman"/>
                <w:b/>
                <w:sz w:val="18"/>
                <w:szCs w:val="18"/>
                <w:lang w:val="en-US"/>
              </w:rPr>
            </w:pPr>
            <w:r w:rsidRPr="005E6D70">
              <w:rPr>
                <w:rFonts w:ascii="Times New Roman" w:eastAsia="Calibri" w:hAnsi="Times New Roman" w:cs="Times New Roman"/>
                <w:b/>
                <w:sz w:val="18"/>
                <w:szCs w:val="18"/>
                <w:lang w:val="en-US"/>
              </w:rPr>
              <w:t>2</w:t>
            </w:r>
          </w:p>
        </w:tc>
        <w:tc>
          <w:tcPr>
            <w:tcW w:w="4680" w:type="dxa"/>
            <w:gridSpan w:val="2"/>
            <w:shd w:val="clear" w:color="auto" w:fill="D9D9D9" w:themeFill="background1" w:themeFillShade="D9"/>
          </w:tcPr>
          <w:p w14:paraId="77F88E09" w14:textId="424EA646" w:rsidR="00D41BD2" w:rsidRPr="005E6D70" w:rsidRDefault="006437AB" w:rsidP="00754FB1">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b/>
                <w:bCs/>
                <w:sz w:val="18"/>
                <w:szCs w:val="18"/>
                <w:lang w:val="en-US"/>
              </w:rPr>
              <w:t>Article 2</w:t>
            </w:r>
            <w:r w:rsidR="004670D8" w:rsidRPr="005E6D70">
              <w:rPr>
                <w:rFonts w:ascii="Times New Roman" w:eastAsia="Calibri" w:hAnsi="Times New Roman" w:cs="Times New Roman"/>
                <w:b/>
                <w:bCs/>
                <w:sz w:val="18"/>
                <w:szCs w:val="18"/>
                <w:lang w:val="en-US"/>
              </w:rPr>
              <w:t>.</w:t>
            </w:r>
            <w:r w:rsidRPr="005E6D70">
              <w:rPr>
                <w:rFonts w:ascii="Times New Roman" w:eastAsia="Calibri" w:hAnsi="Times New Roman" w:cs="Times New Roman"/>
                <w:b/>
                <w:bCs/>
                <w:sz w:val="18"/>
                <w:szCs w:val="18"/>
                <w:lang w:val="en-US"/>
              </w:rPr>
              <w:t xml:space="preserve"> Scope</w:t>
            </w:r>
          </w:p>
        </w:tc>
        <w:tc>
          <w:tcPr>
            <w:tcW w:w="1530" w:type="dxa"/>
            <w:shd w:val="clear" w:color="auto" w:fill="D9D9D9" w:themeFill="background1" w:themeFillShade="D9"/>
          </w:tcPr>
          <w:p w14:paraId="156DE2D0" w14:textId="64A1ACEE" w:rsidR="00D41BD2" w:rsidRPr="005E6D70" w:rsidRDefault="00D41BD2" w:rsidP="00D41BD2">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shd w:val="clear" w:color="auto" w:fill="D9D9D9" w:themeFill="background1" w:themeFillShade="D9"/>
          </w:tcPr>
          <w:p w14:paraId="33A2FCA3" w14:textId="76FF1D30" w:rsidR="00D41BD2" w:rsidRPr="005E6D70" w:rsidRDefault="006437AB"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Direct structural alignment with the Directive.</w:t>
            </w:r>
          </w:p>
        </w:tc>
      </w:tr>
      <w:tr w:rsidR="00D37F89" w:rsidRPr="005E6D70" w14:paraId="65C77C64" w14:textId="77777777" w:rsidTr="00073B1B">
        <w:trPr>
          <w:trHeight w:val="1700"/>
        </w:trPr>
        <w:tc>
          <w:tcPr>
            <w:tcW w:w="990" w:type="dxa"/>
            <w:gridSpan w:val="2"/>
          </w:tcPr>
          <w:p w14:paraId="6050527A" w14:textId="2A895042"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w:t>
            </w:r>
          </w:p>
        </w:tc>
        <w:tc>
          <w:tcPr>
            <w:tcW w:w="4860" w:type="dxa"/>
            <w:tcBorders>
              <w:bottom w:val="single" w:sz="4" w:space="0" w:color="auto"/>
            </w:tcBorders>
          </w:tcPr>
          <w:p w14:paraId="050B49B2" w14:textId="47558168" w:rsidR="00D41BD2" w:rsidRPr="005E6D70" w:rsidRDefault="00D41BD2" w:rsidP="00D41BD2">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This Directive applies to constituent entities located in a Member State that are members of an MNE group or of a large-scale domestic group which has an annual revenue of EUR 750 000 000 or more, including the revenue of the excluded entities referred to in paragraph 3, in its ultimate parent entity’s consolidated financial statements in at least two of the four fiscal years immediately preceding the tested fiscal year.</w:t>
            </w:r>
          </w:p>
        </w:tc>
        <w:tc>
          <w:tcPr>
            <w:tcW w:w="990" w:type="dxa"/>
            <w:gridSpan w:val="2"/>
            <w:tcBorders>
              <w:bottom w:val="single" w:sz="4" w:space="0" w:color="auto"/>
            </w:tcBorders>
          </w:tcPr>
          <w:p w14:paraId="73A9F1D9" w14:textId="0B3C6FC3"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Borders>
              <w:bottom w:val="single" w:sz="4" w:space="0" w:color="auto"/>
            </w:tcBorders>
          </w:tcPr>
          <w:p w14:paraId="16B43562" w14:textId="125AFAC2" w:rsidR="00D41BD2" w:rsidRPr="005E6D70" w:rsidRDefault="006437AB"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w:t>
            </w:r>
          </w:p>
        </w:tc>
        <w:tc>
          <w:tcPr>
            <w:tcW w:w="4680" w:type="dxa"/>
            <w:gridSpan w:val="2"/>
            <w:tcBorders>
              <w:bottom w:val="single" w:sz="4" w:space="0" w:color="auto"/>
            </w:tcBorders>
          </w:tcPr>
          <w:p w14:paraId="0BEF3360" w14:textId="49E4D616" w:rsidR="00D41BD2" w:rsidRPr="005E6D70" w:rsidRDefault="006437AB"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 This Law applies to constituent entities located in the Republic of Albania that are members of a multinational enterprise group or a large-scale domestic group which has an annual revenue of EUR 750,000,000 or more, including the revenue of any excluded entities referred to in paragraph 3, of this Article, in the ultimate parent entity’s consolidated financial statements in at least two of the four fiscal years immediately preceding the tested fiscal year.</w:t>
            </w:r>
          </w:p>
          <w:p w14:paraId="05CBA041" w14:textId="1CC2E2B1" w:rsidR="00D41BD2" w:rsidRPr="005E6D70" w:rsidRDefault="00D41BD2" w:rsidP="00754FB1">
            <w:pPr>
              <w:jc w:val="both"/>
              <w:rPr>
                <w:rFonts w:ascii="Times New Roman" w:eastAsia="Calibri" w:hAnsi="Times New Roman" w:cs="Times New Roman"/>
                <w:sz w:val="18"/>
                <w:szCs w:val="18"/>
                <w:lang w:val="en-US"/>
              </w:rPr>
            </w:pPr>
          </w:p>
        </w:tc>
        <w:tc>
          <w:tcPr>
            <w:tcW w:w="1530" w:type="dxa"/>
          </w:tcPr>
          <w:p w14:paraId="6FCF9030" w14:textId="297404CC" w:rsidR="00D41BD2" w:rsidRPr="005E6D70" w:rsidRDefault="00D41BD2" w:rsidP="00D41BD2">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08DB7295" w14:textId="73185D9C" w:rsidR="00D41BD2" w:rsidRPr="005E6D70" w:rsidRDefault="006437AB"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to apply the scope specifically to the Republic of Albania instead of "a Member State", fully preserving the revenue thresholds, timeframes, and material scope.</w:t>
            </w:r>
          </w:p>
        </w:tc>
      </w:tr>
      <w:tr w:rsidR="00D37F89" w:rsidRPr="005E6D70" w14:paraId="7D4505B4" w14:textId="77777777" w:rsidTr="00073B1B">
        <w:trPr>
          <w:trHeight w:val="881"/>
        </w:trPr>
        <w:tc>
          <w:tcPr>
            <w:tcW w:w="990" w:type="dxa"/>
            <w:gridSpan w:val="2"/>
          </w:tcPr>
          <w:p w14:paraId="1080D9D2" w14:textId="19A99DFC"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w:t>
            </w:r>
          </w:p>
        </w:tc>
        <w:tc>
          <w:tcPr>
            <w:tcW w:w="4860" w:type="dxa"/>
          </w:tcPr>
          <w:p w14:paraId="143312CD" w14:textId="6E87FEE5" w:rsidR="00D41BD2" w:rsidRPr="005E6D70" w:rsidRDefault="00D41BD2" w:rsidP="00D41BD2">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 Where one or more of the four fiscal years referred to in paragraph 1 is longer or shorter than 12 months, the revenue threshold referred to in that paragraph shall be adjusted proportionally for each of those fiscal years.</w:t>
            </w:r>
          </w:p>
        </w:tc>
        <w:tc>
          <w:tcPr>
            <w:tcW w:w="990" w:type="dxa"/>
            <w:gridSpan w:val="2"/>
          </w:tcPr>
          <w:p w14:paraId="68273547" w14:textId="28984576"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17830CF" w14:textId="2DF8E2AC" w:rsidR="00D41BD2" w:rsidRPr="005E6D70" w:rsidRDefault="008B082A"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w:t>
            </w:r>
          </w:p>
        </w:tc>
        <w:tc>
          <w:tcPr>
            <w:tcW w:w="4680" w:type="dxa"/>
            <w:gridSpan w:val="2"/>
            <w:tcBorders>
              <w:bottom w:val="dashed" w:sz="4" w:space="0" w:color="auto"/>
            </w:tcBorders>
          </w:tcPr>
          <w:p w14:paraId="1AF536FD" w14:textId="30B88EF5" w:rsidR="00D41BD2" w:rsidRPr="005E6D70" w:rsidRDefault="008B082A"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 Where one or more of the four fiscal years referred to in paragraph 1, of this Article, is longer or shorter than twelve (12) months, the revenue threshold shall be adjusted proportionally for each such fiscal year.</w:t>
            </w:r>
          </w:p>
        </w:tc>
        <w:tc>
          <w:tcPr>
            <w:tcW w:w="1530" w:type="dxa"/>
            <w:tcBorders>
              <w:bottom w:val="dashed" w:sz="4" w:space="0" w:color="auto"/>
            </w:tcBorders>
          </w:tcPr>
          <w:p w14:paraId="4C4B4DD1" w14:textId="62E8D3E2" w:rsidR="00D41BD2" w:rsidRPr="005E6D70" w:rsidRDefault="00D41BD2" w:rsidP="00D41BD2">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Borders>
              <w:bottom w:val="dashed" w:sz="4" w:space="0" w:color="auto"/>
            </w:tcBorders>
          </w:tcPr>
          <w:p w14:paraId="7FF536D2" w14:textId="21D24E04" w:rsidR="00D41BD2" w:rsidRPr="005E6D70" w:rsidRDefault="00D20E28"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 with accurate internal cross-referencing according to the national legislative drafting manual.</w:t>
            </w:r>
          </w:p>
        </w:tc>
      </w:tr>
      <w:tr w:rsidR="00D37F89" w:rsidRPr="005E6D70" w14:paraId="207B0A6D" w14:textId="77777777" w:rsidTr="00073B1B">
        <w:trPr>
          <w:trHeight w:val="368"/>
        </w:trPr>
        <w:tc>
          <w:tcPr>
            <w:tcW w:w="990" w:type="dxa"/>
            <w:gridSpan w:val="2"/>
          </w:tcPr>
          <w:p w14:paraId="379462D8" w14:textId="7BF94613"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w:t>
            </w:r>
          </w:p>
        </w:tc>
        <w:tc>
          <w:tcPr>
            <w:tcW w:w="4860" w:type="dxa"/>
          </w:tcPr>
          <w:p w14:paraId="6D9A9626" w14:textId="0BD4CB61" w:rsidR="00D41BD2" w:rsidRPr="005E6D70" w:rsidRDefault="00D41BD2" w:rsidP="00D41BD2">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This Directive does not apply to the following entities (‘excluded entities’):</w:t>
            </w:r>
          </w:p>
        </w:tc>
        <w:tc>
          <w:tcPr>
            <w:tcW w:w="990" w:type="dxa"/>
            <w:gridSpan w:val="2"/>
          </w:tcPr>
          <w:p w14:paraId="7CF3666A" w14:textId="74AD8D7D"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0ACE2DA" w14:textId="066A8FA2" w:rsidR="00D41BD2" w:rsidRPr="005E6D70" w:rsidRDefault="00E96BCC"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w:t>
            </w:r>
          </w:p>
        </w:tc>
        <w:tc>
          <w:tcPr>
            <w:tcW w:w="4680" w:type="dxa"/>
            <w:gridSpan w:val="2"/>
          </w:tcPr>
          <w:p w14:paraId="23877FDE" w14:textId="08A47EE1" w:rsidR="00D41BD2" w:rsidRPr="005E6D70" w:rsidRDefault="00E96BCC" w:rsidP="00754FB1">
            <w:pPr>
              <w:widowControl w:val="0"/>
              <w:tabs>
                <w:tab w:val="left" w:pos="742"/>
                <w:tab w:val="left" w:pos="744"/>
              </w:tabs>
              <w:autoSpaceDE w:val="0"/>
              <w:autoSpaceDN w:val="0"/>
              <w:ind w:right="21"/>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 This Law shall not apply to the following entities (“excluded entities”):</w:t>
            </w:r>
          </w:p>
        </w:tc>
        <w:tc>
          <w:tcPr>
            <w:tcW w:w="1530" w:type="dxa"/>
          </w:tcPr>
          <w:p w14:paraId="204123BE" w14:textId="191573C6" w:rsidR="00D41BD2" w:rsidRPr="005E6D70" w:rsidRDefault="00D41BD2" w:rsidP="00D41BD2">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7E04FD6C" w14:textId="7220823B" w:rsidR="00D41BD2" w:rsidRPr="005E6D70" w:rsidRDefault="00E96BCC"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Verbatim transposition. The term </w:t>
            </w:r>
            <w:r w:rsidRPr="005E6D70">
              <w:rPr>
                <w:rFonts w:ascii="Times New Roman" w:eastAsia="Calibri" w:hAnsi="Times New Roman" w:cs="Times New Roman"/>
                <w:sz w:val="18"/>
                <w:szCs w:val="18"/>
                <w:lang w:val="en-US"/>
              </w:rPr>
              <w:lastRenderedPageBreak/>
              <w:t>"Directive" is adapted to "Law".</w:t>
            </w:r>
          </w:p>
        </w:tc>
      </w:tr>
      <w:tr w:rsidR="00D37F89" w:rsidRPr="005E6D70" w14:paraId="2BE0C3F1" w14:textId="77777777" w:rsidTr="00073B1B">
        <w:trPr>
          <w:trHeight w:val="836"/>
        </w:trPr>
        <w:tc>
          <w:tcPr>
            <w:tcW w:w="990" w:type="dxa"/>
            <w:gridSpan w:val="2"/>
          </w:tcPr>
          <w:p w14:paraId="6DFE8F27" w14:textId="1EC10BC4"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2(3)(a)</w:t>
            </w:r>
          </w:p>
        </w:tc>
        <w:tc>
          <w:tcPr>
            <w:tcW w:w="4860" w:type="dxa"/>
          </w:tcPr>
          <w:p w14:paraId="4F02DE40" w14:textId="3356D63E" w:rsidR="00D41BD2" w:rsidRPr="005E6D70" w:rsidRDefault="00D41BD2" w:rsidP="00D41BD2">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a governmental entity, an international organisation, a non-profit organisation, a pension fund, an investment fund that is an ultimate parent entity or a real estate investment vehicle that is an ultimate parent entity;</w:t>
            </w:r>
          </w:p>
        </w:tc>
        <w:tc>
          <w:tcPr>
            <w:tcW w:w="990" w:type="dxa"/>
            <w:gridSpan w:val="2"/>
          </w:tcPr>
          <w:p w14:paraId="38D40016" w14:textId="4119FB82"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3814230F" w14:textId="46FE80B2" w:rsidR="00D41BD2" w:rsidRPr="005E6D70" w:rsidRDefault="00A665F7"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2(3)(a)</w:t>
            </w:r>
          </w:p>
        </w:tc>
        <w:tc>
          <w:tcPr>
            <w:tcW w:w="4680" w:type="dxa"/>
            <w:gridSpan w:val="2"/>
          </w:tcPr>
          <w:p w14:paraId="7791D2D5" w14:textId="1D61A225" w:rsidR="00D41BD2" w:rsidRPr="005E6D70" w:rsidRDefault="00A665F7" w:rsidP="00754FB1">
            <w:pPr>
              <w:widowControl w:val="0"/>
              <w:tabs>
                <w:tab w:val="left" w:pos="742"/>
                <w:tab w:val="left" w:pos="744"/>
              </w:tabs>
              <w:autoSpaceDE w:val="0"/>
              <w:autoSpaceDN w:val="0"/>
              <w:ind w:right="21"/>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a governmental entity, an international organisation, a non-profit organisation, a pension fund, an investment fund that is an ultimate parent entity, or a real estate investment vehicle that is an ultimate parent entity;</w:t>
            </w:r>
          </w:p>
        </w:tc>
        <w:tc>
          <w:tcPr>
            <w:tcW w:w="1530" w:type="dxa"/>
          </w:tcPr>
          <w:p w14:paraId="30523429" w14:textId="67073145" w:rsidR="00D41BD2" w:rsidRPr="005E6D70" w:rsidRDefault="00D41BD2" w:rsidP="00D41BD2">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5CA7C942" w14:textId="2B6DB53E" w:rsidR="00D41BD2" w:rsidRPr="005E6D70" w:rsidRDefault="00A665F7"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351BC6FF" w14:textId="77777777" w:rsidTr="00073B1B">
        <w:trPr>
          <w:trHeight w:val="2420"/>
        </w:trPr>
        <w:tc>
          <w:tcPr>
            <w:tcW w:w="990" w:type="dxa"/>
            <w:gridSpan w:val="2"/>
          </w:tcPr>
          <w:p w14:paraId="50DF57F8" w14:textId="1BD6E354"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2(3)(b)</w:t>
            </w:r>
          </w:p>
        </w:tc>
        <w:tc>
          <w:tcPr>
            <w:tcW w:w="4860" w:type="dxa"/>
          </w:tcPr>
          <w:p w14:paraId="4CC0AC90" w14:textId="77777777" w:rsidR="00D41BD2" w:rsidRPr="005E6D70" w:rsidRDefault="00D41BD2" w:rsidP="00D41BD2">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an entity where at least 95 % of the value of the entity is owned by one or more entities referred to in point (a), directly or through one or several excluded entities, except pension services entities, and that:</w:t>
            </w:r>
          </w:p>
          <w:p w14:paraId="16A8FB76" w14:textId="77777777" w:rsidR="00D41BD2" w:rsidRPr="005E6D70" w:rsidRDefault="00D41BD2" w:rsidP="00D41BD2">
            <w:pPr>
              <w:jc w:val="both"/>
              <w:rPr>
                <w:rFonts w:ascii="Times New Roman" w:eastAsia="Calibri" w:hAnsi="Times New Roman" w:cs="Times New Roman"/>
                <w:iCs/>
                <w:sz w:val="18"/>
                <w:szCs w:val="18"/>
                <w:lang w:val="en-US"/>
              </w:rPr>
            </w:pPr>
          </w:p>
          <w:p w14:paraId="6BC3ADF7" w14:textId="77777777" w:rsidR="00D41BD2" w:rsidRPr="005E6D70" w:rsidRDefault="00D41BD2" w:rsidP="00D41BD2">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operates exclusively, or almost exclusively, to hold assets or invest funds for the benefit of the entity or entities referred to in point (a); or</w:t>
            </w:r>
          </w:p>
          <w:p w14:paraId="4CF5BD3D" w14:textId="77777777" w:rsidR="00D41BD2" w:rsidRPr="005E6D70" w:rsidRDefault="00D41BD2" w:rsidP="00D41BD2">
            <w:pPr>
              <w:jc w:val="both"/>
              <w:rPr>
                <w:rFonts w:ascii="Times New Roman" w:eastAsia="Calibri" w:hAnsi="Times New Roman" w:cs="Times New Roman"/>
                <w:iCs/>
                <w:sz w:val="18"/>
                <w:szCs w:val="18"/>
                <w:lang w:val="en-US"/>
              </w:rPr>
            </w:pPr>
          </w:p>
          <w:p w14:paraId="11B8ECCC" w14:textId="0A69A534" w:rsidR="00D41BD2" w:rsidRPr="005E6D70" w:rsidRDefault="00D41BD2" w:rsidP="00D41BD2">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 exclusively carries out activities ancillary to those performed by the entity or entities referred to in point (a);</w:t>
            </w:r>
          </w:p>
        </w:tc>
        <w:tc>
          <w:tcPr>
            <w:tcW w:w="990" w:type="dxa"/>
            <w:gridSpan w:val="2"/>
          </w:tcPr>
          <w:p w14:paraId="336713E1" w14:textId="1CD270E3"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4726327" w14:textId="4EFABA5C" w:rsidR="00D41BD2" w:rsidRPr="005E6D70" w:rsidRDefault="00A23B82"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2(3)(b)</w:t>
            </w:r>
          </w:p>
        </w:tc>
        <w:tc>
          <w:tcPr>
            <w:tcW w:w="4680" w:type="dxa"/>
            <w:gridSpan w:val="2"/>
          </w:tcPr>
          <w:p w14:paraId="1AD0B88B" w14:textId="77777777" w:rsidR="00A23B82" w:rsidRPr="005E6D70" w:rsidRDefault="00A23B82" w:rsidP="00754FB1">
            <w:pPr>
              <w:widowControl w:val="0"/>
              <w:tabs>
                <w:tab w:val="left" w:pos="742"/>
                <w:tab w:val="left" w:pos="744"/>
              </w:tabs>
              <w:autoSpaceDE w:val="0"/>
              <w:autoSpaceDN w:val="0"/>
              <w:ind w:right="21"/>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b) an entity where at least 95 per cent of the value of the entity is owned, directly or through one or more excluded entities, by one or more entities referred to in letter “a”, of this paragraph, except pension services entities, and that:  </w:t>
            </w:r>
          </w:p>
          <w:p w14:paraId="60224E1B" w14:textId="77777777" w:rsidR="00A23B82" w:rsidRPr="005E6D70" w:rsidRDefault="00A23B82" w:rsidP="00754FB1">
            <w:pPr>
              <w:widowControl w:val="0"/>
              <w:tabs>
                <w:tab w:val="left" w:pos="742"/>
                <w:tab w:val="left" w:pos="744"/>
              </w:tabs>
              <w:autoSpaceDE w:val="0"/>
              <w:autoSpaceDN w:val="0"/>
              <w:ind w:right="21"/>
              <w:jc w:val="both"/>
              <w:rPr>
                <w:rFonts w:ascii="Times New Roman" w:eastAsia="Calibri" w:hAnsi="Times New Roman" w:cs="Times New Roman"/>
                <w:sz w:val="18"/>
                <w:szCs w:val="18"/>
                <w:lang w:val="en-US"/>
              </w:rPr>
            </w:pPr>
          </w:p>
          <w:p w14:paraId="1F1B5CEB" w14:textId="77777777" w:rsidR="00A23B82" w:rsidRPr="005E6D70" w:rsidRDefault="00A23B82" w:rsidP="00754FB1">
            <w:pPr>
              <w:widowControl w:val="0"/>
              <w:tabs>
                <w:tab w:val="left" w:pos="742"/>
                <w:tab w:val="left" w:pos="744"/>
              </w:tabs>
              <w:autoSpaceDE w:val="0"/>
              <w:autoSpaceDN w:val="0"/>
              <w:ind w:right="21"/>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(i) operates exclusively, or almost exclusively, to hold assets or invest funds for the benefit of such entities; or</w:t>
            </w:r>
          </w:p>
          <w:p w14:paraId="5E3997AA" w14:textId="77777777" w:rsidR="00A23B82" w:rsidRPr="005E6D70" w:rsidRDefault="00A23B82" w:rsidP="00754FB1">
            <w:pPr>
              <w:widowControl w:val="0"/>
              <w:tabs>
                <w:tab w:val="left" w:pos="742"/>
                <w:tab w:val="left" w:pos="744"/>
              </w:tabs>
              <w:autoSpaceDE w:val="0"/>
              <w:autoSpaceDN w:val="0"/>
              <w:ind w:right="21"/>
              <w:jc w:val="both"/>
              <w:rPr>
                <w:rFonts w:ascii="Times New Roman" w:eastAsia="Calibri" w:hAnsi="Times New Roman" w:cs="Times New Roman"/>
                <w:sz w:val="18"/>
                <w:szCs w:val="18"/>
                <w:lang w:val="en-US"/>
              </w:rPr>
            </w:pPr>
          </w:p>
          <w:p w14:paraId="06B2603A" w14:textId="77777777" w:rsidR="00AE5F7E" w:rsidRPr="005E6D70" w:rsidRDefault="00AE5F7E" w:rsidP="00754FB1">
            <w:pPr>
              <w:widowControl w:val="0"/>
              <w:tabs>
                <w:tab w:val="left" w:pos="742"/>
                <w:tab w:val="left" w:pos="744"/>
              </w:tabs>
              <w:autoSpaceDE w:val="0"/>
              <w:autoSpaceDN w:val="0"/>
              <w:ind w:right="21"/>
              <w:jc w:val="both"/>
              <w:rPr>
                <w:rFonts w:ascii="Times New Roman" w:eastAsia="Calibri" w:hAnsi="Times New Roman" w:cs="Times New Roman"/>
                <w:sz w:val="18"/>
                <w:szCs w:val="18"/>
                <w:lang w:val="en-US"/>
              </w:rPr>
            </w:pPr>
          </w:p>
          <w:p w14:paraId="03527C6E" w14:textId="627C2FF2" w:rsidR="00D41BD2" w:rsidRPr="005E6D70" w:rsidRDefault="00A23B82" w:rsidP="00754FB1">
            <w:pPr>
              <w:widowControl w:val="0"/>
              <w:tabs>
                <w:tab w:val="left" w:pos="742"/>
                <w:tab w:val="left" w:pos="744"/>
              </w:tabs>
              <w:autoSpaceDE w:val="0"/>
              <w:autoSpaceDN w:val="0"/>
              <w:ind w:right="21"/>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 (ii) carries out solely activities ancillary to those performed by such entities;</w:t>
            </w:r>
          </w:p>
        </w:tc>
        <w:tc>
          <w:tcPr>
            <w:tcW w:w="1530" w:type="dxa"/>
          </w:tcPr>
          <w:p w14:paraId="0E7C305A" w14:textId="19FA02B4" w:rsidR="00D41BD2" w:rsidRPr="005E6D70" w:rsidRDefault="00D41BD2" w:rsidP="00D41BD2">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4D579C80" w14:textId="79503573" w:rsidR="00D41BD2" w:rsidRPr="005E6D70" w:rsidRDefault="001A162E"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Material transposition. Internal cross-references (e.g., "point (a)") are adapted to national formatting standards (e.g., "letter 'a', of this paragraph").</w:t>
            </w:r>
          </w:p>
        </w:tc>
      </w:tr>
      <w:tr w:rsidR="00D37F89" w:rsidRPr="005E6D70" w14:paraId="176342C5" w14:textId="77777777" w:rsidTr="00073B1B">
        <w:trPr>
          <w:trHeight w:val="2600"/>
        </w:trPr>
        <w:tc>
          <w:tcPr>
            <w:tcW w:w="990" w:type="dxa"/>
            <w:gridSpan w:val="2"/>
          </w:tcPr>
          <w:p w14:paraId="5BF8CE7D" w14:textId="145F0CBD"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2(3)(c)</w:t>
            </w:r>
          </w:p>
        </w:tc>
        <w:tc>
          <w:tcPr>
            <w:tcW w:w="4860" w:type="dxa"/>
          </w:tcPr>
          <w:p w14:paraId="45ABAA40" w14:textId="77777777" w:rsidR="00D41BD2" w:rsidRPr="005E6D70" w:rsidRDefault="00D41BD2" w:rsidP="00D41BD2">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an entity where at least 85 % of the value of the entity is owned, directly or through one or several excluded entities, by one or more entities referred to in point (a), except pension services entities, provided that substantially all of its income is derived from dividends or equity gains or losses that are excluded from the computation of the qualifying income or loss in accordance with Article 16(2), points (b) and (c).</w:t>
            </w:r>
          </w:p>
          <w:p w14:paraId="65AF4046" w14:textId="77777777" w:rsidR="00D41BD2" w:rsidRPr="005E6D70" w:rsidRDefault="00D41BD2" w:rsidP="00D41BD2">
            <w:pPr>
              <w:jc w:val="both"/>
              <w:rPr>
                <w:rFonts w:ascii="Times New Roman" w:eastAsia="Calibri" w:hAnsi="Times New Roman" w:cs="Times New Roman"/>
                <w:iCs/>
                <w:sz w:val="18"/>
                <w:szCs w:val="18"/>
                <w:lang w:val="en-US"/>
              </w:rPr>
            </w:pPr>
          </w:p>
          <w:p w14:paraId="271BC586" w14:textId="77777777" w:rsidR="004E7B30" w:rsidRPr="005E6D70" w:rsidRDefault="004E7B30" w:rsidP="00D41BD2">
            <w:pPr>
              <w:jc w:val="both"/>
              <w:rPr>
                <w:rFonts w:ascii="Times New Roman" w:eastAsia="Calibri" w:hAnsi="Times New Roman" w:cs="Times New Roman"/>
                <w:iCs/>
                <w:sz w:val="18"/>
                <w:szCs w:val="18"/>
                <w:lang w:val="en-US"/>
              </w:rPr>
            </w:pPr>
          </w:p>
          <w:p w14:paraId="0676A7DA" w14:textId="77777777" w:rsidR="004E7B30" w:rsidRPr="005E6D70" w:rsidRDefault="004E7B30" w:rsidP="00D41BD2">
            <w:pPr>
              <w:jc w:val="both"/>
              <w:rPr>
                <w:rFonts w:ascii="Times New Roman" w:eastAsia="Calibri" w:hAnsi="Times New Roman" w:cs="Times New Roman"/>
                <w:iCs/>
                <w:sz w:val="18"/>
                <w:szCs w:val="18"/>
                <w:lang w:val="en-US"/>
              </w:rPr>
            </w:pPr>
          </w:p>
          <w:p w14:paraId="699DD3A3" w14:textId="6F756A29" w:rsidR="00D41BD2" w:rsidRPr="005E6D70" w:rsidRDefault="00D41BD2" w:rsidP="00D41BD2">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By way of derogation from the first subparagraph of this paragraph, the filing constituent entity may make an election, in accordance with Article 45(1), not to treat an entity referred to in points (b) and (c) of that subparagraph as an excluded entity.</w:t>
            </w:r>
          </w:p>
        </w:tc>
        <w:tc>
          <w:tcPr>
            <w:tcW w:w="990" w:type="dxa"/>
            <w:gridSpan w:val="2"/>
          </w:tcPr>
          <w:p w14:paraId="3480EEE0" w14:textId="504172F4"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29AF610" w14:textId="77777777" w:rsidR="00975E1B" w:rsidRPr="005E6D70" w:rsidRDefault="00975E1B" w:rsidP="00975E1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2(3)(c)</w:t>
            </w:r>
          </w:p>
          <w:p w14:paraId="5DDE793C" w14:textId="77777777" w:rsidR="00975E1B" w:rsidRPr="005E6D70" w:rsidRDefault="00975E1B" w:rsidP="00975E1B">
            <w:pPr>
              <w:rPr>
                <w:rFonts w:ascii="Times New Roman" w:eastAsia="Calibri" w:hAnsi="Times New Roman" w:cs="Times New Roman"/>
                <w:sz w:val="18"/>
                <w:szCs w:val="18"/>
                <w:lang w:val="en-US"/>
              </w:rPr>
            </w:pPr>
          </w:p>
          <w:p w14:paraId="3ADDE031" w14:textId="77777777" w:rsidR="00975E1B" w:rsidRPr="005E6D70" w:rsidRDefault="00975E1B" w:rsidP="00975E1B">
            <w:pPr>
              <w:rPr>
                <w:rFonts w:ascii="Times New Roman" w:eastAsia="Calibri" w:hAnsi="Times New Roman" w:cs="Times New Roman"/>
                <w:sz w:val="18"/>
                <w:szCs w:val="18"/>
                <w:lang w:val="en-US"/>
              </w:rPr>
            </w:pPr>
          </w:p>
          <w:p w14:paraId="54471C80" w14:textId="77777777" w:rsidR="00141896" w:rsidRPr="005E6D70" w:rsidRDefault="00141896" w:rsidP="00975E1B">
            <w:pPr>
              <w:rPr>
                <w:rFonts w:ascii="Times New Roman" w:eastAsia="Calibri" w:hAnsi="Times New Roman" w:cs="Times New Roman"/>
                <w:sz w:val="18"/>
                <w:szCs w:val="18"/>
                <w:lang w:val="en-US"/>
              </w:rPr>
            </w:pPr>
          </w:p>
          <w:p w14:paraId="18758552" w14:textId="77777777" w:rsidR="00975E1B" w:rsidRPr="005E6D70" w:rsidRDefault="00975E1B" w:rsidP="00975E1B">
            <w:pPr>
              <w:rPr>
                <w:rFonts w:ascii="Times New Roman" w:eastAsia="Calibri" w:hAnsi="Times New Roman" w:cs="Times New Roman"/>
                <w:sz w:val="18"/>
                <w:szCs w:val="18"/>
                <w:lang w:val="en-US"/>
              </w:rPr>
            </w:pPr>
          </w:p>
          <w:p w14:paraId="6F8857DA" w14:textId="77777777" w:rsidR="00975E1B" w:rsidRPr="005E6D70" w:rsidRDefault="00975E1B" w:rsidP="00975E1B">
            <w:pPr>
              <w:rPr>
                <w:rFonts w:ascii="Times New Roman" w:eastAsia="Calibri" w:hAnsi="Times New Roman" w:cs="Times New Roman"/>
                <w:sz w:val="18"/>
                <w:szCs w:val="18"/>
                <w:lang w:val="en-US"/>
              </w:rPr>
            </w:pPr>
          </w:p>
          <w:p w14:paraId="47EAB9AF" w14:textId="77777777" w:rsidR="00141896" w:rsidRPr="005E6D70" w:rsidRDefault="00141896" w:rsidP="00975E1B">
            <w:pPr>
              <w:rPr>
                <w:rFonts w:ascii="Times New Roman" w:eastAsia="Calibri" w:hAnsi="Times New Roman" w:cs="Times New Roman"/>
                <w:sz w:val="18"/>
                <w:szCs w:val="18"/>
                <w:lang w:val="en-US"/>
              </w:rPr>
            </w:pPr>
          </w:p>
          <w:p w14:paraId="0EB5F409" w14:textId="77777777" w:rsidR="00141896" w:rsidRPr="005E6D70" w:rsidRDefault="00141896" w:rsidP="00975E1B">
            <w:pPr>
              <w:rPr>
                <w:rFonts w:ascii="Times New Roman" w:eastAsia="Calibri" w:hAnsi="Times New Roman" w:cs="Times New Roman"/>
                <w:sz w:val="18"/>
                <w:szCs w:val="18"/>
                <w:lang w:val="en-US"/>
              </w:rPr>
            </w:pPr>
          </w:p>
          <w:p w14:paraId="74513271" w14:textId="77777777" w:rsidR="00141896" w:rsidRPr="005E6D70" w:rsidRDefault="00141896" w:rsidP="00975E1B">
            <w:pPr>
              <w:rPr>
                <w:rFonts w:ascii="Times New Roman" w:eastAsia="Calibri" w:hAnsi="Times New Roman" w:cs="Times New Roman"/>
                <w:sz w:val="18"/>
                <w:szCs w:val="18"/>
                <w:lang w:val="en-US"/>
              </w:rPr>
            </w:pPr>
          </w:p>
          <w:p w14:paraId="79402E30" w14:textId="77777777" w:rsidR="00141896" w:rsidRPr="005E6D70" w:rsidRDefault="00141896" w:rsidP="00975E1B">
            <w:pPr>
              <w:rPr>
                <w:rFonts w:ascii="Times New Roman" w:eastAsia="Calibri" w:hAnsi="Times New Roman" w:cs="Times New Roman"/>
                <w:sz w:val="18"/>
                <w:szCs w:val="18"/>
                <w:lang w:val="en-US"/>
              </w:rPr>
            </w:pPr>
          </w:p>
          <w:p w14:paraId="355EA527" w14:textId="6A09138E" w:rsidR="00D41BD2" w:rsidRPr="005E6D70" w:rsidRDefault="00975E1B" w:rsidP="00975E1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w:t>
            </w:r>
          </w:p>
        </w:tc>
        <w:tc>
          <w:tcPr>
            <w:tcW w:w="4680" w:type="dxa"/>
            <w:gridSpan w:val="2"/>
          </w:tcPr>
          <w:p w14:paraId="380E90D4" w14:textId="761671D4" w:rsidR="00975E1B" w:rsidRPr="005E6D70" w:rsidRDefault="00975E1B" w:rsidP="00754FB1">
            <w:pPr>
              <w:widowControl w:val="0"/>
              <w:tabs>
                <w:tab w:val="left" w:pos="742"/>
                <w:tab w:val="left" w:pos="744"/>
              </w:tabs>
              <w:autoSpaceDE w:val="0"/>
              <w:autoSpaceDN w:val="0"/>
              <w:ind w:right="21"/>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c) an entity where a minimum of 85 per cent of the value of the entity is owned, directly or through one or more excluded entities, by one or more entities referred to in letter “a”, of this paragraph, except pension services entities, provided that substantially all of its income is derived from dividends or equity gains or losses excluded from the computation of qualifying income or loss in accordance with </w:t>
            </w:r>
            <w:r w:rsidR="00BA0724" w:rsidRPr="005E6D70">
              <w:rPr>
                <w:rFonts w:ascii="Times New Roman" w:eastAsia="Calibri" w:hAnsi="Times New Roman" w:cs="Times New Roman"/>
                <w:sz w:val="18"/>
                <w:szCs w:val="18"/>
                <w:lang w:val="en-US"/>
              </w:rPr>
              <w:t xml:space="preserve">letters “b” and “c”, of paragraph 1, of </w:t>
            </w:r>
            <w:r w:rsidRPr="005E6D70">
              <w:rPr>
                <w:rFonts w:ascii="Times New Roman" w:eastAsia="Calibri" w:hAnsi="Times New Roman" w:cs="Times New Roman"/>
                <w:sz w:val="18"/>
                <w:szCs w:val="18"/>
                <w:lang w:val="en-US"/>
              </w:rPr>
              <w:t xml:space="preserve">Article 15, of this Law.  </w:t>
            </w:r>
          </w:p>
          <w:p w14:paraId="21D6EC62" w14:textId="77777777" w:rsidR="00975E1B" w:rsidRPr="005E6D70" w:rsidRDefault="00975E1B" w:rsidP="00754FB1">
            <w:pPr>
              <w:widowControl w:val="0"/>
              <w:tabs>
                <w:tab w:val="left" w:pos="742"/>
                <w:tab w:val="left" w:pos="744"/>
              </w:tabs>
              <w:autoSpaceDE w:val="0"/>
              <w:autoSpaceDN w:val="0"/>
              <w:ind w:right="21"/>
              <w:jc w:val="both"/>
              <w:rPr>
                <w:rFonts w:ascii="Times New Roman" w:eastAsia="Calibri" w:hAnsi="Times New Roman" w:cs="Times New Roman"/>
                <w:sz w:val="18"/>
                <w:szCs w:val="18"/>
                <w:lang w:val="en-US"/>
              </w:rPr>
            </w:pPr>
          </w:p>
          <w:p w14:paraId="4D373D7F" w14:textId="77777777" w:rsidR="00975E1B" w:rsidRPr="005E6D70" w:rsidRDefault="00975E1B" w:rsidP="00754FB1">
            <w:pPr>
              <w:widowControl w:val="0"/>
              <w:tabs>
                <w:tab w:val="left" w:pos="742"/>
                <w:tab w:val="left" w:pos="744"/>
              </w:tabs>
              <w:autoSpaceDE w:val="0"/>
              <w:autoSpaceDN w:val="0"/>
              <w:ind w:right="21"/>
              <w:jc w:val="both"/>
              <w:rPr>
                <w:rFonts w:ascii="Times New Roman" w:eastAsia="Calibri" w:hAnsi="Times New Roman" w:cs="Times New Roman"/>
                <w:sz w:val="18"/>
                <w:szCs w:val="18"/>
                <w:lang w:val="en-US"/>
              </w:rPr>
            </w:pPr>
          </w:p>
          <w:p w14:paraId="0AF2ABED" w14:textId="5B3F1F6E" w:rsidR="00D41BD2" w:rsidRPr="005E6D70" w:rsidRDefault="00975E1B" w:rsidP="00754FB1">
            <w:pPr>
              <w:widowControl w:val="0"/>
              <w:tabs>
                <w:tab w:val="left" w:pos="742"/>
                <w:tab w:val="left" w:pos="744"/>
              </w:tabs>
              <w:autoSpaceDE w:val="0"/>
              <w:autoSpaceDN w:val="0"/>
              <w:ind w:right="21"/>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 4. By way of derogation from paragraph 3, of this Article, the filing constituent entity may elect, in accordance with paragraph 1, of Article 55, of this Law, not to treat an entity referred to in letters “b” and “c”, of paragraph 3, of this Article, as an excluded entity.</w:t>
            </w:r>
          </w:p>
        </w:tc>
        <w:tc>
          <w:tcPr>
            <w:tcW w:w="1530" w:type="dxa"/>
          </w:tcPr>
          <w:p w14:paraId="1ABA6603" w14:textId="274676AE" w:rsidR="00D41BD2" w:rsidRPr="005E6D70" w:rsidRDefault="00D41BD2" w:rsidP="00D41BD2">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7BE83C6E" w14:textId="3F392CD0" w:rsidR="00D41BD2" w:rsidRPr="005E6D70" w:rsidRDefault="001C5983"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The first subparagraph is transposed verbatim into Article 2(3)(c) of the draft law. The trailing unnumbered subparagraph of the Directive regarding the election mechanism is structurally transposed as an independent paragraph (Article 2(4)) to adhere to the national </w:t>
            </w:r>
            <w:r w:rsidRPr="005E6D70">
              <w:rPr>
                <w:rFonts w:ascii="Times New Roman" w:eastAsia="Calibri" w:hAnsi="Times New Roman" w:cs="Times New Roman"/>
                <w:sz w:val="18"/>
                <w:szCs w:val="18"/>
                <w:lang w:val="en-US"/>
              </w:rPr>
              <w:lastRenderedPageBreak/>
              <w:t>legislative drafting manual. All cross-references</w:t>
            </w:r>
            <w:r w:rsidR="00BA0724" w:rsidRPr="005E6D70">
              <w:rPr>
                <w:rFonts w:ascii="Times New Roman" w:eastAsia="Calibri" w:hAnsi="Times New Roman" w:cs="Times New Roman"/>
                <w:sz w:val="18"/>
                <w:szCs w:val="18"/>
                <w:lang w:val="en-US"/>
              </w:rPr>
              <w:t xml:space="preserve"> </w:t>
            </w:r>
            <w:r w:rsidRPr="005E6D70">
              <w:rPr>
                <w:rFonts w:ascii="Times New Roman" w:eastAsia="Calibri" w:hAnsi="Times New Roman" w:cs="Times New Roman"/>
                <w:sz w:val="18"/>
                <w:szCs w:val="18"/>
                <w:lang w:val="en-US"/>
              </w:rPr>
              <w:t>align with the national draft.</w:t>
            </w:r>
          </w:p>
        </w:tc>
      </w:tr>
      <w:tr w:rsidR="0088332E" w:rsidRPr="005E6D70" w14:paraId="6FCA8FA5" w14:textId="77777777" w:rsidTr="00073B1B">
        <w:trPr>
          <w:trHeight w:val="260"/>
        </w:trPr>
        <w:tc>
          <w:tcPr>
            <w:tcW w:w="990" w:type="dxa"/>
            <w:gridSpan w:val="2"/>
            <w:shd w:val="clear" w:color="auto" w:fill="D9D9D9" w:themeFill="background1" w:themeFillShade="D9"/>
          </w:tcPr>
          <w:p w14:paraId="07E6E95C" w14:textId="77777777" w:rsidR="00D41BD2" w:rsidRPr="005E6D70" w:rsidRDefault="00D41BD2" w:rsidP="00D41BD2">
            <w:pPr>
              <w:jc w:val="both"/>
              <w:rPr>
                <w:rFonts w:ascii="Times New Roman" w:eastAsia="Calibri" w:hAnsi="Times New Roman" w:cs="Times New Roman"/>
                <w:sz w:val="18"/>
                <w:szCs w:val="18"/>
                <w:lang w:val="en-US"/>
              </w:rPr>
            </w:pPr>
          </w:p>
        </w:tc>
        <w:tc>
          <w:tcPr>
            <w:tcW w:w="4860" w:type="dxa"/>
            <w:shd w:val="clear" w:color="auto" w:fill="D9D9D9" w:themeFill="background1" w:themeFillShade="D9"/>
          </w:tcPr>
          <w:p w14:paraId="62CEF2FA" w14:textId="7F15209E" w:rsidR="00D41BD2" w:rsidRPr="005E6D70" w:rsidRDefault="00D41BD2" w:rsidP="00D41BD2">
            <w:pPr>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3. Definitions</w:t>
            </w:r>
          </w:p>
        </w:tc>
        <w:tc>
          <w:tcPr>
            <w:tcW w:w="990" w:type="dxa"/>
            <w:gridSpan w:val="2"/>
            <w:shd w:val="clear" w:color="auto" w:fill="D9D9D9" w:themeFill="background1" w:themeFillShade="D9"/>
          </w:tcPr>
          <w:p w14:paraId="6945D22E" w14:textId="79E3E735"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shd w:val="clear" w:color="auto" w:fill="D9D9D9" w:themeFill="background1" w:themeFillShade="D9"/>
          </w:tcPr>
          <w:p w14:paraId="369D1583" w14:textId="6145417D" w:rsidR="00D41BD2" w:rsidRPr="005E6D70" w:rsidRDefault="001E3C87" w:rsidP="00D41BD2">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b/>
                <w:bCs/>
                <w:sz w:val="18"/>
                <w:szCs w:val="18"/>
                <w:lang w:val="en-US"/>
              </w:rPr>
              <w:t>4</w:t>
            </w:r>
          </w:p>
        </w:tc>
        <w:tc>
          <w:tcPr>
            <w:tcW w:w="4680" w:type="dxa"/>
            <w:gridSpan w:val="2"/>
            <w:shd w:val="clear" w:color="auto" w:fill="D9D9D9" w:themeFill="background1" w:themeFillShade="D9"/>
          </w:tcPr>
          <w:p w14:paraId="434F2485" w14:textId="5F43AFBC" w:rsidR="00D41BD2" w:rsidRPr="005E6D70" w:rsidRDefault="001E3C87" w:rsidP="00754FB1">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b/>
                <w:bCs/>
                <w:sz w:val="18"/>
                <w:szCs w:val="18"/>
                <w:lang w:val="en-US"/>
              </w:rPr>
              <w:t>Article 4</w:t>
            </w:r>
            <w:r w:rsidR="004670D8" w:rsidRPr="005E6D70">
              <w:rPr>
                <w:rFonts w:ascii="Times New Roman" w:eastAsia="Calibri" w:hAnsi="Times New Roman" w:cs="Times New Roman"/>
                <w:b/>
                <w:bCs/>
                <w:sz w:val="18"/>
                <w:szCs w:val="18"/>
                <w:lang w:val="en-US"/>
              </w:rPr>
              <w:t xml:space="preserve">. </w:t>
            </w:r>
            <w:r w:rsidRPr="005E6D70">
              <w:rPr>
                <w:rFonts w:ascii="Times New Roman" w:eastAsia="Calibri" w:hAnsi="Times New Roman" w:cs="Times New Roman"/>
                <w:b/>
                <w:bCs/>
                <w:sz w:val="18"/>
                <w:szCs w:val="18"/>
                <w:lang w:val="en-US"/>
              </w:rPr>
              <w:t>Definitions</w:t>
            </w:r>
          </w:p>
        </w:tc>
        <w:tc>
          <w:tcPr>
            <w:tcW w:w="1530" w:type="dxa"/>
            <w:shd w:val="clear" w:color="auto" w:fill="D9D9D9" w:themeFill="background1" w:themeFillShade="D9"/>
          </w:tcPr>
          <w:p w14:paraId="4E38EBAA" w14:textId="5543A908" w:rsidR="00D41BD2" w:rsidRPr="005E6D70" w:rsidRDefault="00D41BD2" w:rsidP="00D41BD2">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shd w:val="clear" w:color="auto" w:fill="D9D9D9" w:themeFill="background1" w:themeFillShade="D9"/>
          </w:tcPr>
          <w:p w14:paraId="78B5C16E" w14:textId="6FBDACCA" w:rsidR="00D41BD2" w:rsidRPr="005E6D70" w:rsidRDefault="001E3C87"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definitions article is structurally transposed as Article 4 in the national draft law to logically follow the domestic measures established in the preceding articles. The introductory phrasing is adapted to national standard terminology.</w:t>
            </w:r>
          </w:p>
        </w:tc>
      </w:tr>
      <w:tr w:rsidR="00D37F89" w:rsidRPr="005E6D70" w14:paraId="3978B802" w14:textId="77777777" w:rsidTr="00073B1B">
        <w:trPr>
          <w:trHeight w:val="260"/>
        </w:trPr>
        <w:tc>
          <w:tcPr>
            <w:tcW w:w="990" w:type="dxa"/>
            <w:gridSpan w:val="2"/>
          </w:tcPr>
          <w:p w14:paraId="7B4B4AAE" w14:textId="5C64B6CF" w:rsidR="00D41BD2" w:rsidRPr="005E6D70" w:rsidRDefault="00D41BD2" w:rsidP="00D41BD2">
            <w:pPr>
              <w:jc w:val="center"/>
              <w:rPr>
                <w:rFonts w:ascii="Times New Roman" w:eastAsia="Calibri" w:hAnsi="Times New Roman" w:cs="Times New Roman"/>
                <w:sz w:val="18"/>
                <w:szCs w:val="18"/>
                <w:lang w:val="en-US"/>
              </w:rPr>
            </w:pPr>
          </w:p>
        </w:tc>
        <w:tc>
          <w:tcPr>
            <w:tcW w:w="4860" w:type="dxa"/>
          </w:tcPr>
          <w:p w14:paraId="5F39B9A7" w14:textId="3800AC56" w:rsidR="00D41BD2" w:rsidRPr="005E6D70" w:rsidRDefault="00D41BD2" w:rsidP="00D41BD2">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For the purposes of this Directive, the following definitions apply:</w:t>
            </w:r>
          </w:p>
        </w:tc>
        <w:tc>
          <w:tcPr>
            <w:tcW w:w="990" w:type="dxa"/>
            <w:gridSpan w:val="2"/>
          </w:tcPr>
          <w:p w14:paraId="5D644653" w14:textId="3729E406"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6AEAC567" w14:textId="5A0C0720" w:rsidR="00D41BD2" w:rsidRPr="005E6D70" w:rsidRDefault="001E3C87" w:rsidP="00D41BD2">
            <w:pPr>
              <w:rPr>
                <w:rFonts w:ascii="Times New Roman" w:eastAsia="Calibri" w:hAnsi="Times New Roman" w:cs="Times New Roman"/>
                <w:sz w:val="18"/>
                <w:szCs w:val="18"/>
                <w:lang w:val="en-US"/>
              </w:rPr>
            </w:pPr>
            <w:r w:rsidRPr="005E6D70">
              <w:rPr>
                <w:rFonts w:ascii="Times New Roman" w:eastAsia="Calibri" w:hAnsi="Times New Roman" w:cs="Times New Roman"/>
                <w:b/>
                <w:bCs/>
                <w:sz w:val="18"/>
                <w:szCs w:val="18"/>
                <w:lang w:val="en-US"/>
              </w:rPr>
              <w:t>4 (Intro)</w:t>
            </w:r>
          </w:p>
        </w:tc>
        <w:tc>
          <w:tcPr>
            <w:tcW w:w="4680" w:type="dxa"/>
            <w:gridSpan w:val="2"/>
          </w:tcPr>
          <w:p w14:paraId="4BA3E5CC" w14:textId="71D2089F" w:rsidR="00D41BD2" w:rsidRPr="005E6D70" w:rsidRDefault="001E3C87"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For the purposes of this Law, the following terms shall have the meanings assigned below:</w:t>
            </w:r>
          </w:p>
        </w:tc>
        <w:tc>
          <w:tcPr>
            <w:tcW w:w="1530" w:type="dxa"/>
          </w:tcPr>
          <w:p w14:paraId="69B393CE" w14:textId="1FB87E1C" w:rsidR="00D41BD2" w:rsidRPr="005E6D70" w:rsidRDefault="00D41BD2" w:rsidP="00D41BD2">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293A37BB" w14:textId="1BBDA9DF" w:rsidR="00D41BD2" w:rsidRPr="005E6D70" w:rsidRDefault="001E3C87"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See the note above.</w:t>
            </w:r>
          </w:p>
        </w:tc>
      </w:tr>
      <w:tr w:rsidR="00D37F89" w:rsidRPr="005E6D70" w14:paraId="7124F137" w14:textId="77777777" w:rsidTr="00073B1B">
        <w:trPr>
          <w:trHeight w:val="440"/>
        </w:trPr>
        <w:tc>
          <w:tcPr>
            <w:tcW w:w="990" w:type="dxa"/>
            <w:gridSpan w:val="2"/>
          </w:tcPr>
          <w:p w14:paraId="15AD2203" w14:textId="6FCA5E7E"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w:t>
            </w:r>
          </w:p>
        </w:tc>
        <w:tc>
          <w:tcPr>
            <w:tcW w:w="4860" w:type="dxa"/>
          </w:tcPr>
          <w:p w14:paraId="00D324DA" w14:textId="5CD4ECFB" w:rsidR="00D41BD2" w:rsidRPr="005E6D70" w:rsidRDefault="00D41BD2" w:rsidP="00D41BD2">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‘entity’ means any legal arrangement that prepares separate financial accounts or any legal person;</w:t>
            </w:r>
          </w:p>
        </w:tc>
        <w:tc>
          <w:tcPr>
            <w:tcW w:w="990" w:type="dxa"/>
            <w:gridSpan w:val="2"/>
          </w:tcPr>
          <w:p w14:paraId="1860434C" w14:textId="5D1D991D"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0028011" w14:textId="2F774CE3" w:rsidR="00D41BD2" w:rsidRPr="005E6D70" w:rsidRDefault="001B70FF"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w:t>
            </w:r>
          </w:p>
        </w:tc>
        <w:tc>
          <w:tcPr>
            <w:tcW w:w="4680" w:type="dxa"/>
            <w:gridSpan w:val="2"/>
          </w:tcPr>
          <w:p w14:paraId="3AF7F4A0" w14:textId="0774160A" w:rsidR="00D41BD2" w:rsidRPr="005E6D70" w:rsidRDefault="001B70F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 “Entity” means any legal person or legal arrangement that prepares separate financial accounts.</w:t>
            </w:r>
          </w:p>
        </w:tc>
        <w:tc>
          <w:tcPr>
            <w:tcW w:w="1530" w:type="dxa"/>
          </w:tcPr>
          <w:p w14:paraId="55707FE8" w14:textId="03CAC8B9" w:rsidR="00D41BD2" w:rsidRPr="005E6D70" w:rsidRDefault="00D41BD2" w:rsidP="00D41BD2">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57E7C2B1" w14:textId="7617F5F6" w:rsidR="00D41BD2" w:rsidRPr="005E6D70" w:rsidRDefault="001B70FF"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Verbatim transposition. The order of terms ("legal person or legal arrangement") is slightly </w:t>
            </w:r>
            <w:r w:rsidRPr="005E6D70">
              <w:rPr>
                <w:rFonts w:ascii="Times New Roman" w:eastAsia="Calibri" w:hAnsi="Times New Roman" w:cs="Times New Roman"/>
                <w:sz w:val="18"/>
                <w:szCs w:val="18"/>
                <w:lang w:val="en-US"/>
              </w:rPr>
              <w:lastRenderedPageBreak/>
              <w:t>inverted to align with the standard phrasing of the Albanian legislation.</w:t>
            </w:r>
          </w:p>
        </w:tc>
      </w:tr>
      <w:tr w:rsidR="00D37F89" w:rsidRPr="005E6D70" w14:paraId="6E9DC15E" w14:textId="77777777" w:rsidTr="00073B1B">
        <w:trPr>
          <w:trHeight w:val="260"/>
        </w:trPr>
        <w:tc>
          <w:tcPr>
            <w:tcW w:w="990" w:type="dxa"/>
            <w:gridSpan w:val="2"/>
          </w:tcPr>
          <w:p w14:paraId="3453A527" w14:textId="77D9AB2E"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3(2)</w:t>
            </w:r>
          </w:p>
        </w:tc>
        <w:tc>
          <w:tcPr>
            <w:tcW w:w="4860" w:type="dxa"/>
          </w:tcPr>
          <w:p w14:paraId="16E32556" w14:textId="5AB26AAC" w:rsidR="00D41BD2" w:rsidRPr="005E6D70" w:rsidRDefault="00D41BD2" w:rsidP="00D41BD2">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 ‘constituent entity’ means:</w:t>
            </w:r>
          </w:p>
        </w:tc>
        <w:tc>
          <w:tcPr>
            <w:tcW w:w="990" w:type="dxa"/>
            <w:gridSpan w:val="2"/>
          </w:tcPr>
          <w:p w14:paraId="27710488" w14:textId="5387CCB1"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35C79E3D" w14:textId="169DF36D" w:rsidR="00D41BD2" w:rsidRPr="005E6D70" w:rsidRDefault="0017423E"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w:t>
            </w:r>
          </w:p>
        </w:tc>
        <w:tc>
          <w:tcPr>
            <w:tcW w:w="4680" w:type="dxa"/>
            <w:gridSpan w:val="2"/>
          </w:tcPr>
          <w:p w14:paraId="460E52EA" w14:textId="6D5D2276" w:rsidR="00D41BD2" w:rsidRPr="005E6D70" w:rsidRDefault="0017423E"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 “Constituent entity” means any entity that is part of a multinational enterprise group or large-scale domestic group, including any permanent establishment thereof.</w:t>
            </w:r>
          </w:p>
        </w:tc>
        <w:tc>
          <w:tcPr>
            <w:tcW w:w="1530" w:type="dxa"/>
          </w:tcPr>
          <w:p w14:paraId="2E8FC329" w14:textId="15831ECD" w:rsidR="00D41BD2" w:rsidRPr="005E6D70" w:rsidRDefault="00D41BD2" w:rsidP="00D41BD2">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5C3EC1CD" w14:textId="718BEA86" w:rsidR="00D41BD2" w:rsidRPr="005E6D70" w:rsidRDefault="0017423E"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general definition and its subsequent sub-points (a) and (b) from the Directive are structurally merged into a single comprehensive paragraph in Article 4(2) of the draft law to optimize legislative readability, preserving the exact material scope.</w:t>
            </w:r>
          </w:p>
        </w:tc>
      </w:tr>
      <w:tr w:rsidR="00D37F89" w:rsidRPr="005E6D70" w14:paraId="458BBA51" w14:textId="77777777" w:rsidTr="00073B1B">
        <w:trPr>
          <w:trHeight w:val="440"/>
        </w:trPr>
        <w:tc>
          <w:tcPr>
            <w:tcW w:w="990" w:type="dxa"/>
            <w:gridSpan w:val="2"/>
          </w:tcPr>
          <w:p w14:paraId="33124D4B" w14:textId="7C862A2B"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3(2a)</w:t>
            </w:r>
          </w:p>
        </w:tc>
        <w:tc>
          <w:tcPr>
            <w:tcW w:w="4860" w:type="dxa"/>
          </w:tcPr>
          <w:p w14:paraId="08496E06" w14:textId="057DC762" w:rsidR="00D41BD2" w:rsidRPr="005E6D70" w:rsidRDefault="00D41BD2" w:rsidP="00D41BD2">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any entity that is part of an MNE group or of a large-scale domestic group; and</w:t>
            </w:r>
          </w:p>
        </w:tc>
        <w:tc>
          <w:tcPr>
            <w:tcW w:w="990" w:type="dxa"/>
            <w:gridSpan w:val="2"/>
          </w:tcPr>
          <w:p w14:paraId="156F0DCC" w14:textId="1BC4965E" w:rsidR="00D41BD2" w:rsidRPr="005E6D70" w:rsidRDefault="00D41BD2" w:rsidP="00D41BD2">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60710241" w14:textId="369CB07F" w:rsidR="00D41BD2" w:rsidRPr="005E6D70" w:rsidRDefault="0017423E"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w:t>
            </w:r>
          </w:p>
        </w:tc>
        <w:tc>
          <w:tcPr>
            <w:tcW w:w="4680" w:type="dxa"/>
            <w:gridSpan w:val="2"/>
          </w:tcPr>
          <w:p w14:paraId="6A706BD3" w14:textId="7A591867" w:rsidR="00D41BD2" w:rsidRPr="005E6D70" w:rsidRDefault="0017423E"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(Merged within paragraph 2 above)</w:t>
            </w:r>
          </w:p>
        </w:tc>
        <w:tc>
          <w:tcPr>
            <w:tcW w:w="1530" w:type="dxa"/>
          </w:tcPr>
          <w:p w14:paraId="75E57349" w14:textId="62415DC9" w:rsidR="00D41BD2" w:rsidRPr="005E6D70" w:rsidRDefault="00D41BD2" w:rsidP="00D41BD2">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7E84BE76" w14:textId="0EC7BC5F" w:rsidR="00D41BD2" w:rsidRPr="005E6D70" w:rsidRDefault="0017423E" w:rsidP="00D41BD2">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Transposed and merged within Article 4(2) of the draft law.</w:t>
            </w:r>
          </w:p>
        </w:tc>
      </w:tr>
      <w:tr w:rsidR="00D37F89" w:rsidRPr="005E6D70" w14:paraId="33D07141" w14:textId="77777777" w:rsidTr="00073B1B">
        <w:trPr>
          <w:trHeight w:val="440"/>
        </w:trPr>
        <w:tc>
          <w:tcPr>
            <w:tcW w:w="990" w:type="dxa"/>
            <w:gridSpan w:val="2"/>
          </w:tcPr>
          <w:p w14:paraId="7773B438" w14:textId="41E2C08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3(2b)</w:t>
            </w:r>
          </w:p>
        </w:tc>
        <w:tc>
          <w:tcPr>
            <w:tcW w:w="4860" w:type="dxa"/>
          </w:tcPr>
          <w:p w14:paraId="3E9E46B6" w14:textId="6721FE16"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any permanent establishment of a main entity that is part of an MNE group referred to in point (a);</w:t>
            </w:r>
          </w:p>
        </w:tc>
        <w:tc>
          <w:tcPr>
            <w:tcW w:w="990" w:type="dxa"/>
            <w:gridSpan w:val="2"/>
          </w:tcPr>
          <w:p w14:paraId="1D061C71" w14:textId="5FC9557C"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0E7DD858" w14:textId="17CB6AAF"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w:t>
            </w:r>
          </w:p>
        </w:tc>
        <w:tc>
          <w:tcPr>
            <w:tcW w:w="4680" w:type="dxa"/>
            <w:gridSpan w:val="2"/>
          </w:tcPr>
          <w:p w14:paraId="0CE171C7" w14:textId="3BE8B135" w:rsidR="0017423E" w:rsidRPr="005E6D70" w:rsidRDefault="0017423E"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(Merged within paragraph 2 above)</w:t>
            </w:r>
          </w:p>
        </w:tc>
        <w:tc>
          <w:tcPr>
            <w:tcW w:w="1530" w:type="dxa"/>
          </w:tcPr>
          <w:p w14:paraId="3FD68F8C" w14:textId="00B7D485"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254DC6CD" w14:textId="2DC75FA2"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Transposed and merged within Article 4(2) of the draft law.</w:t>
            </w:r>
          </w:p>
        </w:tc>
      </w:tr>
      <w:tr w:rsidR="00D37F89" w:rsidRPr="005E6D70" w14:paraId="1267FBC1" w14:textId="77777777" w:rsidTr="00073B1B">
        <w:trPr>
          <w:trHeight w:val="260"/>
        </w:trPr>
        <w:tc>
          <w:tcPr>
            <w:tcW w:w="990" w:type="dxa"/>
            <w:gridSpan w:val="2"/>
          </w:tcPr>
          <w:p w14:paraId="2C567E88" w14:textId="59164299"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w:t>
            </w:r>
          </w:p>
        </w:tc>
        <w:tc>
          <w:tcPr>
            <w:tcW w:w="4860" w:type="dxa"/>
          </w:tcPr>
          <w:p w14:paraId="2A7FEB1E" w14:textId="0A0497C8"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‘group’ means:</w:t>
            </w:r>
          </w:p>
        </w:tc>
        <w:tc>
          <w:tcPr>
            <w:tcW w:w="990" w:type="dxa"/>
            <w:gridSpan w:val="2"/>
          </w:tcPr>
          <w:p w14:paraId="0FD716B6" w14:textId="49E15EDF"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98EFFE9" w14:textId="0D81BE5A" w:rsidR="0017423E" w:rsidRPr="005E6D70" w:rsidRDefault="0059199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w:t>
            </w:r>
          </w:p>
        </w:tc>
        <w:tc>
          <w:tcPr>
            <w:tcW w:w="4680" w:type="dxa"/>
            <w:gridSpan w:val="2"/>
          </w:tcPr>
          <w:p w14:paraId="0DFC658A" w14:textId="50AD5464" w:rsidR="0017423E" w:rsidRPr="005E6D70" w:rsidRDefault="0017423E"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 “Group” means:</w:t>
            </w:r>
          </w:p>
        </w:tc>
        <w:tc>
          <w:tcPr>
            <w:tcW w:w="1530" w:type="dxa"/>
          </w:tcPr>
          <w:p w14:paraId="26D01515" w14:textId="2760A665"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17C59814" w14:textId="66FB5D79"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2FA82EBE" w14:textId="77777777" w:rsidTr="00073B1B">
        <w:trPr>
          <w:trHeight w:val="530"/>
        </w:trPr>
        <w:tc>
          <w:tcPr>
            <w:tcW w:w="990" w:type="dxa"/>
            <w:gridSpan w:val="2"/>
          </w:tcPr>
          <w:p w14:paraId="2ADDB704" w14:textId="55009160"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3(3a)</w:t>
            </w:r>
          </w:p>
        </w:tc>
        <w:tc>
          <w:tcPr>
            <w:tcW w:w="4860" w:type="dxa"/>
          </w:tcPr>
          <w:p w14:paraId="0E8B59FF"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(a) a collection of entities which are related through ownership or control as defined by the acceptable financial accounting standard for the preparation of consolidated financial statements by the ultimate parent entity, including any entity that may have </w:t>
            </w:r>
            <w:r w:rsidRPr="005E6D70">
              <w:rPr>
                <w:rFonts w:ascii="Times New Roman" w:eastAsia="Calibri" w:hAnsi="Times New Roman" w:cs="Times New Roman"/>
                <w:iCs/>
                <w:sz w:val="18"/>
                <w:szCs w:val="18"/>
                <w:lang w:val="en-US"/>
              </w:rPr>
              <w:lastRenderedPageBreak/>
              <w:t>been excluded from the consolidated financial statements of the ultimate parent entity solely based on its small size, on materiality grounds or on the grounds that it</w:t>
            </w:r>
          </w:p>
          <w:p w14:paraId="267A8A96" w14:textId="13084EDA"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is held for sale; or</w:t>
            </w:r>
          </w:p>
        </w:tc>
        <w:tc>
          <w:tcPr>
            <w:tcW w:w="990" w:type="dxa"/>
            <w:gridSpan w:val="2"/>
          </w:tcPr>
          <w:p w14:paraId="4E289155" w14:textId="66016F45"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1080" w:type="dxa"/>
            <w:gridSpan w:val="2"/>
          </w:tcPr>
          <w:p w14:paraId="055C4F43" w14:textId="25749D88" w:rsidR="0017423E" w:rsidRPr="005E6D70" w:rsidRDefault="0059199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4(3)(a)</w:t>
            </w:r>
          </w:p>
        </w:tc>
        <w:tc>
          <w:tcPr>
            <w:tcW w:w="4680" w:type="dxa"/>
            <w:gridSpan w:val="2"/>
          </w:tcPr>
          <w:p w14:paraId="4159679A" w14:textId="584B794E" w:rsidR="0017423E" w:rsidRPr="005E6D70" w:rsidRDefault="0059199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a) a collection of entities which are related through ownership or control, as defined by the acceptable financial accounting standard for the preparation of consolidated financial statements by the ultimate parent entity, including any entity </w:t>
            </w:r>
            <w:r w:rsidRPr="005E6D70">
              <w:rPr>
                <w:rFonts w:ascii="Times New Roman" w:eastAsia="Calibri" w:hAnsi="Times New Roman" w:cs="Times New Roman"/>
                <w:sz w:val="18"/>
                <w:szCs w:val="18"/>
                <w:lang w:val="en-US"/>
              </w:rPr>
              <w:lastRenderedPageBreak/>
              <w:t>that may have been excluded from the consolidated financial statements of the ultimate parent entity solely based on its small size, on materiality grounds or on the grounds that it is held for sale; or</w:t>
            </w:r>
          </w:p>
        </w:tc>
        <w:tc>
          <w:tcPr>
            <w:tcW w:w="1530" w:type="dxa"/>
          </w:tcPr>
          <w:p w14:paraId="1DE84382" w14:textId="41DC2D62"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lastRenderedPageBreak/>
              <w:t>F</w:t>
            </w:r>
          </w:p>
        </w:tc>
        <w:tc>
          <w:tcPr>
            <w:tcW w:w="1350" w:type="dxa"/>
          </w:tcPr>
          <w:p w14:paraId="72728D6B" w14:textId="5346F8C1" w:rsidR="0017423E" w:rsidRPr="005E6D70" w:rsidRDefault="0059199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The internal cross-reference is adapted to national </w:t>
            </w:r>
            <w:r w:rsidRPr="005E6D70">
              <w:rPr>
                <w:rFonts w:ascii="Times New Roman" w:eastAsia="Calibri" w:hAnsi="Times New Roman" w:cs="Times New Roman"/>
                <w:sz w:val="18"/>
                <w:szCs w:val="18"/>
                <w:lang w:val="en-US"/>
              </w:rPr>
              <w:lastRenderedPageBreak/>
              <w:t>formatting standards ("letter 'a', of this paragraph").</w:t>
            </w:r>
          </w:p>
        </w:tc>
      </w:tr>
      <w:tr w:rsidR="00D37F89" w:rsidRPr="005E6D70" w14:paraId="65F32DF3" w14:textId="77777777" w:rsidTr="00073B1B">
        <w:trPr>
          <w:trHeight w:val="476"/>
        </w:trPr>
        <w:tc>
          <w:tcPr>
            <w:tcW w:w="990" w:type="dxa"/>
            <w:gridSpan w:val="2"/>
          </w:tcPr>
          <w:p w14:paraId="6BBE7C70" w14:textId="35CB2322"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3(3b)</w:t>
            </w:r>
          </w:p>
        </w:tc>
        <w:tc>
          <w:tcPr>
            <w:tcW w:w="4860" w:type="dxa"/>
          </w:tcPr>
          <w:p w14:paraId="55AB38A6" w14:textId="420BC80B"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an entity that has one or more permanent establishments, provided that it is not part of another group as defined in point (a);</w:t>
            </w:r>
          </w:p>
        </w:tc>
        <w:tc>
          <w:tcPr>
            <w:tcW w:w="990" w:type="dxa"/>
            <w:gridSpan w:val="2"/>
          </w:tcPr>
          <w:p w14:paraId="1BEC21AF" w14:textId="6016973C"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CD503C0" w14:textId="16CD6D3C" w:rsidR="0017423E" w:rsidRPr="005E6D70" w:rsidRDefault="008918C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4(3)(b)</w:t>
            </w:r>
          </w:p>
        </w:tc>
        <w:tc>
          <w:tcPr>
            <w:tcW w:w="4680" w:type="dxa"/>
            <w:gridSpan w:val="2"/>
          </w:tcPr>
          <w:p w14:paraId="22FDBA0A" w14:textId="50D90BA6" w:rsidR="0017423E" w:rsidRPr="005E6D70" w:rsidRDefault="008918C8"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an entity that has one or more permanent establishments, provided that it is not part of another group as defined in letter “a”, of this paragraph.</w:t>
            </w:r>
          </w:p>
        </w:tc>
        <w:tc>
          <w:tcPr>
            <w:tcW w:w="1530" w:type="dxa"/>
          </w:tcPr>
          <w:p w14:paraId="7AD6CA93" w14:textId="36C5F2E3"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1D266B68" w14:textId="185C0D79" w:rsidR="0017423E" w:rsidRPr="005E6D70" w:rsidRDefault="008918C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internal cross-reference is adapted to national formatting standards ("letter 'a', of this paragraph").</w:t>
            </w:r>
          </w:p>
        </w:tc>
      </w:tr>
      <w:tr w:rsidR="00D37F89" w:rsidRPr="005E6D70" w14:paraId="68407866" w14:textId="77777777" w:rsidTr="00073B1B">
        <w:trPr>
          <w:trHeight w:val="530"/>
        </w:trPr>
        <w:tc>
          <w:tcPr>
            <w:tcW w:w="990" w:type="dxa"/>
            <w:gridSpan w:val="2"/>
          </w:tcPr>
          <w:p w14:paraId="1E5F49EA" w14:textId="1681BC05"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w:t>
            </w:r>
          </w:p>
        </w:tc>
        <w:tc>
          <w:tcPr>
            <w:tcW w:w="4860" w:type="dxa"/>
          </w:tcPr>
          <w:p w14:paraId="08B91E1F" w14:textId="2145B7C2"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 ‘MNE group’ means any group that includes at least one entity or permanent establishment which is not located in the jurisdiction of the ultimate parent entity;</w:t>
            </w:r>
          </w:p>
        </w:tc>
        <w:tc>
          <w:tcPr>
            <w:tcW w:w="990" w:type="dxa"/>
            <w:gridSpan w:val="2"/>
          </w:tcPr>
          <w:p w14:paraId="3EB68425" w14:textId="5DB4CB96"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7AF85DC6" w14:textId="5636CCC6" w:rsidR="0017423E" w:rsidRPr="005E6D70" w:rsidRDefault="008918C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w:t>
            </w:r>
          </w:p>
        </w:tc>
        <w:tc>
          <w:tcPr>
            <w:tcW w:w="4680" w:type="dxa"/>
            <w:gridSpan w:val="2"/>
          </w:tcPr>
          <w:p w14:paraId="25326912" w14:textId="52C9323C" w:rsidR="0017423E" w:rsidRPr="005E6D70" w:rsidRDefault="008918C8"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 “Multinational enterprise group” means any group that includes at least one entity or permanent establishment which is not located in the jurisdiction of the ultimate parent entity.</w:t>
            </w:r>
          </w:p>
        </w:tc>
        <w:tc>
          <w:tcPr>
            <w:tcW w:w="1530" w:type="dxa"/>
          </w:tcPr>
          <w:p w14:paraId="19F59FFF" w14:textId="6303CE5F"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7F07C5E9" w14:textId="35F3777A" w:rsidR="0017423E" w:rsidRPr="005E6D70" w:rsidRDefault="008918C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 The abbreviation "MNE" is fully expanded to "Multinational enterprise" to adhere to national drafting guidelines regarding acronyms.</w:t>
            </w:r>
          </w:p>
        </w:tc>
      </w:tr>
      <w:tr w:rsidR="00D37F89" w:rsidRPr="005E6D70" w14:paraId="3E2DDD10" w14:textId="77777777" w:rsidTr="00073B1B">
        <w:trPr>
          <w:trHeight w:val="530"/>
        </w:trPr>
        <w:tc>
          <w:tcPr>
            <w:tcW w:w="990" w:type="dxa"/>
            <w:gridSpan w:val="2"/>
          </w:tcPr>
          <w:p w14:paraId="79F8C5D5" w14:textId="3B67C36D"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3(5)</w:t>
            </w:r>
          </w:p>
        </w:tc>
        <w:tc>
          <w:tcPr>
            <w:tcW w:w="4860" w:type="dxa"/>
          </w:tcPr>
          <w:p w14:paraId="69A5CE99" w14:textId="147E88BD"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(5) ‘large-scale domestic group’ means any group of which all constituent entities are located in the same Member State;</w:t>
            </w:r>
          </w:p>
        </w:tc>
        <w:tc>
          <w:tcPr>
            <w:tcW w:w="990" w:type="dxa"/>
            <w:gridSpan w:val="2"/>
          </w:tcPr>
          <w:p w14:paraId="0CC14166" w14:textId="7BF31DD1"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6CF69BDA" w14:textId="2CFE7D8E" w:rsidR="0017423E" w:rsidRPr="005E6D70" w:rsidRDefault="004C30CA"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4(5)</w:t>
            </w:r>
          </w:p>
        </w:tc>
        <w:tc>
          <w:tcPr>
            <w:tcW w:w="4680" w:type="dxa"/>
            <w:gridSpan w:val="2"/>
          </w:tcPr>
          <w:p w14:paraId="4BC5E412" w14:textId="4E410CA0" w:rsidR="0017423E" w:rsidRPr="005E6D70" w:rsidRDefault="004C30CA"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 “Large-scale domestic group” means a group of which all constituent entities are located in the Republic of Albania.</w:t>
            </w:r>
          </w:p>
        </w:tc>
        <w:tc>
          <w:tcPr>
            <w:tcW w:w="1530" w:type="dxa"/>
          </w:tcPr>
          <w:p w14:paraId="01CB5358" w14:textId="2410FF89"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70491169" w14:textId="03EA5633" w:rsidR="0017423E" w:rsidRPr="005E6D70" w:rsidRDefault="004C30CA"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reference to "Member State" is adapted to "the Republic of Albania" to reflect the domestic territorial application.</w:t>
            </w:r>
          </w:p>
        </w:tc>
      </w:tr>
      <w:tr w:rsidR="00D37F89" w:rsidRPr="005E6D70" w14:paraId="738C2BB1" w14:textId="77777777" w:rsidTr="00073B1B">
        <w:trPr>
          <w:trHeight w:val="350"/>
        </w:trPr>
        <w:tc>
          <w:tcPr>
            <w:tcW w:w="990" w:type="dxa"/>
            <w:gridSpan w:val="2"/>
          </w:tcPr>
          <w:p w14:paraId="04A9FB1A" w14:textId="31780370"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3(6)</w:t>
            </w:r>
          </w:p>
        </w:tc>
        <w:tc>
          <w:tcPr>
            <w:tcW w:w="4860" w:type="dxa"/>
          </w:tcPr>
          <w:p w14:paraId="57FBC699" w14:textId="2DF63030"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(6) ‘consolidated financial statements’ means:</w:t>
            </w:r>
          </w:p>
        </w:tc>
        <w:tc>
          <w:tcPr>
            <w:tcW w:w="990" w:type="dxa"/>
            <w:gridSpan w:val="2"/>
          </w:tcPr>
          <w:p w14:paraId="51089760" w14:textId="38CBE372"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1A419A9" w14:textId="5E479CAE" w:rsidR="0017423E" w:rsidRPr="005E6D70" w:rsidRDefault="00111D9B"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4(6)</w:t>
            </w:r>
          </w:p>
        </w:tc>
        <w:tc>
          <w:tcPr>
            <w:tcW w:w="4680" w:type="dxa"/>
            <w:gridSpan w:val="2"/>
          </w:tcPr>
          <w:p w14:paraId="1F7955CB" w14:textId="4928F2EA" w:rsidR="0017423E" w:rsidRPr="005E6D70" w:rsidRDefault="00111D9B"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6. “Consolidated financial statements” means:</w:t>
            </w:r>
          </w:p>
        </w:tc>
        <w:tc>
          <w:tcPr>
            <w:tcW w:w="1530" w:type="dxa"/>
          </w:tcPr>
          <w:p w14:paraId="0CDD07B8" w14:textId="3B27E943"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167DCF73" w14:textId="14AAF8E0" w:rsidR="0017423E" w:rsidRPr="005E6D70" w:rsidRDefault="00F9106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6BD63103" w14:textId="77777777" w:rsidTr="00073B1B">
        <w:trPr>
          <w:trHeight w:val="530"/>
        </w:trPr>
        <w:tc>
          <w:tcPr>
            <w:tcW w:w="990" w:type="dxa"/>
            <w:gridSpan w:val="2"/>
          </w:tcPr>
          <w:p w14:paraId="76D97CFD" w14:textId="439E518D"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3(6a)</w:t>
            </w:r>
          </w:p>
        </w:tc>
        <w:tc>
          <w:tcPr>
            <w:tcW w:w="4860" w:type="dxa"/>
          </w:tcPr>
          <w:p w14:paraId="7A513610" w14:textId="515AB5D2"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the financial statements prepared by an entity in accordance with an acceptable financial accounting standard, in which the assets, liabilities, income, expenses and cash flows of that entity and of any entities in which it has a controlling interest are presented as those of a single economic unit;</w:t>
            </w:r>
          </w:p>
        </w:tc>
        <w:tc>
          <w:tcPr>
            <w:tcW w:w="990" w:type="dxa"/>
            <w:gridSpan w:val="2"/>
          </w:tcPr>
          <w:p w14:paraId="6CE5F2F5" w14:textId="00E16475"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CA69298" w14:textId="176E9D76" w:rsidR="0017423E" w:rsidRPr="005E6D70" w:rsidRDefault="00F9106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4(6)(a)</w:t>
            </w:r>
          </w:p>
        </w:tc>
        <w:tc>
          <w:tcPr>
            <w:tcW w:w="4680" w:type="dxa"/>
            <w:gridSpan w:val="2"/>
          </w:tcPr>
          <w:p w14:paraId="2D52B925" w14:textId="7EAF685E" w:rsidR="0017423E" w:rsidRPr="005E6D70" w:rsidRDefault="00F9106D"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the financial statements prepared by an entity in accordance with an acceptable financial accounting standard, in which the assets, liabilities, income, expenses and cash flows of that entity and of any entities in which it has a controlling interest are presented as those of a single economic unit;</w:t>
            </w:r>
          </w:p>
        </w:tc>
        <w:tc>
          <w:tcPr>
            <w:tcW w:w="1530" w:type="dxa"/>
          </w:tcPr>
          <w:p w14:paraId="599597CE" w14:textId="052C758D"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5AEDB218" w14:textId="2EE0C5AA" w:rsidR="0017423E" w:rsidRPr="005E6D70" w:rsidRDefault="00F9106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06AAA935" w14:textId="77777777" w:rsidTr="00073B1B">
        <w:trPr>
          <w:trHeight w:val="530"/>
        </w:trPr>
        <w:tc>
          <w:tcPr>
            <w:tcW w:w="990" w:type="dxa"/>
            <w:gridSpan w:val="2"/>
          </w:tcPr>
          <w:p w14:paraId="264DE6C3" w14:textId="6BDB8B2E"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3(6b)</w:t>
            </w:r>
          </w:p>
        </w:tc>
        <w:tc>
          <w:tcPr>
            <w:tcW w:w="4860" w:type="dxa"/>
          </w:tcPr>
          <w:p w14:paraId="7EF83B64" w14:textId="48FE44BF"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for groups defined in point (3)(b), the financial statements prepared by an entity in accordance with an acceptable financial accounting standard;</w:t>
            </w:r>
          </w:p>
        </w:tc>
        <w:tc>
          <w:tcPr>
            <w:tcW w:w="990" w:type="dxa"/>
            <w:gridSpan w:val="2"/>
          </w:tcPr>
          <w:p w14:paraId="64950D1A" w14:textId="61D7A06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524877F" w14:textId="318BF931" w:rsidR="0017423E" w:rsidRPr="005E6D70" w:rsidRDefault="00F9106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4(6)(b)</w:t>
            </w:r>
          </w:p>
        </w:tc>
        <w:tc>
          <w:tcPr>
            <w:tcW w:w="4680" w:type="dxa"/>
            <w:gridSpan w:val="2"/>
          </w:tcPr>
          <w:p w14:paraId="256EDFF1" w14:textId="3D1546A2" w:rsidR="0017423E" w:rsidRPr="005E6D70" w:rsidRDefault="00F9106D"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for groups defined in letter “b”, of paragraph 3, of this Article, the financial statements prepared by an entity in accordance with an acceptable financial accounting standard;</w:t>
            </w:r>
          </w:p>
        </w:tc>
        <w:tc>
          <w:tcPr>
            <w:tcW w:w="1530" w:type="dxa"/>
          </w:tcPr>
          <w:p w14:paraId="2991DAFF" w14:textId="15A65D45"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5B8B3630" w14:textId="61A8C2FD" w:rsidR="0017423E" w:rsidRPr="005E6D70" w:rsidRDefault="00F9106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internal cross-reference is adapted to national format ("letter 'b', of paragraph 3, of this Article").</w:t>
            </w:r>
          </w:p>
        </w:tc>
      </w:tr>
      <w:tr w:rsidR="00D37F89" w:rsidRPr="005E6D70" w14:paraId="5E61C794" w14:textId="77777777" w:rsidTr="00073B1B">
        <w:trPr>
          <w:trHeight w:val="530"/>
        </w:trPr>
        <w:tc>
          <w:tcPr>
            <w:tcW w:w="990" w:type="dxa"/>
            <w:gridSpan w:val="2"/>
          </w:tcPr>
          <w:p w14:paraId="621241BE" w14:textId="57CCBD95"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3(6c)</w:t>
            </w:r>
          </w:p>
        </w:tc>
        <w:tc>
          <w:tcPr>
            <w:tcW w:w="4860" w:type="dxa"/>
          </w:tcPr>
          <w:p w14:paraId="12CA8D5E" w14:textId="2342AF7B"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the financial statements of the ultimate parent entity that are not prepared in accordance with an acceptable financial accounting standard and that have been subsequently adjusted to prevent any material competitive distortions; and</w:t>
            </w:r>
          </w:p>
        </w:tc>
        <w:tc>
          <w:tcPr>
            <w:tcW w:w="990" w:type="dxa"/>
            <w:gridSpan w:val="2"/>
          </w:tcPr>
          <w:p w14:paraId="16F648B5" w14:textId="2830E589"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01500247" w14:textId="7A2C0DAE" w:rsidR="0017423E" w:rsidRPr="005E6D70" w:rsidRDefault="00BA301C"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4(6)(c)</w:t>
            </w:r>
          </w:p>
        </w:tc>
        <w:tc>
          <w:tcPr>
            <w:tcW w:w="4680" w:type="dxa"/>
            <w:gridSpan w:val="2"/>
          </w:tcPr>
          <w:p w14:paraId="75740BF2" w14:textId="0B7D6B45" w:rsidR="0017423E" w:rsidRPr="005E6D70" w:rsidRDefault="00BA301C"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c) the financial statements of the ultimate parent entity that are not prepared in accordance with an acceptable financial accounting standard and that have been subsequently adjusted to prevent any material competitive distortions; and</w:t>
            </w:r>
          </w:p>
        </w:tc>
        <w:tc>
          <w:tcPr>
            <w:tcW w:w="1530" w:type="dxa"/>
          </w:tcPr>
          <w:p w14:paraId="7FFB3EEB" w14:textId="2A54D8A4"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64A9BA6D" w14:textId="5411EA20" w:rsidR="0017423E" w:rsidRPr="005E6D70" w:rsidRDefault="00BA301C"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4F60346E" w14:textId="77777777" w:rsidTr="00073B1B">
        <w:trPr>
          <w:trHeight w:val="530"/>
        </w:trPr>
        <w:tc>
          <w:tcPr>
            <w:tcW w:w="990" w:type="dxa"/>
            <w:gridSpan w:val="2"/>
          </w:tcPr>
          <w:p w14:paraId="5345A24F" w14:textId="344E15A6"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3(6d)</w:t>
            </w:r>
          </w:p>
        </w:tc>
        <w:tc>
          <w:tcPr>
            <w:tcW w:w="4860" w:type="dxa"/>
          </w:tcPr>
          <w:p w14:paraId="6A698642"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where the ultimate parent entity does not prepare financial statements as described in point (a), (b) or (c), the financial statements that would have been prepared if the ultimate parent entity were required to prepare such financial statements in accordance with:</w:t>
            </w:r>
          </w:p>
          <w:p w14:paraId="6D508164" w14:textId="77777777" w:rsidR="0017423E" w:rsidRPr="005E6D70" w:rsidRDefault="0017423E" w:rsidP="0017423E">
            <w:pPr>
              <w:jc w:val="both"/>
              <w:rPr>
                <w:rFonts w:ascii="Times New Roman" w:eastAsia="Calibri" w:hAnsi="Times New Roman" w:cs="Times New Roman"/>
                <w:iCs/>
                <w:sz w:val="18"/>
                <w:szCs w:val="18"/>
                <w:lang w:val="en-US"/>
              </w:rPr>
            </w:pPr>
          </w:p>
          <w:p w14:paraId="4480DD5A"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an acceptable financial accounting standard; or</w:t>
            </w:r>
          </w:p>
          <w:p w14:paraId="1EB8A1A2" w14:textId="77777777" w:rsidR="0017423E" w:rsidRPr="005E6D70" w:rsidRDefault="0017423E" w:rsidP="0017423E">
            <w:pPr>
              <w:jc w:val="both"/>
              <w:rPr>
                <w:rFonts w:ascii="Times New Roman" w:eastAsia="Calibri" w:hAnsi="Times New Roman" w:cs="Times New Roman"/>
                <w:iCs/>
                <w:sz w:val="18"/>
                <w:szCs w:val="18"/>
                <w:lang w:val="en-US"/>
              </w:rPr>
            </w:pPr>
          </w:p>
          <w:p w14:paraId="6F9A7A78" w14:textId="2C1D98D2"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 another financial accounting standard, and provided such financial statements have been adjusted to prevent any material competitive distortions;</w:t>
            </w:r>
          </w:p>
        </w:tc>
        <w:tc>
          <w:tcPr>
            <w:tcW w:w="990" w:type="dxa"/>
            <w:gridSpan w:val="2"/>
          </w:tcPr>
          <w:p w14:paraId="482BC306" w14:textId="76E28977"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1E5A734" w14:textId="24BB076F" w:rsidR="0017423E" w:rsidRPr="005E6D70" w:rsidRDefault="00BA301C"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4(6)(d)</w:t>
            </w:r>
          </w:p>
        </w:tc>
        <w:tc>
          <w:tcPr>
            <w:tcW w:w="4680" w:type="dxa"/>
            <w:gridSpan w:val="2"/>
          </w:tcPr>
          <w:p w14:paraId="23B3088C" w14:textId="77777777" w:rsidR="00BA301C" w:rsidRPr="005E6D70" w:rsidRDefault="00BA301C"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d) where the ultimate parent entity does not prepare financial statements as described in letters “a”, “b”, or “c”, of this paragraph, the financial statements that would have been prepared if the ultimate parent entity were required to prepare such financial statements in accordance with:   </w:t>
            </w:r>
          </w:p>
          <w:p w14:paraId="25A2B063" w14:textId="77777777" w:rsidR="00BA301C" w:rsidRPr="005E6D70" w:rsidRDefault="00BA301C" w:rsidP="00754FB1">
            <w:pPr>
              <w:jc w:val="both"/>
              <w:rPr>
                <w:rFonts w:ascii="Times New Roman" w:eastAsia="Calibri" w:hAnsi="Times New Roman" w:cs="Times New Roman"/>
                <w:sz w:val="18"/>
                <w:szCs w:val="18"/>
                <w:lang w:val="en-US"/>
              </w:rPr>
            </w:pPr>
          </w:p>
          <w:p w14:paraId="6D558534" w14:textId="77777777" w:rsidR="00BA301C" w:rsidRPr="005E6D70" w:rsidRDefault="00BA301C"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 i) an acceptable financial accounting standard; or  </w:t>
            </w:r>
          </w:p>
          <w:p w14:paraId="3A174482" w14:textId="77777777" w:rsidR="00BA301C" w:rsidRPr="005E6D70" w:rsidRDefault="00BA301C" w:rsidP="00754FB1">
            <w:pPr>
              <w:jc w:val="both"/>
              <w:rPr>
                <w:rFonts w:ascii="Times New Roman" w:eastAsia="Calibri" w:hAnsi="Times New Roman" w:cs="Times New Roman"/>
                <w:sz w:val="18"/>
                <w:szCs w:val="18"/>
                <w:lang w:val="en-US"/>
              </w:rPr>
            </w:pPr>
          </w:p>
          <w:p w14:paraId="724C508D" w14:textId="29ABF284" w:rsidR="0017423E" w:rsidRPr="005E6D70" w:rsidRDefault="00BA301C"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 ii) another financial accounting standard, and provided such financial statements have been adjusted to prevent any material competitive distortions.</w:t>
            </w:r>
          </w:p>
        </w:tc>
        <w:tc>
          <w:tcPr>
            <w:tcW w:w="1530" w:type="dxa"/>
          </w:tcPr>
          <w:p w14:paraId="74BB292E" w14:textId="1407C460"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4B27C292" w14:textId="46B526F2" w:rsidR="0017423E" w:rsidRPr="005E6D70" w:rsidRDefault="00F0376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internal cross-references are structurally adapted to the national format ("letters 'a', 'b', or 'c', of this paragraph").</w:t>
            </w:r>
          </w:p>
        </w:tc>
      </w:tr>
      <w:tr w:rsidR="00D37F89" w:rsidRPr="005E6D70" w14:paraId="6DA482CB" w14:textId="77777777" w:rsidTr="00073B1B">
        <w:trPr>
          <w:trHeight w:val="530"/>
        </w:trPr>
        <w:tc>
          <w:tcPr>
            <w:tcW w:w="990" w:type="dxa"/>
            <w:gridSpan w:val="2"/>
          </w:tcPr>
          <w:p w14:paraId="1092FC0D" w14:textId="04E3DC86"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3(7)</w:t>
            </w:r>
          </w:p>
        </w:tc>
        <w:tc>
          <w:tcPr>
            <w:tcW w:w="4860" w:type="dxa"/>
          </w:tcPr>
          <w:p w14:paraId="41D92420"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(7) ‘fiscal year’ means the accounting period with respect to which the ultimate parent entity of an MNE group or of a large-scale domestic group prepares its consolidated financial statements or, if the ultimate parent entity does not prepare consolidated financial</w:t>
            </w:r>
          </w:p>
          <w:p w14:paraId="41101C99" w14:textId="424BC740"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statements, the calendar year;</w:t>
            </w:r>
          </w:p>
        </w:tc>
        <w:tc>
          <w:tcPr>
            <w:tcW w:w="990" w:type="dxa"/>
            <w:gridSpan w:val="2"/>
          </w:tcPr>
          <w:p w14:paraId="2861B5FC" w14:textId="6BC08C1E"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78F4B5B" w14:textId="0984D927" w:rsidR="0017423E" w:rsidRPr="005E6D70" w:rsidRDefault="00BB792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4(7)</w:t>
            </w:r>
          </w:p>
        </w:tc>
        <w:tc>
          <w:tcPr>
            <w:tcW w:w="4680" w:type="dxa"/>
            <w:gridSpan w:val="2"/>
          </w:tcPr>
          <w:p w14:paraId="5F4AAE7C" w14:textId="47133B29" w:rsidR="0017423E" w:rsidRPr="005E6D70" w:rsidRDefault="00BB7928"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7. “Fiscal year” means the accounting period with respect to which the ultimate parent entity of a multinational enterprise group or of a large-scale domestic group prepares its consolidated financial statements or, if the ultimate parent entity does not prepare consolidated financial statements, the calendar year.</w:t>
            </w:r>
          </w:p>
        </w:tc>
        <w:tc>
          <w:tcPr>
            <w:tcW w:w="1530" w:type="dxa"/>
          </w:tcPr>
          <w:p w14:paraId="4F14AF60" w14:textId="09056494"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6798D807" w14:textId="2593D085" w:rsidR="0017423E" w:rsidRPr="005E6D70" w:rsidRDefault="00BB792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 The abbreviation "MNE" is expanded.</w:t>
            </w:r>
          </w:p>
        </w:tc>
      </w:tr>
      <w:tr w:rsidR="00D37F89" w:rsidRPr="005E6D70" w14:paraId="46F76C07" w14:textId="77777777" w:rsidTr="00073B1B">
        <w:trPr>
          <w:trHeight w:val="440"/>
        </w:trPr>
        <w:tc>
          <w:tcPr>
            <w:tcW w:w="990" w:type="dxa"/>
            <w:gridSpan w:val="2"/>
          </w:tcPr>
          <w:p w14:paraId="5F046841" w14:textId="1D3792A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3(8)</w:t>
            </w:r>
          </w:p>
        </w:tc>
        <w:tc>
          <w:tcPr>
            <w:tcW w:w="4860" w:type="dxa"/>
          </w:tcPr>
          <w:p w14:paraId="24B62AE2" w14:textId="6CC73E63"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(8) ‘filing constituent entity’ means an entity filing a top-up tax information return in accordance with Article 44;</w:t>
            </w:r>
          </w:p>
        </w:tc>
        <w:tc>
          <w:tcPr>
            <w:tcW w:w="990" w:type="dxa"/>
            <w:gridSpan w:val="2"/>
          </w:tcPr>
          <w:p w14:paraId="413F8833" w14:textId="54CC5EB2"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3D58E099" w14:textId="7F41AECB" w:rsidR="0017423E" w:rsidRPr="005E6D70" w:rsidRDefault="00BB792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4(8)</w:t>
            </w:r>
          </w:p>
        </w:tc>
        <w:tc>
          <w:tcPr>
            <w:tcW w:w="4680" w:type="dxa"/>
            <w:gridSpan w:val="2"/>
          </w:tcPr>
          <w:p w14:paraId="15AD1FC8" w14:textId="212E79BF" w:rsidR="0017423E" w:rsidRPr="005E6D70" w:rsidRDefault="00BB7928"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8. “Filing constituent entity” means an entity filing a top-up tax information return in accordance with Article 54, of this Law.</w:t>
            </w:r>
          </w:p>
        </w:tc>
        <w:tc>
          <w:tcPr>
            <w:tcW w:w="1530" w:type="dxa"/>
          </w:tcPr>
          <w:p w14:paraId="2DA8F919" w14:textId="2EF0431B"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46690BD3" w14:textId="7981CEE0" w:rsidR="0017423E" w:rsidRPr="005E6D70" w:rsidRDefault="00E3143E"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cross-reference to "Article 44" of the Directive is mapped to the corresponding "Article 54" of the draft law.</w:t>
            </w:r>
          </w:p>
        </w:tc>
      </w:tr>
      <w:tr w:rsidR="00D37F89" w:rsidRPr="005E6D70" w14:paraId="449F0964" w14:textId="77777777" w:rsidTr="00073B1B">
        <w:trPr>
          <w:trHeight w:val="440"/>
        </w:trPr>
        <w:tc>
          <w:tcPr>
            <w:tcW w:w="990" w:type="dxa"/>
            <w:gridSpan w:val="2"/>
          </w:tcPr>
          <w:p w14:paraId="0D791BAC" w14:textId="7295224B"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3(9)</w:t>
            </w:r>
          </w:p>
        </w:tc>
        <w:tc>
          <w:tcPr>
            <w:tcW w:w="4860" w:type="dxa"/>
          </w:tcPr>
          <w:p w14:paraId="0D40280D" w14:textId="4291CC00"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(9) ‘governmental entity’ means an entity that meets all the following criteria:</w:t>
            </w:r>
          </w:p>
        </w:tc>
        <w:tc>
          <w:tcPr>
            <w:tcW w:w="990" w:type="dxa"/>
            <w:gridSpan w:val="2"/>
          </w:tcPr>
          <w:p w14:paraId="4E8609CA" w14:textId="3F59BFFC"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073279F4" w14:textId="12FF2931" w:rsidR="0017423E" w:rsidRPr="005E6D70" w:rsidRDefault="00C35BE1"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4(9)</w:t>
            </w:r>
          </w:p>
        </w:tc>
        <w:tc>
          <w:tcPr>
            <w:tcW w:w="4680" w:type="dxa"/>
            <w:gridSpan w:val="2"/>
          </w:tcPr>
          <w:p w14:paraId="367D4AE0" w14:textId="4CE0862A" w:rsidR="0017423E" w:rsidRPr="005E6D70" w:rsidRDefault="00C35BE1"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9. “Governmental entity” means an entity that meets all the following criteria:</w:t>
            </w:r>
          </w:p>
        </w:tc>
        <w:tc>
          <w:tcPr>
            <w:tcW w:w="1530" w:type="dxa"/>
          </w:tcPr>
          <w:p w14:paraId="7FAE46EB" w14:textId="524B2545"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5BE39384" w14:textId="5EA407E8" w:rsidR="0017423E" w:rsidRPr="005E6D70" w:rsidRDefault="00C35BE1"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7506F7E4" w14:textId="77777777" w:rsidTr="00073B1B">
        <w:trPr>
          <w:trHeight w:val="440"/>
        </w:trPr>
        <w:tc>
          <w:tcPr>
            <w:tcW w:w="990" w:type="dxa"/>
            <w:gridSpan w:val="2"/>
          </w:tcPr>
          <w:p w14:paraId="3B5CCC87" w14:textId="16399AC7"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3(9a)</w:t>
            </w:r>
          </w:p>
        </w:tc>
        <w:tc>
          <w:tcPr>
            <w:tcW w:w="4860" w:type="dxa"/>
          </w:tcPr>
          <w:p w14:paraId="377C7D03" w14:textId="2940C1E1"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it is part of, or wholly owned by, a government, including any political subdivision or local authority thereof;</w:t>
            </w:r>
          </w:p>
        </w:tc>
        <w:tc>
          <w:tcPr>
            <w:tcW w:w="990" w:type="dxa"/>
            <w:gridSpan w:val="2"/>
          </w:tcPr>
          <w:p w14:paraId="325557C2" w14:textId="712700E8"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0F146D8B" w14:textId="34CE0E55" w:rsidR="0017423E" w:rsidRPr="005E6D70" w:rsidRDefault="00C35BE1"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4(9)(a)</w:t>
            </w:r>
          </w:p>
        </w:tc>
        <w:tc>
          <w:tcPr>
            <w:tcW w:w="4680" w:type="dxa"/>
            <w:gridSpan w:val="2"/>
          </w:tcPr>
          <w:p w14:paraId="1DBB2C97" w14:textId="2302CC3B" w:rsidR="0017423E" w:rsidRPr="005E6D70" w:rsidRDefault="00C35BE1"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it is part of, or wholly owned by, a government, including any political subdivision or local authority thereof;</w:t>
            </w:r>
          </w:p>
        </w:tc>
        <w:tc>
          <w:tcPr>
            <w:tcW w:w="1530" w:type="dxa"/>
          </w:tcPr>
          <w:p w14:paraId="30AA4E16" w14:textId="27E1A654"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1082626F" w14:textId="167C550F" w:rsidR="0017423E" w:rsidRPr="005E6D70" w:rsidRDefault="00C35BE1"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6B3B8493" w14:textId="77777777" w:rsidTr="00073B1B">
        <w:trPr>
          <w:trHeight w:val="530"/>
        </w:trPr>
        <w:tc>
          <w:tcPr>
            <w:tcW w:w="990" w:type="dxa"/>
            <w:gridSpan w:val="2"/>
          </w:tcPr>
          <w:p w14:paraId="7B77DA36" w14:textId="4DE44737"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3(9b)</w:t>
            </w:r>
          </w:p>
        </w:tc>
        <w:tc>
          <w:tcPr>
            <w:tcW w:w="4860" w:type="dxa"/>
          </w:tcPr>
          <w:p w14:paraId="168684C6"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it does not carry on a trade or business and has the principal purpose of:</w:t>
            </w:r>
          </w:p>
          <w:p w14:paraId="41A05E58" w14:textId="77777777" w:rsidR="0017423E" w:rsidRPr="005E6D70" w:rsidRDefault="0017423E" w:rsidP="0017423E">
            <w:pPr>
              <w:jc w:val="both"/>
              <w:rPr>
                <w:rFonts w:ascii="Times New Roman" w:eastAsia="Calibri" w:hAnsi="Times New Roman" w:cs="Times New Roman"/>
                <w:iCs/>
                <w:sz w:val="18"/>
                <w:szCs w:val="18"/>
                <w:lang w:val="en-US"/>
              </w:rPr>
            </w:pPr>
          </w:p>
          <w:p w14:paraId="40503B92"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fulfilling a government function; or</w:t>
            </w:r>
          </w:p>
          <w:p w14:paraId="240F403D" w14:textId="5FB5DA3C"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 managing or investing that government’s or jurisdiction’s assets through the making and holding of investments, asset management, and related investment activities for that government’s or jurisdiction’s assets;</w:t>
            </w:r>
          </w:p>
        </w:tc>
        <w:tc>
          <w:tcPr>
            <w:tcW w:w="990" w:type="dxa"/>
            <w:gridSpan w:val="2"/>
          </w:tcPr>
          <w:p w14:paraId="2477440B" w14:textId="005AC6BC"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0E7A2095" w14:textId="36D16EF6" w:rsidR="0017423E" w:rsidRPr="005E6D70" w:rsidRDefault="00C35BE1"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4(9)(b)</w:t>
            </w:r>
          </w:p>
        </w:tc>
        <w:tc>
          <w:tcPr>
            <w:tcW w:w="4680" w:type="dxa"/>
            <w:gridSpan w:val="2"/>
          </w:tcPr>
          <w:p w14:paraId="330E6F68" w14:textId="77777777" w:rsidR="00C35BE1" w:rsidRPr="005E6D70" w:rsidRDefault="00C35BE1"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it does not carry on a trade or business and has the principal purpose of:</w:t>
            </w:r>
          </w:p>
          <w:p w14:paraId="4BD4C1F2" w14:textId="77777777" w:rsidR="00C35BE1" w:rsidRPr="005E6D70" w:rsidRDefault="00C35BE1" w:rsidP="00754FB1">
            <w:pPr>
              <w:jc w:val="both"/>
              <w:rPr>
                <w:rFonts w:ascii="Times New Roman" w:eastAsia="Calibri" w:hAnsi="Times New Roman" w:cs="Times New Roman"/>
                <w:sz w:val="18"/>
                <w:szCs w:val="18"/>
                <w:lang w:val="en-US"/>
              </w:rPr>
            </w:pPr>
          </w:p>
          <w:p w14:paraId="62B805B2" w14:textId="77777777" w:rsidR="00C35BE1" w:rsidRPr="005E6D70" w:rsidRDefault="00C35BE1"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i) fulfilling a government function; or</w:t>
            </w:r>
          </w:p>
          <w:p w14:paraId="730D992F" w14:textId="77777777" w:rsidR="00C35BE1" w:rsidRPr="005E6D70" w:rsidRDefault="00C35BE1" w:rsidP="00754FB1">
            <w:pPr>
              <w:jc w:val="both"/>
              <w:rPr>
                <w:rFonts w:ascii="Times New Roman" w:eastAsia="Calibri" w:hAnsi="Times New Roman" w:cs="Times New Roman"/>
                <w:sz w:val="18"/>
                <w:szCs w:val="18"/>
                <w:lang w:val="en-US"/>
              </w:rPr>
            </w:pPr>
          </w:p>
          <w:p w14:paraId="7E40ABA6" w14:textId="6BBA8C0B" w:rsidR="0017423E" w:rsidRPr="005E6D70" w:rsidRDefault="00C35BE1"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 ii) managing or investing that government’s or jurisdiction’s assets through the making and holding of investments, asset management, and related investment activities for that government’s or jurisdiction’s assets;</w:t>
            </w:r>
          </w:p>
        </w:tc>
        <w:tc>
          <w:tcPr>
            <w:tcW w:w="1530" w:type="dxa"/>
          </w:tcPr>
          <w:p w14:paraId="1205F000" w14:textId="16B6AB53"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08D4EAAC" w14:textId="6E3D77BC" w:rsidR="0017423E" w:rsidRPr="005E6D70" w:rsidRDefault="00C35BE1"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 inclusive of embedded sub-points.</w:t>
            </w:r>
          </w:p>
        </w:tc>
      </w:tr>
      <w:tr w:rsidR="00D37F89" w:rsidRPr="005E6D70" w14:paraId="3E1619FF" w14:textId="77777777" w:rsidTr="00073B1B">
        <w:trPr>
          <w:trHeight w:val="530"/>
        </w:trPr>
        <w:tc>
          <w:tcPr>
            <w:tcW w:w="990" w:type="dxa"/>
            <w:gridSpan w:val="2"/>
          </w:tcPr>
          <w:p w14:paraId="2C4048D2" w14:textId="22D7F19D"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3(9c)</w:t>
            </w:r>
          </w:p>
        </w:tc>
        <w:tc>
          <w:tcPr>
            <w:tcW w:w="4860" w:type="dxa"/>
          </w:tcPr>
          <w:p w14:paraId="05793463" w14:textId="2F99FB64"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it is accountable to a government on its overall performance, and provides annual information reporting to that government; and</w:t>
            </w:r>
          </w:p>
        </w:tc>
        <w:tc>
          <w:tcPr>
            <w:tcW w:w="990" w:type="dxa"/>
            <w:gridSpan w:val="2"/>
          </w:tcPr>
          <w:p w14:paraId="7A489209" w14:textId="3586D6EA"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D1762B9" w14:textId="3A6B276A" w:rsidR="0017423E" w:rsidRPr="005E6D70" w:rsidRDefault="00F6545E"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4(9)(c)</w:t>
            </w:r>
          </w:p>
        </w:tc>
        <w:tc>
          <w:tcPr>
            <w:tcW w:w="4680" w:type="dxa"/>
            <w:gridSpan w:val="2"/>
          </w:tcPr>
          <w:p w14:paraId="15332C00" w14:textId="1D90F335" w:rsidR="0017423E" w:rsidRPr="005E6D70" w:rsidRDefault="00D81897"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c) it is accountable to a government on its overall performance, and provides annual information reporting to that government; and</w:t>
            </w:r>
          </w:p>
        </w:tc>
        <w:tc>
          <w:tcPr>
            <w:tcW w:w="1530" w:type="dxa"/>
          </w:tcPr>
          <w:p w14:paraId="672BB8D7" w14:textId="78D75B93"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135EFCD4" w14:textId="10B15429" w:rsidR="0017423E" w:rsidRPr="005E6D70" w:rsidRDefault="00D81897"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732293EB" w14:textId="77777777" w:rsidTr="00073B1B">
        <w:trPr>
          <w:trHeight w:val="530"/>
        </w:trPr>
        <w:tc>
          <w:tcPr>
            <w:tcW w:w="990" w:type="dxa"/>
            <w:gridSpan w:val="2"/>
          </w:tcPr>
          <w:p w14:paraId="4F453513" w14:textId="5D4F96BE"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3(9d)</w:t>
            </w:r>
          </w:p>
        </w:tc>
        <w:tc>
          <w:tcPr>
            <w:tcW w:w="4860" w:type="dxa"/>
          </w:tcPr>
          <w:p w14:paraId="1D10E497" w14:textId="42DB0BB4"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(d) its assets vest in a government upon dissolution and, to the extent it distributes net earnings, such net earnings are distributed solely to that government with no portion of its net earnings inuring to the benefit of any private person;</w:t>
            </w:r>
          </w:p>
        </w:tc>
        <w:tc>
          <w:tcPr>
            <w:tcW w:w="990" w:type="dxa"/>
            <w:gridSpan w:val="2"/>
          </w:tcPr>
          <w:p w14:paraId="26F1187B" w14:textId="10EFA6D4"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0A44DBBD" w14:textId="2351C903" w:rsidR="0017423E" w:rsidRPr="005E6D70" w:rsidRDefault="00D81897"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4(9)(d)</w:t>
            </w:r>
          </w:p>
        </w:tc>
        <w:tc>
          <w:tcPr>
            <w:tcW w:w="4680" w:type="dxa"/>
            <w:gridSpan w:val="2"/>
          </w:tcPr>
          <w:p w14:paraId="0EAE85DB" w14:textId="761C168C" w:rsidR="0017423E" w:rsidRPr="005E6D70" w:rsidRDefault="00D81897"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 its assets vest in a government upon dissolution and, to the extent it distributes net earnings, such net earnings are distributed solely to that government with no portion of its net earnings inuring to the benefit of any private person.</w:t>
            </w:r>
          </w:p>
        </w:tc>
        <w:tc>
          <w:tcPr>
            <w:tcW w:w="1530" w:type="dxa"/>
          </w:tcPr>
          <w:p w14:paraId="5851CBC5" w14:textId="78E12117"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55031AA8" w14:textId="6E4CD527" w:rsidR="0017423E" w:rsidRPr="005E6D70" w:rsidRDefault="00D81897"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7D90D9D2" w14:textId="77777777" w:rsidTr="00073B1B">
        <w:trPr>
          <w:trHeight w:val="530"/>
        </w:trPr>
        <w:tc>
          <w:tcPr>
            <w:tcW w:w="990" w:type="dxa"/>
            <w:gridSpan w:val="2"/>
          </w:tcPr>
          <w:p w14:paraId="6453A0B9" w14:textId="47E79A5E"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3(10)</w:t>
            </w:r>
          </w:p>
        </w:tc>
        <w:tc>
          <w:tcPr>
            <w:tcW w:w="4860" w:type="dxa"/>
          </w:tcPr>
          <w:p w14:paraId="1C0F55C7" w14:textId="751F26C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(10) ‘international organisation’ means any intergovernmental organisation, including a supranational organisation, or wholly-owned agency or instrumentality thereof that meets all the following criteria:</w:t>
            </w:r>
          </w:p>
        </w:tc>
        <w:tc>
          <w:tcPr>
            <w:tcW w:w="990" w:type="dxa"/>
            <w:gridSpan w:val="2"/>
          </w:tcPr>
          <w:p w14:paraId="61E51F57" w14:textId="54DFD062"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DF030A3" w14:textId="0B220AE6" w:rsidR="0017423E" w:rsidRPr="005E6D70" w:rsidRDefault="00FC109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4(10)</w:t>
            </w:r>
          </w:p>
        </w:tc>
        <w:tc>
          <w:tcPr>
            <w:tcW w:w="4680" w:type="dxa"/>
            <w:gridSpan w:val="2"/>
          </w:tcPr>
          <w:p w14:paraId="7286A37F" w14:textId="1709E078" w:rsidR="0017423E" w:rsidRPr="005E6D70" w:rsidRDefault="00FC109D"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10. “International organisation” means any intergovernmental organisation, including a supranational organisation, or wholly owned agency or instrumentality thereof that meets all the following criteria:</w:t>
            </w:r>
          </w:p>
        </w:tc>
        <w:tc>
          <w:tcPr>
            <w:tcW w:w="1530" w:type="dxa"/>
          </w:tcPr>
          <w:p w14:paraId="323B2783" w14:textId="6FBF77F2"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2267A77B" w14:textId="34ECFF43" w:rsidR="0017423E" w:rsidRPr="005E6D70" w:rsidRDefault="00FC109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0CFA5D0C" w14:textId="77777777" w:rsidTr="00073B1B">
        <w:trPr>
          <w:trHeight w:val="350"/>
        </w:trPr>
        <w:tc>
          <w:tcPr>
            <w:tcW w:w="990" w:type="dxa"/>
            <w:gridSpan w:val="2"/>
          </w:tcPr>
          <w:p w14:paraId="3BC425E5" w14:textId="4BB4906F"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3(10a)</w:t>
            </w:r>
          </w:p>
        </w:tc>
        <w:tc>
          <w:tcPr>
            <w:tcW w:w="4860" w:type="dxa"/>
          </w:tcPr>
          <w:p w14:paraId="101F4E7B" w14:textId="5D888717"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it is comprised primarily of governments;</w:t>
            </w:r>
          </w:p>
        </w:tc>
        <w:tc>
          <w:tcPr>
            <w:tcW w:w="990" w:type="dxa"/>
            <w:gridSpan w:val="2"/>
          </w:tcPr>
          <w:p w14:paraId="5183377D" w14:textId="294A1060"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31F48F0D" w14:textId="59208A72" w:rsidR="0017423E" w:rsidRPr="005E6D70" w:rsidRDefault="00FC109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4(10)(a)</w:t>
            </w:r>
          </w:p>
        </w:tc>
        <w:tc>
          <w:tcPr>
            <w:tcW w:w="4680" w:type="dxa"/>
            <w:gridSpan w:val="2"/>
          </w:tcPr>
          <w:p w14:paraId="0E20BAFF" w14:textId="754CA1F1" w:rsidR="0017423E" w:rsidRPr="005E6D70" w:rsidRDefault="00FC109D"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it is comprised primarily of governments;</w:t>
            </w:r>
          </w:p>
        </w:tc>
        <w:tc>
          <w:tcPr>
            <w:tcW w:w="1530" w:type="dxa"/>
          </w:tcPr>
          <w:p w14:paraId="18B270E0" w14:textId="1F698437"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10A1099C" w14:textId="33B7DF99" w:rsidR="0017423E" w:rsidRPr="005E6D70" w:rsidRDefault="00FC109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049845D6" w14:textId="77777777" w:rsidTr="00073B1B">
        <w:trPr>
          <w:trHeight w:val="530"/>
        </w:trPr>
        <w:tc>
          <w:tcPr>
            <w:tcW w:w="990" w:type="dxa"/>
            <w:gridSpan w:val="2"/>
          </w:tcPr>
          <w:p w14:paraId="23A6372A" w14:textId="480A98DF"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3(10b)</w:t>
            </w:r>
          </w:p>
        </w:tc>
        <w:tc>
          <w:tcPr>
            <w:tcW w:w="4860" w:type="dxa"/>
          </w:tcPr>
          <w:p w14:paraId="22EAB162"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it has in effect a headquarters or substantially similar</w:t>
            </w:r>
          </w:p>
          <w:p w14:paraId="0C114923" w14:textId="20A3B9E5"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agreement with the jurisdiction in which it is established, for example arrangements that entitle the organisation’s offices or establishments in that jurisdiction to privileges and immunities; and</w:t>
            </w:r>
          </w:p>
        </w:tc>
        <w:tc>
          <w:tcPr>
            <w:tcW w:w="990" w:type="dxa"/>
            <w:gridSpan w:val="2"/>
          </w:tcPr>
          <w:p w14:paraId="024F4DE9" w14:textId="19630560"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376CA80E" w14:textId="31DD21F0" w:rsidR="0017423E" w:rsidRPr="005E6D70" w:rsidRDefault="00FC109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4(10)(b)</w:t>
            </w:r>
          </w:p>
        </w:tc>
        <w:tc>
          <w:tcPr>
            <w:tcW w:w="4680" w:type="dxa"/>
            <w:gridSpan w:val="2"/>
          </w:tcPr>
          <w:p w14:paraId="5E77F4B5" w14:textId="1BBA1545" w:rsidR="0017423E" w:rsidRPr="005E6D70" w:rsidRDefault="00FC109D"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it has in effect a headquarters or substantially similar agreement with the jurisdiction in which it is established, for example arrangements that entitle the organisation’s offices or establishments in that jurisdiction to privileges and immunities; and</w:t>
            </w:r>
          </w:p>
        </w:tc>
        <w:tc>
          <w:tcPr>
            <w:tcW w:w="1530" w:type="dxa"/>
          </w:tcPr>
          <w:p w14:paraId="3AF3A982" w14:textId="2E01EADA"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30BAAD54" w14:textId="521FB01B" w:rsidR="0017423E" w:rsidRPr="005E6D70" w:rsidRDefault="00FC109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36A17F7A" w14:textId="77777777" w:rsidTr="00073B1B">
        <w:trPr>
          <w:trHeight w:val="422"/>
        </w:trPr>
        <w:tc>
          <w:tcPr>
            <w:tcW w:w="990" w:type="dxa"/>
            <w:gridSpan w:val="2"/>
          </w:tcPr>
          <w:p w14:paraId="3754C9AF" w14:textId="332BACFC"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3(10c)</w:t>
            </w:r>
          </w:p>
        </w:tc>
        <w:tc>
          <w:tcPr>
            <w:tcW w:w="4860" w:type="dxa"/>
          </w:tcPr>
          <w:p w14:paraId="50B9C4EB" w14:textId="668B92D9"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law or its governing documents prevent its income inuring to the benefit of private persons;</w:t>
            </w:r>
          </w:p>
        </w:tc>
        <w:tc>
          <w:tcPr>
            <w:tcW w:w="990" w:type="dxa"/>
            <w:gridSpan w:val="2"/>
          </w:tcPr>
          <w:p w14:paraId="4548757E" w14:textId="06D1E6D4"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07D031FA" w14:textId="3DC07F4E" w:rsidR="0017423E" w:rsidRPr="005E6D70" w:rsidRDefault="00AF6B99"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4(10)(c)</w:t>
            </w:r>
          </w:p>
        </w:tc>
        <w:tc>
          <w:tcPr>
            <w:tcW w:w="4680" w:type="dxa"/>
            <w:gridSpan w:val="2"/>
          </w:tcPr>
          <w:p w14:paraId="5919F712" w14:textId="7932FC2E" w:rsidR="0017423E" w:rsidRPr="005E6D70" w:rsidRDefault="00AF6B99"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c) law or its governing documents prevent its income inuring to the benefit of private persons.</w:t>
            </w:r>
          </w:p>
        </w:tc>
        <w:tc>
          <w:tcPr>
            <w:tcW w:w="1530" w:type="dxa"/>
          </w:tcPr>
          <w:p w14:paraId="542850AB" w14:textId="1A9B81DE"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29AB95E0" w14:textId="6DCE5CDD" w:rsidR="0017423E" w:rsidRPr="005E6D70" w:rsidRDefault="00AF6B99"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6D649345" w14:textId="77777777" w:rsidTr="00073B1B">
        <w:trPr>
          <w:trHeight w:val="440"/>
        </w:trPr>
        <w:tc>
          <w:tcPr>
            <w:tcW w:w="990" w:type="dxa"/>
            <w:gridSpan w:val="2"/>
          </w:tcPr>
          <w:p w14:paraId="7EB3F6E8" w14:textId="3CA6807D"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3(11)</w:t>
            </w:r>
          </w:p>
        </w:tc>
        <w:tc>
          <w:tcPr>
            <w:tcW w:w="4860" w:type="dxa"/>
          </w:tcPr>
          <w:p w14:paraId="60584908" w14:textId="0A614464"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(11) ‘non-profit organisation’ means an entity that meets all the following criteria:</w:t>
            </w:r>
          </w:p>
        </w:tc>
        <w:tc>
          <w:tcPr>
            <w:tcW w:w="990" w:type="dxa"/>
            <w:gridSpan w:val="2"/>
          </w:tcPr>
          <w:p w14:paraId="7564963E" w14:textId="3D911A46"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EE4AD61" w14:textId="1EDBBA2F" w:rsidR="0017423E" w:rsidRPr="005E6D70" w:rsidRDefault="00AF6B99"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4(11)</w:t>
            </w:r>
          </w:p>
        </w:tc>
        <w:tc>
          <w:tcPr>
            <w:tcW w:w="4680" w:type="dxa"/>
            <w:gridSpan w:val="2"/>
          </w:tcPr>
          <w:p w14:paraId="15DC2899" w14:textId="3727A589" w:rsidR="0017423E" w:rsidRPr="005E6D70" w:rsidRDefault="00AF6B99"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11. “Non-profit organisation” means an entity that meets all the following criteria:</w:t>
            </w:r>
          </w:p>
        </w:tc>
        <w:tc>
          <w:tcPr>
            <w:tcW w:w="1530" w:type="dxa"/>
          </w:tcPr>
          <w:p w14:paraId="3A0E3E90" w14:textId="5AD1DEDD"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4F82F101" w14:textId="7F14E0CF" w:rsidR="0017423E" w:rsidRPr="005E6D70" w:rsidRDefault="00AF6B99"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779CEAA6" w14:textId="77777777" w:rsidTr="00073B1B">
        <w:trPr>
          <w:trHeight w:val="530"/>
        </w:trPr>
        <w:tc>
          <w:tcPr>
            <w:tcW w:w="990" w:type="dxa"/>
            <w:gridSpan w:val="2"/>
          </w:tcPr>
          <w:p w14:paraId="49561180" w14:textId="6301400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3(11a)</w:t>
            </w:r>
          </w:p>
        </w:tc>
        <w:tc>
          <w:tcPr>
            <w:tcW w:w="4860" w:type="dxa"/>
          </w:tcPr>
          <w:p w14:paraId="08614704"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it is established and operated in its jurisdiction of residence:</w:t>
            </w:r>
          </w:p>
          <w:p w14:paraId="69D43BDC" w14:textId="77777777" w:rsidR="0017423E" w:rsidRPr="005E6D70" w:rsidRDefault="0017423E" w:rsidP="0017423E">
            <w:pPr>
              <w:jc w:val="both"/>
              <w:rPr>
                <w:rFonts w:ascii="Times New Roman" w:eastAsia="Calibri" w:hAnsi="Times New Roman" w:cs="Times New Roman"/>
                <w:iCs/>
                <w:sz w:val="18"/>
                <w:szCs w:val="18"/>
                <w:lang w:val="en-US"/>
              </w:rPr>
            </w:pPr>
          </w:p>
          <w:p w14:paraId="16EE0978"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exclusively for religious, charitable, scientific, artistic, cultural, athletic, educational or other similar purposes; or</w:t>
            </w:r>
          </w:p>
          <w:p w14:paraId="44EE1018" w14:textId="77777777" w:rsidR="0017423E" w:rsidRPr="005E6D70" w:rsidRDefault="0017423E" w:rsidP="0017423E">
            <w:pPr>
              <w:jc w:val="both"/>
              <w:rPr>
                <w:rFonts w:ascii="Times New Roman" w:eastAsia="Calibri" w:hAnsi="Times New Roman" w:cs="Times New Roman"/>
                <w:iCs/>
                <w:sz w:val="18"/>
                <w:szCs w:val="18"/>
                <w:lang w:val="en-US"/>
              </w:rPr>
            </w:pPr>
          </w:p>
          <w:p w14:paraId="509B258B" w14:textId="7BEC37D7"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lastRenderedPageBreak/>
              <w:t>(ii) as a professional organisation, business league, chamber of commerce, labour organisation, agricultural or horticultural organisation, civic league or an organisation operated exclusively for the promotion of social welfare;</w:t>
            </w:r>
          </w:p>
        </w:tc>
        <w:tc>
          <w:tcPr>
            <w:tcW w:w="990" w:type="dxa"/>
            <w:gridSpan w:val="2"/>
          </w:tcPr>
          <w:p w14:paraId="04D39EDE" w14:textId="02A9BF4F"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1080" w:type="dxa"/>
            <w:gridSpan w:val="2"/>
          </w:tcPr>
          <w:p w14:paraId="4582635F" w14:textId="1AE6B30B" w:rsidR="0017423E" w:rsidRPr="005E6D70" w:rsidRDefault="00AF6B99"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4(11)(a)</w:t>
            </w:r>
          </w:p>
        </w:tc>
        <w:tc>
          <w:tcPr>
            <w:tcW w:w="4680" w:type="dxa"/>
            <w:gridSpan w:val="2"/>
          </w:tcPr>
          <w:p w14:paraId="4A30FCE8" w14:textId="77777777" w:rsidR="00912B19" w:rsidRPr="005E6D70" w:rsidRDefault="00912B19"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it is established and operated in its jurisdiction of residence:</w:t>
            </w:r>
          </w:p>
          <w:p w14:paraId="7A4B44D4" w14:textId="77777777" w:rsidR="00912B19" w:rsidRPr="005E6D70" w:rsidRDefault="00912B19" w:rsidP="00754FB1">
            <w:pPr>
              <w:jc w:val="both"/>
              <w:rPr>
                <w:rFonts w:ascii="Times New Roman" w:eastAsia="Calibri" w:hAnsi="Times New Roman" w:cs="Times New Roman"/>
                <w:sz w:val="18"/>
                <w:szCs w:val="18"/>
                <w:lang w:val="en-US"/>
              </w:rPr>
            </w:pPr>
          </w:p>
          <w:p w14:paraId="349C7446" w14:textId="77777777" w:rsidR="00912B19" w:rsidRPr="005E6D70" w:rsidRDefault="00912B19"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i) exclusively for religious, charitable, scientific, artistic, cultural, athletic, educational, or other similar purposes; or   </w:t>
            </w:r>
          </w:p>
          <w:p w14:paraId="44D1A4EE" w14:textId="77777777" w:rsidR="00912B19" w:rsidRPr="005E6D70" w:rsidRDefault="00912B19" w:rsidP="00754FB1">
            <w:pPr>
              <w:jc w:val="both"/>
              <w:rPr>
                <w:rFonts w:ascii="Times New Roman" w:eastAsia="Calibri" w:hAnsi="Times New Roman" w:cs="Times New Roman"/>
                <w:sz w:val="18"/>
                <w:szCs w:val="18"/>
                <w:lang w:val="en-US"/>
              </w:rPr>
            </w:pPr>
          </w:p>
          <w:p w14:paraId="362AFA3F" w14:textId="39B11634" w:rsidR="007572A2" w:rsidRPr="005E6D70" w:rsidRDefault="00912B19"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 xml:space="preserve"> ii) as a professional organisation, business league, chamber of commerce, labour organisation, agricultural or horticultural organisation, civic league or an organisation operated exclusively for the promotion of social welfare;</w:t>
            </w:r>
          </w:p>
        </w:tc>
        <w:tc>
          <w:tcPr>
            <w:tcW w:w="1530" w:type="dxa"/>
          </w:tcPr>
          <w:p w14:paraId="29CF0859" w14:textId="405FAD7C"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lastRenderedPageBreak/>
              <w:t>F</w:t>
            </w:r>
          </w:p>
        </w:tc>
        <w:tc>
          <w:tcPr>
            <w:tcW w:w="1350" w:type="dxa"/>
          </w:tcPr>
          <w:p w14:paraId="0680006C" w14:textId="04BCB92F" w:rsidR="0017423E" w:rsidRPr="005E6D70" w:rsidRDefault="00912B19"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204084BB" w14:textId="77777777" w:rsidTr="00073B1B">
        <w:trPr>
          <w:trHeight w:val="503"/>
        </w:trPr>
        <w:tc>
          <w:tcPr>
            <w:tcW w:w="990" w:type="dxa"/>
            <w:gridSpan w:val="2"/>
          </w:tcPr>
          <w:p w14:paraId="37FA24F1" w14:textId="2E6EC968"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3(11b)</w:t>
            </w:r>
          </w:p>
        </w:tc>
        <w:tc>
          <w:tcPr>
            <w:tcW w:w="4860" w:type="dxa"/>
          </w:tcPr>
          <w:p w14:paraId="647EE118" w14:textId="05097827"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substantially all the income from the activities mentioned in point (a) is exempt from income tax in its jurisdiction of residence;</w:t>
            </w:r>
          </w:p>
        </w:tc>
        <w:tc>
          <w:tcPr>
            <w:tcW w:w="990" w:type="dxa"/>
            <w:gridSpan w:val="2"/>
          </w:tcPr>
          <w:p w14:paraId="3A310808" w14:textId="451CDEF0"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060DDF3F" w14:textId="3E1ADA60" w:rsidR="0017423E" w:rsidRPr="005E6D70" w:rsidRDefault="00576AAC"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4(11)(b)</w:t>
            </w:r>
          </w:p>
        </w:tc>
        <w:tc>
          <w:tcPr>
            <w:tcW w:w="4680" w:type="dxa"/>
            <w:gridSpan w:val="2"/>
          </w:tcPr>
          <w:p w14:paraId="5D3A1A2C" w14:textId="6B7E487C" w:rsidR="0017423E" w:rsidRPr="005E6D70" w:rsidRDefault="00576AAC"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substantially all the income from the activities mentioned in letter “a”, of this paragraph, is exempt from income tax in its jurisdiction of residence;</w:t>
            </w:r>
          </w:p>
        </w:tc>
        <w:tc>
          <w:tcPr>
            <w:tcW w:w="1530" w:type="dxa"/>
          </w:tcPr>
          <w:p w14:paraId="190B0339" w14:textId="318F48C9"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56875123" w14:textId="6952D23F" w:rsidR="0017423E" w:rsidRPr="005E6D70" w:rsidRDefault="00C2111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internal cross-reference is adapted to national format ("letter 'a', of this paragraph").</w:t>
            </w:r>
          </w:p>
        </w:tc>
      </w:tr>
      <w:tr w:rsidR="00D37F89" w:rsidRPr="005E6D70" w14:paraId="47B9D5CD" w14:textId="77777777" w:rsidTr="00073B1B">
        <w:trPr>
          <w:trHeight w:val="530"/>
        </w:trPr>
        <w:tc>
          <w:tcPr>
            <w:tcW w:w="990" w:type="dxa"/>
            <w:gridSpan w:val="2"/>
          </w:tcPr>
          <w:p w14:paraId="5DE970AD" w14:textId="494038E7"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3(11c)</w:t>
            </w:r>
          </w:p>
        </w:tc>
        <w:tc>
          <w:tcPr>
            <w:tcW w:w="4860" w:type="dxa"/>
          </w:tcPr>
          <w:p w14:paraId="574FA9C1" w14:textId="54168AB5"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it has no shareholders or members who have a proprietary or beneficial interest in its income or assets;</w:t>
            </w:r>
          </w:p>
        </w:tc>
        <w:tc>
          <w:tcPr>
            <w:tcW w:w="990" w:type="dxa"/>
            <w:gridSpan w:val="2"/>
          </w:tcPr>
          <w:p w14:paraId="618DE216" w14:textId="7FA18197"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B274694" w14:textId="6A31A7BA" w:rsidR="0017423E" w:rsidRPr="005E6D70" w:rsidRDefault="00D377E0"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4(11)(c)</w:t>
            </w:r>
          </w:p>
        </w:tc>
        <w:tc>
          <w:tcPr>
            <w:tcW w:w="4680" w:type="dxa"/>
            <w:gridSpan w:val="2"/>
          </w:tcPr>
          <w:p w14:paraId="4CCB5469" w14:textId="39275B43" w:rsidR="0017423E" w:rsidRPr="005E6D70" w:rsidRDefault="00D377E0"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c) it has no shareholders or members who have a proprietary or beneficial interest in its income or assets;</w:t>
            </w:r>
          </w:p>
        </w:tc>
        <w:tc>
          <w:tcPr>
            <w:tcW w:w="1530" w:type="dxa"/>
          </w:tcPr>
          <w:p w14:paraId="2F722646" w14:textId="60E81F95"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49331502" w14:textId="4EE764B4" w:rsidR="0017423E" w:rsidRPr="005E6D70" w:rsidRDefault="00D377E0"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49CAFC73" w14:textId="77777777" w:rsidTr="00073B1B">
        <w:trPr>
          <w:trHeight w:val="530"/>
        </w:trPr>
        <w:tc>
          <w:tcPr>
            <w:tcW w:w="990" w:type="dxa"/>
            <w:gridSpan w:val="2"/>
          </w:tcPr>
          <w:p w14:paraId="7D58D8FC" w14:textId="54CBE316"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3(11d)</w:t>
            </w:r>
          </w:p>
        </w:tc>
        <w:tc>
          <w:tcPr>
            <w:tcW w:w="4860" w:type="dxa"/>
          </w:tcPr>
          <w:p w14:paraId="3059BBCE"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the income or assets of the entity may not be distributed to, or applied for the benefit of, a private person or non-charitable entity other than:</w:t>
            </w:r>
          </w:p>
          <w:p w14:paraId="7D869204" w14:textId="77777777" w:rsidR="0017423E" w:rsidRPr="005E6D70" w:rsidRDefault="0017423E" w:rsidP="0017423E">
            <w:pPr>
              <w:jc w:val="both"/>
              <w:rPr>
                <w:rFonts w:ascii="Times New Roman" w:eastAsia="Calibri" w:hAnsi="Times New Roman" w:cs="Times New Roman"/>
                <w:iCs/>
                <w:sz w:val="18"/>
                <w:szCs w:val="18"/>
                <w:lang w:val="en-US"/>
              </w:rPr>
            </w:pPr>
          </w:p>
          <w:p w14:paraId="2E9CAEE5"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pursuant to the conduct of the entity’s charitable</w:t>
            </w:r>
          </w:p>
          <w:p w14:paraId="4BEE6261"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activities;</w:t>
            </w:r>
          </w:p>
          <w:p w14:paraId="1340FF41" w14:textId="77777777" w:rsidR="0017423E" w:rsidRPr="005E6D70" w:rsidRDefault="0017423E" w:rsidP="0017423E">
            <w:pPr>
              <w:jc w:val="both"/>
              <w:rPr>
                <w:rFonts w:ascii="Times New Roman" w:eastAsia="Calibri" w:hAnsi="Times New Roman" w:cs="Times New Roman"/>
                <w:iCs/>
                <w:sz w:val="18"/>
                <w:szCs w:val="18"/>
                <w:lang w:val="en-US"/>
              </w:rPr>
            </w:pPr>
          </w:p>
          <w:p w14:paraId="3F8D1630"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as payment of reasonable compensation for services</w:t>
            </w:r>
          </w:p>
          <w:p w14:paraId="22990469"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rendered or for the use of property or capital; or</w:t>
            </w:r>
          </w:p>
          <w:p w14:paraId="634AE2DF" w14:textId="77777777" w:rsidR="0017423E" w:rsidRPr="005E6D70" w:rsidRDefault="0017423E" w:rsidP="0017423E">
            <w:pPr>
              <w:jc w:val="both"/>
              <w:rPr>
                <w:rFonts w:ascii="Times New Roman" w:eastAsia="Calibri" w:hAnsi="Times New Roman" w:cs="Times New Roman"/>
                <w:iCs/>
                <w:sz w:val="18"/>
                <w:szCs w:val="18"/>
                <w:lang w:val="en-US"/>
              </w:rPr>
            </w:pPr>
          </w:p>
          <w:p w14:paraId="2131A136" w14:textId="4AEE5DBA"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(iii) as payment representing the fair market value of property which the entity has purchased; and</w:t>
            </w:r>
          </w:p>
        </w:tc>
        <w:tc>
          <w:tcPr>
            <w:tcW w:w="990" w:type="dxa"/>
            <w:gridSpan w:val="2"/>
          </w:tcPr>
          <w:p w14:paraId="2D1FA505" w14:textId="71F57DFB"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320A784D" w14:textId="6DF72425" w:rsidR="0017423E" w:rsidRPr="005E6D70" w:rsidRDefault="00D377E0"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4(11)(d)</w:t>
            </w:r>
          </w:p>
        </w:tc>
        <w:tc>
          <w:tcPr>
            <w:tcW w:w="4680" w:type="dxa"/>
            <w:gridSpan w:val="2"/>
          </w:tcPr>
          <w:p w14:paraId="32EAD60A" w14:textId="77777777" w:rsidR="00D377E0" w:rsidRPr="005E6D70" w:rsidRDefault="00D377E0"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 the income or assets of the entity may not be distributed to, or applied for the benefit of, a private person or non-charitable entity, other than:</w:t>
            </w:r>
          </w:p>
          <w:p w14:paraId="76220C61" w14:textId="77777777" w:rsidR="00D377E0" w:rsidRPr="005E6D70" w:rsidRDefault="00D377E0" w:rsidP="00754FB1">
            <w:pPr>
              <w:jc w:val="both"/>
              <w:rPr>
                <w:rFonts w:ascii="Times New Roman" w:eastAsia="Calibri" w:hAnsi="Times New Roman" w:cs="Times New Roman"/>
                <w:sz w:val="18"/>
                <w:szCs w:val="18"/>
                <w:lang w:val="en-US"/>
              </w:rPr>
            </w:pPr>
          </w:p>
          <w:p w14:paraId="617F1835" w14:textId="77777777" w:rsidR="00D377E0" w:rsidRPr="005E6D70" w:rsidRDefault="00D377E0"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i) pursuant to the conduct of the entity’s charitable activities;</w:t>
            </w:r>
          </w:p>
          <w:p w14:paraId="54CB78A7" w14:textId="77777777" w:rsidR="00D377E0" w:rsidRPr="005E6D70" w:rsidRDefault="00D377E0" w:rsidP="00754FB1">
            <w:pPr>
              <w:jc w:val="both"/>
              <w:rPr>
                <w:rFonts w:ascii="Times New Roman" w:eastAsia="Calibri" w:hAnsi="Times New Roman" w:cs="Times New Roman"/>
                <w:sz w:val="18"/>
                <w:szCs w:val="18"/>
                <w:lang w:val="en-US"/>
              </w:rPr>
            </w:pPr>
          </w:p>
          <w:p w14:paraId="1CE07E47" w14:textId="77777777" w:rsidR="00D377E0" w:rsidRPr="005E6D70" w:rsidRDefault="00D377E0"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ii) as payment of reasonable compensation for services rendered or for the use of property or capital; or</w:t>
            </w:r>
          </w:p>
          <w:p w14:paraId="5936FE86" w14:textId="77777777" w:rsidR="00D377E0" w:rsidRPr="005E6D70" w:rsidRDefault="00D377E0" w:rsidP="00754FB1">
            <w:pPr>
              <w:jc w:val="both"/>
              <w:rPr>
                <w:rFonts w:ascii="Times New Roman" w:eastAsia="Calibri" w:hAnsi="Times New Roman" w:cs="Times New Roman"/>
                <w:sz w:val="18"/>
                <w:szCs w:val="18"/>
                <w:lang w:val="en-US"/>
              </w:rPr>
            </w:pPr>
          </w:p>
          <w:p w14:paraId="56B5E063" w14:textId="03B985FD" w:rsidR="0017423E" w:rsidRPr="005E6D70" w:rsidRDefault="00D377E0"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iii) as payment representing the fair market value of property which the entity has purchased; and</w:t>
            </w:r>
          </w:p>
        </w:tc>
        <w:tc>
          <w:tcPr>
            <w:tcW w:w="1530" w:type="dxa"/>
          </w:tcPr>
          <w:p w14:paraId="1A6E1B92" w14:textId="44108BCB"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0D246F35" w14:textId="34916D2E" w:rsidR="0017423E" w:rsidRPr="005E6D70" w:rsidRDefault="00D534C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7DC01DB0" w14:textId="77777777" w:rsidTr="00073B1B">
        <w:trPr>
          <w:trHeight w:val="530"/>
        </w:trPr>
        <w:tc>
          <w:tcPr>
            <w:tcW w:w="990" w:type="dxa"/>
            <w:gridSpan w:val="2"/>
          </w:tcPr>
          <w:p w14:paraId="5F70FE78" w14:textId="090C6C67"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3(11e)</w:t>
            </w:r>
          </w:p>
        </w:tc>
        <w:tc>
          <w:tcPr>
            <w:tcW w:w="4860" w:type="dxa"/>
          </w:tcPr>
          <w:p w14:paraId="5CF0373B" w14:textId="7FD81970"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(e) upon termination, liquidation or dissolution of the entity, all of its assets are to be distributed to or revert to a non-profit organisation or to the government, including any governmental entity, of the entity’s jurisdiction of residence or any political subdivision thereof;</w:t>
            </w:r>
          </w:p>
        </w:tc>
        <w:tc>
          <w:tcPr>
            <w:tcW w:w="990" w:type="dxa"/>
            <w:gridSpan w:val="2"/>
          </w:tcPr>
          <w:p w14:paraId="6A371470" w14:textId="71EEF766"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E17F2AA" w14:textId="3D2541EF" w:rsidR="0017423E" w:rsidRPr="005E6D70" w:rsidRDefault="003D17C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4(11)(e)</w:t>
            </w:r>
          </w:p>
        </w:tc>
        <w:tc>
          <w:tcPr>
            <w:tcW w:w="4680" w:type="dxa"/>
            <w:gridSpan w:val="2"/>
          </w:tcPr>
          <w:p w14:paraId="57C545C3" w14:textId="45A44E64" w:rsidR="0017423E" w:rsidRPr="005E6D70" w:rsidRDefault="003D17C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e) upon termination, liquidation or dissolution of the entity, all of its assets are to be distributed to or revert to a non-profit organisation or to the government, including any governmental entity, of the entity’s jurisdiction of residence or any political subdivision thereof;</w:t>
            </w:r>
          </w:p>
        </w:tc>
        <w:tc>
          <w:tcPr>
            <w:tcW w:w="1530" w:type="dxa"/>
          </w:tcPr>
          <w:p w14:paraId="46123A28" w14:textId="49CFBD77"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444DF516" w14:textId="4AF0A429" w:rsidR="0017423E" w:rsidRPr="005E6D70" w:rsidRDefault="003D17C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0FFC209C" w14:textId="77777777" w:rsidTr="00073B1B">
        <w:trPr>
          <w:trHeight w:val="530"/>
        </w:trPr>
        <w:tc>
          <w:tcPr>
            <w:tcW w:w="990" w:type="dxa"/>
            <w:gridSpan w:val="2"/>
          </w:tcPr>
          <w:p w14:paraId="73B8AACD" w14:textId="62ACBADA"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3(11f)</w:t>
            </w:r>
          </w:p>
        </w:tc>
        <w:tc>
          <w:tcPr>
            <w:tcW w:w="4860" w:type="dxa"/>
          </w:tcPr>
          <w:p w14:paraId="06ED2EA7" w14:textId="4D91840F"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(f) it does not carry on a trade or business that is not directly related to the purposes for which it was established;</w:t>
            </w:r>
          </w:p>
        </w:tc>
        <w:tc>
          <w:tcPr>
            <w:tcW w:w="990" w:type="dxa"/>
            <w:gridSpan w:val="2"/>
          </w:tcPr>
          <w:p w14:paraId="7AF57D57" w14:textId="7795EF9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36D65968" w14:textId="77047676" w:rsidR="0017423E" w:rsidRPr="005E6D70" w:rsidRDefault="005B3A4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4(11)(f)</w:t>
            </w:r>
          </w:p>
        </w:tc>
        <w:tc>
          <w:tcPr>
            <w:tcW w:w="4680" w:type="dxa"/>
            <w:gridSpan w:val="2"/>
          </w:tcPr>
          <w:p w14:paraId="5830CCB6" w14:textId="3E3F12F8" w:rsidR="0017423E" w:rsidRPr="005E6D70" w:rsidRDefault="000D5355"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 it does not carry on a trade or business that is not directly related to the purposes for which it was established.</w:t>
            </w:r>
          </w:p>
        </w:tc>
        <w:tc>
          <w:tcPr>
            <w:tcW w:w="1530" w:type="dxa"/>
          </w:tcPr>
          <w:p w14:paraId="632A4B77" w14:textId="41A46C73"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689DFCE7" w14:textId="272E4DA0" w:rsidR="0017423E" w:rsidRPr="005E6D70" w:rsidRDefault="000D535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6581D90B" w14:textId="77777777" w:rsidTr="00073B1B">
        <w:trPr>
          <w:trHeight w:val="260"/>
        </w:trPr>
        <w:tc>
          <w:tcPr>
            <w:tcW w:w="990" w:type="dxa"/>
            <w:gridSpan w:val="2"/>
          </w:tcPr>
          <w:p w14:paraId="1616CF5A" w14:textId="603BD6A9"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3(12)</w:t>
            </w:r>
          </w:p>
        </w:tc>
        <w:tc>
          <w:tcPr>
            <w:tcW w:w="4860" w:type="dxa"/>
          </w:tcPr>
          <w:p w14:paraId="0F185C54"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(12) ‘flow-through entity’ means an entity to the extent it is fiscally transparent with respect to its income, expenditure, profit or loss in the jurisdiction where it was created unless it is tax resident and subject to a covered tax on its income or profit in another jurisdiction;</w:t>
            </w:r>
          </w:p>
          <w:p w14:paraId="349AC846" w14:textId="77777777" w:rsidR="0017423E" w:rsidRPr="005E6D70" w:rsidRDefault="0017423E" w:rsidP="0017423E">
            <w:pPr>
              <w:jc w:val="both"/>
              <w:rPr>
                <w:rFonts w:ascii="Times New Roman" w:eastAsia="Calibri" w:hAnsi="Times New Roman" w:cs="Times New Roman"/>
                <w:iCs/>
                <w:sz w:val="18"/>
                <w:szCs w:val="18"/>
                <w:lang w:val="en-US"/>
              </w:rPr>
            </w:pPr>
          </w:p>
          <w:p w14:paraId="709D3593" w14:textId="31020364"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flow-through entity is deemed to be:</w:t>
            </w:r>
          </w:p>
        </w:tc>
        <w:tc>
          <w:tcPr>
            <w:tcW w:w="990" w:type="dxa"/>
            <w:gridSpan w:val="2"/>
          </w:tcPr>
          <w:p w14:paraId="77B4522B" w14:textId="4E14CD6B"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BC13A2C" w14:textId="57402ED4" w:rsidR="0017423E" w:rsidRPr="005E6D70" w:rsidRDefault="005B3A4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4(12) intro</w:t>
            </w:r>
          </w:p>
        </w:tc>
        <w:tc>
          <w:tcPr>
            <w:tcW w:w="4680" w:type="dxa"/>
            <w:gridSpan w:val="2"/>
          </w:tcPr>
          <w:p w14:paraId="00A49820" w14:textId="77777777" w:rsidR="0088332E" w:rsidRPr="005E6D70" w:rsidRDefault="0088332E"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12. “Flow-through entity” means an entity to the extent it is fiscally transparent with respect to its income, expenditure, profit or loss in the jurisdiction where it was created, unless it is tax resident and subject to a covered tax on its income or profit in another jurisdiction;  </w:t>
            </w:r>
          </w:p>
          <w:p w14:paraId="77D5C550" w14:textId="77777777" w:rsidR="0088332E" w:rsidRPr="005E6D70" w:rsidRDefault="0088332E" w:rsidP="00754FB1">
            <w:pPr>
              <w:jc w:val="both"/>
              <w:rPr>
                <w:rFonts w:ascii="Times New Roman" w:eastAsia="Calibri" w:hAnsi="Times New Roman" w:cs="Times New Roman"/>
                <w:sz w:val="18"/>
                <w:szCs w:val="18"/>
                <w:lang w:val="en-US"/>
              </w:rPr>
            </w:pPr>
          </w:p>
          <w:p w14:paraId="644CB398" w14:textId="77777777" w:rsidR="0017423E" w:rsidRPr="005E6D70" w:rsidRDefault="0088332E"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 a flow-through entity is deemed to be:</w:t>
            </w:r>
          </w:p>
          <w:p w14:paraId="1EE1A23F" w14:textId="5EFF80ED" w:rsidR="0088332E" w:rsidRPr="005E6D70" w:rsidRDefault="0088332E" w:rsidP="00754FB1">
            <w:pPr>
              <w:jc w:val="both"/>
              <w:rPr>
                <w:rFonts w:ascii="Times New Roman" w:eastAsia="Calibri" w:hAnsi="Times New Roman" w:cs="Times New Roman"/>
                <w:sz w:val="18"/>
                <w:szCs w:val="18"/>
                <w:lang w:val="en-US"/>
              </w:rPr>
            </w:pPr>
          </w:p>
        </w:tc>
        <w:tc>
          <w:tcPr>
            <w:tcW w:w="1530" w:type="dxa"/>
          </w:tcPr>
          <w:p w14:paraId="511A12D1" w14:textId="5BE15908"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lastRenderedPageBreak/>
              <w:t>F</w:t>
            </w:r>
          </w:p>
        </w:tc>
        <w:tc>
          <w:tcPr>
            <w:tcW w:w="1350" w:type="dxa"/>
          </w:tcPr>
          <w:p w14:paraId="7050C426" w14:textId="3EB38B6F" w:rsidR="0017423E" w:rsidRPr="005E6D70" w:rsidRDefault="0088332E"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 of the introductory paragraph.</w:t>
            </w:r>
          </w:p>
        </w:tc>
      </w:tr>
      <w:tr w:rsidR="00D37F89" w:rsidRPr="005E6D70" w14:paraId="116BC336" w14:textId="77777777" w:rsidTr="00073B1B">
        <w:trPr>
          <w:trHeight w:val="530"/>
        </w:trPr>
        <w:tc>
          <w:tcPr>
            <w:tcW w:w="990" w:type="dxa"/>
            <w:gridSpan w:val="2"/>
          </w:tcPr>
          <w:p w14:paraId="0D31DDC6" w14:textId="59BE1B2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3(12a)</w:t>
            </w:r>
          </w:p>
        </w:tc>
        <w:tc>
          <w:tcPr>
            <w:tcW w:w="4860" w:type="dxa"/>
          </w:tcPr>
          <w:p w14:paraId="2D3B594D" w14:textId="4CBE8FD6"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a tax-transparent entity with respect to its income, expenditure, profit or loss to the extent that it is fiscally transparent in the jurisdiction in which its owner is located;</w:t>
            </w:r>
          </w:p>
        </w:tc>
        <w:tc>
          <w:tcPr>
            <w:tcW w:w="990" w:type="dxa"/>
            <w:gridSpan w:val="2"/>
          </w:tcPr>
          <w:p w14:paraId="538E4815" w14:textId="0F1954D2"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470224D" w14:textId="4D48D703" w:rsidR="0017423E" w:rsidRPr="005E6D70" w:rsidRDefault="00D37F89"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4(12)(a)</w:t>
            </w:r>
          </w:p>
        </w:tc>
        <w:tc>
          <w:tcPr>
            <w:tcW w:w="4680" w:type="dxa"/>
            <w:gridSpan w:val="2"/>
          </w:tcPr>
          <w:p w14:paraId="2CE0A131" w14:textId="68EA246B" w:rsidR="0017423E" w:rsidRPr="005E6D70" w:rsidRDefault="00D37F89"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a tax-transparent entity with respect to its income, expenditure, profit or loss to the extent that it is fiscally transparent in the jurisdiction in which its owner is located;</w:t>
            </w:r>
          </w:p>
        </w:tc>
        <w:tc>
          <w:tcPr>
            <w:tcW w:w="1530" w:type="dxa"/>
          </w:tcPr>
          <w:p w14:paraId="409497A3" w14:textId="6F217F44"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1F8A22F5" w14:textId="4EE359F6" w:rsidR="0017423E" w:rsidRPr="005E6D70" w:rsidRDefault="00D37F89"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616E1C32" w14:textId="77777777" w:rsidTr="00073B1B">
        <w:trPr>
          <w:trHeight w:val="530"/>
        </w:trPr>
        <w:tc>
          <w:tcPr>
            <w:tcW w:w="990" w:type="dxa"/>
            <w:gridSpan w:val="2"/>
          </w:tcPr>
          <w:p w14:paraId="0B1B225C" w14:textId="181A85DE"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3(12b)</w:t>
            </w:r>
          </w:p>
        </w:tc>
        <w:tc>
          <w:tcPr>
            <w:tcW w:w="4860" w:type="dxa"/>
          </w:tcPr>
          <w:p w14:paraId="397E2378"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a reverse hybrid entity with respect to its income, expenditure, profit or loss to the extent that it is not fiscally transparent in the jurisdiction in which its owner is located;</w:t>
            </w:r>
          </w:p>
          <w:p w14:paraId="37239653" w14:textId="77777777" w:rsidR="0017423E" w:rsidRPr="005E6D70" w:rsidRDefault="0017423E" w:rsidP="0017423E">
            <w:pPr>
              <w:jc w:val="both"/>
              <w:rPr>
                <w:rFonts w:ascii="Times New Roman" w:eastAsia="Calibri" w:hAnsi="Times New Roman" w:cs="Times New Roman"/>
                <w:iCs/>
                <w:sz w:val="18"/>
                <w:szCs w:val="18"/>
                <w:lang w:val="en-US"/>
              </w:rPr>
            </w:pPr>
          </w:p>
          <w:p w14:paraId="6B4ABEEC"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for the purposes of this definition, a ‘fiscally transparent entity’ means an entity whose income, expenditure, profit or loss is treated by the laws of a jurisdiction as if it were derived or incurred by the direct owner of that entity in proportion to its interest in that entity;</w:t>
            </w:r>
          </w:p>
          <w:p w14:paraId="2D8B5C98" w14:textId="77777777" w:rsidR="0017423E" w:rsidRPr="005E6D70" w:rsidRDefault="0017423E" w:rsidP="0017423E">
            <w:pPr>
              <w:rPr>
                <w:rFonts w:ascii="Times New Roman" w:eastAsia="Calibri" w:hAnsi="Times New Roman" w:cs="Times New Roman"/>
                <w:iCs/>
                <w:sz w:val="18"/>
                <w:szCs w:val="18"/>
                <w:lang w:val="en-US"/>
              </w:rPr>
            </w:pPr>
          </w:p>
          <w:p w14:paraId="566C0C9B"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an ownership interest in an entity or a permanent establishment that is a constituent entity shall be treated as held through a tax transparent structure if that ownership interest is held indirectly through a chain of tax transparent entities; </w:t>
            </w:r>
          </w:p>
          <w:p w14:paraId="0A2C8AE7" w14:textId="77777777" w:rsidR="0017423E" w:rsidRPr="005E6D70" w:rsidRDefault="0017423E" w:rsidP="0017423E">
            <w:pPr>
              <w:rPr>
                <w:rFonts w:ascii="Times New Roman" w:eastAsia="Calibri" w:hAnsi="Times New Roman" w:cs="Times New Roman"/>
                <w:iCs/>
                <w:sz w:val="18"/>
                <w:szCs w:val="18"/>
                <w:lang w:val="en-US"/>
              </w:rPr>
            </w:pPr>
          </w:p>
          <w:p w14:paraId="69D9654E"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constituent entity that is not tax resident and not subject to a covered tax or a qualified domestic top-up tax based on its place of management, place of creation or similar criteria shall be treated as a flow-through entity and a tax transparent entity in respect of its income, expenditure, profit or loss, to the extent that:</w:t>
            </w:r>
          </w:p>
          <w:p w14:paraId="541053AD" w14:textId="77777777" w:rsidR="0017423E" w:rsidRPr="005E6D70" w:rsidRDefault="0017423E" w:rsidP="0017423E">
            <w:pPr>
              <w:rPr>
                <w:rFonts w:ascii="Times New Roman" w:eastAsia="Calibri" w:hAnsi="Times New Roman" w:cs="Times New Roman"/>
                <w:iCs/>
                <w:sz w:val="18"/>
                <w:szCs w:val="18"/>
                <w:lang w:val="en-US"/>
              </w:rPr>
            </w:pPr>
          </w:p>
          <w:p w14:paraId="1166F4BC"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its owners are located in a jurisdiction that treats the entity as fiscally transparent;</w:t>
            </w:r>
          </w:p>
          <w:p w14:paraId="35C77E74"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it does not have a place of business in the jurisdiction where it was created; and</w:t>
            </w:r>
          </w:p>
          <w:p w14:paraId="4DA5EE1F" w14:textId="414AFDC9"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the income, expenditure, profit or loss is not attributable to a permanent establishment;</w:t>
            </w:r>
          </w:p>
        </w:tc>
        <w:tc>
          <w:tcPr>
            <w:tcW w:w="990" w:type="dxa"/>
            <w:gridSpan w:val="2"/>
          </w:tcPr>
          <w:p w14:paraId="7ED21BEA" w14:textId="59D7B2B0"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D85E6F4" w14:textId="2215315F" w:rsidR="0017423E" w:rsidRPr="005E6D70" w:rsidRDefault="00D37F89"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4(12)(b)</w:t>
            </w:r>
          </w:p>
        </w:tc>
        <w:tc>
          <w:tcPr>
            <w:tcW w:w="4680" w:type="dxa"/>
            <w:gridSpan w:val="2"/>
          </w:tcPr>
          <w:p w14:paraId="1D547564" w14:textId="77777777" w:rsidR="00582BBF" w:rsidRPr="005E6D70" w:rsidRDefault="00582BB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a reverse hybrid entity with respect to its income, expenditure, profit or loss to the extent that it is not fiscally transparent in the jurisdiction in which its owner is located;</w:t>
            </w:r>
          </w:p>
          <w:p w14:paraId="403DC578" w14:textId="77777777" w:rsidR="00582BBF" w:rsidRPr="005E6D70" w:rsidRDefault="00582BBF" w:rsidP="00754FB1">
            <w:pPr>
              <w:jc w:val="both"/>
              <w:rPr>
                <w:rFonts w:ascii="Times New Roman" w:eastAsia="Calibri" w:hAnsi="Times New Roman" w:cs="Times New Roman"/>
                <w:sz w:val="18"/>
                <w:szCs w:val="18"/>
                <w:lang w:val="en-US"/>
              </w:rPr>
            </w:pPr>
          </w:p>
          <w:p w14:paraId="1CCD7426" w14:textId="77777777" w:rsidR="00582BBF" w:rsidRPr="005E6D70" w:rsidRDefault="00582BB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for the purposes of this definition, a “fiscally transparent entity” means an entity whose income, expenditure, profit or loss is treated by the laws of a jurisdiction as if it were derived or incurred by the direct owner of that entity in proportion to its interest in that entity;</w:t>
            </w:r>
          </w:p>
          <w:p w14:paraId="03E09F06" w14:textId="77777777" w:rsidR="00582BBF" w:rsidRPr="005E6D70" w:rsidRDefault="00582BBF" w:rsidP="00754FB1">
            <w:pPr>
              <w:jc w:val="both"/>
              <w:rPr>
                <w:rFonts w:ascii="Times New Roman" w:eastAsia="Calibri" w:hAnsi="Times New Roman" w:cs="Times New Roman"/>
                <w:sz w:val="18"/>
                <w:szCs w:val="18"/>
                <w:lang w:val="en-US"/>
              </w:rPr>
            </w:pPr>
          </w:p>
          <w:p w14:paraId="5B4148DF" w14:textId="77777777" w:rsidR="00582BBF" w:rsidRPr="005E6D70" w:rsidRDefault="00582BB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an ownership interest in an entity or a permanent establishment that is a constituent entity shall be treated as held through a tax transparent structure if that ownership interest is held indirectly through a chain of tax transparent entities;   </w:t>
            </w:r>
          </w:p>
          <w:p w14:paraId="6E4921A4" w14:textId="77777777" w:rsidR="00582BBF" w:rsidRPr="005E6D70" w:rsidRDefault="00582BBF" w:rsidP="00754FB1">
            <w:pPr>
              <w:jc w:val="both"/>
              <w:rPr>
                <w:rFonts w:ascii="Times New Roman" w:eastAsia="Calibri" w:hAnsi="Times New Roman" w:cs="Times New Roman"/>
                <w:sz w:val="18"/>
                <w:szCs w:val="18"/>
                <w:lang w:val="en-US"/>
              </w:rPr>
            </w:pPr>
          </w:p>
          <w:p w14:paraId="069C956E" w14:textId="77777777" w:rsidR="00582BBF" w:rsidRPr="005E6D70" w:rsidRDefault="00582BB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 a constituent entity that is not tax resident and not subject to a covered tax or a qualified domestic top-up tax based on its place of management, place of creation or similar criteria shall be treated as a flow-through entity and a tax transparent entity in respect of its income, expenditure, profit or loss, to the extent that:   </w:t>
            </w:r>
          </w:p>
          <w:p w14:paraId="3FEE66FF" w14:textId="77777777" w:rsidR="00582BBF" w:rsidRPr="005E6D70" w:rsidRDefault="00582BBF" w:rsidP="00754FB1">
            <w:pPr>
              <w:jc w:val="both"/>
              <w:rPr>
                <w:rFonts w:ascii="Times New Roman" w:eastAsia="Calibri" w:hAnsi="Times New Roman" w:cs="Times New Roman"/>
                <w:sz w:val="18"/>
                <w:szCs w:val="18"/>
                <w:lang w:val="en-US"/>
              </w:rPr>
            </w:pPr>
          </w:p>
          <w:p w14:paraId="37F225F8" w14:textId="77777777" w:rsidR="00582BBF" w:rsidRPr="005E6D70" w:rsidRDefault="00582BB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 (i) its owners are located in a jurisdiction that treats the entity as fiscally transparent;   </w:t>
            </w:r>
          </w:p>
          <w:p w14:paraId="35F5E9BB" w14:textId="77777777" w:rsidR="00582BBF" w:rsidRPr="005E6D70" w:rsidRDefault="00582BBF" w:rsidP="00754FB1">
            <w:pPr>
              <w:jc w:val="both"/>
              <w:rPr>
                <w:rFonts w:ascii="Times New Roman" w:eastAsia="Calibri" w:hAnsi="Times New Roman" w:cs="Times New Roman"/>
                <w:sz w:val="18"/>
                <w:szCs w:val="18"/>
                <w:lang w:val="en-US"/>
              </w:rPr>
            </w:pPr>
          </w:p>
          <w:p w14:paraId="36147843" w14:textId="77777777" w:rsidR="00582BBF" w:rsidRPr="005E6D70" w:rsidRDefault="00582BB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 (ii) it does not have a place of business in the jurisdiction where it was created; and   </w:t>
            </w:r>
          </w:p>
          <w:p w14:paraId="6FC1E697" w14:textId="77777777" w:rsidR="00582BBF" w:rsidRPr="005E6D70" w:rsidRDefault="00582BBF" w:rsidP="00754FB1">
            <w:pPr>
              <w:jc w:val="both"/>
              <w:rPr>
                <w:rFonts w:ascii="Times New Roman" w:eastAsia="Calibri" w:hAnsi="Times New Roman" w:cs="Times New Roman"/>
                <w:sz w:val="18"/>
                <w:szCs w:val="18"/>
                <w:lang w:val="en-US"/>
              </w:rPr>
            </w:pPr>
          </w:p>
          <w:p w14:paraId="74F9FDB9" w14:textId="7CB8319A" w:rsidR="0017423E" w:rsidRPr="005E6D70" w:rsidRDefault="00582BB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 (iii) the income, expenditure, profit or loss is not attributable to a permanent establishment.</w:t>
            </w:r>
          </w:p>
        </w:tc>
        <w:tc>
          <w:tcPr>
            <w:tcW w:w="1530" w:type="dxa"/>
          </w:tcPr>
          <w:p w14:paraId="35878F4E" w14:textId="731C3B1A"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2C9168CC" w14:textId="10F7F5C0" w:rsidR="0017423E" w:rsidRPr="005E6D70" w:rsidRDefault="00953EA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w:t>
            </w:r>
            <w:r w:rsidR="005A7426" w:rsidRPr="005E6D70">
              <w:rPr>
                <w:rFonts w:ascii="Times New Roman" w:eastAsia="Calibri" w:hAnsi="Times New Roman" w:cs="Times New Roman"/>
                <w:sz w:val="18"/>
                <w:szCs w:val="18"/>
                <w:lang w:val="en-US"/>
              </w:rPr>
              <w:t>ransposition of the point and its following trailing subparagraphs defining "fiscally transparent entity" and "tax transparent structure". The trailing list (a, b, c) of the Directive is logically formatted as roman numerals (i, ii, iii) in the draft law to prevent alphabetical duplication within the same paragraph, strictly adhering to national drafting techniques.</w:t>
            </w:r>
          </w:p>
        </w:tc>
      </w:tr>
      <w:tr w:rsidR="00D37F89" w:rsidRPr="005E6D70" w14:paraId="08D81DF4" w14:textId="77777777" w:rsidTr="00073B1B">
        <w:trPr>
          <w:trHeight w:val="206"/>
        </w:trPr>
        <w:tc>
          <w:tcPr>
            <w:tcW w:w="990" w:type="dxa"/>
            <w:gridSpan w:val="2"/>
          </w:tcPr>
          <w:p w14:paraId="3B9115A8" w14:textId="4055DD2B"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3(13)</w:t>
            </w:r>
          </w:p>
        </w:tc>
        <w:tc>
          <w:tcPr>
            <w:tcW w:w="4860" w:type="dxa"/>
          </w:tcPr>
          <w:p w14:paraId="13B992D1" w14:textId="2669AF8B"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(13) ‘permanent establishment’ means:</w:t>
            </w:r>
          </w:p>
        </w:tc>
        <w:tc>
          <w:tcPr>
            <w:tcW w:w="990" w:type="dxa"/>
            <w:gridSpan w:val="2"/>
          </w:tcPr>
          <w:p w14:paraId="295E26E9" w14:textId="42EEDED5"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C07794F" w14:textId="2061ACC5" w:rsidR="0017423E" w:rsidRPr="005E6D70" w:rsidRDefault="00D1307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4(13)</w:t>
            </w:r>
          </w:p>
        </w:tc>
        <w:tc>
          <w:tcPr>
            <w:tcW w:w="4680" w:type="dxa"/>
            <w:gridSpan w:val="2"/>
          </w:tcPr>
          <w:p w14:paraId="65C59C2C" w14:textId="2EC6BB76" w:rsidR="0017423E" w:rsidRPr="005E6D70" w:rsidRDefault="00D1307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13. “Permanent establishment” means:</w:t>
            </w:r>
          </w:p>
        </w:tc>
        <w:tc>
          <w:tcPr>
            <w:tcW w:w="1530" w:type="dxa"/>
          </w:tcPr>
          <w:p w14:paraId="690520F8" w14:textId="1D1447C3"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04CEB3E5" w14:textId="25B90D61" w:rsidR="0017423E" w:rsidRPr="005E6D70" w:rsidRDefault="00D1307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2FFC082B" w14:textId="77777777" w:rsidTr="00073B1B">
        <w:trPr>
          <w:trHeight w:val="530"/>
        </w:trPr>
        <w:tc>
          <w:tcPr>
            <w:tcW w:w="990" w:type="dxa"/>
            <w:gridSpan w:val="2"/>
          </w:tcPr>
          <w:p w14:paraId="3B321281" w14:textId="08600A19"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3(13a)</w:t>
            </w:r>
          </w:p>
        </w:tc>
        <w:tc>
          <w:tcPr>
            <w:tcW w:w="4860" w:type="dxa"/>
          </w:tcPr>
          <w:p w14:paraId="2109ACEB" w14:textId="77777777" w:rsidR="0017423E" w:rsidRPr="005E6D70" w:rsidRDefault="0017423E" w:rsidP="0017423E">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(a) a place of business or a deemed place of business located in a jurisdiction where it is treated as a permanent establishment in accordance with an applicable tax treaty, provided that such </w:t>
            </w:r>
            <w:r w:rsidRPr="005E6D70">
              <w:rPr>
                <w:rFonts w:ascii="Times New Roman" w:eastAsia="Calibri" w:hAnsi="Times New Roman" w:cs="Times New Roman"/>
                <w:iCs/>
                <w:sz w:val="18"/>
                <w:szCs w:val="18"/>
                <w:lang w:val="en-US"/>
              </w:rPr>
              <w:lastRenderedPageBreak/>
              <w:t>jurisdiction taxes the income attributable to it in accordance with a provision similar to Article 7 of the OECD Model Tax</w:t>
            </w:r>
          </w:p>
          <w:p w14:paraId="71B40D4A" w14:textId="0B3B6FD7"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Convention on Income and Capital, as amended;</w:t>
            </w:r>
          </w:p>
        </w:tc>
        <w:tc>
          <w:tcPr>
            <w:tcW w:w="990" w:type="dxa"/>
            <w:gridSpan w:val="2"/>
          </w:tcPr>
          <w:p w14:paraId="1B918B36" w14:textId="60E76380"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1080" w:type="dxa"/>
            <w:gridSpan w:val="2"/>
          </w:tcPr>
          <w:p w14:paraId="39966717" w14:textId="10D17BBD" w:rsidR="0017423E" w:rsidRPr="005E6D70" w:rsidRDefault="00D1307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4(13)(a)</w:t>
            </w:r>
          </w:p>
        </w:tc>
        <w:tc>
          <w:tcPr>
            <w:tcW w:w="4680" w:type="dxa"/>
            <w:gridSpan w:val="2"/>
          </w:tcPr>
          <w:p w14:paraId="59FDBA57" w14:textId="05D057DF" w:rsidR="0017423E" w:rsidRPr="005E6D70" w:rsidRDefault="00D1307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a) a place of business or a deemed place of business located in a jurisdiction where it is treated as a permanent establishment in accordance with an applicable tax treaty, provided that such </w:t>
            </w:r>
            <w:r w:rsidRPr="005E6D70">
              <w:rPr>
                <w:rFonts w:ascii="Times New Roman" w:eastAsia="Calibri" w:hAnsi="Times New Roman" w:cs="Times New Roman"/>
                <w:sz w:val="18"/>
                <w:szCs w:val="18"/>
                <w:lang w:val="en-US"/>
              </w:rPr>
              <w:lastRenderedPageBreak/>
              <w:t>jurisdiction taxes the income attributable to it in accordance with a provision similar to Article 7 of the OECD Model Tax Convention on Income and Capital, as amended;</w:t>
            </w:r>
          </w:p>
        </w:tc>
        <w:tc>
          <w:tcPr>
            <w:tcW w:w="1530" w:type="dxa"/>
          </w:tcPr>
          <w:p w14:paraId="75E28567" w14:textId="2E11CC4C"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lastRenderedPageBreak/>
              <w:t>F</w:t>
            </w:r>
          </w:p>
        </w:tc>
        <w:tc>
          <w:tcPr>
            <w:tcW w:w="1350" w:type="dxa"/>
          </w:tcPr>
          <w:p w14:paraId="0E24AC8B" w14:textId="4963F3E4" w:rsidR="0017423E" w:rsidRPr="005E6D70" w:rsidRDefault="00D1307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5937C8F4" w14:textId="77777777" w:rsidTr="00073B1B">
        <w:trPr>
          <w:trHeight w:val="530"/>
        </w:trPr>
        <w:tc>
          <w:tcPr>
            <w:tcW w:w="990" w:type="dxa"/>
            <w:gridSpan w:val="2"/>
          </w:tcPr>
          <w:p w14:paraId="2AD00F71" w14:textId="3131B2A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3(13b)</w:t>
            </w:r>
          </w:p>
        </w:tc>
        <w:tc>
          <w:tcPr>
            <w:tcW w:w="4860" w:type="dxa"/>
          </w:tcPr>
          <w:p w14:paraId="6BD2FD84" w14:textId="487984E1"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if there is no applicable tax treaty, a place of business or a deemed place of business located in a jurisdiction which taxes the income attributable to such place of business on a net basis in a manner similar to which it taxes its own tax residents;</w:t>
            </w:r>
          </w:p>
        </w:tc>
        <w:tc>
          <w:tcPr>
            <w:tcW w:w="990" w:type="dxa"/>
            <w:gridSpan w:val="2"/>
          </w:tcPr>
          <w:p w14:paraId="48566010" w14:textId="27E10257"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34B02246" w14:textId="6BFF80A2" w:rsidR="0017423E" w:rsidRPr="005E6D70" w:rsidRDefault="002F07D9"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4(13)(b)</w:t>
            </w:r>
          </w:p>
        </w:tc>
        <w:tc>
          <w:tcPr>
            <w:tcW w:w="4680" w:type="dxa"/>
            <w:gridSpan w:val="2"/>
          </w:tcPr>
          <w:p w14:paraId="641FB6D0" w14:textId="0C0C1F41" w:rsidR="0017423E" w:rsidRPr="005E6D70" w:rsidRDefault="002F07D9"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if there is no applicable tax treaty, a place of business or a deemed place of business located in a jurisdiction which taxes the income attributable to such place of business on a net basis in a manner similar to which it taxes its own tax residents;</w:t>
            </w:r>
          </w:p>
        </w:tc>
        <w:tc>
          <w:tcPr>
            <w:tcW w:w="1530" w:type="dxa"/>
          </w:tcPr>
          <w:p w14:paraId="2FB52C2B" w14:textId="7BD74BE2"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546C48F5" w14:textId="50EC64B5" w:rsidR="0017423E" w:rsidRPr="005E6D70" w:rsidRDefault="00221EB2"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1B36945F" w14:textId="77777777" w:rsidTr="00073B1B">
        <w:trPr>
          <w:trHeight w:val="530"/>
        </w:trPr>
        <w:tc>
          <w:tcPr>
            <w:tcW w:w="990" w:type="dxa"/>
            <w:gridSpan w:val="2"/>
          </w:tcPr>
          <w:p w14:paraId="64AEB24D" w14:textId="46FE6ABF"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3(13c)</w:t>
            </w:r>
          </w:p>
        </w:tc>
        <w:tc>
          <w:tcPr>
            <w:tcW w:w="4860" w:type="dxa"/>
          </w:tcPr>
          <w:p w14:paraId="7FF2AD2E" w14:textId="4D386E07"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if a jurisdiction has no corporate income tax system, a place of business or a deemed place of business located in such jurisdiction that would be treated as a permanent establishment in accordance with the OECD Model Tax Convention on Income and Capital, as amended, provided that such jurisdiction would have had the right to tax the income that would have been attributable to the place of business in accordance with Article 7 of that Convention; or</w:t>
            </w:r>
          </w:p>
        </w:tc>
        <w:tc>
          <w:tcPr>
            <w:tcW w:w="990" w:type="dxa"/>
            <w:gridSpan w:val="2"/>
          </w:tcPr>
          <w:p w14:paraId="69FC8BD0" w14:textId="7E23791A"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88CA154" w14:textId="245E72A7" w:rsidR="0017423E" w:rsidRPr="005E6D70" w:rsidRDefault="00221EB2"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4(13)(c)</w:t>
            </w:r>
          </w:p>
        </w:tc>
        <w:tc>
          <w:tcPr>
            <w:tcW w:w="4680" w:type="dxa"/>
            <w:gridSpan w:val="2"/>
          </w:tcPr>
          <w:p w14:paraId="6615C32B" w14:textId="477D24B6" w:rsidR="0017423E" w:rsidRPr="005E6D70" w:rsidRDefault="00221EB2"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c) if a jurisdiction has no corporate income tax system, a place of business or a deemed place of business located in such jurisdiction that would be treated as a permanent establishment under the OECD Model Tax Convention on Income and Capital, as amended, provided that such jurisdiction would have had the right to tax the income that would have been attributable to the place of business in accordance with Article 7 of that Convention; or</w:t>
            </w:r>
          </w:p>
        </w:tc>
        <w:tc>
          <w:tcPr>
            <w:tcW w:w="1530" w:type="dxa"/>
          </w:tcPr>
          <w:p w14:paraId="6BED368A" w14:textId="0D8719DC"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065237E2" w14:textId="243ECBC6" w:rsidR="0017423E" w:rsidRPr="005E6D70" w:rsidRDefault="00221EB2"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 The phrase "in accordance with" is transposed as "under".</w:t>
            </w:r>
          </w:p>
        </w:tc>
      </w:tr>
      <w:tr w:rsidR="00D37F89" w:rsidRPr="005E6D70" w14:paraId="1662EDEB" w14:textId="77777777" w:rsidTr="00073B1B">
        <w:trPr>
          <w:trHeight w:val="530"/>
        </w:trPr>
        <w:tc>
          <w:tcPr>
            <w:tcW w:w="990" w:type="dxa"/>
            <w:gridSpan w:val="2"/>
          </w:tcPr>
          <w:p w14:paraId="7298830C" w14:textId="35DF6EC9"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3(13d)</w:t>
            </w:r>
          </w:p>
        </w:tc>
        <w:tc>
          <w:tcPr>
            <w:tcW w:w="4860" w:type="dxa"/>
          </w:tcPr>
          <w:p w14:paraId="169BB64F" w14:textId="77E6DE89"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(d) a place of business or a deemed place of business that is not described in points (a) to (c) through which operations are conducted outside the jurisdiction where the entity is located, provided that such jurisdiction exempts the income attributable to such operations;</w:t>
            </w:r>
          </w:p>
        </w:tc>
        <w:tc>
          <w:tcPr>
            <w:tcW w:w="990" w:type="dxa"/>
            <w:gridSpan w:val="2"/>
          </w:tcPr>
          <w:p w14:paraId="6D102D5F" w14:textId="31E9CECF"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0A97F76" w14:textId="029DC6F9" w:rsidR="0017423E" w:rsidRPr="005E6D70" w:rsidRDefault="00A30BF7"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4(13)(d)</w:t>
            </w:r>
          </w:p>
        </w:tc>
        <w:tc>
          <w:tcPr>
            <w:tcW w:w="4680" w:type="dxa"/>
            <w:gridSpan w:val="2"/>
          </w:tcPr>
          <w:p w14:paraId="218BA5B7" w14:textId="0B15C297" w:rsidR="0017423E" w:rsidRPr="005E6D70" w:rsidRDefault="00A30BF7"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 a place of business or a deemed place of business that is not described in letters “a” to “c”, of this paragraph, through which operations are conducted outside the jurisdiction where the entity is located, provided that such jurisdiction exempts the income attributable to such operations.</w:t>
            </w:r>
          </w:p>
        </w:tc>
        <w:tc>
          <w:tcPr>
            <w:tcW w:w="1530" w:type="dxa"/>
          </w:tcPr>
          <w:p w14:paraId="05611AC7" w14:textId="12F7D109"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794CE7BB" w14:textId="65A6ECE8" w:rsidR="0017423E" w:rsidRPr="005E6D70" w:rsidRDefault="00A30BF7"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internal cross-reference "points (a) to (c)" is adapted to "letters 'a' to 'c', of this paragraph" to align with national legislative drafting standards.</w:t>
            </w:r>
          </w:p>
        </w:tc>
      </w:tr>
      <w:tr w:rsidR="00D37F89" w:rsidRPr="005E6D70" w14:paraId="4F7F60CD" w14:textId="77777777" w:rsidTr="00073B1B">
        <w:trPr>
          <w:trHeight w:val="350"/>
        </w:trPr>
        <w:tc>
          <w:tcPr>
            <w:tcW w:w="990" w:type="dxa"/>
            <w:gridSpan w:val="2"/>
          </w:tcPr>
          <w:p w14:paraId="3FAB879B" w14:textId="4E7DAB79"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3(14)</w:t>
            </w:r>
          </w:p>
        </w:tc>
        <w:tc>
          <w:tcPr>
            <w:tcW w:w="4860" w:type="dxa"/>
          </w:tcPr>
          <w:p w14:paraId="17673488" w14:textId="0F87664B"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(14) ‘ultimate parent entity’ means:</w:t>
            </w:r>
          </w:p>
        </w:tc>
        <w:tc>
          <w:tcPr>
            <w:tcW w:w="990" w:type="dxa"/>
            <w:gridSpan w:val="2"/>
          </w:tcPr>
          <w:p w14:paraId="2C807AD7" w14:textId="71AFB87B"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7F549DE" w14:textId="605743EB" w:rsidR="0017423E" w:rsidRPr="005E6D70" w:rsidRDefault="006C1E9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4(14)</w:t>
            </w:r>
          </w:p>
        </w:tc>
        <w:tc>
          <w:tcPr>
            <w:tcW w:w="4680" w:type="dxa"/>
            <w:gridSpan w:val="2"/>
          </w:tcPr>
          <w:p w14:paraId="781FB997" w14:textId="76F36E52" w:rsidR="0017423E" w:rsidRPr="005E6D70" w:rsidRDefault="006C1E9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 “Ultimate parent entity” means:</w:t>
            </w:r>
          </w:p>
        </w:tc>
        <w:tc>
          <w:tcPr>
            <w:tcW w:w="1530" w:type="dxa"/>
          </w:tcPr>
          <w:p w14:paraId="741FBDEE" w14:textId="481AFE04"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00C638D8" w14:textId="6D10B30E" w:rsidR="0017423E" w:rsidRPr="005E6D70" w:rsidRDefault="006C1E9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625942FA" w14:textId="77777777" w:rsidTr="00073B1B">
        <w:trPr>
          <w:trHeight w:val="530"/>
        </w:trPr>
        <w:tc>
          <w:tcPr>
            <w:tcW w:w="990" w:type="dxa"/>
            <w:gridSpan w:val="2"/>
          </w:tcPr>
          <w:p w14:paraId="03A47C2F" w14:textId="1B5361B9"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3(14a)</w:t>
            </w:r>
          </w:p>
        </w:tc>
        <w:tc>
          <w:tcPr>
            <w:tcW w:w="4860" w:type="dxa"/>
          </w:tcPr>
          <w:p w14:paraId="3D1B01D3" w14:textId="38B0292F"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an entity that owns, directly or indirectly, a controlling interest in any other entity and that is not owned, directly or indirectly, by another entity with a controlling interest in it; or</w:t>
            </w:r>
          </w:p>
        </w:tc>
        <w:tc>
          <w:tcPr>
            <w:tcW w:w="990" w:type="dxa"/>
            <w:gridSpan w:val="2"/>
          </w:tcPr>
          <w:p w14:paraId="2D16ED36" w14:textId="7D454C5A"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6396EB22" w14:textId="2F36E939" w:rsidR="0017423E" w:rsidRPr="005E6D70" w:rsidRDefault="006C1E9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4(14)(a)</w:t>
            </w:r>
          </w:p>
        </w:tc>
        <w:tc>
          <w:tcPr>
            <w:tcW w:w="4680" w:type="dxa"/>
            <w:gridSpan w:val="2"/>
          </w:tcPr>
          <w:p w14:paraId="2FC7723C" w14:textId="3ACE964F" w:rsidR="0017423E" w:rsidRPr="005E6D70" w:rsidRDefault="006C1E9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an entity that owns, directly or indirectly, a controlling interest in any other entity and that is not owned, directly or indirectly, by another entity with a controlling interest in it; or</w:t>
            </w:r>
          </w:p>
        </w:tc>
        <w:tc>
          <w:tcPr>
            <w:tcW w:w="1530" w:type="dxa"/>
          </w:tcPr>
          <w:p w14:paraId="11763D71" w14:textId="4E8FBEB0"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001FE322" w14:textId="3C5D1B35" w:rsidR="0017423E" w:rsidRPr="005E6D70" w:rsidRDefault="006C1E9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2A4E54B6" w14:textId="77777777" w:rsidTr="00073B1B">
        <w:trPr>
          <w:trHeight w:val="323"/>
        </w:trPr>
        <w:tc>
          <w:tcPr>
            <w:tcW w:w="990" w:type="dxa"/>
            <w:gridSpan w:val="2"/>
          </w:tcPr>
          <w:p w14:paraId="3A7B3630" w14:textId="222C277A"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3(14b)</w:t>
            </w:r>
          </w:p>
        </w:tc>
        <w:tc>
          <w:tcPr>
            <w:tcW w:w="4860" w:type="dxa"/>
          </w:tcPr>
          <w:p w14:paraId="3D4D1158" w14:textId="5DB91ADA"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the main entity of a group as defined in point (3)(b);</w:t>
            </w:r>
          </w:p>
        </w:tc>
        <w:tc>
          <w:tcPr>
            <w:tcW w:w="990" w:type="dxa"/>
            <w:gridSpan w:val="2"/>
          </w:tcPr>
          <w:p w14:paraId="166EDC89" w14:textId="668F1AB2"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360F425F" w14:textId="1E18BBD1" w:rsidR="0017423E" w:rsidRPr="005E6D70" w:rsidRDefault="006C1E9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4(14)(b)</w:t>
            </w:r>
          </w:p>
        </w:tc>
        <w:tc>
          <w:tcPr>
            <w:tcW w:w="4680" w:type="dxa"/>
            <w:gridSpan w:val="2"/>
          </w:tcPr>
          <w:p w14:paraId="0271FEBF" w14:textId="76AB36F4" w:rsidR="0017423E" w:rsidRPr="005E6D70" w:rsidRDefault="006C1E9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the main entity of a group as defined in letter “b”, of paragraph 3, of this Article.</w:t>
            </w:r>
          </w:p>
        </w:tc>
        <w:tc>
          <w:tcPr>
            <w:tcW w:w="1530" w:type="dxa"/>
          </w:tcPr>
          <w:p w14:paraId="6A469CC2" w14:textId="7B933A9A"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31F8A13C" w14:textId="3A0F8DD0" w:rsidR="0017423E" w:rsidRPr="005E6D70" w:rsidRDefault="006C1E9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The internal cross-reference "point (3)(b)" is adapted to "letter 'b', of paragraph 3, of this Article" to comply with national </w:t>
            </w:r>
            <w:r w:rsidRPr="005E6D70">
              <w:rPr>
                <w:rFonts w:ascii="Times New Roman" w:eastAsia="Calibri" w:hAnsi="Times New Roman" w:cs="Times New Roman"/>
                <w:sz w:val="18"/>
                <w:szCs w:val="18"/>
                <w:lang w:val="en-US"/>
              </w:rPr>
              <w:lastRenderedPageBreak/>
              <w:t>drafting formats.</w:t>
            </w:r>
          </w:p>
        </w:tc>
      </w:tr>
      <w:tr w:rsidR="00D37F89" w:rsidRPr="005E6D70" w14:paraId="0D16B60A" w14:textId="77777777" w:rsidTr="00073B1B">
        <w:trPr>
          <w:trHeight w:val="314"/>
        </w:trPr>
        <w:tc>
          <w:tcPr>
            <w:tcW w:w="990" w:type="dxa"/>
            <w:gridSpan w:val="2"/>
          </w:tcPr>
          <w:p w14:paraId="2E843E48" w14:textId="5B6106FF"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3(15)</w:t>
            </w:r>
          </w:p>
        </w:tc>
        <w:tc>
          <w:tcPr>
            <w:tcW w:w="4860" w:type="dxa"/>
          </w:tcPr>
          <w:p w14:paraId="03A25BEE" w14:textId="69A42C54"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(15) ‘minimum tax rate’ means fifteen percent (15 %);</w:t>
            </w:r>
          </w:p>
        </w:tc>
        <w:tc>
          <w:tcPr>
            <w:tcW w:w="990" w:type="dxa"/>
            <w:gridSpan w:val="2"/>
          </w:tcPr>
          <w:p w14:paraId="5C8AC4D8" w14:textId="1AFFFE3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2AE80FD" w14:textId="3B000451" w:rsidR="0017423E" w:rsidRPr="005E6D70" w:rsidRDefault="006C1E9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4(17)</w:t>
            </w:r>
          </w:p>
        </w:tc>
        <w:tc>
          <w:tcPr>
            <w:tcW w:w="4680" w:type="dxa"/>
            <w:gridSpan w:val="2"/>
          </w:tcPr>
          <w:p w14:paraId="0B9740AE" w14:textId="6DA9A845" w:rsidR="0017423E" w:rsidRPr="005E6D70" w:rsidRDefault="006C1E9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17. “Minimum tax rate” means fifteen percent (15%).</w:t>
            </w:r>
          </w:p>
        </w:tc>
        <w:tc>
          <w:tcPr>
            <w:tcW w:w="1530" w:type="dxa"/>
          </w:tcPr>
          <w:p w14:paraId="449913B9" w14:textId="5A3C2FE3"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3F96891B" w14:textId="531CB63D" w:rsidR="0017423E" w:rsidRPr="005E6D70" w:rsidRDefault="006C1E9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17 of Article 4 in the draft law. Verbatim transposition.</w:t>
            </w:r>
          </w:p>
        </w:tc>
      </w:tr>
      <w:tr w:rsidR="00D37F89" w:rsidRPr="005E6D70" w14:paraId="359C2A92" w14:textId="77777777" w:rsidTr="00073B1B">
        <w:trPr>
          <w:trHeight w:val="530"/>
        </w:trPr>
        <w:tc>
          <w:tcPr>
            <w:tcW w:w="990" w:type="dxa"/>
            <w:gridSpan w:val="2"/>
          </w:tcPr>
          <w:p w14:paraId="149D7CAE" w14:textId="01546D6F"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3(16)</w:t>
            </w:r>
          </w:p>
        </w:tc>
        <w:tc>
          <w:tcPr>
            <w:tcW w:w="4860" w:type="dxa"/>
          </w:tcPr>
          <w:p w14:paraId="48B16868" w14:textId="12FE0670"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(16) ‘top-up tax’ means the top-up tax computed for a jurisdiction or a constituent entity pursuant to Article 27;</w:t>
            </w:r>
          </w:p>
        </w:tc>
        <w:tc>
          <w:tcPr>
            <w:tcW w:w="990" w:type="dxa"/>
            <w:gridSpan w:val="2"/>
          </w:tcPr>
          <w:p w14:paraId="32ED2EF0" w14:textId="69C7B4B4"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02E7258" w14:textId="22D9BE66" w:rsidR="0017423E" w:rsidRPr="005E6D70" w:rsidRDefault="00F4757A"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4(18)</w:t>
            </w:r>
          </w:p>
        </w:tc>
        <w:tc>
          <w:tcPr>
            <w:tcW w:w="4680" w:type="dxa"/>
            <w:gridSpan w:val="2"/>
          </w:tcPr>
          <w:p w14:paraId="20E58CE9" w14:textId="3272C9B2" w:rsidR="0017423E" w:rsidRPr="005E6D70" w:rsidRDefault="00F4757A"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18. “Top-up tax” means the top-up tax computed for a jurisdiction or a constituent entity pursuant to Article 27, of this Law.</w:t>
            </w:r>
          </w:p>
        </w:tc>
        <w:tc>
          <w:tcPr>
            <w:tcW w:w="1530" w:type="dxa"/>
          </w:tcPr>
          <w:p w14:paraId="215B928D" w14:textId="520600BD"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5111DEC6" w14:textId="05AC51B3" w:rsidR="0017423E" w:rsidRPr="005E6D70" w:rsidRDefault="00D20BAE"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18 of Article 4 in the draft law. The reference "Article 27" is maintained, with the addition of "of this Law".</w:t>
            </w:r>
          </w:p>
        </w:tc>
      </w:tr>
      <w:tr w:rsidR="00D37F89" w:rsidRPr="005E6D70" w14:paraId="77AAA9F3" w14:textId="77777777" w:rsidTr="00073B1B">
        <w:trPr>
          <w:trHeight w:val="530"/>
        </w:trPr>
        <w:tc>
          <w:tcPr>
            <w:tcW w:w="990" w:type="dxa"/>
            <w:gridSpan w:val="2"/>
          </w:tcPr>
          <w:p w14:paraId="16EC3834" w14:textId="6F38FA65"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3(17)</w:t>
            </w:r>
          </w:p>
        </w:tc>
        <w:tc>
          <w:tcPr>
            <w:tcW w:w="4860" w:type="dxa"/>
          </w:tcPr>
          <w:p w14:paraId="5410C8E5" w14:textId="0319D3F1"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(17) ‘controlled foreign company tax regime’ means a set of tax rules, other than a qualified IIR, under which a direct or indirect shareholder of a foreign entity, or the main entity of a permanent establishment, is subject to taxation on its share of part or all of the income earned by that foreign constituent entity, irrespective of whether that income is distributed to the shareholder;</w:t>
            </w:r>
          </w:p>
        </w:tc>
        <w:tc>
          <w:tcPr>
            <w:tcW w:w="990" w:type="dxa"/>
            <w:gridSpan w:val="2"/>
          </w:tcPr>
          <w:p w14:paraId="2D5D944A" w14:textId="2D6C56DA"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7A0EAEE0" w14:textId="57426CEB" w:rsidR="0017423E" w:rsidRPr="005E6D70" w:rsidRDefault="000E1F0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4(20)</w:t>
            </w:r>
          </w:p>
        </w:tc>
        <w:tc>
          <w:tcPr>
            <w:tcW w:w="4680" w:type="dxa"/>
            <w:gridSpan w:val="2"/>
          </w:tcPr>
          <w:p w14:paraId="2057B8F8" w14:textId="26A148F5" w:rsidR="0017423E" w:rsidRPr="005E6D70" w:rsidRDefault="000E1F0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 “Controlled foreign company tax regime” means a set of tax rules, other than a qualified IIR, under which a direct or indirect shareholder of a foreign entity, or the main entity of a permanent establishment, is subject to taxation on its share of part or all of the income earned by that foreign constituent entity, irrespective of whether that income is distributed to the shareholder.</w:t>
            </w:r>
          </w:p>
        </w:tc>
        <w:tc>
          <w:tcPr>
            <w:tcW w:w="1530" w:type="dxa"/>
          </w:tcPr>
          <w:p w14:paraId="605FC3A8" w14:textId="4B57345E"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54E1DB66" w14:textId="0BCDC96A" w:rsidR="0017423E" w:rsidRPr="005E6D70" w:rsidRDefault="000E1F0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20 of Article 4 in the draft law. Verbatim transposition.</w:t>
            </w:r>
          </w:p>
        </w:tc>
      </w:tr>
      <w:tr w:rsidR="00D37F89" w:rsidRPr="005E6D70" w14:paraId="7A520D18" w14:textId="77777777" w:rsidTr="00073B1B">
        <w:trPr>
          <w:trHeight w:val="530"/>
        </w:trPr>
        <w:tc>
          <w:tcPr>
            <w:tcW w:w="990" w:type="dxa"/>
            <w:gridSpan w:val="2"/>
          </w:tcPr>
          <w:p w14:paraId="569C9C73" w14:textId="2CB2490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3(18)</w:t>
            </w:r>
          </w:p>
        </w:tc>
        <w:tc>
          <w:tcPr>
            <w:tcW w:w="4860" w:type="dxa"/>
          </w:tcPr>
          <w:p w14:paraId="1AEB8E9D" w14:textId="5FCD2EDE"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(18) ‘qualified IIR’ means a set of rules that is implemented in the domestic law of a jurisdiction, provided that such jurisdiction does not provide any benefits that are related to those rules, and that is:</w:t>
            </w:r>
          </w:p>
        </w:tc>
        <w:tc>
          <w:tcPr>
            <w:tcW w:w="990" w:type="dxa"/>
            <w:gridSpan w:val="2"/>
          </w:tcPr>
          <w:p w14:paraId="71A8ACAE" w14:textId="304CAD88"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6EF570EA" w14:textId="05DA61C0" w:rsidR="0017423E" w:rsidRPr="005E6D70" w:rsidRDefault="00375C8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4(22)</w:t>
            </w:r>
          </w:p>
        </w:tc>
        <w:tc>
          <w:tcPr>
            <w:tcW w:w="4680" w:type="dxa"/>
            <w:gridSpan w:val="2"/>
          </w:tcPr>
          <w:p w14:paraId="58F9BBD0" w14:textId="01367930" w:rsidR="0017423E" w:rsidRPr="005E6D70" w:rsidRDefault="00375C8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 “Qualified IIR” means a set of rules that is implemented in the domestic law of a jurisdiction, provided that such jurisdiction does not provide any benefits that are related to those rules, and that is:</w:t>
            </w:r>
          </w:p>
        </w:tc>
        <w:tc>
          <w:tcPr>
            <w:tcW w:w="1530" w:type="dxa"/>
          </w:tcPr>
          <w:p w14:paraId="7FA70FAC" w14:textId="6B80CE97"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47113604" w14:textId="2CD2152A" w:rsidR="0017423E" w:rsidRPr="005E6D70" w:rsidRDefault="00375C8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22 of Article 4 in the draft law. Verbatim transposition.</w:t>
            </w:r>
          </w:p>
        </w:tc>
      </w:tr>
      <w:tr w:rsidR="00D37F89" w:rsidRPr="005E6D70" w14:paraId="27FF8500" w14:textId="77777777" w:rsidTr="00073B1B">
        <w:trPr>
          <w:trHeight w:val="530"/>
        </w:trPr>
        <w:tc>
          <w:tcPr>
            <w:tcW w:w="990" w:type="dxa"/>
            <w:gridSpan w:val="2"/>
          </w:tcPr>
          <w:p w14:paraId="04AB2515" w14:textId="4EA7CA96"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3(18a)</w:t>
            </w:r>
          </w:p>
        </w:tc>
        <w:tc>
          <w:tcPr>
            <w:tcW w:w="4860" w:type="dxa"/>
          </w:tcPr>
          <w:p w14:paraId="5440C82D" w14:textId="015B1414"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(a) equivalent to the rules laid down in this Directive or, as regards third-country jurisdictions, the Tax Challenges Arising from the Digitalisation of the Economy Global Anti-Base Erosion Model Rules (Pillar Two) (‘OECD Model Rules’), in accordance with which the parent entity of an MNE group or of a large-scale domestic group computes and pays its allocable </w:t>
            </w:r>
            <w:r w:rsidRPr="005E6D70">
              <w:rPr>
                <w:rFonts w:ascii="Times New Roman" w:eastAsia="Calibri" w:hAnsi="Times New Roman" w:cs="Times New Roman"/>
                <w:iCs/>
                <w:sz w:val="18"/>
                <w:szCs w:val="18"/>
                <w:lang w:val="en-US"/>
              </w:rPr>
              <w:lastRenderedPageBreak/>
              <w:t>share of top-up tax in respect of the low-taxed constituent entities of that group;</w:t>
            </w:r>
          </w:p>
        </w:tc>
        <w:tc>
          <w:tcPr>
            <w:tcW w:w="990" w:type="dxa"/>
            <w:gridSpan w:val="2"/>
          </w:tcPr>
          <w:p w14:paraId="68948CAB" w14:textId="08AA0710"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1080" w:type="dxa"/>
            <w:gridSpan w:val="2"/>
          </w:tcPr>
          <w:p w14:paraId="25E57A3A" w14:textId="3C79F381" w:rsidR="0017423E" w:rsidRPr="005E6D70" w:rsidRDefault="00E667EB"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4(22)(a)</w:t>
            </w:r>
          </w:p>
        </w:tc>
        <w:tc>
          <w:tcPr>
            <w:tcW w:w="4680" w:type="dxa"/>
            <w:gridSpan w:val="2"/>
          </w:tcPr>
          <w:p w14:paraId="6F8ED171" w14:textId="19CCF1F5" w:rsidR="0017423E" w:rsidRPr="005E6D70" w:rsidRDefault="00E667EB"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a) equivalent to the rules laid down in this Law or, as regards third-country jurisdictions, the Tax Challenges Arising from the Digitalisation of the Economy Global Anti-Base Erosion Model Rules (Pillar Two) (“OECD Model Rules”), in accordance with which the parent entity of a multinational enterprise group or of a large-scale domestic group computes </w:t>
            </w:r>
            <w:r w:rsidRPr="005E6D70">
              <w:rPr>
                <w:rFonts w:ascii="Times New Roman" w:eastAsia="Calibri" w:hAnsi="Times New Roman" w:cs="Times New Roman"/>
                <w:sz w:val="18"/>
                <w:szCs w:val="18"/>
                <w:lang w:val="en-US"/>
              </w:rPr>
              <w:lastRenderedPageBreak/>
              <w:t>and pays its allocable share of top-up tax in respect of the low-taxed constituent entities of that group; and</w:t>
            </w:r>
          </w:p>
        </w:tc>
        <w:tc>
          <w:tcPr>
            <w:tcW w:w="1530" w:type="dxa"/>
          </w:tcPr>
          <w:p w14:paraId="5505DC1A" w14:textId="47826BE5"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lastRenderedPageBreak/>
              <w:t>F</w:t>
            </w:r>
          </w:p>
        </w:tc>
        <w:tc>
          <w:tcPr>
            <w:tcW w:w="1350" w:type="dxa"/>
          </w:tcPr>
          <w:p w14:paraId="5CD9BB9E" w14:textId="6B9B832A" w:rsidR="0017423E" w:rsidRPr="005E6D70" w:rsidRDefault="00E667EB"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The term "this Directive" is adapted to "this Law". The abbreviation "MNE" is </w:t>
            </w:r>
            <w:r w:rsidRPr="005E6D70">
              <w:rPr>
                <w:rFonts w:ascii="Times New Roman" w:eastAsia="Calibri" w:hAnsi="Times New Roman" w:cs="Times New Roman"/>
                <w:sz w:val="18"/>
                <w:szCs w:val="18"/>
                <w:lang w:val="en-US"/>
              </w:rPr>
              <w:lastRenderedPageBreak/>
              <w:t>expanded to "multinational enterprise" across the provision.</w:t>
            </w:r>
          </w:p>
        </w:tc>
      </w:tr>
      <w:tr w:rsidR="00D37F89" w:rsidRPr="005E6D70" w14:paraId="2EF8DAB0" w14:textId="77777777" w:rsidTr="00073B1B">
        <w:trPr>
          <w:trHeight w:val="530"/>
        </w:trPr>
        <w:tc>
          <w:tcPr>
            <w:tcW w:w="990" w:type="dxa"/>
            <w:gridSpan w:val="2"/>
          </w:tcPr>
          <w:p w14:paraId="78E4A2EA" w14:textId="1C8734A6"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3(18b)</w:t>
            </w:r>
          </w:p>
        </w:tc>
        <w:tc>
          <w:tcPr>
            <w:tcW w:w="4860" w:type="dxa"/>
          </w:tcPr>
          <w:p w14:paraId="0CAEBE75" w14:textId="2B7F75F2"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administered in a way that is consistent with the rules laid down in this Directive or, as regards third-country jurisdictions, with the OECD Model Rules;</w:t>
            </w:r>
          </w:p>
        </w:tc>
        <w:tc>
          <w:tcPr>
            <w:tcW w:w="990" w:type="dxa"/>
            <w:gridSpan w:val="2"/>
          </w:tcPr>
          <w:p w14:paraId="31681CCC" w14:textId="7DDD9D51"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02259D7F" w14:textId="1E59019D" w:rsidR="0017423E" w:rsidRPr="005E6D70" w:rsidRDefault="007C388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4(22)(b)</w:t>
            </w:r>
          </w:p>
        </w:tc>
        <w:tc>
          <w:tcPr>
            <w:tcW w:w="4680" w:type="dxa"/>
            <w:gridSpan w:val="2"/>
          </w:tcPr>
          <w:p w14:paraId="7817CD60" w14:textId="5468ACC0" w:rsidR="0017423E" w:rsidRPr="005E6D70" w:rsidRDefault="007C3885"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administered in a way that is consistent with the rules laid down in this Law or, as regards third-country jurisdictions, with the OECD Model Rules.</w:t>
            </w:r>
          </w:p>
        </w:tc>
        <w:tc>
          <w:tcPr>
            <w:tcW w:w="1530" w:type="dxa"/>
          </w:tcPr>
          <w:p w14:paraId="442EDD94" w14:textId="7171FF8A"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54F7515A" w14:textId="76BE24A3" w:rsidR="0017423E" w:rsidRPr="005E6D70" w:rsidRDefault="007C388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term "this Directive" is adapted to "this Law".</w:t>
            </w:r>
          </w:p>
        </w:tc>
      </w:tr>
      <w:tr w:rsidR="00D37F89" w:rsidRPr="005E6D70" w14:paraId="491B8580" w14:textId="77777777" w:rsidTr="00073B1B">
        <w:trPr>
          <w:trHeight w:val="224"/>
        </w:trPr>
        <w:tc>
          <w:tcPr>
            <w:tcW w:w="990" w:type="dxa"/>
            <w:gridSpan w:val="2"/>
          </w:tcPr>
          <w:p w14:paraId="7BD0CEF6" w14:textId="366DBC9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3(19)</w:t>
            </w:r>
          </w:p>
        </w:tc>
        <w:tc>
          <w:tcPr>
            <w:tcW w:w="4860" w:type="dxa"/>
          </w:tcPr>
          <w:p w14:paraId="2C1B43D7" w14:textId="4A6301C5"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(19) ‘low-taxed constituent entity’ means:</w:t>
            </w:r>
          </w:p>
        </w:tc>
        <w:tc>
          <w:tcPr>
            <w:tcW w:w="990" w:type="dxa"/>
            <w:gridSpan w:val="2"/>
          </w:tcPr>
          <w:p w14:paraId="74943418" w14:textId="39E92895"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749F6790" w14:textId="030B0447" w:rsidR="0017423E" w:rsidRPr="005E6D70" w:rsidRDefault="007C388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4(19)</w:t>
            </w:r>
          </w:p>
        </w:tc>
        <w:tc>
          <w:tcPr>
            <w:tcW w:w="4680" w:type="dxa"/>
            <w:gridSpan w:val="2"/>
          </w:tcPr>
          <w:p w14:paraId="2255006B" w14:textId="289CCC5D" w:rsidR="0017423E" w:rsidRPr="005E6D70" w:rsidRDefault="007C3885"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19. “Low-taxed constituent entity” means:</w:t>
            </w:r>
          </w:p>
        </w:tc>
        <w:tc>
          <w:tcPr>
            <w:tcW w:w="1530" w:type="dxa"/>
          </w:tcPr>
          <w:p w14:paraId="31FDBB26" w14:textId="3D6538AF"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6E017612" w14:textId="14861758" w:rsidR="0017423E" w:rsidRPr="005E6D70" w:rsidRDefault="007C388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19 of Article 4 in the draft law. Verbatim transposition.</w:t>
            </w:r>
          </w:p>
        </w:tc>
      </w:tr>
      <w:tr w:rsidR="00D37F89" w:rsidRPr="005E6D70" w14:paraId="7D364A41" w14:textId="77777777" w:rsidTr="00073B1B">
        <w:trPr>
          <w:trHeight w:val="440"/>
        </w:trPr>
        <w:tc>
          <w:tcPr>
            <w:tcW w:w="990" w:type="dxa"/>
            <w:gridSpan w:val="2"/>
          </w:tcPr>
          <w:p w14:paraId="3CACC761" w14:textId="3B368CCD"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3(19a)</w:t>
            </w:r>
          </w:p>
        </w:tc>
        <w:tc>
          <w:tcPr>
            <w:tcW w:w="4860" w:type="dxa"/>
          </w:tcPr>
          <w:p w14:paraId="66180A12" w14:textId="705A781E"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a constituent entity of an MNE group or of a large-scale domestic group that is located in a low-tax jurisdiction; or</w:t>
            </w:r>
          </w:p>
        </w:tc>
        <w:tc>
          <w:tcPr>
            <w:tcW w:w="990" w:type="dxa"/>
            <w:gridSpan w:val="2"/>
          </w:tcPr>
          <w:p w14:paraId="30732500" w14:textId="40C6B538"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C5F32F0" w14:textId="01E55BC0" w:rsidR="0017423E" w:rsidRPr="005E6D70" w:rsidRDefault="007C388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4(19)(a)</w:t>
            </w:r>
          </w:p>
        </w:tc>
        <w:tc>
          <w:tcPr>
            <w:tcW w:w="4680" w:type="dxa"/>
            <w:gridSpan w:val="2"/>
          </w:tcPr>
          <w:p w14:paraId="7B31F507" w14:textId="3E5415B9" w:rsidR="0017423E" w:rsidRPr="005E6D70" w:rsidRDefault="007C3885"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a constituent entity of a multinational enterprise group or of a large-scale domestic group that is located in a low-tax jurisdiction; or</w:t>
            </w:r>
          </w:p>
        </w:tc>
        <w:tc>
          <w:tcPr>
            <w:tcW w:w="1530" w:type="dxa"/>
          </w:tcPr>
          <w:p w14:paraId="46921790" w14:textId="6F3C6C9C"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6D9EB944" w14:textId="205FBFFB" w:rsidR="0017423E" w:rsidRPr="005E6D70" w:rsidRDefault="007C388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abbreviation "MNE" is expanded to "multinational enterprise".</w:t>
            </w:r>
          </w:p>
        </w:tc>
      </w:tr>
      <w:tr w:rsidR="00D37F89" w:rsidRPr="005E6D70" w14:paraId="6D8A1F9F" w14:textId="77777777" w:rsidTr="00073B1B">
        <w:trPr>
          <w:trHeight w:val="530"/>
        </w:trPr>
        <w:tc>
          <w:tcPr>
            <w:tcW w:w="990" w:type="dxa"/>
            <w:gridSpan w:val="2"/>
          </w:tcPr>
          <w:p w14:paraId="49766F13" w14:textId="36C47415"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3(19b)</w:t>
            </w:r>
          </w:p>
        </w:tc>
        <w:tc>
          <w:tcPr>
            <w:tcW w:w="4860" w:type="dxa"/>
          </w:tcPr>
          <w:p w14:paraId="22349294" w14:textId="4A230F2C"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a stateless constituent entity that, in respect of a fiscal year, has qualifying income and an effective tax rate which is lower than the minimum tax rate;</w:t>
            </w:r>
          </w:p>
        </w:tc>
        <w:tc>
          <w:tcPr>
            <w:tcW w:w="990" w:type="dxa"/>
            <w:gridSpan w:val="2"/>
          </w:tcPr>
          <w:p w14:paraId="3175D000" w14:textId="2222FE10"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0FB96439" w14:textId="442BACC1" w:rsidR="0017423E" w:rsidRPr="005E6D70" w:rsidRDefault="00073B1B"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4(19)(b)</w:t>
            </w:r>
          </w:p>
        </w:tc>
        <w:tc>
          <w:tcPr>
            <w:tcW w:w="4680" w:type="dxa"/>
            <w:gridSpan w:val="2"/>
          </w:tcPr>
          <w:p w14:paraId="5646987A" w14:textId="4052416B" w:rsidR="0017423E" w:rsidRPr="005E6D70" w:rsidRDefault="00B7773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a stateless constituent entity that, in respect of a fiscal year, has qualifying income and an effective tax rate which is lower than the minimum tax rate.</w:t>
            </w:r>
          </w:p>
        </w:tc>
        <w:tc>
          <w:tcPr>
            <w:tcW w:w="1530" w:type="dxa"/>
          </w:tcPr>
          <w:p w14:paraId="6D545BE1" w14:textId="7C1F911B"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5855C597" w14:textId="6C7F7AD8" w:rsidR="0017423E" w:rsidRPr="005E6D70" w:rsidRDefault="00B7773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1AA40AA3" w14:textId="77777777" w:rsidTr="00073B1B">
        <w:trPr>
          <w:trHeight w:val="530"/>
        </w:trPr>
        <w:tc>
          <w:tcPr>
            <w:tcW w:w="990" w:type="dxa"/>
            <w:gridSpan w:val="2"/>
          </w:tcPr>
          <w:p w14:paraId="39A85B86" w14:textId="6C824FE8"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3(20)</w:t>
            </w:r>
          </w:p>
        </w:tc>
        <w:tc>
          <w:tcPr>
            <w:tcW w:w="4860" w:type="dxa"/>
          </w:tcPr>
          <w:p w14:paraId="3E6EED3A" w14:textId="586C6925"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(20) ‘intermediate parent entity’ means a constituent entity that owns, directly or indirectly, an ownership interest in another constituent entity in the same MNE group or large-scale domestic group and that does not qualify as an ultimate parent entity, a partially-owned parent entity, a permanent establishment or an investment entity;</w:t>
            </w:r>
          </w:p>
        </w:tc>
        <w:tc>
          <w:tcPr>
            <w:tcW w:w="990" w:type="dxa"/>
            <w:gridSpan w:val="2"/>
          </w:tcPr>
          <w:p w14:paraId="4DA7560D" w14:textId="337961B0"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79D0458" w14:textId="2535E8A2" w:rsidR="0017423E" w:rsidRPr="005E6D70" w:rsidRDefault="00B7773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4(15)</w:t>
            </w:r>
          </w:p>
        </w:tc>
        <w:tc>
          <w:tcPr>
            <w:tcW w:w="4680" w:type="dxa"/>
            <w:gridSpan w:val="2"/>
          </w:tcPr>
          <w:p w14:paraId="4DBC72B8" w14:textId="0648F861" w:rsidR="0017423E" w:rsidRPr="005E6D70" w:rsidRDefault="00B7773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 “Intermediate parent entity” means a constituent entity that owns, directly or indirectly, an ownership interest in another constituent entity in the same multinational enterprise group or large-scale domestic group and that does not qualify as an ultimate parent entity, a partially-owned parent entity, a permanent establishment or an investment entity.</w:t>
            </w:r>
          </w:p>
        </w:tc>
        <w:tc>
          <w:tcPr>
            <w:tcW w:w="1530" w:type="dxa"/>
          </w:tcPr>
          <w:p w14:paraId="5189D303" w14:textId="620EC380"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2F70EF96" w14:textId="2C5390AB" w:rsidR="0017423E" w:rsidRPr="005E6D70" w:rsidRDefault="00B7773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15 of Article 4 in the draft law. The abbreviation "MNE" is expanded to "multinational enterprise".</w:t>
            </w:r>
          </w:p>
        </w:tc>
      </w:tr>
      <w:tr w:rsidR="00D37F89" w:rsidRPr="005E6D70" w14:paraId="34AE417B" w14:textId="77777777" w:rsidTr="00073B1B">
        <w:trPr>
          <w:trHeight w:val="530"/>
        </w:trPr>
        <w:tc>
          <w:tcPr>
            <w:tcW w:w="990" w:type="dxa"/>
            <w:gridSpan w:val="2"/>
          </w:tcPr>
          <w:p w14:paraId="695D51EE" w14:textId="2BCDE01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3(21)</w:t>
            </w:r>
          </w:p>
        </w:tc>
        <w:tc>
          <w:tcPr>
            <w:tcW w:w="4860" w:type="dxa"/>
          </w:tcPr>
          <w:p w14:paraId="63C919B5" w14:textId="1ABDC223"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(21) ‘controlling interest’ means an ownership interest in an entity whereby the interest holder is required, or would have been required, to consolidate the assets, liabilities, income, expenses and cash flows of the entity on a line-by-line basis, in accordance with an acceptable financial accounting standard; a main entity is </w:t>
            </w:r>
            <w:r w:rsidRPr="005E6D70">
              <w:rPr>
                <w:rFonts w:ascii="Times New Roman" w:eastAsia="Calibri" w:hAnsi="Times New Roman" w:cs="Times New Roman"/>
                <w:iCs/>
                <w:sz w:val="18"/>
                <w:szCs w:val="18"/>
                <w:lang w:val="en-US"/>
              </w:rPr>
              <w:lastRenderedPageBreak/>
              <w:t>deemed to hold the controlling interests in its permanent establishments;</w:t>
            </w:r>
          </w:p>
        </w:tc>
        <w:tc>
          <w:tcPr>
            <w:tcW w:w="990" w:type="dxa"/>
            <w:gridSpan w:val="2"/>
          </w:tcPr>
          <w:p w14:paraId="3F2DD3F4" w14:textId="52A5676A"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1080" w:type="dxa"/>
            <w:gridSpan w:val="2"/>
          </w:tcPr>
          <w:p w14:paraId="5C2909D6" w14:textId="4096BD83" w:rsidR="0017423E" w:rsidRPr="005E6D70" w:rsidRDefault="000530A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4(21)</w:t>
            </w:r>
          </w:p>
        </w:tc>
        <w:tc>
          <w:tcPr>
            <w:tcW w:w="4680" w:type="dxa"/>
            <w:gridSpan w:val="2"/>
          </w:tcPr>
          <w:p w14:paraId="2D6B3A8C" w14:textId="4B59D5C2" w:rsidR="0017423E" w:rsidRPr="005E6D70" w:rsidRDefault="000530A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21. “Controlling interest” means an ownership interest in an entity whereby the interest holder is required, or would have been required, to consolidate the assets, liabilities, income, expenses and cash flows of the entity on a line-by-line basis, in accordance with an acceptable financial accounting </w:t>
            </w:r>
            <w:r w:rsidRPr="005E6D70">
              <w:rPr>
                <w:rFonts w:ascii="Times New Roman" w:eastAsia="Calibri" w:hAnsi="Times New Roman" w:cs="Times New Roman"/>
                <w:sz w:val="18"/>
                <w:szCs w:val="18"/>
                <w:lang w:val="en-US"/>
              </w:rPr>
              <w:lastRenderedPageBreak/>
              <w:t>standard. A main entity is deemed to hold the controlling interests in its permanent establishments.</w:t>
            </w:r>
          </w:p>
        </w:tc>
        <w:tc>
          <w:tcPr>
            <w:tcW w:w="1530" w:type="dxa"/>
          </w:tcPr>
          <w:p w14:paraId="05B1E49B" w14:textId="6B6EE7BB"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lastRenderedPageBreak/>
              <w:t>F</w:t>
            </w:r>
          </w:p>
        </w:tc>
        <w:tc>
          <w:tcPr>
            <w:tcW w:w="1350" w:type="dxa"/>
          </w:tcPr>
          <w:p w14:paraId="149BB653" w14:textId="5ECD0AE8" w:rsidR="0017423E" w:rsidRPr="005E6D70" w:rsidRDefault="000530A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The provision is transposed into paragraph 21 of Article 4 in the draft </w:t>
            </w:r>
            <w:r w:rsidRPr="005E6D70">
              <w:rPr>
                <w:rFonts w:ascii="Times New Roman" w:eastAsia="Calibri" w:hAnsi="Times New Roman" w:cs="Times New Roman"/>
                <w:sz w:val="18"/>
                <w:szCs w:val="18"/>
                <w:lang w:val="en-US"/>
              </w:rPr>
              <w:lastRenderedPageBreak/>
              <w:t>law. The trailing clause is formatted as a separate sentence to align with national drafting standards.</w:t>
            </w:r>
          </w:p>
        </w:tc>
      </w:tr>
      <w:tr w:rsidR="00D37F89" w:rsidRPr="005E6D70" w14:paraId="398547CA" w14:textId="77777777" w:rsidTr="00073B1B">
        <w:trPr>
          <w:trHeight w:val="530"/>
        </w:trPr>
        <w:tc>
          <w:tcPr>
            <w:tcW w:w="990" w:type="dxa"/>
            <w:gridSpan w:val="2"/>
          </w:tcPr>
          <w:p w14:paraId="28735F00" w14:textId="2F9659C7"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3(22)</w:t>
            </w:r>
          </w:p>
        </w:tc>
        <w:tc>
          <w:tcPr>
            <w:tcW w:w="4860" w:type="dxa"/>
          </w:tcPr>
          <w:p w14:paraId="631A7F4C" w14:textId="4F8CDEA8"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(22) ‘partially-owned parent entity’ means a constituent entity that owns, directly or indirectly, an ownership interest in another constituent entity of the same MNE group or large-scale domestic group, and for which more than 20 % of the ownership interest in its profits is held, directly or indirectly, by one or several persons that are not constituent entities of that MNE group or large-scale domestic group and that does not qualify as an ultimate parent entity, a permanent establishment or an investment entity;</w:t>
            </w:r>
          </w:p>
        </w:tc>
        <w:tc>
          <w:tcPr>
            <w:tcW w:w="990" w:type="dxa"/>
            <w:gridSpan w:val="2"/>
          </w:tcPr>
          <w:p w14:paraId="24459E21" w14:textId="2E7D3C7A"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DD01EF3" w14:textId="12CEE62D" w:rsidR="0017423E" w:rsidRPr="005E6D70" w:rsidRDefault="000530A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4(16)</w:t>
            </w:r>
          </w:p>
        </w:tc>
        <w:tc>
          <w:tcPr>
            <w:tcW w:w="4680" w:type="dxa"/>
            <w:gridSpan w:val="2"/>
          </w:tcPr>
          <w:p w14:paraId="54400447" w14:textId="4652EE43" w:rsidR="0017423E" w:rsidRPr="005E6D70" w:rsidRDefault="000530A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 “Partially-owned parent entity” means a constituent entity that owns, directly or indirectly, an ownership interest in another constituent entity of the same multinational enterprise group or large-scale domestic group, and for which more than 20% of the ownership interest in its profits is held, directly or indirectly, by one or several persons that are not constituent entities of that multinational enterprise group or large-scale domestic group and that does not qualify as an ultimate parent entity, a permanent establishment or an investment entity.</w:t>
            </w:r>
          </w:p>
        </w:tc>
        <w:tc>
          <w:tcPr>
            <w:tcW w:w="1530" w:type="dxa"/>
          </w:tcPr>
          <w:p w14:paraId="36F0F3E1" w14:textId="18BCCFCC"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54C8E1A5" w14:textId="4C4417A4" w:rsidR="0017423E" w:rsidRPr="005E6D70" w:rsidRDefault="000530A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16 of Article 4 in the draft law. The abbreviation "MNE" is expanded to "multinational enterprise".</w:t>
            </w:r>
          </w:p>
        </w:tc>
      </w:tr>
      <w:tr w:rsidR="00D37F89" w:rsidRPr="005E6D70" w14:paraId="6DD0017A" w14:textId="77777777" w:rsidTr="00073B1B">
        <w:trPr>
          <w:trHeight w:val="530"/>
        </w:trPr>
        <w:tc>
          <w:tcPr>
            <w:tcW w:w="990" w:type="dxa"/>
            <w:gridSpan w:val="2"/>
          </w:tcPr>
          <w:p w14:paraId="058252B1" w14:textId="6F6E8317"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3(23)</w:t>
            </w:r>
          </w:p>
        </w:tc>
        <w:tc>
          <w:tcPr>
            <w:tcW w:w="4860" w:type="dxa"/>
          </w:tcPr>
          <w:p w14:paraId="2F2B8F30" w14:textId="607E3F3E"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(23) ‘ownership interest’ means any equity interest that carries rights to the profits, capital or reserves of an entity or of a permanent establishment;</w:t>
            </w:r>
          </w:p>
        </w:tc>
        <w:tc>
          <w:tcPr>
            <w:tcW w:w="990" w:type="dxa"/>
            <w:gridSpan w:val="2"/>
          </w:tcPr>
          <w:p w14:paraId="00CB7158" w14:textId="1585EE89"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7C7E01D" w14:textId="72148D73" w:rsidR="0017423E" w:rsidRPr="005E6D70" w:rsidRDefault="000530A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4(48)</w:t>
            </w:r>
          </w:p>
        </w:tc>
        <w:tc>
          <w:tcPr>
            <w:tcW w:w="4680" w:type="dxa"/>
            <w:gridSpan w:val="2"/>
          </w:tcPr>
          <w:p w14:paraId="69ED7347" w14:textId="0E6DDFB7" w:rsidR="0017423E" w:rsidRPr="005E6D70" w:rsidRDefault="000530A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48. “Ownership interest” means any equity interest that carries rights to the profits, capital or reserves of an entity or of a permanent establishment.</w:t>
            </w:r>
          </w:p>
        </w:tc>
        <w:tc>
          <w:tcPr>
            <w:tcW w:w="1530" w:type="dxa"/>
          </w:tcPr>
          <w:p w14:paraId="556C5FB8" w14:textId="1E7C7717"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39A0EDCF" w14:textId="0059F36F" w:rsidR="0017423E" w:rsidRPr="005E6D70" w:rsidRDefault="000530A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48 of Article 4 in the draft law. Verbatim transposition.</w:t>
            </w:r>
          </w:p>
        </w:tc>
      </w:tr>
      <w:tr w:rsidR="00D37F89" w:rsidRPr="005E6D70" w14:paraId="4EC89625" w14:textId="77777777" w:rsidTr="00073B1B">
        <w:trPr>
          <w:trHeight w:val="530"/>
        </w:trPr>
        <w:tc>
          <w:tcPr>
            <w:tcW w:w="990" w:type="dxa"/>
            <w:gridSpan w:val="2"/>
          </w:tcPr>
          <w:p w14:paraId="49B376E2" w14:textId="4FFDAEAC"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3(24)</w:t>
            </w:r>
          </w:p>
        </w:tc>
        <w:tc>
          <w:tcPr>
            <w:tcW w:w="4860" w:type="dxa"/>
          </w:tcPr>
          <w:p w14:paraId="4CED454B" w14:textId="027B95BD"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(24) ‘parent entity’ means an ultimate parent entity which is not an excluded entity, an intermediate parent entity or a partiallyowned parent entity;</w:t>
            </w:r>
          </w:p>
        </w:tc>
        <w:tc>
          <w:tcPr>
            <w:tcW w:w="990" w:type="dxa"/>
            <w:gridSpan w:val="2"/>
          </w:tcPr>
          <w:p w14:paraId="4F257E0F" w14:textId="4E1CCBEB"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6C61F1CB" w14:textId="58E23E16" w:rsidR="0017423E" w:rsidRPr="005E6D70" w:rsidRDefault="000530A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4(44)</w:t>
            </w:r>
          </w:p>
        </w:tc>
        <w:tc>
          <w:tcPr>
            <w:tcW w:w="4680" w:type="dxa"/>
            <w:gridSpan w:val="2"/>
          </w:tcPr>
          <w:p w14:paraId="0485EB9D" w14:textId="7667986A" w:rsidR="0017423E" w:rsidRPr="005E6D70" w:rsidRDefault="000530A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 “Parent entity” means an ultimate parent entity, which is not an excluded entity, an intermediate parent entity, or a partially-owned parent entity.</w:t>
            </w:r>
          </w:p>
        </w:tc>
        <w:tc>
          <w:tcPr>
            <w:tcW w:w="1530" w:type="dxa"/>
          </w:tcPr>
          <w:p w14:paraId="20ACAB0C" w14:textId="27F166C1"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1B2AAA01" w14:textId="2B077684" w:rsidR="0017423E" w:rsidRPr="005E6D70" w:rsidRDefault="000530A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44 of Article 4 in the draft law. Verbatim transposition.</w:t>
            </w:r>
          </w:p>
        </w:tc>
      </w:tr>
      <w:tr w:rsidR="00D37F89" w:rsidRPr="005E6D70" w14:paraId="67168C3D" w14:textId="77777777" w:rsidTr="00073B1B">
        <w:trPr>
          <w:trHeight w:val="530"/>
        </w:trPr>
        <w:tc>
          <w:tcPr>
            <w:tcW w:w="990" w:type="dxa"/>
            <w:gridSpan w:val="2"/>
          </w:tcPr>
          <w:p w14:paraId="34DB90FB" w14:textId="2CB1B18E"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3(25)</w:t>
            </w:r>
          </w:p>
        </w:tc>
        <w:tc>
          <w:tcPr>
            <w:tcW w:w="4860" w:type="dxa"/>
          </w:tcPr>
          <w:p w14:paraId="059280E3" w14:textId="53E5FF40"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(25) ‘acceptable financial accounting standard’ means International Financial Reporting Standards (IFRS or IFRS as adopted by the Union pursuant to Regulation (EC) No 1606/2002 of the European Parliament and of the Council (</w:t>
            </w:r>
            <w:r w:rsidR="00557860" w:rsidRPr="005E6D70">
              <w:rPr>
                <w:rFonts w:ascii="Times New Roman" w:eastAsia="Calibri" w:hAnsi="Times New Roman" w:cs="Times New Roman"/>
                <w:iCs/>
                <w:sz w:val="18"/>
                <w:szCs w:val="18"/>
                <w:lang w:val="en-US"/>
              </w:rPr>
              <w:t>8</w:t>
            </w:r>
            <w:r w:rsidRPr="005E6D70">
              <w:rPr>
                <w:rFonts w:ascii="Times New Roman" w:eastAsia="Calibri" w:hAnsi="Times New Roman" w:cs="Times New Roman"/>
                <w:iCs/>
                <w:sz w:val="18"/>
                <w:szCs w:val="18"/>
                <w:lang w:val="en-US"/>
              </w:rPr>
              <w:t>)) and the generally accepted accounting principles of Australia, Brazil, Canada, the Member</w:t>
            </w:r>
          </w:p>
          <w:p w14:paraId="60672C8D"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States of the European Union, the Member States of the</w:t>
            </w:r>
          </w:p>
          <w:p w14:paraId="1456DB94" w14:textId="7124FDE1"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lastRenderedPageBreak/>
              <w:t>European Economic Area, Hong Kong (China), Japan, Mexico, New Zealand, the People’s Republic of China, the Republic of India, the Republic of Korea, Russia, Singapore, Switzerland, the United Kingdom and the United States of America;</w:t>
            </w:r>
          </w:p>
        </w:tc>
        <w:tc>
          <w:tcPr>
            <w:tcW w:w="990" w:type="dxa"/>
            <w:gridSpan w:val="2"/>
          </w:tcPr>
          <w:p w14:paraId="0090A796" w14:textId="41C7E185"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1080" w:type="dxa"/>
            <w:gridSpan w:val="2"/>
          </w:tcPr>
          <w:p w14:paraId="4879C5A3" w14:textId="2A6C8C33" w:rsidR="0017423E" w:rsidRPr="005E6D70" w:rsidRDefault="000530A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4(26)</w:t>
            </w:r>
          </w:p>
        </w:tc>
        <w:tc>
          <w:tcPr>
            <w:tcW w:w="4680" w:type="dxa"/>
            <w:gridSpan w:val="2"/>
          </w:tcPr>
          <w:p w14:paraId="029FD523" w14:textId="7ED4234D" w:rsidR="0017423E" w:rsidRPr="005E6D70" w:rsidRDefault="000530A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26. “Acceptable financial accounting standard” means International Financial Reporting Standards (IFRS or IFRS as adopted by the Union pursuant to Regulation (EC) No 1606/2002 of the European Parliament and of the Council) and the generally accepted accounting principles of Australia, Brazil, Canada, the Member States of the European Union, the Member States of the European Economic Area, Hong Kong </w:t>
            </w:r>
            <w:r w:rsidRPr="005E6D70">
              <w:rPr>
                <w:rFonts w:ascii="Times New Roman" w:eastAsia="Calibri" w:hAnsi="Times New Roman" w:cs="Times New Roman"/>
                <w:sz w:val="18"/>
                <w:szCs w:val="18"/>
                <w:lang w:val="en-US"/>
              </w:rPr>
              <w:lastRenderedPageBreak/>
              <w:t>(China), Japan, Mexico, New Zealand, the People’s Republic of China, the Republic of India, the Republic of Korea, Russia, Singapore, Switzerland, the United Kingdom and the United States of America.</w:t>
            </w:r>
          </w:p>
        </w:tc>
        <w:tc>
          <w:tcPr>
            <w:tcW w:w="1530" w:type="dxa"/>
          </w:tcPr>
          <w:p w14:paraId="48C05344" w14:textId="72FFB2D5"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lastRenderedPageBreak/>
              <w:t>F</w:t>
            </w:r>
          </w:p>
        </w:tc>
        <w:tc>
          <w:tcPr>
            <w:tcW w:w="1350" w:type="dxa"/>
          </w:tcPr>
          <w:p w14:paraId="15473059" w14:textId="7527E45A" w:rsidR="0017423E" w:rsidRPr="005E6D70" w:rsidRDefault="000530A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The provision is transposed into paragraph 26 of Article 4 in the draft law. The footnote </w:t>
            </w:r>
            <w:r w:rsidRPr="005E6D70">
              <w:rPr>
                <w:rFonts w:ascii="Times New Roman" w:eastAsia="Calibri" w:hAnsi="Times New Roman" w:cs="Times New Roman"/>
                <w:sz w:val="18"/>
                <w:szCs w:val="18"/>
                <w:lang w:val="en-US"/>
              </w:rPr>
              <w:lastRenderedPageBreak/>
              <w:t>reference is omitted in accordance with national legislative drafting guidelines.</w:t>
            </w:r>
          </w:p>
        </w:tc>
      </w:tr>
      <w:tr w:rsidR="00D37F89" w:rsidRPr="005E6D70" w14:paraId="441DD009" w14:textId="77777777" w:rsidTr="00073B1B">
        <w:trPr>
          <w:trHeight w:val="530"/>
        </w:trPr>
        <w:tc>
          <w:tcPr>
            <w:tcW w:w="990" w:type="dxa"/>
            <w:gridSpan w:val="2"/>
          </w:tcPr>
          <w:p w14:paraId="706023F6" w14:textId="2C22AE22"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3(26)</w:t>
            </w:r>
          </w:p>
        </w:tc>
        <w:tc>
          <w:tcPr>
            <w:tcW w:w="4860" w:type="dxa"/>
          </w:tcPr>
          <w:p w14:paraId="2489A3D9" w14:textId="536D3D11"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(26) ‘authorised financial accounting standard’ means, in respect of an entity, a set of generally acceptable accounting principles permitted by an authorised accounting body in the jurisdiction where that entity is located; for the purposes of this definition, ‘authorised accounting body’ means the body with legal authority in a jurisdiction to prescribe, establish or accept accounting standards for financial reporting purposes;</w:t>
            </w:r>
          </w:p>
        </w:tc>
        <w:tc>
          <w:tcPr>
            <w:tcW w:w="990" w:type="dxa"/>
            <w:gridSpan w:val="2"/>
          </w:tcPr>
          <w:p w14:paraId="3307B1E4" w14:textId="2C237B6B"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9404A19" w14:textId="5EE29AFB" w:rsidR="0017423E" w:rsidRPr="005E6D70" w:rsidRDefault="0008764B"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4(27)</w:t>
            </w:r>
          </w:p>
        </w:tc>
        <w:tc>
          <w:tcPr>
            <w:tcW w:w="4680" w:type="dxa"/>
            <w:gridSpan w:val="2"/>
          </w:tcPr>
          <w:p w14:paraId="42678BDB" w14:textId="047569F2" w:rsidR="0017423E" w:rsidRPr="005E6D70" w:rsidRDefault="0008764B"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27. “Authorised financial accounting standard” means, in respect of an entity, a set of generally acceptable accounting principles permitted by an authorised accounting body in the jurisdiction where that entity is located; for the purposes of this definition, “authorised accounting body” means the body with legal authority in a jurisdiction to prescribe, establish or accept accounting standards for financial reporting purposes.</w:t>
            </w:r>
          </w:p>
        </w:tc>
        <w:tc>
          <w:tcPr>
            <w:tcW w:w="1530" w:type="dxa"/>
          </w:tcPr>
          <w:p w14:paraId="196D242E" w14:textId="567C8279"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0B11C777" w14:textId="5A27A9F7" w:rsidR="0017423E" w:rsidRPr="005E6D70" w:rsidRDefault="0008764B"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27 of Article 4 in the draft law. Verbatim transposition.</w:t>
            </w:r>
          </w:p>
        </w:tc>
      </w:tr>
      <w:tr w:rsidR="00D37F89" w:rsidRPr="005E6D70" w14:paraId="36FE3ABC" w14:textId="77777777" w:rsidTr="00073B1B">
        <w:trPr>
          <w:trHeight w:val="530"/>
        </w:trPr>
        <w:tc>
          <w:tcPr>
            <w:tcW w:w="990" w:type="dxa"/>
            <w:gridSpan w:val="2"/>
          </w:tcPr>
          <w:p w14:paraId="0B03FC49" w14:textId="0DE157CB"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3(27)</w:t>
            </w:r>
          </w:p>
        </w:tc>
        <w:tc>
          <w:tcPr>
            <w:tcW w:w="4860" w:type="dxa"/>
          </w:tcPr>
          <w:p w14:paraId="1DF59C14" w14:textId="115C8BCF"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(27) ‘material competitive distortion’ means, in respect of the application of a specific principle or procedure under a set of generally acceptable accounting principles, an application that results in an aggregate variation of income or expense of more than EUR 75 000 000 in a fiscal year as compared to the amount that would have been determined by applying the corresponding principle or procedure under International Financial Reporting Standards (IFRS or IFRS as adopted by the Union pursuant to Regulation (EC) No 1606/2002);</w:t>
            </w:r>
          </w:p>
        </w:tc>
        <w:tc>
          <w:tcPr>
            <w:tcW w:w="990" w:type="dxa"/>
            <w:gridSpan w:val="2"/>
          </w:tcPr>
          <w:p w14:paraId="0F30E66F" w14:textId="6842720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6204EC7D" w14:textId="0AD2A0D8" w:rsidR="0017423E" w:rsidRPr="005E6D70" w:rsidRDefault="0008764B"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4(28)</w:t>
            </w:r>
          </w:p>
        </w:tc>
        <w:tc>
          <w:tcPr>
            <w:tcW w:w="4680" w:type="dxa"/>
            <w:gridSpan w:val="2"/>
          </w:tcPr>
          <w:p w14:paraId="71F17224" w14:textId="69AA8AFF" w:rsidR="0017423E" w:rsidRPr="005E6D70" w:rsidRDefault="0008764B"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28. “Material competitive distortion” means, in respect of the application of a specific principle or procedure under a set of generally acceptable accounting principles, an application that results in an aggregate variation of income or expense of more than EUR 75 000 000 in a fiscal year as compared to the amount that would have been determined by applying the corresponding principle or procedure under International Financial Reporting Standards (IFRS or IFRS as adopted by the Union pursuant to Regulation (EC) No 1606/2002).</w:t>
            </w:r>
          </w:p>
        </w:tc>
        <w:tc>
          <w:tcPr>
            <w:tcW w:w="1530" w:type="dxa"/>
          </w:tcPr>
          <w:p w14:paraId="56B4BD26" w14:textId="01A647C8"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6EC92E33" w14:textId="0E5A4746" w:rsidR="0017423E" w:rsidRPr="005E6D70" w:rsidRDefault="0008764B"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28 of Article 4 in the draft law. Verbatim transposition.</w:t>
            </w:r>
          </w:p>
        </w:tc>
      </w:tr>
      <w:tr w:rsidR="00D37F89" w:rsidRPr="005E6D70" w14:paraId="58E9A2DD" w14:textId="77777777" w:rsidTr="00073B1B">
        <w:trPr>
          <w:trHeight w:val="530"/>
        </w:trPr>
        <w:tc>
          <w:tcPr>
            <w:tcW w:w="990" w:type="dxa"/>
            <w:gridSpan w:val="2"/>
          </w:tcPr>
          <w:p w14:paraId="7A68C32B" w14:textId="0C431536"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3(28)</w:t>
            </w:r>
          </w:p>
        </w:tc>
        <w:tc>
          <w:tcPr>
            <w:tcW w:w="4860" w:type="dxa"/>
          </w:tcPr>
          <w:p w14:paraId="0240F137" w14:textId="36660F8E"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(28) ‘qualified domestic top-up tax’ means a top-up tax that is implemented in the domestic law of a jurisdiction provided that such jurisdiction does not provide any benefits that are related to those rules, and that:</w:t>
            </w:r>
          </w:p>
        </w:tc>
        <w:tc>
          <w:tcPr>
            <w:tcW w:w="990" w:type="dxa"/>
            <w:gridSpan w:val="2"/>
          </w:tcPr>
          <w:p w14:paraId="41DC5620" w14:textId="581CDB7E"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3CE0E2A4" w14:textId="0D056BB7" w:rsidR="0017423E" w:rsidRPr="005E6D70" w:rsidRDefault="00C2573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4(29)</w:t>
            </w:r>
          </w:p>
        </w:tc>
        <w:tc>
          <w:tcPr>
            <w:tcW w:w="4680" w:type="dxa"/>
            <w:gridSpan w:val="2"/>
          </w:tcPr>
          <w:p w14:paraId="1A637F54" w14:textId="25BE05DF" w:rsidR="0017423E" w:rsidRPr="005E6D70" w:rsidRDefault="00C25735"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29. “Qualified domestic top-up tax” (“QDMTT”) means a top-up tax that is implemented in the domestic law of a jurisdiction provided that such jurisdiction does not provide any benefits that are related to those rules, and that:</w:t>
            </w:r>
          </w:p>
        </w:tc>
        <w:tc>
          <w:tcPr>
            <w:tcW w:w="1530" w:type="dxa"/>
          </w:tcPr>
          <w:p w14:paraId="76187382" w14:textId="631C85BE"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231432B2" w14:textId="37FE0F6A" w:rsidR="0017423E" w:rsidRPr="005E6D70" w:rsidRDefault="00C2573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29 of Article 4 in the draft law. The acronym “QDMTT” is added in parentheses.</w:t>
            </w:r>
          </w:p>
        </w:tc>
      </w:tr>
      <w:tr w:rsidR="00D37F89" w:rsidRPr="005E6D70" w14:paraId="1BC6192A" w14:textId="77777777" w:rsidTr="00073B1B">
        <w:trPr>
          <w:trHeight w:val="530"/>
        </w:trPr>
        <w:tc>
          <w:tcPr>
            <w:tcW w:w="990" w:type="dxa"/>
            <w:gridSpan w:val="2"/>
          </w:tcPr>
          <w:p w14:paraId="7968C5D6" w14:textId="13824330"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3(28a)</w:t>
            </w:r>
          </w:p>
        </w:tc>
        <w:tc>
          <w:tcPr>
            <w:tcW w:w="4860" w:type="dxa"/>
          </w:tcPr>
          <w:p w14:paraId="15D7043F" w14:textId="67E4C973"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provides for the determination of the excess profits of the constituent entities located in that jurisdiction in accordance with the rules laid down in this Directive or, as regards third-country jurisdictions, the OECD Model Rules and the application of the minimum tax rate to those excess profits for the jurisdiction and the constituent entities in accordance with the rules laid down in this Directive or, as regards third-country jurisdictions, the OECD Model Rules; and</w:t>
            </w:r>
          </w:p>
        </w:tc>
        <w:tc>
          <w:tcPr>
            <w:tcW w:w="990" w:type="dxa"/>
            <w:gridSpan w:val="2"/>
          </w:tcPr>
          <w:p w14:paraId="53202BC8" w14:textId="661D5B05"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43C6F7A" w14:textId="5C44B2B3" w:rsidR="0017423E" w:rsidRPr="005E6D70" w:rsidRDefault="00C2573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4(29)(a)</w:t>
            </w:r>
          </w:p>
        </w:tc>
        <w:tc>
          <w:tcPr>
            <w:tcW w:w="4680" w:type="dxa"/>
            <w:gridSpan w:val="2"/>
          </w:tcPr>
          <w:p w14:paraId="6D8D4A4C" w14:textId="31883673" w:rsidR="0017423E" w:rsidRPr="005E6D70" w:rsidRDefault="00C25735"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provides for the determination of the excess profits of the constituent entities located in that jurisdiction in accordance with the rules laid down in this Law or, as regards third-country jurisdictions, the OECD Model Rules and the application of the minimum tax rate to those excess profits for the jurisdiction and the constituent entities in accordance with the rules laid down in this Law or, as regards third-country jurisdictions, the OECD Model Rules; and</w:t>
            </w:r>
          </w:p>
        </w:tc>
        <w:tc>
          <w:tcPr>
            <w:tcW w:w="1530" w:type="dxa"/>
          </w:tcPr>
          <w:p w14:paraId="6068418A" w14:textId="5843ABCE"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1AA735C2" w14:textId="555DB760" w:rsidR="0017423E" w:rsidRPr="005E6D70" w:rsidRDefault="00C2573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term "this Directive" is adapted to "this Law".</w:t>
            </w:r>
          </w:p>
        </w:tc>
      </w:tr>
      <w:tr w:rsidR="00D37F89" w:rsidRPr="005E6D70" w14:paraId="6BAEB9B9" w14:textId="77777777" w:rsidTr="00073B1B">
        <w:trPr>
          <w:trHeight w:val="530"/>
        </w:trPr>
        <w:tc>
          <w:tcPr>
            <w:tcW w:w="990" w:type="dxa"/>
            <w:gridSpan w:val="2"/>
          </w:tcPr>
          <w:p w14:paraId="3E331AF2" w14:textId="07584249"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3(28b)</w:t>
            </w:r>
          </w:p>
        </w:tc>
        <w:tc>
          <w:tcPr>
            <w:tcW w:w="4860" w:type="dxa"/>
          </w:tcPr>
          <w:p w14:paraId="1D7A3FFB" w14:textId="391DC063"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is administered in a way that is consistent with the rules laid down in this Directive or, as regards third-country jurisdictions, the OECD Model Rules;</w:t>
            </w:r>
          </w:p>
        </w:tc>
        <w:tc>
          <w:tcPr>
            <w:tcW w:w="990" w:type="dxa"/>
            <w:gridSpan w:val="2"/>
          </w:tcPr>
          <w:p w14:paraId="3E587D00" w14:textId="0F39BE6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63C031AE" w14:textId="67FC0521" w:rsidR="0017423E" w:rsidRPr="005E6D70" w:rsidRDefault="0042625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4(29)(b)</w:t>
            </w:r>
          </w:p>
        </w:tc>
        <w:tc>
          <w:tcPr>
            <w:tcW w:w="4680" w:type="dxa"/>
            <w:gridSpan w:val="2"/>
          </w:tcPr>
          <w:p w14:paraId="5F3EC164" w14:textId="5E95311A" w:rsidR="0017423E" w:rsidRPr="005E6D70" w:rsidRDefault="00426258"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is administered in a way that is consistent with the rules laid down in this Law or, as regards third-country jurisdictions, with the OECD Model Rules.</w:t>
            </w:r>
          </w:p>
        </w:tc>
        <w:tc>
          <w:tcPr>
            <w:tcW w:w="1530" w:type="dxa"/>
          </w:tcPr>
          <w:p w14:paraId="058E09B9" w14:textId="3722E4B7"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3517C35E" w14:textId="4482D38B" w:rsidR="0017423E" w:rsidRPr="005E6D70" w:rsidRDefault="0042625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term "this Directive" is adapted to "this Law".</w:t>
            </w:r>
          </w:p>
        </w:tc>
      </w:tr>
      <w:tr w:rsidR="00D37F89" w:rsidRPr="005E6D70" w14:paraId="55CB0808" w14:textId="77777777" w:rsidTr="00073B1B">
        <w:trPr>
          <w:trHeight w:val="530"/>
        </w:trPr>
        <w:tc>
          <w:tcPr>
            <w:tcW w:w="990" w:type="dxa"/>
            <w:gridSpan w:val="2"/>
          </w:tcPr>
          <w:p w14:paraId="438A9CA9" w14:textId="1A6D4CD4"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3(29)</w:t>
            </w:r>
          </w:p>
        </w:tc>
        <w:tc>
          <w:tcPr>
            <w:tcW w:w="4860" w:type="dxa"/>
          </w:tcPr>
          <w:p w14:paraId="5F8E753B" w14:textId="74EC2CA4"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(29) ‘net book value of tangible assets’ means the average of the beginning and end values of tangible assets after taking into account accumulated depreciation, depletion and impairment, as recorded in the financial statements;</w:t>
            </w:r>
          </w:p>
        </w:tc>
        <w:tc>
          <w:tcPr>
            <w:tcW w:w="990" w:type="dxa"/>
            <w:gridSpan w:val="2"/>
          </w:tcPr>
          <w:p w14:paraId="644C3CD6" w14:textId="3549A13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BC6D088" w14:textId="58B45DBA" w:rsidR="0017423E" w:rsidRPr="005E6D70" w:rsidRDefault="0042625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4(30)</w:t>
            </w:r>
          </w:p>
        </w:tc>
        <w:tc>
          <w:tcPr>
            <w:tcW w:w="4680" w:type="dxa"/>
            <w:gridSpan w:val="2"/>
          </w:tcPr>
          <w:p w14:paraId="753AD5BB" w14:textId="05C6FBBA" w:rsidR="0017423E" w:rsidRPr="005E6D70" w:rsidRDefault="00426258"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30. “Net book value of tangible assets” means the average of the beginning and end values of tangible assets after taking into account accumulated depreciation, depletion and impairment, as recorded in the financial statements.</w:t>
            </w:r>
          </w:p>
        </w:tc>
        <w:tc>
          <w:tcPr>
            <w:tcW w:w="1530" w:type="dxa"/>
          </w:tcPr>
          <w:p w14:paraId="6D266F73" w14:textId="50AD0304"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768E8D2E" w14:textId="2D3375C9" w:rsidR="0017423E" w:rsidRPr="005E6D70" w:rsidRDefault="0042625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30 of Article 4 in the draft law. Verbatim transposition.</w:t>
            </w:r>
          </w:p>
        </w:tc>
      </w:tr>
      <w:tr w:rsidR="00D37F89" w:rsidRPr="005E6D70" w14:paraId="3F4C6AFF" w14:textId="77777777" w:rsidTr="00073B1B">
        <w:trPr>
          <w:trHeight w:val="260"/>
        </w:trPr>
        <w:tc>
          <w:tcPr>
            <w:tcW w:w="990" w:type="dxa"/>
            <w:gridSpan w:val="2"/>
          </w:tcPr>
          <w:p w14:paraId="6DA2E8B8" w14:textId="18978717"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3(30)</w:t>
            </w:r>
          </w:p>
        </w:tc>
        <w:tc>
          <w:tcPr>
            <w:tcW w:w="4860" w:type="dxa"/>
          </w:tcPr>
          <w:p w14:paraId="2B08DB9E" w14:textId="0DD8D64B"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(30) ‘investment entity’ means:</w:t>
            </w:r>
          </w:p>
        </w:tc>
        <w:tc>
          <w:tcPr>
            <w:tcW w:w="990" w:type="dxa"/>
            <w:gridSpan w:val="2"/>
          </w:tcPr>
          <w:p w14:paraId="6E58A95A" w14:textId="64B9F512"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A65CF3D" w14:textId="0F4C3742" w:rsidR="0017423E" w:rsidRPr="005E6D70" w:rsidRDefault="00A83797"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4(31)</w:t>
            </w:r>
          </w:p>
        </w:tc>
        <w:tc>
          <w:tcPr>
            <w:tcW w:w="4680" w:type="dxa"/>
            <w:gridSpan w:val="2"/>
          </w:tcPr>
          <w:p w14:paraId="0ECC4695" w14:textId="7E1FB0E7" w:rsidR="0017423E" w:rsidRPr="005E6D70" w:rsidRDefault="00A83797"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 “Investment entity” means:</w:t>
            </w:r>
          </w:p>
        </w:tc>
        <w:tc>
          <w:tcPr>
            <w:tcW w:w="1530" w:type="dxa"/>
          </w:tcPr>
          <w:p w14:paraId="4DBC796D" w14:textId="185995AF"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528B2662" w14:textId="5E2E5921" w:rsidR="0017423E" w:rsidRPr="005E6D70" w:rsidRDefault="00A83797"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31 of Article 4 in the draft law. Verbatim transposition.</w:t>
            </w:r>
          </w:p>
        </w:tc>
      </w:tr>
      <w:tr w:rsidR="00D37F89" w:rsidRPr="005E6D70" w14:paraId="58BCED2D" w14:textId="77777777" w:rsidTr="00073B1B">
        <w:trPr>
          <w:trHeight w:val="260"/>
        </w:trPr>
        <w:tc>
          <w:tcPr>
            <w:tcW w:w="990" w:type="dxa"/>
            <w:gridSpan w:val="2"/>
          </w:tcPr>
          <w:p w14:paraId="7D59CE68" w14:textId="52FC0930"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3(30a)</w:t>
            </w:r>
          </w:p>
        </w:tc>
        <w:tc>
          <w:tcPr>
            <w:tcW w:w="4860" w:type="dxa"/>
          </w:tcPr>
          <w:p w14:paraId="192814F1" w14:textId="662D2386"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an investment fund or a real estate investment vehicle;</w:t>
            </w:r>
          </w:p>
        </w:tc>
        <w:tc>
          <w:tcPr>
            <w:tcW w:w="990" w:type="dxa"/>
            <w:gridSpan w:val="2"/>
          </w:tcPr>
          <w:p w14:paraId="1D03979B" w14:textId="4CFBA1AF"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DDBCA49" w14:textId="14BF18A7" w:rsidR="0017423E" w:rsidRPr="005E6D70" w:rsidRDefault="00D2279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4(31)(a)</w:t>
            </w:r>
          </w:p>
        </w:tc>
        <w:tc>
          <w:tcPr>
            <w:tcW w:w="4680" w:type="dxa"/>
            <w:gridSpan w:val="2"/>
          </w:tcPr>
          <w:p w14:paraId="63EC161A" w14:textId="32BACF81" w:rsidR="0017423E" w:rsidRPr="005E6D70" w:rsidRDefault="00D2279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an investment fund or a real estate investment vehicle;</w:t>
            </w:r>
          </w:p>
        </w:tc>
        <w:tc>
          <w:tcPr>
            <w:tcW w:w="1530" w:type="dxa"/>
          </w:tcPr>
          <w:p w14:paraId="7318DD80" w14:textId="3FD01D43"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1BF67395" w14:textId="5D50CAEF" w:rsidR="0017423E" w:rsidRPr="005E6D70" w:rsidRDefault="00D2279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06912450" w14:textId="77777777" w:rsidTr="00073B1B">
        <w:trPr>
          <w:trHeight w:val="530"/>
        </w:trPr>
        <w:tc>
          <w:tcPr>
            <w:tcW w:w="990" w:type="dxa"/>
            <w:gridSpan w:val="2"/>
          </w:tcPr>
          <w:p w14:paraId="5FA992FF" w14:textId="63954394"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3(30b)</w:t>
            </w:r>
          </w:p>
        </w:tc>
        <w:tc>
          <w:tcPr>
            <w:tcW w:w="4860" w:type="dxa"/>
          </w:tcPr>
          <w:p w14:paraId="00DA1EE3" w14:textId="5B62E300"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an entity that is at least 95 % owned directly by an entity referred to in point (a) or through a chain of such entities and that operates exclusively or almost exclusively to hold assets or invest funds for their benefit; or</w:t>
            </w:r>
          </w:p>
        </w:tc>
        <w:tc>
          <w:tcPr>
            <w:tcW w:w="990" w:type="dxa"/>
            <w:gridSpan w:val="2"/>
          </w:tcPr>
          <w:p w14:paraId="4EBF8C0C" w14:textId="6C7690DC"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56C93A9" w14:textId="7ED92850" w:rsidR="0017423E" w:rsidRPr="005E6D70" w:rsidRDefault="00D2279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4(31)(b)</w:t>
            </w:r>
          </w:p>
        </w:tc>
        <w:tc>
          <w:tcPr>
            <w:tcW w:w="4680" w:type="dxa"/>
            <w:gridSpan w:val="2"/>
          </w:tcPr>
          <w:p w14:paraId="51697211" w14:textId="2B93C1AC" w:rsidR="0017423E" w:rsidRPr="005E6D70" w:rsidRDefault="00D2279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an entity that is at least 95% owned directly by an entity referred to in letter “a”, of this paragraph, or through a chain of such entities and that operates exclusively or almost exclusively to hold assets or invest funds for their benefit; or</w:t>
            </w:r>
          </w:p>
        </w:tc>
        <w:tc>
          <w:tcPr>
            <w:tcW w:w="1530" w:type="dxa"/>
          </w:tcPr>
          <w:p w14:paraId="5549CE71" w14:textId="2DFF6025"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0B819DD8" w14:textId="0479BD99" w:rsidR="0017423E" w:rsidRPr="005E6D70" w:rsidRDefault="00D2279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internal cross-reference "point (a)" is adapted to "letter 'a', of this paragraph" to comply with national legislative drafting formats.</w:t>
            </w:r>
          </w:p>
        </w:tc>
      </w:tr>
      <w:tr w:rsidR="00D37F89" w:rsidRPr="005E6D70" w14:paraId="2DBDDC7A" w14:textId="77777777" w:rsidTr="00073B1B">
        <w:trPr>
          <w:trHeight w:val="530"/>
        </w:trPr>
        <w:tc>
          <w:tcPr>
            <w:tcW w:w="990" w:type="dxa"/>
            <w:gridSpan w:val="2"/>
          </w:tcPr>
          <w:p w14:paraId="58CB5498" w14:textId="704E6F76"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3(30c)</w:t>
            </w:r>
          </w:p>
        </w:tc>
        <w:tc>
          <w:tcPr>
            <w:tcW w:w="4860" w:type="dxa"/>
          </w:tcPr>
          <w:p w14:paraId="007E6F6F" w14:textId="22CE8E3D"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an entity where a minimum of 85 % of the value of the entity is owned by an entity referred to in point (a), provided that substantially all of its income is derived from dividends or equity gains or losses that are excluded from the computation of the qualifying income or loss for the purposes of this Directive;</w:t>
            </w:r>
          </w:p>
        </w:tc>
        <w:tc>
          <w:tcPr>
            <w:tcW w:w="990" w:type="dxa"/>
            <w:gridSpan w:val="2"/>
          </w:tcPr>
          <w:p w14:paraId="41FF9D14" w14:textId="1BA04368"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0639DA64" w14:textId="2E228C90" w:rsidR="0017423E" w:rsidRPr="005E6D70" w:rsidRDefault="00D2279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4(31)(c)</w:t>
            </w:r>
          </w:p>
        </w:tc>
        <w:tc>
          <w:tcPr>
            <w:tcW w:w="4680" w:type="dxa"/>
            <w:gridSpan w:val="2"/>
          </w:tcPr>
          <w:p w14:paraId="747BE4CC" w14:textId="2FCD006A" w:rsidR="0017423E" w:rsidRPr="005E6D70" w:rsidRDefault="00D2279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c) an entity where a minimum of 85% of the value of the entity is owned by an entity referred to in letter “a”, of this paragraph, provided that substantially all of its income is derived from dividends or equity gains or losses that are excluded from the computation of the qualifying income or loss for the purposes of this Law.</w:t>
            </w:r>
          </w:p>
        </w:tc>
        <w:tc>
          <w:tcPr>
            <w:tcW w:w="1530" w:type="dxa"/>
          </w:tcPr>
          <w:p w14:paraId="50056856" w14:textId="391825E3"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7A807964" w14:textId="5AEF0E46" w:rsidR="0017423E" w:rsidRPr="005E6D70" w:rsidRDefault="000655C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internal cross-reference is adapted to national format. The term "this Directive" is transposed as "this Law".</w:t>
            </w:r>
          </w:p>
        </w:tc>
      </w:tr>
      <w:tr w:rsidR="00D37F89" w:rsidRPr="005E6D70" w14:paraId="32823CEE" w14:textId="77777777" w:rsidTr="00073B1B">
        <w:trPr>
          <w:trHeight w:val="530"/>
        </w:trPr>
        <w:tc>
          <w:tcPr>
            <w:tcW w:w="990" w:type="dxa"/>
            <w:gridSpan w:val="2"/>
          </w:tcPr>
          <w:p w14:paraId="3CC4C492" w14:textId="3A2E205A"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3(31)</w:t>
            </w:r>
          </w:p>
        </w:tc>
        <w:tc>
          <w:tcPr>
            <w:tcW w:w="4860" w:type="dxa"/>
          </w:tcPr>
          <w:p w14:paraId="5B8FB34F" w14:textId="49A28FE7"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(31) ‘investment fund’ means an entity or arrangement that meets all the following conditions:</w:t>
            </w:r>
          </w:p>
        </w:tc>
        <w:tc>
          <w:tcPr>
            <w:tcW w:w="990" w:type="dxa"/>
            <w:gridSpan w:val="2"/>
          </w:tcPr>
          <w:p w14:paraId="561B5997" w14:textId="6E46AD71"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7248D59C" w14:textId="01955E3E" w:rsidR="0017423E" w:rsidRPr="005E6D70" w:rsidRDefault="0078572A"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4(32)</w:t>
            </w:r>
          </w:p>
        </w:tc>
        <w:tc>
          <w:tcPr>
            <w:tcW w:w="4680" w:type="dxa"/>
            <w:gridSpan w:val="2"/>
          </w:tcPr>
          <w:p w14:paraId="6F37C71E" w14:textId="3216EA48" w:rsidR="0017423E" w:rsidRPr="005E6D70" w:rsidRDefault="0078572A"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32. “Investment fund” means an entity or arrangement that meets all the following conditions:</w:t>
            </w:r>
          </w:p>
        </w:tc>
        <w:tc>
          <w:tcPr>
            <w:tcW w:w="1530" w:type="dxa"/>
          </w:tcPr>
          <w:p w14:paraId="49DEB712" w14:textId="6E724303"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0021FA0C" w14:textId="3245D5E1" w:rsidR="0017423E" w:rsidRPr="005E6D70" w:rsidRDefault="0078572A"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32 of Article 4 in the draft law. Verbatim transposition.</w:t>
            </w:r>
          </w:p>
        </w:tc>
      </w:tr>
      <w:tr w:rsidR="00D37F89" w:rsidRPr="005E6D70" w14:paraId="4DE61394" w14:textId="77777777" w:rsidTr="00073B1B">
        <w:trPr>
          <w:trHeight w:val="440"/>
        </w:trPr>
        <w:tc>
          <w:tcPr>
            <w:tcW w:w="990" w:type="dxa"/>
            <w:gridSpan w:val="2"/>
          </w:tcPr>
          <w:p w14:paraId="70339A89" w14:textId="7B81BF2D"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3(31a)</w:t>
            </w:r>
          </w:p>
        </w:tc>
        <w:tc>
          <w:tcPr>
            <w:tcW w:w="4860" w:type="dxa"/>
          </w:tcPr>
          <w:p w14:paraId="26AB19E4" w14:textId="72357CC9"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it is designed to pool financial or non-financial assets from a number of investors, some of which are non-connected;</w:t>
            </w:r>
          </w:p>
        </w:tc>
        <w:tc>
          <w:tcPr>
            <w:tcW w:w="990" w:type="dxa"/>
            <w:gridSpan w:val="2"/>
          </w:tcPr>
          <w:p w14:paraId="08832D11" w14:textId="2878BEE4"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B64937C" w14:textId="423DBD5C" w:rsidR="0017423E" w:rsidRPr="005E6D70" w:rsidRDefault="0078572A"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4(32)(a)</w:t>
            </w:r>
          </w:p>
        </w:tc>
        <w:tc>
          <w:tcPr>
            <w:tcW w:w="4680" w:type="dxa"/>
            <w:gridSpan w:val="2"/>
          </w:tcPr>
          <w:p w14:paraId="4C7AB943" w14:textId="183DC47F" w:rsidR="0017423E" w:rsidRPr="005E6D70" w:rsidRDefault="0078572A"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it is designed to pool financial or non-financial assets from a number of investors, some of which are non-connected;</w:t>
            </w:r>
          </w:p>
        </w:tc>
        <w:tc>
          <w:tcPr>
            <w:tcW w:w="1530" w:type="dxa"/>
          </w:tcPr>
          <w:p w14:paraId="1B22288B" w14:textId="3081CA38"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087A10E0" w14:textId="4D941B7D" w:rsidR="0017423E" w:rsidRPr="005E6D70" w:rsidRDefault="0078572A"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672D30E6" w14:textId="77777777" w:rsidTr="00073B1B">
        <w:trPr>
          <w:trHeight w:val="260"/>
        </w:trPr>
        <w:tc>
          <w:tcPr>
            <w:tcW w:w="990" w:type="dxa"/>
            <w:gridSpan w:val="2"/>
          </w:tcPr>
          <w:p w14:paraId="1CF8D222" w14:textId="41D0CAAA"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3(31b)</w:t>
            </w:r>
          </w:p>
        </w:tc>
        <w:tc>
          <w:tcPr>
            <w:tcW w:w="4860" w:type="dxa"/>
          </w:tcPr>
          <w:p w14:paraId="49EC4ED0" w14:textId="3EE71B35"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it invests in accordance with a defined investment policy;</w:t>
            </w:r>
          </w:p>
        </w:tc>
        <w:tc>
          <w:tcPr>
            <w:tcW w:w="990" w:type="dxa"/>
            <w:gridSpan w:val="2"/>
          </w:tcPr>
          <w:p w14:paraId="35AD91DE" w14:textId="3B3FE79A"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EC1D168" w14:textId="2963981D" w:rsidR="0017423E" w:rsidRPr="005E6D70" w:rsidRDefault="00D45010"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4(32)(b)</w:t>
            </w:r>
          </w:p>
        </w:tc>
        <w:tc>
          <w:tcPr>
            <w:tcW w:w="4680" w:type="dxa"/>
            <w:gridSpan w:val="2"/>
          </w:tcPr>
          <w:p w14:paraId="4C8B61DD" w14:textId="3931FA7B" w:rsidR="0017423E" w:rsidRPr="005E6D70" w:rsidRDefault="00D45010"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it invests in accordance with a defined investment policy;</w:t>
            </w:r>
          </w:p>
        </w:tc>
        <w:tc>
          <w:tcPr>
            <w:tcW w:w="1530" w:type="dxa"/>
          </w:tcPr>
          <w:p w14:paraId="1A364862" w14:textId="7E379132"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2F839D10" w14:textId="5ACA3375" w:rsidR="0017423E" w:rsidRPr="005E6D70" w:rsidRDefault="00D45010"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44ADCC7D" w14:textId="77777777" w:rsidTr="00073B1B">
        <w:trPr>
          <w:trHeight w:val="440"/>
        </w:trPr>
        <w:tc>
          <w:tcPr>
            <w:tcW w:w="990" w:type="dxa"/>
            <w:gridSpan w:val="2"/>
          </w:tcPr>
          <w:p w14:paraId="1B1C56BD" w14:textId="58113E3F"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3(31c)</w:t>
            </w:r>
          </w:p>
        </w:tc>
        <w:tc>
          <w:tcPr>
            <w:tcW w:w="4860" w:type="dxa"/>
          </w:tcPr>
          <w:p w14:paraId="10A8188A" w14:textId="77777777" w:rsidR="0017423E" w:rsidRPr="005E6D70" w:rsidRDefault="0017423E" w:rsidP="0017423E">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it allows investors to reduce transaction, research and</w:t>
            </w:r>
          </w:p>
          <w:p w14:paraId="32F1E75F" w14:textId="1BC2253A"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analytical costs or to spread risk collectively;</w:t>
            </w:r>
          </w:p>
        </w:tc>
        <w:tc>
          <w:tcPr>
            <w:tcW w:w="990" w:type="dxa"/>
            <w:gridSpan w:val="2"/>
          </w:tcPr>
          <w:p w14:paraId="6ED161ED" w14:textId="1DA4D052"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71A6BF46" w14:textId="6811D523" w:rsidR="0017423E" w:rsidRPr="005E6D70" w:rsidRDefault="00D45010"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4(32)(c)</w:t>
            </w:r>
          </w:p>
        </w:tc>
        <w:tc>
          <w:tcPr>
            <w:tcW w:w="4680" w:type="dxa"/>
            <w:gridSpan w:val="2"/>
          </w:tcPr>
          <w:p w14:paraId="2504DC23" w14:textId="06C31C31" w:rsidR="0017423E" w:rsidRPr="005E6D70" w:rsidRDefault="00D45010"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c) it allows investors to reduce transaction, research and analytical costs or to spread risk collectively;</w:t>
            </w:r>
          </w:p>
        </w:tc>
        <w:tc>
          <w:tcPr>
            <w:tcW w:w="1530" w:type="dxa"/>
          </w:tcPr>
          <w:p w14:paraId="467E005C" w14:textId="34CA169D"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6AE0947F" w14:textId="71AD7036" w:rsidR="0017423E" w:rsidRPr="005E6D70" w:rsidRDefault="00D45010"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5640EC3E" w14:textId="77777777" w:rsidTr="00073B1B">
        <w:trPr>
          <w:trHeight w:val="440"/>
        </w:trPr>
        <w:tc>
          <w:tcPr>
            <w:tcW w:w="990" w:type="dxa"/>
            <w:gridSpan w:val="2"/>
          </w:tcPr>
          <w:p w14:paraId="344DA43D" w14:textId="4DCACBB8"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3(31d)</w:t>
            </w:r>
          </w:p>
        </w:tc>
        <w:tc>
          <w:tcPr>
            <w:tcW w:w="4860" w:type="dxa"/>
          </w:tcPr>
          <w:p w14:paraId="65CC181D" w14:textId="4F1BC397"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(d) it is primarily designed to generate investment income or gains, or protection against a particular or general event or outcome;</w:t>
            </w:r>
          </w:p>
        </w:tc>
        <w:tc>
          <w:tcPr>
            <w:tcW w:w="990" w:type="dxa"/>
            <w:gridSpan w:val="2"/>
          </w:tcPr>
          <w:p w14:paraId="73076FD8" w14:textId="56D8974E"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7F5AA7ED" w14:textId="1A59EB37" w:rsidR="0017423E" w:rsidRPr="005E6D70" w:rsidRDefault="00D45010"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4(32)(d)</w:t>
            </w:r>
          </w:p>
        </w:tc>
        <w:tc>
          <w:tcPr>
            <w:tcW w:w="4680" w:type="dxa"/>
            <w:gridSpan w:val="2"/>
          </w:tcPr>
          <w:p w14:paraId="53E9360B" w14:textId="6AC8BA4B" w:rsidR="0017423E" w:rsidRPr="005E6D70" w:rsidRDefault="00D45010"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 it is primarily designed to generate investment income or gains, or protection against a particular or general event or outcome;</w:t>
            </w:r>
          </w:p>
        </w:tc>
        <w:tc>
          <w:tcPr>
            <w:tcW w:w="1530" w:type="dxa"/>
          </w:tcPr>
          <w:p w14:paraId="34CB2315" w14:textId="47D24ACB"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700DA35C" w14:textId="1A4F4BED" w:rsidR="0017423E" w:rsidRPr="005E6D70" w:rsidRDefault="00D45010"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140BCD4B" w14:textId="77777777" w:rsidTr="00073B1B">
        <w:trPr>
          <w:trHeight w:val="440"/>
        </w:trPr>
        <w:tc>
          <w:tcPr>
            <w:tcW w:w="990" w:type="dxa"/>
            <w:gridSpan w:val="2"/>
          </w:tcPr>
          <w:p w14:paraId="5A1BD327" w14:textId="4211277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3(31e)</w:t>
            </w:r>
          </w:p>
        </w:tc>
        <w:tc>
          <w:tcPr>
            <w:tcW w:w="4860" w:type="dxa"/>
          </w:tcPr>
          <w:p w14:paraId="01A32C34" w14:textId="41F81A46"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(e) its investors have a right to return from the assets of the fund or income earned on those assets, based on the contribution they made;</w:t>
            </w:r>
          </w:p>
        </w:tc>
        <w:tc>
          <w:tcPr>
            <w:tcW w:w="990" w:type="dxa"/>
            <w:gridSpan w:val="2"/>
          </w:tcPr>
          <w:p w14:paraId="6FC6892E" w14:textId="4E316A0B"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E8996E2" w14:textId="4FF15B83" w:rsidR="0017423E" w:rsidRPr="005E6D70" w:rsidRDefault="00D45010"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4(32)(e)</w:t>
            </w:r>
          </w:p>
        </w:tc>
        <w:tc>
          <w:tcPr>
            <w:tcW w:w="4680" w:type="dxa"/>
            <w:gridSpan w:val="2"/>
          </w:tcPr>
          <w:p w14:paraId="6F6E289A" w14:textId="32F1CA86" w:rsidR="0017423E" w:rsidRPr="005E6D70" w:rsidRDefault="00D45010"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e) its investors have a right to return from the assets of the fund or income earned on those assets, based on the contribution they made;</w:t>
            </w:r>
          </w:p>
        </w:tc>
        <w:tc>
          <w:tcPr>
            <w:tcW w:w="1530" w:type="dxa"/>
          </w:tcPr>
          <w:p w14:paraId="7018873D" w14:textId="698C2BB4"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7809338E" w14:textId="46AD82AA" w:rsidR="0017423E" w:rsidRPr="005E6D70" w:rsidRDefault="00D45010"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1049B6D2" w14:textId="77777777" w:rsidTr="00073B1B">
        <w:trPr>
          <w:trHeight w:val="530"/>
        </w:trPr>
        <w:tc>
          <w:tcPr>
            <w:tcW w:w="990" w:type="dxa"/>
            <w:gridSpan w:val="2"/>
          </w:tcPr>
          <w:p w14:paraId="449CD50F" w14:textId="6E5B84DE"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3(31f)</w:t>
            </w:r>
          </w:p>
        </w:tc>
        <w:tc>
          <w:tcPr>
            <w:tcW w:w="4860" w:type="dxa"/>
          </w:tcPr>
          <w:p w14:paraId="131EDFB3" w14:textId="3FC86228"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(f) it, or its management, is subject to the regulatory regime, including appropriate anti-money laundering and investor protection regulation, for investment funds in the jurisdiction in which it is established or managed; and</w:t>
            </w:r>
          </w:p>
        </w:tc>
        <w:tc>
          <w:tcPr>
            <w:tcW w:w="990" w:type="dxa"/>
            <w:gridSpan w:val="2"/>
          </w:tcPr>
          <w:p w14:paraId="42D061FC" w14:textId="58BE189D"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F4BCA33" w14:textId="7B6EAD3F" w:rsidR="0017423E" w:rsidRPr="005E6D70" w:rsidRDefault="00D45010"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4(32)(f)</w:t>
            </w:r>
          </w:p>
        </w:tc>
        <w:tc>
          <w:tcPr>
            <w:tcW w:w="4680" w:type="dxa"/>
            <w:gridSpan w:val="2"/>
          </w:tcPr>
          <w:p w14:paraId="2998F593" w14:textId="6C09367A" w:rsidR="0017423E" w:rsidRPr="005E6D70" w:rsidRDefault="00D45010"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 it, or its management, is subject to the regulatory regime, including appropriate anti-money laundering and investor protection regulation, for investment funds in the jurisdiction in which it is established or managed; and</w:t>
            </w:r>
          </w:p>
        </w:tc>
        <w:tc>
          <w:tcPr>
            <w:tcW w:w="1530" w:type="dxa"/>
          </w:tcPr>
          <w:p w14:paraId="6C11C338" w14:textId="4175900D"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007B2BBE" w14:textId="7265C23D" w:rsidR="0017423E" w:rsidRPr="005E6D70" w:rsidRDefault="00D45010"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4406BF95" w14:textId="77777777" w:rsidTr="00073B1B">
        <w:trPr>
          <w:trHeight w:val="413"/>
        </w:trPr>
        <w:tc>
          <w:tcPr>
            <w:tcW w:w="990" w:type="dxa"/>
            <w:gridSpan w:val="2"/>
          </w:tcPr>
          <w:p w14:paraId="407FDBB5" w14:textId="48052751"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3(31g)</w:t>
            </w:r>
          </w:p>
        </w:tc>
        <w:tc>
          <w:tcPr>
            <w:tcW w:w="4860" w:type="dxa"/>
          </w:tcPr>
          <w:p w14:paraId="08A4047B" w14:textId="1E0038E5"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(g) it is managed by investment fund management professionals on behalf of the investors;</w:t>
            </w:r>
          </w:p>
        </w:tc>
        <w:tc>
          <w:tcPr>
            <w:tcW w:w="990" w:type="dxa"/>
            <w:gridSpan w:val="2"/>
          </w:tcPr>
          <w:p w14:paraId="53669B46" w14:textId="0FC3191A"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25FA286" w14:textId="1F75B00D" w:rsidR="0017423E" w:rsidRPr="005E6D70" w:rsidRDefault="00DA2810"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4(32)(g)</w:t>
            </w:r>
          </w:p>
        </w:tc>
        <w:tc>
          <w:tcPr>
            <w:tcW w:w="4680" w:type="dxa"/>
            <w:gridSpan w:val="2"/>
          </w:tcPr>
          <w:p w14:paraId="49EABD34" w14:textId="779513D7" w:rsidR="0017423E" w:rsidRPr="005E6D70" w:rsidRDefault="00DA2810"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g) it is managed by investment fund management professionals on behalf of the investors.</w:t>
            </w:r>
          </w:p>
        </w:tc>
        <w:tc>
          <w:tcPr>
            <w:tcW w:w="1530" w:type="dxa"/>
          </w:tcPr>
          <w:p w14:paraId="4D695B84" w14:textId="56241FA2"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5DE8B8CF" w14:textId="3F02E78E" w:rsidR="0017423E" w:rsidRPr="005E6D70" w:rsidRDefault="00DA2810"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2AC1B91E" w14:textId="77777777" w:rsidTr="00073B1B">
        <w:trPr>
          <w:trHeight w:val="530"/>
        </w:trPr>
        <w:tc>
          <w:tcPr>
            <w:tcW w:w="990" w:type="dxa"/>
            <w:gridSpan w:val="2"/>
          </w:tcPr>
          <w:p w14:paraId="0BE91C87" w14:textId="017E3A58"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3(32)</w:t>
            </w:r>
          </w:p>
        </w:tc>
        <w:tc>
          <w:tcPr>
            <w:tcW w:w="4860" w:type="dxa"/>
          </w:tcPr>
          <w:p w14:paraId="734E505A" w14:textId="180D9C12"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(32) ‘real estate investment vehicle’ means a widely held entity that holds predominantly immovable property and that is subject to a single level of taxation, either in its hands or in the hands of its interest holders, with at most one year of deferral;</w:t>
            </w:r>
          </w:p>
        </w:tc>
        <w:tc>
          <w:tcPr>
            <w:tcW w:w="990" w:type="dxa"/>
            <w:gridSpan w:val="2"/>
          </w:tcPr>
          <w:p w14:paraId="342C0ED0" w14:textId="4AA6BAA9"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9411290" w14:textId="148B2F11" w:rsidR="0017423E" w:rsidRPr="005E6D70" w:rsidRDefault="00AE1DA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4(33)</w:t>
            </w:r>
          </w:p>
        </w:tc>
        <w:tc>
          <w:tcPr>
            <w:tcW w:w="4680" w:type="dxa"/>
            <w:gridSpan w:val="2"/>
          </w:tcPr>
          <w:p w14:paraId="7071DF59" w14:textId="496BD72A" w:rsidR="0017423E" w:rsidRPr="005E6D70" w:rsidRDefault="00B24DA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 “Real estate investment vehicle” means a widely held entity that holds predominantly immovable property and that is subject to a single level of taxation, either in its hands or in the hands of its interest holders, with at most one year of deferral.</w:t>
            </w:r>
          </w:p>
        </w:tc>
        <w:tc>
          <w:tcPr>
            <w:tcW w:w="1530" w:type="dxa"/>
          </w:tcPr>
          <w:p w14:paraId="5B924CA5" w14:textId="42DE6CAF"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169344C3" w14:textId="2E1D0892" w:rsidR="0017423E" w:rsidRPr="005E6D70" w:rsidRDefault="00B24DA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33 of Article 4 in the draft law. Verbatim transposition.</w:t>
            </w:r>
          </w:p>
        </w:tc>
      </w:tr>
      <w:tr w:rsidR="00D37F89" w:rsidRPr="005E6D70" w14:paraId="1319579C" w14:textId="77777777" w:rsidTr="00073B1B">
        <w:trPr>
          <w:trHeight w:val="233"/>
        </w:trPr>
        <w:tc>
          <w:tcPr>
            <w:tcW w:w="990" w:type="dxa"/>
            <w:gridSpan w:val="2"/>
          </w:tcPr>
          <w:p w14:paraId="21A516C6" w14:textId="4624F53D"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3(33)</w:t>
            </w:r>
          </w:p>
        </w:tc>
        <w:tc>
          <w:tcPr>
            <w:tcW w:w="4860" w:type="dxa"/>
          </w:tcPr>
          <w:p w14:paraId="6B3EEB40" w14:textId="44C7A7FF"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(33) ‘pension fund’ means:</w:t>
            </w:r>
          </w:p>
        </w:tc>
        <w:tc>
          <w:tcPr>
            <w:tcW w:w="990" w:type="dxa"/>
            <w:gridSpan w:val="2"/>
          </w:tcPr>
          <w:p w14:paraId="7B151DD4" w14:textId="7953B26B"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74263BC8" w14:textId="71E17C57" w:rsidR="0017423E" w:rsidRPr="005E6D70" w:rsidRDefault="00AE1DA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4(34)</w:t>
            </w:r>
          </w:p>
        </w:tc>
        <w:tc>
          <w:tcPr>
            <w:tcW w:w="4680" w:type="dxa"/>
            <w:gridSpan w:val="2"/>
          </w:tcPr>
          <w:p w14:paraId="79D06BE7" w14:textId="75C5CDBF" w:rsidR="0017423E" w:rsidRPr="005E6D70" w:rsidRDefault="00B24DA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 “Pension fund” means:</w:t>
            </w:r>
          </w:p>
        </w:tc>
        <w:tc>
          <w:tcPr>
            <w:tcW w:w="1530" w:type="dxa"/>
          </w:tcPr>
          <w:p w14:paraId="4BC86DAF" w14:textId="69FC3F74"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6324BAA6" w14:textId="5A1046C8" w:rsidR="0017423E" w:rsidRPr="005E6D70" w:rsidRDefault="00B24DA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34 of Article 4 in the draft law. Verbatim transposition.</w:t>
            </w:r>
          </w:p>
        </w:tc>
      </w:tr>
      <w:tr w:rsidR="00D37F89" w:rsidRPr="005E6D70" w14:paraId="5513A4B1" w14:textId="77777777" w:rsidTr="00073B1B">
        <w:trPr>
          <w:trHeight w:val="530"/>
        </w:trPr>
        <w:tc>
          <w:tcPr>
            <w:tcW w:w="990" w:type="dxa"/>
            <w:gridSpan w:val="2"/>
          </w:tcPr>
          <w:p w14:paraId="1F5F2EA3" w14:textId="396F4931"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3(33a)</w:t>
            </w:r>
          </w:p>
        </w:tc>
        <w:tc>
          <w:tcPr>
            <w:tcW w:w="4860" w:type="dxa"/>
          </w:tcPr>
          <w:p w14:paraId="1546116C"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an entity that is established and operated in a jurisdiction exclusively or almost exclusively to administer or provide retirement benefits and ancillary or incidental benefits to individuals where:</w:t>
            </w:r>
          </w:p>
          <w:p w14:paraId="3C17096B" w14:textId="77777777" w:rsidR="0017423E" w:rsidRPr="005E6D70" w:rsidRDefault="0017423E" w:rsidP="0017423E">
            <w:pPr>
              <w:jc w:val="both"/>
              <w:rPr>
                <w:rFonts w:ascii="Times New Roman" w:eastAsia="Calibri" w:hAnsi="Times New Roman" w:cs="Times New Roman"/>
                <w:iCs/>
                <w:sz w:val="18"/>
                <w:szCs w:val="18"/>
                <w:lang w:val="en-US"/>
              </w:rPr>
            </w:pPr>
          </w:p>
          <w:p w14:paraId="5AD115A7"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that entity is regulated as such by that jurisdiction or one of its political subdivisions or local authorities; or</w:t>
            </w:r>
          </w:p>
          <w:p w14:paraId="223881F5" w14:textId="77777777" w:rsidR="0017423E" w:rsidRPr="005E6D70" w:rsidRDefault="0017423E" w:rsidP="0017423E">
            <w:pPr>
              <w:jc w:val="both"/>
              <w:rPr>
                <w:rFonts w:ascii="Times New Roman" w:eastAsia="Calibri" w:hAnsi="Times New Roman" w:cs="Times New Roman"/>
                <w:iCs/>
                <w:sz w:val="18"/>
                <w:szCs w:val="18"/>
                <w:lang w:val="en-US"/>
              </w:rPr>
            </w:pPr>
          </w:p>
          <w:p w14:paraId="4486ACA8" w14:textId="123851DC"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those benefits are secured or otherwise protected by national regulations and funded by a pool of assets held through a fiduciary arrangement or trustor to secure the fulfilment of the corresponding pension obligations against a case of insolvency of the MNE group and large-scale domestic group;</w:t>
            </w:r>
          </w:p>
        </w:tc>
        <w:tc>
          <w:tcPr>
            <w:tcW w:w="990" w:type="dxa"/>
            <w:gridSpan w:val="2"/>
          </w:tcPr>
          <w:p w14:paraId="349EE442" w14:textId="1AF0A896"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EA775DE" w14:textId="120A070B" w:rsidR="0017423E" w:rsidRPr="005E6D70" w:rsidRDefault="00B24DA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4(34)(a)</w:t>
            </w:r>
          </w:p>
        </w:tc>
        <w:tc>
          <w:tcPr>
            <w:tcW w:w="4680" w:type="dxa"/>
            <w:gridSpan w:val="2"/>
          </w:tcPr>
          <w:p w14:paraId="613FD587" w14:textId="77777777" w:rsidR="00B24DAF" w:rsidRPr="005E6D70" w:rsidRDefault="00B24DA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an entity that is established and operated in a jurisdiction exclusively or almost exclusively to administer or provide retirement benefits and ancillary or incidental benefits to individuals, where:</w:t>
            </w:r>
          </w:p>
          <w:p w14:paraId="45E62CA3" w14:textId="77777777" w:rsidR="00B24DAF" w:rsidRPr="005E6D70" w:rsidRDefault="00B24DAF" w:rsidP="00754FB1">
            <w:pPr>
              <w:jc w:val="both"/>
              <w:rPr>
                <w:rFonts w:ascii="Times New Roman" w:eastAsia="Calibri" w:hAnsi="Times New Roman" w:cs="Times New Roman"/>
                <w:sz w:val="18"/>
                <w:szCs w:val="18"/>
                <w:lang w:val="en-US"/>
              </w:rPr>
            </w:pPr>
          </w:p>
          <w:p w14:paraId="2A4B31D2" w14:textId="77777777" w:rsidR="00B24DAF" w:rsidRPr="005E6D70" w:rsidRDefault="00B24DA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i) that entity is regulated as such by that jurisdiction or one of its political subdivisions or local authorities; or</w:t>
            </w:r>
          </w:p>
          <w:p w14:paraId="559C6603" w14:textId="77777777" w:rsidR="00B24DAF" w:rsidRPr="005E6D70" w:rsidRDefault="00B24DAF" w:rsidP="00754FB1">
            <w:pPr>
              <w:jc w:val="both"/>
              <w:rPr>
                <w:rFonts w:ascii="Times New Roman" w:eastAsia="Calibri" w:hAnsi="Times New Roman" w:cs="Times New Roman"/>
                <w:sz w:val="18"/>
                <w:szCs w:val="18"/>
                <w:lang w:val="en-US"/>
              </w:rPr>
            </w:pPr>
          </w:p>
          <w:p w14:paraId="0961A0D7" w14:textId="6C026C3C" w:rsidR="0017423E" w:rsidRPr="005E6D70" w:rsidRDefault="00B24DA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 ii) those benefits are secured or otherwise protected by national regulations and funded by a pool of assets held through a fiduciary arrangement or trustor to secure the fulfilment of the corresponding pension obligations against a case of the insolvency of the multinational enterprise group and large-scale domestic group;</w:t>
            </w:r>
          </w:p>
        </w:tc>
        <w:tc>
          <w:tcPr>
            <w:tcW w:w="1530" w:type="dxa"/>
          </w:tcPr>
          <w:p w14:paraId="01640DC2" w14:textId="0D1B22BB"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7670810C" w14:textId="57DA212C" w:rsidR="0017423E" w:rsidRPr="005E6D70" w:rsidRDefault="00B24DA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 The trailing sub-points (i) and (ii) are embedded within the transposed provision. The abbreviation "MNE" is expanded to "multinational enterprise".</w:t>
            </w:r>
          </w:p>
        </w:tc>
      </w:tr>
      <w:tr w:rsidR="00D37F89" w:rsidRPr="005E6D70" w14:paraId="687A7F2D" w14:textId="77777777" w:rsidTr="00073B1B">
        <w:trPr>
          <w:trHeight w:val="197"/>
        </w:trPr>
        <w:tc>
          <w:tcPr>
            <w:tcW w:w="990" w:type="dxa"/>
            <w:gridSpan w:val="2"/>
          </w:tcPr>
          <w:p w14:paraId="581D256A" w14:textId="7D57B849"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3(33b)</w:t>
            </w:r>
          </w:p>
        </w:tc>
        <w:tc>
          <w:tcPr>
            <w:tcW w:w="4860" w:type="dxa"/>
          </w:tcPr>
          <w:p w14:paraId="2AD51F9C" w14:textId="68860044" w:rsidR="0017423E" w:rsidRPr="005E6D70" w:rsidRDefault="0017423E" w:rsidP="0017423E">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a pension services entity;</w:t>
            </w:r>
          </w:p>
        </w:tc>
        <w:tc>
          <w:tcPr>
            <w:tcW w:w="990" w:type="dxa"/>
            <w:gridSpan w:val="2"/>
          </w:tcPr>
          <w:p w14:paraId="0768F837" w14:textId="1D8043C2"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6106FD77" w14:textId="7FC3DA2B" w:rsidR="0017423E" w:rsidRPr="005E6D70" w:rsidRDefault="00E5727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4(34)(b)</w:t>
            </w:r>
          </w:p>
        </w:tc>
        <w:tc>
          <w:tcPr>
            <w:tcW w:w="4680" w:type="dxa"/>
            <w:gridSpan w:val="2"/>
          </w:tcPr>
          <w:p w14:paraId="6436B3DE" w14:textId="61B24FB2" w:rsidR="0017423E" w:rsidRPr="005E6D70" w:rsidRDefault="00E5727D"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a pension services entity.</w:t>
            </w:r>
          </w:p>
        </w:tc>
        <w:tc>
          <w:tcPr>
            <w:tcW w:w="1530" w:type="dxa"/>
          </w:tcPr>
          <w:p w14:paraId="219F2C3C" w14:textId="65100E63"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7270B271" w14:textId="57E41A26" w:rsidR="0017423E" w:rsidRPr="005E6D70" w:rsidRDefault="00E5727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2F9AECEA" w14:textId="77777777" w:rsidTr="00073B1B">
        <w:trPr>
          <w:trHeight w:val="530"/>
        </w:trPr>
        <w:tc>
          <w:tcPr>
            <w:tcW w:w="990" w:type="dxa"/>
            <w:gridSpan w:val="2"/>
          </w:tcPr>
          <w:p w14:paraId="330124F8" w14:textId="61A1B862"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3(34)</w:t>
            </w:r>
          </w:p>
        </w:tc>
        <w:tc>
          <w:tcPr>
            <w:tcW w:w="4860" w:type="dxa"/>
          </w:tcPr>
          <w:p w14:paraId="6EAE43D5" w14:textId="19792856"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(34) ‘pension services entity’ means an entity that is established and operated exclusively or almost exclusively to invest funds for the benefit of entities referred to in point (33)(a) or to carry out activities that are ancillary to the regulated activities referred to in point (33)(a), provided that the pension services entity forms part of the same group as the entities carrying out those regulated activities</w:t>
            </w:r>
          </w:p>
        </w:tc>
        <w:tc>
          <w:tcPr>
            <w:tcW w:w="990" w:type="dxa"/>
            <w:gridSpan w:val="2"/>
          </w:tcPr>
          <w:p w14:paraId="25D459B1" w14:textId="5CB424F8"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E819E5C" w14:textId="3A3C08D7" w:rsidR="0017423E" w:rsidRPr="005E6D70" w:rsidRDefault="00E5727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4(35)</w:t>
            </w:r>
          </w:p>
        </w:tc>
        <w:tc>
          <w:tcPr>
            <w:tcW w:w="4680" w:type="dxa"/>
            <w:gridSpan w:val="2"/>
          </w:tcPr>
          <w:p w14:paraId="2DA51F11" w14:textId="27E85B73" w:rsidR="0017423E" w:rsidRPr="005E6D70" w:rsidRDefault="00E5727D"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35. “Pension services entity” means an entity that is established and operated exclusively or almost exclusively to invest funds for the benefit of entities referred to in letter “a”, of paragraph 34, of this Article, or to carry out activities that are ancillary to the regulated activities referred to in that letter, provided that the pension services entity forms part of the same group as the entities carrying out those regulated activities.</w:t>
            </w:r>
          </w:p>
        </w:tc>
        <w:tc>
          <w:tcPr>
            <w:tcW w:w="1530" w:type="dxa"/>
          </w:tcPr>
          <w:p w14:paraId="32A59B61" w14:textId="3404DD7B"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1646A7AA" w14:textId="28AB0B4D" w:rsidR="0017423E" w:rsidRPr="005E6D70" w:rsidRDefault="00E5727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35 of Article 4 in the draft law. The internal cross-references to "point (33)(a)" are adapted to "letter 'a', of paragraph 34, of this Article" and "that letter" to align with national drafting standards.</w:t>
            </w:r>
          </w:p>
        </w:tc>
      </w:tr>
      <w:tr w:rsidR="00D37F89" w:rsidRPr="005E6D70" w14:paraId="1CC26CFE" w14:textId="77777777" w:rsidTr="00073B1B">
        <w:trPr>
          <w:trHeight w:val="530"/>
        </w:trPr>
        <w:tc>
          <w:tcPr>
            <w:tcW w:w="990" w:type="dxa"/>
            <w:gridSpan w:val="2"/>
          </w:tcPr>
          <w:p w14:paraId="355F8C12" w14:textId="091FFD8B"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3(35)</w:t>
            </w:r>
          </w:p>
        </w:tc>
        <w:tc>
          <w:tcPr>
            <w:tcW w:w="4860" w:type="dxa"/>
          </w:tcPr>
          <w:p w14:paraId="2FD12930" w14:textId="4E4D6606"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(35) ‘low-tax jurisdiction’ means, in respect of an MNE group or a large-scale domestic group in any fiscal year, a Member State or a third-country jurisdiction in which the MNE group or the large-scale domestic group has a qualifying income and is subject to an effective tax rate which is lower than the minimum tax rate;</w:t>
            </w:r>
          </w:p>
        </w:tc>
        <w:tc>
          <w:tcPr>
            <w:tcW w:w="990" w:type="dxa"/>
            <w:gridSpan w:val="2"/>
          </w:tcPr>
          <w:p w14:paraId="22D37AF8" w14:textId="05FB207A"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6212E5F" w14:textId="282783C8" w:rsidR="0017423E" w:rsidRPr="005E6D70" w:rsidRDefault="00FA135A"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4(24)</w:t>
            </w:r>
          </w:p>
        </w:tc>
        <w:tc>
          <w:tcPr>
            <w:tcW w:w="4680" w:type="dxa"/>
            <w:gridSpan w:val="2"/>
          </w:tcPr>
          <w:p w14:paraId="61FCC7C7" w14:textId="3DC915B9" w:rsidR="0017423E" w:rsidRPr="005E6D70" w:rsidRDefault="00FA135A"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 “Low-tax jurisdiction” means, in respect of a multinational enterprise group or a large-scale domestic group in any fiscal year, the Republic of Albania, a Member State of the European Union or a third-country jurisdiction in which the multinational enterprise group or the large-scale domestic group has a qualifying income and is subject to an effective tax rate which is lower than the minimum tax rate.</w:t>
            </w:r>
          </w:p>
        </w:tc>
        <w:tc>
          <w:tcPr>
            <w:tcW w:w="1530" w:type="dxa"/>
          </w:tcPr>
          <w:p w14:paraId="39891242" w14:textId="39B198A4"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5A8E3635" w14:textId="30F22825" w:rsidR="0017423E" w:rsidRPr="005E6D70" w:rsidRDefault="00FA135A"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The provision is transposed into paragraph 24 of Article 4 in the draft law. The term "Member </w:t>
            </w:r>
            <w:r w:rsidRPr="005E6D70">
              <w:rPr>
                <w:rFonts w:ascii="Times New Roman" w:eastAsia="Calibri" w:hAnsi="Times New Roman" w:cs="Times New Roman"/>
                <w:sz w:val="18"/>
                <w:szCs w:val="18"/>
                <w:lang w:val="en-US"/>
              </w:rPr>
              <w:lastRenderedPageBreak/>
              <w:t>State" is adapted to "the Republic of Albania, a Member State of the European Union</w:t>
            </w:r>
            <w:r w:rsidR="000F4129" w:rsidRPr="005E6D70">
              <w:rPr>
                <w:rFonts w:ascii="Times New Roman" w:eastAsia="Calibri" w:hAnsi="Times New Roman" w:cs="Times New Roman"/>
                <w:sz w:val="18"/>
                <w:szCs w:val="18"/>
                <w:lang w:val="en-US"/>
              </w:rPr>
              <w:t>…</w:t>
            </w:r>
            <w:r w:rsidRPr="005E6D70">
              <w:rPr>
                <w:rFonts w:ascii="Times New Roman" w:eastAsia="Calibri" w:hAnsi="Times New Roman" w:cs="Times New Roman"/>
                <w:sz w:val="18"/>
                <w:szCs w:val="18"/>
                <w:lang w:val="en-US"/>
              </w:rPr>
              <w:t>" to reflect the specific territorial application. The abbreviation "MNE" is expanded.</w:t>
            </w:r>
          </w:p>
        </w:tc>
      </w:tr>
      <w:tr w:rsidR="00D37F89" w:rsidRPr="005E6D70" w14:paraId="4B1702DC" w14:textId="77777777" w:rsidTr="00073B1B">
        <w:trPr>
          <w:trHeight w:val="530"/>
        </w:trPr>
        <w:tc>
          <w:tcPr>
            <w:tcW w:w="990" w:type="dxa"/>
            <w:gridSpan w:val="2"/>
          </w:tcPr>
          <w:p w14:paraId="5011AA51" w14:textId="6FE6BDA4"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3(36)</w:t>
            </w:r>
          </w:p>
        </w:tc>
        <w:tc>
          <w:tcPr>
            <w:tcW w:w="4860" w:type="dxa"/>
          </w:tcPr>
          <w:p w14:paraId="77F2CBCC" w14:textId="4F1DCCAB"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(36) ‘qualifying income or loss’ means the financial accounting net income or loss of a constituent entity adjusted in accordance with the rules set out in Chapters III, VI and VII;</w:t>
            </w:r>
          </w:p>
        </w:tc>
        <w:tc>
          <w:tcPr>
            <w:tcW w:w="990" w:type="dxa"/>
            <w:gridSpan w:val="2"/>
          </w:tcPr>
          <w:p w14:paraId="680ADA82" w14:textId="0E19AEC2"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1347EB4" w14:textId="12659720" w:rsidR="0017423E" w:rsidRPr="005E6D70" w:rsidRDefault="00734DB2"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4(36)</w:t>
            </w:r>
          </w:p>
          <w:p w14:paraId="036DAC16" w14:textId="77777777" w:rsidR="00734DB2" w:rsidRPr="005E6D70" w:rsidRDefault="00734DB2" w:rsidP="00734DB2">
            <w:pPr>
              <w:rPr>
                <w:rFonts w:ascii="Times New Roman" w:eastAsia="Calibri" w:hAnsi="Times New Roman" w:cs="Times New Roman"/>
                <w:sz w:val="18"/>
                <w:szCs w:val="18"/>
              </w:rPr>
            </w:pPr>
          </w:p>
        </w:tc>
        <w:tc>
          <w:tcPr>
            <w:tcW w:w="4680" w:type="dxa"/>
            <w:gridSpan w:val="2"/>
          </w:tcPr>
          <w:p w14:paraId="216F68F6" w14:textId="6F1E1262" w:rsidR="0017423E" w:rsidRPr="005E6D70" w:rsidRDefault="00734DB2"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36. “Qualifying income or loss” means the financial accounting net income or loss of a constituent entity, adjusted in accordance with the rules set out in Chapters III, VI and VII, of this Law.</w:t>
            </w:r>
          </w:p>
        </w:tc>
        <w:tc>
          <w:tcPr>
            <w:tcW w:w="1530" w:type="dxa"/>
          </w:tcPr>
          <w:p w14:paraId="4A1A7C35" w14:textId="6D39A710"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751BEB19" w14:textId="1CB712A8" w:rsidR="0017423E" w:rsidRPr="005E6D70" w:rsidRDefault="00734DB2"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36 of Article 4 in the draft law. The reference is appended with "of this Law".</w:t>
            </w:r>
          </w:p>
        </w:tc>
      </w:tr>
      <w:tr w:rsidR="00D37F89" w:rsidRPr="005E6D70" w14:paraId="0E2F2935" w14:textId="77777777" w:rsidTr="00073B1B">
        <w:trPr>
          <w:trHeight w:val="440"/>
        </w:trPr>
        <w:tc>
          <w:tcPr>
            <w:tcW w:w="990" w:type="dxa"/>
            <w:gridSpan w:val="2"/>
          </w:tcPr>
          <w:p w14:paraId="4DFCCD2E" w14:textId="607835D1"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3(37)</w:t>
            </w:r>
          </w:p>
        </w:tc>
        <w:tc>
          <w:tcPr>
            <w:tcW w:w="4860" w:type="dxa"/>
          </w:tcPr>
          <w:p w14:paraId="558C0B0D" w14:textId="4034C4C2"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(37) ‘disqualified refundable imputation tax’ means any tax, other than a qualified imputation tax, accrued or paid by a constituent entity that is:</w:t>
            </w:r>
          </w:p>
        </w:tc>
        <w:tc>
          <w:tcPr>
            <w:tcW w:w="990" w:type="dxa"/>
            <w:gridSpan w:val="2"/>
          </w:tcPr>
          <w:p w14:paraId="32468329" w14:textId="0A51F211"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6229894" w14:textId="1C38F786" w:rsidR="0017423E" w:rsidRPr="005E6D70" w:rsidRDefault="0074513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4(37)</w:t>
            </w:r>
          </w:p>
        </w:tc>
        <w:tc>
          <w:tcPr>
            <w:tcW w:w="4680" w:type="dxa"/>
            <w:gridSpan w:val="2"/>
          </w:tcPr>
          <w:p w14:paraId="08445A0F" w14:textId="16C78FC8" w:rsidR="0017423E" w:rsidRPr="005E6D70" w:rsidRDefault="0074513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37. “Disqualified refundable imputation tax” means any tax, other than a qualified imputation tax, accrued or paid by a constituent entity that is:</w:t>
            </w:r>
          </w:p>
        </w:tc>
        <w:tc>
          <w:tcPr>
            <w:tcW w:w="1530" w:type="dxa"/>
          </w:tcPr>
          <w:p w14:paraId="413FA154" w14:textId="57CB08B2"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411CEFFA" w14:textId="70C4C327" w:rsidR="0017423E" w:rsidRPr="005E6D70" w:rsidRDefault="0074513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37 of Article 4 in the draft law. Verbatim transposition.</w:t>
            </w:r>
          </w:p>
        </w:tc>
      </w:tr>
      <w:tr w:rsidR="00D37F89" w:rsidRPr="005E6D70" w14:paraId="4F2DA871" w14:textId="77777777" w:rsidTr="00073B1B">
        <w:trPr>
          <w:trHeight w:val="440"/>
        </w:trPr>
        <w:tc>
          <w:tcPr>
            <w:tcW w:w="990" w:type="dxa"/>
            <w:gridSpan w:val="2"/>
          </w:tcPr>
          <w:p w14:paraId="6E985C0C" w14:textId="1499E78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3(37a)</w:t>
            </w:r>
          </w:p>
        </w:tc>
        <w:tc>
          <w:tcPr>
            <w:tcW w:w="4860" w:type="dxa"/>
          </w:tcPr>
          <w:p w14:paraId="669EBC51" w14:textId="38699087"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refundable to the beneficial owner of a dividend distributed by such constituent entity in respect of that dividend or creditable by the beneficial owner against a tax liability other than a tax liability in respect of such dividend; or</w:t>
            </w:r>
          </w:p>
        </w:tc>
        <w:tc>
          <w:tcPr>
            <w:tcW w:w="990" w:type="dxa"/>
            <w:gridSpan w:val="2"/>
          </w:tcPr>
          <w:p w14:paraId="145FE034" w14:textId="04C0226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3D28F2AC" w14:textId="4BA2128C" w:rsidR="0017423E" w:rsidRPr="005E6D70" w:rsidRDefault="0074513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4(37)(a)</w:t>
            </w:r>
          </w:p>
        </w:tc>
        <w:tc>
          <w:tcPr>
            <w:tcW w:w="4680" w:type="dxa"/>
            <w:gridSpan w:val="2"/>
          </w:tcPr>
          <w:p w14:paraId="66F28AC5" w14:textId="59F8B43D" w:rsidR="0017423E" w:rsidRPr="005E6D70" w:rsidRDefault="0074513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refundable to the beneficial owner of a dividend distributed by such constituent entity in respect of that dividend or creditable by the beneficial owner against a tax liability other than a tax liability in respect of such dividend; or</w:t>
            </w:r>
          </w:p>
        </w:tc>
        <w:tc>
          <w:tcPr>
            <w:tcW w:w="1530" w:type="dxa"/>
          </w:tcPr>
          <w:p w14:paraId="01C2A30D" w14:textId="2319867B"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22F5EA63" w14:textId="1088E183" w:rsidR="0017423E" w:rsidRPr="005E6D70" w:rsidRDefault="0074513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55DB4591" w14:textId="77777777" w:rsidTr="00073B1B">
        <w:trPr>
          <w:trHeight w:val="440"/>
        </w:trPr>
        <w:tc>
          <w:tcPr>
            <w:tcW w:w="990" w:type="dxa"/>
            <w:gridSpan w:val="2"/>
          </w:tcPr>
          <w:p w14:paraId="13B45F13" w14:textId="6F5349A7"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3(37b)</w:t>
            </w:r>
          </w:p>
        </w:tc>
        <w:tc>
          <w:tcPr>
            <w:tcW w:w="4860" w:type="dxa"/>
          </w:tcPr>
          <w:p w14:paraId="34B592DF" w14:textId="6AC2D5F0"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refundable to the distributing company upon distribution of a dividend to a shareholder;</w:t>
            </w:r>
          </w:p>
        </w:tc>
        <w:tc>
          <w:tcPr>
            <w:tcW w:w="990" w:type="dxa"/>
            <w:gridSpan w:val="2"/>
          </w:tcPr>
          <w:p w14:paraId="40E65DF2" w14:textId="59F3E9E2"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60AEF297" w14:textId="733D270A" w:rsidR="0017423E" w:rsidRPr="005E6D70" w:rsidRDefault="0074513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4(37)(b)</w:t>
            </w:r>
          </w:p>
        </w:tc>
        <w:tc>
          <w:tcPr>
            <w:tcW w:w="4680" w:type="dxa"/>
            <w:gridSpan w:val="2"/>
          </w:tcPr>
          <w:p w14:paraId="329D775A" w14:textId="2200E7C9" w:rsidR="0017423E" w:rsidRPr="005E6D70" w:rsidRDefault="0074513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refundable to the distributing company upon distribution of a dividend to a shareholder.</w:t>
            </w:r>
          </w:p>
        </w:tc>
        <w:tc>
          <w:tcPr>
            <w:tcW w:w="1530" w:type="dxa"/>
          </w:tcPr>
          <w:p w14:paraId="5DF89222" w14:textId="2548F327"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240B0569" w14:textId="55EB6345" w:rsidR="0017423E" w:rsidRPr="005E6D70" w:rsidRDefault="0074513F"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AA21BA" w:rsidRPr="005E6D70" w14:paraId="3205E440" w14:textId="77777777" w:rsidTr="00073B1B">
        <w:trPr>
          <w:trHeight w:val="440"/>
        </w:trPr>
        <w:tc>
          <w:tcPr>
            <w:tcW w:w="990" w:type="dxa"/>
            <w:gridSpan w:val="2"/>
          </w:tcPr>
          <w:p w14:paraId="740B5CF3" w14:textId="374C6096" w:rsidR="00AA21BA" w:rsidRPr="005E6D70" w:rsidRDefault="00AA21BA" w:rsidP="0017423E">
            <w:pPr>
              <w:jc w:val="center"/>
              <w:rPr>
                <w:rFonts w:ascii="Times New Roman" w:eastAsia="Calibri" w:hAnsi="Times New Roman" w:cs="Times New Roman"/>
                <w:sz w:val="18"/>
                <w:szCs w:val="18"/>
              </w:rPr>
            </w:pPr>
            <w:r w:rsidRPr="005E6D70">
              <w:rPr>
                <w:rFonts w:ascii="Times New Roman" w:eastAsia="Calibri" w:hAnsi="Times New Roman" w:cs="Times New Roman"/>
                <w:sz w:val="18"/>
                <w:szCs w:val="18"/>
              </w:rPr>
              <w:t>3(37) trailing</w:t>
            </w:r>
          </w:p>
        </w:tc>
        <w:tc>
          <w:tcPr>
            <w:tcW w:w="4860" w:type="dxa"/>
          </w:tcPr>
          <w:p w14:paraId="4F96535E" w14:textId="77777777" w:rsidR="00AA21BA" w:rsidRPr="005E6D70" w:rsidRDefault="00AA21BA" w:rsidP="00AA21BA">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for the purposes of this definition, a ‘qualified imputation tax’ means a covered tax accrued or paid by a constituent entity, </w:t>
            </w:r>
            <w:r w:rsidRPr="005E6D70">
              <w:rPr>
                <w:rFonts w:ascii="Times New Roman" w:eastAsia="Calibri" w:hAnsi="Times New Roman" w:cs="Times New Roman"/>
                <w:iCs/>
                <w:sz w:val="18"/>
                <w:szCs w:val="18"/>
                <w:lang w:val="en-US"/>
              </w:rPr>
              <w:lastRenderedPageBreak/>
              <w:t>including a permanent establishment, that is refundable or creditable to the beneficial owner of the dividend distributed by the constituent entity or, in the case of a covered tax accrued or paid by a permanent establishment, a dividend distributed by the main entity, to the extent that the refund is payable or the credit is provided:</w:t>
            </w:r>
          </w:p>
          <w:p w14:paraId="55092EAA" w14:textId="77777777" w:rsidR="00AA21BA" w:rsidRPr="005E6D70" w:rsidRDefault="00AA21BA" w:rsidP="00AA21BA">
            <w:pPr>
              <w:jc w:val="both"/>
              <w:rPr>
                <w:rFonts w:ascii="Times New Roman" w:eastAsia="Calibri" w:hAnsi="Times New Roman" w:cs="Times New Roman"/>
                <w:iCs/>
                <w:sz w:val="18"/>
                <w:szCs w:val="18"/>
                <w:lang w:val="en-US"/>
              </w:rPr>
            </w:pPr>
          </w:p>
          <w:p w14:paraId="5C5010B7" w14:textId="77777777" w:rsidR="00AA21BA" w:rsidRPr="005E6D70" w:rsidRDefault="00AA21BA" w:rsidP="00AA21BA">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by a jurisdiction other than the jurisdiction which imposed the covered taxes;</w:t>
            </w:r>
          </w:p>
          <w:p w14:paraId="069E17F9" w14:textId="77777777" w:rsidR="00AA21BA" w:rsidRPr="005E6D70" w:rsidRDefault="00AA21BA" w:rsidP="00AA21BA">
            <w:pPr>
              <w:jc w:val="both"/>
              <w:rPr>
                <w:rFonts w:ascii="Times New Roman" w:eastAsia="Calibri" w:hAnsi="Times New Roman" w:cs="Times New Roman"/>
                <w:iCs/>
                <w:sz w:val="18"/>
                <w:szCs w:val="18"/>
                <w:lang w:val="en-US"/>
              </w:rPr>
            </w:pPr>
          </w:p>
          <w:p w14:paraId="7A0A569D" w14:textId="77777777" w:rsidR="00AA21BA" w:rsidRPr="005E6D70" w:rsidRDefault="00AA21BA" w:rsidP="00AA21BA">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to a beneficial owner of the dividend that is subject to tax at a nominal rate that equals or exceeds the minimum tax rate on the dividend received under the domestic law of the jurisdiction which imposed the covered taxes on the constituent entity;</w:t>
            </w:r>
          </w:p>
          <w:p w14:paraId="79A9B6D9" w14:textId="77777777" w:rsidR="00AA21BA" w:rsidRPr="005E6D70" w:rsidRDefault="00AA21BA" w:rsidP="00AA21BA">
            <w:pPr>
              <w:jc w:val="both"/>
              <w:rPr>
                <w:rFonts w:ascii="Times New Roman" w:eastAsia="Calibri" w:hAnsi="Times New Roman" w:cs="Times New Roman"/>
                <w:iCs/>
                <w:sz w:val="18"/>
                <w:szCs w:val="18"/>
                <w:lang w:val="en-US"/>
              </w:rPr>
            </w:pPr>
          </w:p>
          <w:p w14:paraId="7ED89FBC" w14:textId="77777777" w:rsidR="00AA21BA" w:rsidRPr="005E6D70" w:rsidRDefault="00AA21BA" w:rsidP="00AA21BA">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to an individual who is the beneficial owner of the dividend and tax resident in the jurisdiction which imposed the covered taxes on the constituent entity and who is subject to tax at a nominal rate that equals or exceeds the standard tax rate applicable to ordinary income; or</w:t>
            </w:r>
          </w:p>
          <w:p w14:paraId="5774E7B5" w14:textId="77777777" w:rsidR="00AA21BA" w:rsidRPr="005E6D70" w:rsidRDefault="00AA21BA" w:rsidP="00AA21BA">
            <w:pPr>
              <w:jc w:val="both"/>
              <w:rPr>
                <w:rFonts w:ascii="Times New Roman" w:eastAsia="Calibri" w:hAnsi="Times New Roman" w:cs="Times New Roman"/>
                <w:iCs/>
                <w:sz w:val="18"/>
                <w:szCs w:val="18"/>
                <w:lang w:val="en-US"/>
              </w:rPr>
            </w:pPr>
          </w:p>
          <w:p w14:paraId="3AE9E0B3" w14:textId="77777777" w:rsidR="00AA21BA" w:rsidRPr="005E6D70" w:rsidRDefault="00AA21BA" w:rsidP="00AA21BA">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to a governmental entity, an international organisation, a resident non-profit organisation, a resident pension fund, a resident investment entity that is not part of the MNE group or the large-scale domestic group, or a resident life insurance company to the extent that the dividend is received in connection with resident pension fund activities and is subject to tax in a similar manner as a dividend received by a pension fund;</w:t>
            </w:r>
          </w:p>
          <w:p w14:paraId="395DF39E" w14:textId="77777777" w:rsidR="00AA21BA" w:rsidRPr="005E6D70" w:rsidRDefault="00AA21BA" w:rsidP="00AA21BA">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for the purposes of point (d):</w:t>
            </w:r>
          </w:p>
          <w:p w14:paraId="6457BDE7" w14:textId="77777777" w:rsidR="00AA21BA" w:rsidRPr="005E6D70" w:rsidRDefault="00AA21BA" w:rsidP="00AA21BA">
            <w:pPr>
              <w:jc w:val="both"/>
              <w:rPr>
                <w:rFonts w:ascii="Times New Roman" w:eastAsia="Calibri" w:hAnsi="Times New Roman" w:cs="Times New Roman"/>
                <w:iCs/>
                <w:sz w:val="18"/>
                <w:szCs w:val="18"/>
                <w:lang w:val="en-US"/>
              </w:rPr>
            </w:pPr>
          </w:p>
          <w:p w14:paraId="151D2807" w14:textId="77777777" w:rsidR="00AA21BA" w:rsidRPr="005E6D70" w:rsidRDefault="00AA21BA" w:rsidP="00AA21BA">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a non-profit organisation or pension fund is resident in a jurisdiction if it is created and managed in that</w:t>
            </w:r>
          </w:p>
          <w:p w14:paraId="1A95579B" w14:textId="77777777" w:rsidR="00AA21BA" w:rsidRPr="005E6D70" w:rsidRDefault="00AA21BA" w:rsidP="00AA21BA">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jurisdiction;</w:t>
            </w:r>
          </w:p>
          <w:p w14:paraId="6E4E9E96" w14:textId="77777777" w:rsidR="00AA21BA" w:rsidRPr="005E6D70" w:rsidRDefault="00AA21BA" w:rsidP="00AA21BA">
            <w:pPr>
              <w:jc w:val="both"/>
              <w:rPr>
                <w:rFonts w:ascii="Times New Roman" w:eastAsia="Calibri" w:hAnsi="Times New Roman" w:cs="Times New Roman"/>
                <w:iCs/>
                <w:sz w:val="18"/>
                <w:szCs w:val="18"/>
                <w:lang w:val="en-US"/>
              </w:rPr>
            </w:pPr>
          </w:p>
          <w:p w14:paraId="5926D30E" w14:textId="77777777" w:rsidR="00AA21BA" w:rsidRPr="005E6D70" w:rsidRDefault="00AA21BA" w:rsidP="00AA21BA">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an investment entity is resident in a jurisdiction if it is created and regulated in that jurisdiction;</w:t>
            </w:r>
          </w:p>
          <w:p w14:paraId="417BB5F3" w14:textId="77777777" w:rsidR="00AA21BA" w:rsidRPr="005E6D70" w:rsidRDefault="00AA21BA" w:rsidP="00AA21BA">
            <w:pPr>
              <w:jc w:val="both"/>
              <w:rPr>
                <w:rFonts w:ascii="Times New Roman" w:eastAsia="Calibri" w:hAnsi="Times New Roman" w:cs="Times New Roman"/>
                <w:iCs/>
                <w:sz w:val="18"/>
                <w:szCs w:val="18"/>
                <w:lang w:val="en-US"/>
              </w:rPr>
            </w:pPr>
          </w:p>
          <w:p w14:paraId="72F9BC08" w14:textId="41FFFA67" w:rsidR="00AA21BA" w:rsidRPr="005E6D70" w:rsidRDefault="00AA21BA" w:rsidP="00AA21BA">
            <w:pPr>
              <w:jc w:val="both"/>
              <w:rPr>
                <w:rFonts w:ascii="Times New Roman" w:eastAsia="Calibri" w:hAnsi="Times New Roman" w:cs="Times New Roman"/>
                <w:iCs/>
                <w:sz w:val="18"/>
                <w:szCs w:val="18"/>
              </w:rPr>
            </w:pPr>
            <w:r w:rsidRPr="005E6D70">
              <w:rPr>
                <w:rFonts w:ascii="Times New Roman" w:eastAsia="Calibri" w:hAnsi="Times New Roman" w:cs="Times New Roman"/>
                <w:iCs/>
                <w:sz w:val="18"/>
                <w:szCs w:val="18"/>
                <w:lang w:val="en-US"/>
              </w:rPr>
              <w:t>(iii) a life insurance company is resident in the jurisdiction in which it is located;</w:t>
            </w:r>
          </w:p>
        </w:tc>
        <w:tc>
          <w:tcPr>
            <w:tcW w:w="990" w:type="dxa"/>
            <w:gridSpan w:val="2"/>
          </w:tcPr>
          <w:p w14:paraId="71AF6315" w14:textId="0822268C" w:rsidR="00AA21BA" w:rsidRPr="005E6D70" w:rsidRDefault="00AA21BA" w:rsidP="0017423E">
            <w:pPr>
              <w:jc w:val="center"/>
              <w:rPr>
                <w:rFonts w:ascii="Times New Roman" w:eastAsia="Calibri" w:hAnsi="Times New Roman" w:cs="Times New Roman"/>
                <w:sz w:val="18"/>
                <w:szCs w:val="18"/>
              </w:rPr>
            </w:pPr>
            <w:r w:rsidRPr="005E6D70">
              <w:rPr>
                <w:rFonts w:ascii="Times New Roman" w:eastAsia="Calibri" w:hAnsi="Times New Roman" w:cs="Times New Roman"/>
                <w:sz w:val="18"/>
                <w:szCs w:val="18"/>
              </w:rPr>
              <w:lastRenderedPageBreak/>
              <w:t>1</w:t>
            </w:r>
          </w:p>
        </w:tc>
        <w:tc>
          <w:tcPr>
            <w:tcW w:w="1080" w:type="dxa"/>
            <w:gridSpan w:val="2"/>
          </w:tcPr>
          <w:p w14:paraId="70791749" w14:textId="2B41C669" w:rsidR="00AA21BA" w:rsidRPr="005E6D70" w:rsidRDefault="00AA21BA" w:rsidP="0017423E">
            <w:pPr>
              <w:rPr>
                <w:rFonts w:ascii="Times New Roman" w:eastAsia="Calibri" w:hAnsi="Times New Roman" w:cs="Times New Roman"/>
                <w:sz w:val="18"/>
                <w:szCs w:val="18"/>
              </w:rPr>
            </w:pPr>
            <w:r w:rsidRPr="005E6D70">
              <w:rPr>
                <w:rFonts w:ascii="Times New Roman" w:eastAsia="Calibri" w:hAnsi="Times New Roman" w:cs="Times New Roman"/>
                <w:sz w:val="18"/>
                <w:szCs w:val="18"/>
              </w:rPr>
              <w:t>4(38)</w:t>
            </w:r>
          </w:p>
        </w:tc>
        <w:tc>
          <w:tcPr>
            <w:tcW w:w="4680" w:type="dxa"/>
            <w:gridSpan w:val="2"/>
          </w:tcPr>
          <w:p w14:paraId="7AEF9C39" w14:textId="77777777" w:rsidR="00AA21BA" w:rsidRPr="005E6D70" w:rsidRDefault="00AA21BA" w:rsidP="00754FB1">
            <w:pPr>
              <w:jc w:val="both"/>
              <w:rPr>
                <w:rFonts w:ascii="Times New Roman" w:eastAsia="Calibri" w:hAnsi="Times New Roman" w:cs="Times New Roman"/>
                <w:sz w:val="18"/>
                <w:szCs w:val="18"/>
              </w:rPr>
            </w:pPr>
            <w:r w:rsidRPr="005E6D70">
              <w:rPr>
                <w:rFonts w:ascii="Times New Roman" w:eastAsia="Calibri" w:hAnsi="Times New Roman" w:cs="Times New Roman"/>
                <w:sz w:val="18"/>
                <w:szCs w:val="18"/>
              </w:rPr>
              <w:t xml:space="preserve">38. “Qualified imputation tax” means, for the purposes of the definition in paragraph 37, of this Article, a covered tax </w:t>
            </w:r>
            <w:r w:rsidRPr="005E6D70">
              <w:rPr>
                <w:rFonts w:ascii="Times New Roman" w:eastAsia="Calibri" w:hAnsi="Times New Roman" w:cs="Times New Roman"/>
                <w:sz w:val="18"/>
                <w:szCs w:val="18"/>
              </w:rPr>
              <w:lastRenderedPageBreak/>
              <w:t xml:space="preserve">accrued or paid by a constituent entity, including a permanent establishment, that is refundable or creditable to the beneficial owner of the dividend distributed by the constituent entity or, in the case of a covered tax accrued or paid by a permanent establishment, a dividend distributed by the main entity, to the extent that the refund is payable or the credit is provided:  </w:t>
            </w:r>
          </w:p>
          <w:p w14:paraId="762B0A9C" w14:textId="77777777" w:rsidR="00AA21BA" w:rsidRPr="005E6D70" w:rsidRDefault="00AA21BA" w:rsidP="00754FB1">
            <w:pPr>
              <w:jc w:val="both"/>
              <w:rPr>
                <w:rFonts w:ascii="Times New Roman" w:eastAsia="Calibri" w:hAnsi="Times New Roman" w:cs="Times New Roman"/>
                <w:sz w:val="18"/>
                <w:szCs w:val="18"/>
              </w:rPr>
            </w:pPr>
          </w:p>
          <w:p w14:paraId="6C430558" w14:textId="77777777" w:rsidR="00AA21BA" w:rsidRPr="005E6D70" w:rsidRDefault="00AA21BA" w:rsidP="00754FB1">
            <w:pPr>
              <w:jc w:val="both"/>
              <w:rPr>
                <w:rFonts w:ascii="Times New Roman" w:eastAsia="Calibri" w:hAnsi="Times New Roman" w:cs="Times New Roman"/>
                <w:sz w:val="18"/>
                <w:szCs w:val="18"/>
              </w:rPr>
            </w:pPr>
            <w:r w:rsidRPr="005E6D70">
              <w:rPr>
                <w:rFonts w:ascii="Times New Roman" w:eastAsia="Calibri" w:hAnsi="Times New Roman" w:cs="Times New Roman"/>
                <w:sz w:val="18"/>
                <w:szCs w:val="18"/>
              </w:rPr>
              <w:t>a) by a jurisdiction other than the jurisdiction which imposed the covered taxes;</w:t>
            </w:r>
          </w:p>
          <w:p w14:paraId="0BC4D538" w14:textId="77777777" w:rsidR="00AA21BA" w:rsidRPr="005E6D70" w:rsidRDefault="00AA21BA" w:rsidP="00754FB1">
            <w:pPr>
              <w:jc w:val="both"/>
              <w:rPr>
                <w:rFonts w:ascii="Times New Roman" w:eastAsia="Calibri" w:hAnsi="Times New Roman" w:cs="Times New Roman"/>
                <w:sz w:val="18"/>
                <w:szCs w:val="18"/>
              </w:rPr>
            </w:pPr>
          </w:p>
          <w:p w14:paraId="1934808A" w14:textId="77777777" w:rsidR="00AA21BA" w:rsidRPr="005E6D70" w:rsidRDefault="00AA21BA" w:rsidP="00754FB1">
            <w:pPr>
              <w:jc w:val="both"/>
              <w:rPr>
                <w:rFonts w:ascii="Times New Roman" w:eastAsia="Calibri" w:hAnsi="Times New Roman" w:cs="Times New Roman"/>
                <w:sz w:val="18"/>
                <w:szCs w:val="18"/>
              </w:rPr>
            </w:pPr>
            <w:r w:rsidRPr="005E6D70">
              <w:rPr>
                <w:rFonts w:ascii="Times New Roman" w:eastAsia="Calibri" w:hAnsi="Times New Roman" w:cs="Times New Roman"/>
                <w:sz w:val="18"/>
                <w:szCs w:val="18"/>
              </w:rPr>
              <w:t xml:space="preserve">b) to a beneficial owner of the dividend that is subject to tax at a nominal rate that equals or exceeds the minimum tax rate on the dividend received under the domestic law of the jurisdiction which imposed the covered taxes on the constituent entity;   </w:t>
            </w:r>
          </w:p>
          <w:p w14:paraId="7A3D0E7E" w14:textId="77777777" w:rsidR="00AA21BA" w:rsidRPr="005E6D70" w:rsidRDefault="00AA21BA" w:rsidP="00754FB1">
            <w:pPr>
              <w:jc w:val="both"/>
              <w:rPr>
                <w:rFonts w:ascii="Times New Roman" w:eastAsia="Calibri" w:hAnsi="Times New Roman" w:cs="Times New Roman"/>
                <w:sz w:val="18"/>
                <w:szCs w:val="18"/>
              </w:rPr>
            </w:pPr>
          </w:p>
          <w:p w14:paraId="1361EC97" w14:textId="71BF7F1F" w:rsidR="00AA21BA" w:rsidRPr="005E6D70" w:rsidRDefault="00AA21BA" w:rsidP="00754FB1">
            <w:pPr>
              <w:jc w:val="both"/>
              <w:rPr>
                <w:rFonts w:ascii="Times New Roman" w:eastAsia="Calibri" w:hAnsi="Times New Roman" w:cs="Times New Roman"/>
                <w:sz w:val="18"/>
                <w:szCs w:val="18"/>
              </w:rPr>
            </w:pPr>
            <w:r w:rsidRPr="005E6D70">
              <w:rPr>
                <w:rFonts w:ascii="Times New Roman" w:eastAsia="Calibri" w:hAnsi="Times New Roman" w:cs="Times New Roman"/>
                <w:sz w:val="18"/>
                <w:szCs w:val="18"/>
              </w:rPr>
              <w:t xml:space="preserve">c) to an individual who is the beneficial owner of the dividend and tax resident in the jurisdiction which imposed the covered taxes on the constituent entity and who is subject to tax at a nominal rate that equals or exceeds the standard tax rate applicable to ordinary income; or   </w:t>
            </w:r>
          </w:p>
          <w:p w14:paraId="2EBE173A" w14:textId="77777777" w:rsidR="00AA21BA" w:rsidRPr="005E6D70" w:rsidRDefault="00AA21BA" w:rsidP="00754FB1">
            <w:pPr>
              <w:jc w:val="both"/>
              <w:rPr>
                <w:rFonts w:ascii="Times New Roman" w:eastAsia="Calibri" w:hAnsi="Times New Roman" w:cs="Times New Roman"/>
                <w:sz w:val="18"/>
                <w:szCs w:val="18"/>
              </w:rPr>
            </w:pPr>
          </w:p>
          <w:p w14:paraId="4D8DD2A7" w14:textId="77777777" w:rsidR="00AA21BA" w:rsidRPr="005E6D70" w:rsidRDefault="00AA21BA" w:rsidP="00754FB1">
            <w:pPr>
              <w:jc w:val="both"/>
              <w:rPr>
                <w:rFonts w:ascii="Times New Roman" w:eastAsia="Calibri" w:hAnsi="Times New Roman" w:cs="Times New Roman"/>
                <w:sz w:val="18"/>
                <w:szCs w:val="18"/>
              </w:rPr>
            </w:pPr>
          </w:p>
          <w:p w14:paraId="54D72E8D" w14:textId="054D7ECB" w:rsidR="00AA21BA" w:rsidRPr="005E6D70" w:rsidRDefault="00AA21BA" w:rsidP="00754FB1">
            <w:pPr>
              <w:jc w:val="both"/>
              <w:rPr>
                <w:rFonts w:ascii="Times New Roman" w:eastAsia="Calibri" w:hAnsi="Times New Roman" w:cs="Times New Roman"/>
                <w:sz w:val="18"/>
                <w:szCs w:val="18"/>
              </w:rPr>
            </w:pPr>
            <w:r w:rsidRPr="005E6D70">
              <w:rPr>
                <w:rFonts w:ascii="Times New Roman" w:eastAsia="Calibri" w:hAnsi="Times New Roman" w:cs="Times New Roman"/>
                <w:sz w:val="18"/>
                <w:szCs w:val="18"/>
              </w:rPr>
              <w:t xml:space="preserve">d) to a governmental entity, an international organisation, a resident non-profit organisation, a resident pension fund, a resident investment entity that is not part of the multinational enterprise group or the large-scale domestic group, or a resident life insurance company to the extent that the dividend is received in connection with resident pension fund activities and is subject to tax in a similar manner as a dividend received by a pension fund;   </w:t>
            </w:r>
          </w:p>
          <w:p w14:paraId="50FF3D0A" w14:textId="77777777" w:rsidR="00AA21BA" w:rsidRPr="005E6D70" w:rsidRDefault="00AA21BA" w:rsidP="00754FB1">
            <w:pPr>
              <w:jc w:val="both"/>
              <w:rPr>
                <w:rFonts w:ascii="Times New Roman" w:eastAsia="Calibri" w:hAnsi="Times New Roman" w:cs="Times New Roman"/>
                <w:sz w:val="18"/>
                <w:szCs w:val="18"/>
              </w:rPr>
            </w:pPr>
          </w:p>
          <w:p w14:paraId="6AD58B16" w14:textId="0905E6CD" w:rsidR="00AA21BA" w:rsidRPr="005E6D70" w:rsidRDefault="00AA21BA" w:rsidP="00754FB1">
            <w:pPr>
              <w:jc w:val="both"/>
              <w:rPr>
                <w:rFonts w:ascii="Times New Roman" w:eastAsia="Calibri" w:hAnsi="Times New Roman" w:cs="Times New Roman"/>
                <w:sz w:val="18"/>
                <w:szCs w:val="18"/>
              </w:rPr>
            </w:pPr>
            <w:r w:rsidRPr="005E6D70">
              <w:rPr>
                <w:rFonts w:ascii="Times New Roman" w:eastAsia="Calibri" w:hAnsi="Times New Roman" w:cs="Times New Roman"/>
                <w:sz w:val="18"/>
                <w:szCs w:val="18"/>
              </w:rPr>
              <w:t xml:space="preserve">for the purposes of letter “d”, of this paragraph, the following shall apply:   </w:t>
            </w:r>
          </w:p>
          <w:p w14:paraId="1D45BEC2" w14:textId="77777777" w:rsidR="00AA21BA" w:rsidRPr="005E6D70" w:rsidRDefault="00AA21BA" w:rsidP="00754FB1">
            <w:pPr>
              <w:jc w:val="both"/>
              <w:rPr>
                <w:rFonts w:ascii="Times New Roman" w:eastAsia="Calibri" w:hAnsi="Times New Roman" w:cs="Times New Roman"/>
                <w:sz w:val="18"/>
                <w:szCs w:val="18"/>
              </w:rPr>
            </w:pPr>
          </w:p>
          <w:p w14:paraId="6B4D3726" w14:textId="77777777" w:rsidR="00AA21BA" w:rsidRPr="005E6D70" w:rsidRDefault="00AA21BA" w:rsidP="00754FB1">
            <w:pPr>
              <w:jc w:val="both"/>
              <w:rPr>
                <w:rFonts w:ascii="Times New Roman" w:eastAsia="Calibri" w:hAnsi="Times New Roman" w:cs="Times New Roman"/>
                <w:sz w:val="18"/>
                <w:szCs w:val="18"/>
              </w:rPr>
            </w:pPr>
            <w:r w:rsidRPr="005E6D70">
              <w:rPr>
                <w:rFonts w:ascii="Times New Roman" w:eastAsia="Calibri" w:hAnsi="Times New Roman" w:cs="Times New Roman"/>
                <w:sz w:val="18"/>
                <w:szCs w:val="18"/>
              </w:rPr>
              <w:t xml:space="preserve"> (i) a non-profit organisation or pension fund is resident in a jurisdiction if it is created and managed in that jurisdiction;  </w:t>
            </w:r>
          </w:p>
          <w:p w14:paraId="0C49ABD0" w14:textId="77777777" w:rsidR="00AA21BA" w:rsidRPr="005E6D70" w:rsidRDefault="00AA21BA" w:rsidP="00754FB1">
            <w:pPr>
              <w:jc w:val="both"/>
              <w:rPr>
                <w:rFonts w:ascii="Times New Roman" w:eastAsia="Calibri" w:hAnsi="Times New Roman" w:cs="Times New Roman"/>
                <w:sz w:val="18"/>
                <w:szCs w:val="18"/>
              </w:rPr>
            </w:pPr>
          </w:p>
          <w:p w14:paraId="1A821F11" w14:textId="77777777" w:rsidR="00AA21BA" w:rsidRPr="005E6D70" w:rsidRDefault="00AA21BA" w:rsidP="00754FB1">
            <w:pPr>
              <w:jc w:val="both"/>
              <w:rPr>
                <w:rFonts w:ascii="Times New Roman" w:eastAsia="Calibri" w:hAnsi="Times New Roman" w:cs="Times New Roman"/>
                <w:sz w:val="18"/>
                <w:szCs w:val="18"/>
              </w:rPr>
            </w:pPr>
            <w:r w:rsidRPr="005E6D70">
              <w:rPr>
                <w:rFonts w:ascii="Times New Roman" w:eastAsia="Calibri" w:hAnsi="Times New Roman" w:cs="Times New Roman"/>
                <w:sz w:val="18"/>
                <w:szCs w:val="18"/>
              </w:rPr>
              <w:t>(ii) an investment entity is resident in a jurisdiction if it is created and regulated in that jurisdiction;</w:t>
            </w:r>
          </w:p>
          <w:p w14:paraId="0CEE934A" w14:textId="77777777" w:rsidR="00AA21BA" w:rsidRPr="005E6D70" w:rsidRDefault="00AA21BA" w:rsidP="00754FB1">
            <w:pPr>
              <w:jc w:val="both"/>
              <w:rPr>
                <w:rFonts w:ascii="Times New Roman" w:eastAsia="Calibri" w:hAnsi="Times New Roman" w:cs="Times New Roman"/>
                <w:sz w:val="18"/>
                <w:szCs w:val="18"/>
              </w:rPr>
            </w:pPr>
          </w:p>
          <w:p w14:paraId="37954122" w14:textId="77777777" w:rsidR="00AA21BA" w:rsidRPr="005E6D70" w:rsidRDefault="00AA21BA" w:rsidP="00754FB1">
            <w:pPr>
              <w:jc w:val="both"/>
              <w:rPr>
                <w:rFonts w:ascii="Times New Roman" w:eastAsia="Calibri" w:hAnsi="Times New Roman" w:cs="Times New Roman"/>
                <w:sz w:val="18"/>
                <w:szCs w:val="18"/>
              </w:rPr>
            </w:pPr>
          </w:p>
          <w:p w14:paraId="707F32B1" w14:textId="73F07CDE" w:rsidR="00AA21BA" w:rsidRPr="005E6D70" w:rsidRDefault="00AA21BA" w:rsidP="00754FB1">
            <w:pPr>
              <w:jc w:val="both"/>
              <w:rPr>
                <w:rFonts w:ascii="Times New Roman" w:eastAsia="Calibri" w:hAnsi="Times New Roman" w:cs="Times New Roman"/>
                <w:sz w:val="18"/>
                <w:szCs w:val="18"/>
              </w:rPr>
            </w:pPr>
            <w:r w:rsidRPr="005E6D70">
              <w:rPr>
                <w:rFonts w:ascii="Times New Roman" w:eastAsia="Calibri" w:hAnsi="Times New Roman" w:cs="Times New Roman"/>
                <w:sz w:val="18"/>
                <w:szCs w:val="18"/>
              </w:rPr>
              <w:t xml:space="preserve"> (iii) a life insurance company is resident in the jurisdiction in which it is located.</w:t>
            </w:r>
          </w:p>
        </w:tc>
        <w:tc>
          <w:tcPr>
            <w:tcW w:w="1530" w:type="dxa"/>
          </w:tcPr>
          <w:p w14:paraId="5AC8B526" w14:textId="265C1DA7" w:rsidR="00AA21BA" w:rsidRPr="005E6D70" w:rsidRDefault="00A34A35" w:rsidP="0017423E">
            <w:pPr>
              <w:jc w:val="center"/>
              <w:rPr>
                <w:rFonts w:ascii="Times New Roman" w:eastAsia="Calibri" w:hAnsi="Times New Roman" w:cs="Times New Roman"/>
                <w:bCs/>
                <w:sz w:val="18"/>
                <w:szCs w:val="18"/>
              </w:rPr>
            </w:pPr>
            <w:r w:rsidRPr="005E6D70">
              <w:rPr>
                <w:rFonts w:ascii="Times New Roman" w:eastAsia="Calibri" w:hAnsi="Times New Roman" w:cs="Times New Roman"/>
                <w:bCs/>
                <w:sz w:val="18"/>
                <w:szCs w:val="18"/>
              </w:rPr>
              <w:lastRenderedPageBreak/>
              <w:t>F</w:t>
            </w:r>
          </w:p>
        </w:tc>
        <w:tc>
          <w:tcPr>
            <w:tcW w:w="1350" w:type="dxa"/>
          </w:tcPr>
          <w:p w14:paraId="60DA4E97" w14:textId="73035A1D" w:rsidR="00AA21BA" w:rsidRPr="005E6D70" w:rsidRDefault="00A34A35" w:rsidP="0017423E">
            <w:pPr>
              <w:rPr>
                <w:rFonts w:ascii="Times New Roman" w:eastAsia="Calibri" w:hAnsi="Times New Roman" w:cs="Times New Roman"/>
                <w:sz w:val="18"/>
                <w:szCs w:val="18"/>
              </w:rPr>
            </w:pPr>
            <w:r w:rsidRPr="005E6D70">
              <w:rPr>
                <w:rFonts w:ascii="Times New Roman" w:eastAsia="Calibri" w:hAnsi="Times New Roman" w:cs="Times New Roman"/>
                <w:sz w:val="18"/>
                <w:szCs w:val="18"/>
              </w:rPr>
              <w:t xml:space="preserve">The trailing unnumbered </w:t>
            </w:r>
            <w:r w:rsidRPr="005E6D70">
              <w:rPr>
                <w:rFonts w:ascii="Times New Roman" w:eastAsia="Calibri" w:hAnsi="Times New Roman" w:cs="Times New Roman"/>
                <w:sz w:val="18"/>
                <w:szCs w:val="18"/>
              </w:rPr>
              <w:lastRenderedPageBreak/>
              <w:t>subparagraph of point 37 of the Directive defining "qualified imputation tax" is structurally transposed as an independent numbered paragraph (paragraph 38) in Article 4 of the draft law. This aligns with national legislative drafting formats prohibiting multiple distinct definitions within the same numbered paragraph. Internal cross-references are adapted to national formats (e.g., "letter 'd', of this paragraph"). The abbreviation "MNE" is expanded.</w:t>
            </w:r>
          </w:p>
        </w:tc>
      </w:tr>
      <w:tr w:rsidR="00D37F89" w:rsidRPr="005E6D70" w14:paraId="0CF22AC1" w14:textId="77777777" w:rsidTr="00073B1B">
        <w:trPr>
          <w:trHeight w:val="224"/>
        </w:trPr>
        <w:tc>
          <w:tcPr>
            <w:tcW w:w="990" w:type="dxa"/>
            <w:gridSpan w:val="2"/>
          </w:tcPr>
          <w:p w14:paraId="4D5EFCCD" w14:textId="0F34F026"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3(38)</w:t>
            </w:r>
          </w:p>
        </w:tc>
        <w:tc>
          <w:tcPr>
            <w:tcW w:w="4860" w:type="dxa"/>
          </w:tcPr>
          <w:p w14:paraId="32D5FC41" w14:textId="7B990BF2"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(38) ‘qualified refundable tax credit’ means:</w:t>
            </w:r>
          </w:p>
        </w:tc>
        <w:tc>
          <w:tcPr>
            <w:tcW w:w="990" w:type="dxa"/>
            <w:gridSpan w:val="2"/>
          </w:tcPr>
          <w:p w14:paraId="53D164E6" w14:textId="7D606C99"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318B55B" w14:textId="6B9D7817" w:rsidR="0017423E" w:rsidRPr="005E6D70" w:rsidRDefault="00AF3CFE"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4(39)</w:t>
            </w:r>
          </w:p>
        </w:tc>
        <w:tc>
          <w:tcPr>
            <w:tcW w:w="4680" w:type="dxa"/>
            <w:gridSpan w:val="2"/>
          </w:tcPr>
          <w:p w14:paraId="05F229D2" w14:textId="2B842663" w:rsidR="0017423E" w:rsidRPr="005E6D70" w:rsidRDefault="00AF3CFE"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 “Qualified refundable tax credit” means:</w:t>
            </w:r>
          </w:p>
        </w:tc>
        <w:tc>
          <w:tcPr>
            <w:tcW w:w="1530" w:type="dxa"/>
          </w:tcPr>
          <w:p w14:paraId="363B14E3" w14:textId="7AA4EA2B"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139D19C4" w14:textId="533F8EB0" w:rsidR="0017423E" w:rsidRPr="005E6D70" w:rsidRDefault="00AF3CFE"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39 of Article 4 in the draft law. Verbatim transposition.</w:t>
            </w:r>
          </w:p>
        </w:tc>
      </w:tr>
      <w:tr w:rsidR="00D37F89" w:rsidRPr="005E6D70" w14:paraId="716C8920" w14:textId="77777777" w:rsidTr="00073B1B">
        <w:trPr>
          <w:trHeight w:val="530"/>
        </w:trPr>
        <w:tc>
          <w:tcPr>
            <w:tcW w:w="990" w:type="dxa"/>
            <w:gridSpan w:val="2"/>
          </w:tcPr>
          <w:p w14:paraId="232BCF46" w14:textId="0A919762"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3(38a)</w:t>
            </w:r>
          </w:p>
        </w:tc>
        <w:tc>
          <w:tcPr>
            <w:tcW w:w="4860" w:type="dxa"/>
          </w:tcPr>
          <w:p w14:paraId="3222D4F9" w14:textId="191DB6C0"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a refundable tax credit designed in such a way that it is to be paid as a cash payment or a cash equivalent to a constituent entity within four years from the date when the constituent entity is entitled to receive the refundable tax credit under the laws of the jurisdiction granting the credit; or</w:t>
            </w:r>
          </w:p>
        </w:tc>
        <w:tc>
          <w:tcPr>
            <w:tcW w:w="990" w:type="dxa"/>
            <w:gridSpan w:val="2"/>
          </w:tcPr>
          <w:p w14:paraId="49E62D99" w14:textId="77332031"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E703494" w14:textId="2BF5DC56" w:rsidR="0017423E" w:rsidRPr="005E6D70" w:rsidRDefault="00AF3CFE"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4(39)(a)</w:t>
            </w:r>
          </w:p>
        </w:tc>
        <w:tc>
          <w:tcPr>
            <w:tcW w:w="4680" w:type="dxa"/>
            <w:gridSpan w:val="2"/>
          </w:tcPr>
          <w:p w14:paraId="519DDE1E" w14:textId="73333992" w:rsidR="0017423E" w:rsidRPr="005E6D70" w:rsidRDefault="00AF3CFE"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a refundable tax credit designed in such a way that it is to be paid as a cash payment or a cash equivalent to a constituent entity within four years from the date when the constituent entity is entitled to receive the refundable tax credit under the laws of the jurisdiction granting the credit; or</w:t>
            </w:r>
          </w:p>
        </w:tc>
        <w:tc>
          <w:tcPr>
            <w:tcW w:w="1530" w:type="dxa"/>
          </w:tcPr>
          <w:p w14:paraId="305F0243" w14:textId="23B86D02"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47E68441" w14:textId="74D2329E" w:rsidR="0017423E" w:rsidRPr="005E6D70" w:rsidRDefault="00AF3CFE"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546A5BAB" w14:textId="77777777" w:rsidTr="00073B1B">
        <w:trPr>
          <w:trHeight w:val="530"/>
        </w:trPr>
        <w:tc>
          <w:tcPr>
            <w:tcW w:w="990" w:type="dxa"/>
            <w:gridSpan w:val="2"/>
          </w:tcPr>
          <w:p w14:paraId="16FEA256" w14:textId="0E694A25"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3(38b)</w:t>
            </w:r>
          </w:p>
        </w:tc>
        <w:tc>
          <w:tcPr>
            <w:tcW w:w="4860" w:type="dxa"/>
          </w:tcPr>
          <w:p w14:paraId="2E756AC4" w14:textId="41CEEA70"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if the tax credit is refundable in part, the portion of the refundable tax credit that is payable as a cash payment or a cash equivalent to a constituent entity within four years from the date when the constituent entity is entitled to receive the partial refundable tax credit; a qualified refundable tax credit does not include any amount of tax creditable or refundable pursuant to a qualified imputation tax or a disqualified refundable imputation tax;</w:t>
            </w:r>
          </w:p>
        </w:tc>
        <w:tc>
          <w:tcPr>
            <w:tcW w:w="990" w:type="dxa"/>
            <w:gridSpan w:val="2"/>
          </w:tcPr>
          <w:p w14:paraId="2A83E5E7" w14:textId="7F66E651"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117A2FD" w14:textId="3D763F97" w:rsidR="0017423E" w:rsidRPr="005E6D70" w:rsidRDefault="00AF3CFE"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4(39)(b)</w:t>
            </w:r>
          </w:p>
        </w:tc>
        <w:tc>
          <w:tcPr>
            <w:tcW w:w="4680" w:type="dxa"/>
            <w:gridSpan w:val="2"/>
          </w:tcPr>
          <w:p w14:paraId="7EE8FD99" w14:textId="77777777" w:rsidR="00AF3CFE" w:rsidRPr="005E6D70" w:rsidRDefault="00AF3CFE"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b) if the tax credit is refundable in part, the portion of the refundable tax credit that is payable as a cash payment or a cash equivalent to a constituent entity within four years from the date when the constituent entity is entitled to receive the partial refundable tax credit.   </w:t>
            </w:r>
          </w:p>
          <w:p w14:paraId="4B55DF7A" w14:textId="77777777" w:rsidR="00AF3CFE" w:rsidRPr="005E6D70" w:rsidRDefault="00AF3CFE" w:rsidP="00754FB1">
            <w:pPr>
              <w:jc w:val="both"/>
              <w:rPr>
                <w:rFonts w:ascii="Times New Roman" w:eastAsia="Calibri" w:hAnsi="Times New Roman" w:cs="Times New Roman"/>
                <w:sz w:val="18"/>
                <w:szCs w:val="18"/>
                <w:lang w:val="en-US"/>
              </w:rPr>
            </w:pPr>
          </w:p>
          <w:p w14:paraId="386B1FC4" w14:textId="77777777" w:rsidR="00AF3CFE" w:rsidRPr="005E6D70" w:rsidRDefault="00AF3CFE" w:rsidP="00754FB1">
            <w:pPr>
              <w:jc w:val="both"/>
              <w:rPr>
                <w:rFonts w:ascii="Times New Roman" w:eastAsia="Calibri" w:hAnsi="Times New Roman" w:cs="Times New Roman"/>
                <w:sz w:val="18"/>
                <w:szCs w:val="18"/>
                <w:lang w:val="en-US"/>
              </w:rPr>
            </w:pPr>
          </w:p>
          <w:p w14:paraId="22D4961C" w14:textId="73E242D0" w:rsidR="0017423E" w:rsidRPr="005E6D70" w:rsidRDefault="00AF3CFE"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qualified refundable tax credit does not include any amount of tax creditable or refundable pursuant to a qualified imputation tax or a disqualified refundable imputation tax.</w:t>
            </w:r>
          </w:p>
        </w:tc>
        <w:tc>
          <w:tcPr>
            <w:tcW w:w="1530" w:type="dxa"/>
          </w:tcPr>
          <w:p w14:paraId="508F6D9D" w14:textId="753AA317"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296CF7C7" w14:textId="5080FA34" w:rsidR="0017423E" w:rsidRPr="005E6D70" w:rsidRDefault="002267F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trailing clause of the Directive is formatted as a separate sentence within the same paragraph</w:t>
            </w:r>
            <w:r w:rsidR="000000FF" w:rsidRPr="005E6D70">
              <w:rPr>
                <w:rFonts w:ascii="Times New Roman" w:eastAsia="Calibri" w:hAnsi="Times New Roman" w:cs="Times New Roman"/>
                <w:sz w:val="18"/>
                <w:szCs w:val="18"/>
                <w:lang w:val="en-US"/>
              </w:rPr>
              <w:t>.</w:t>
            </w:r>
          </w:p>
        </w:tc>
      </w:tr>
      <w:tr w:rsidR="00D37F89" w:rsidRPr="005E6D70" w14:paraId="390EB978" w14:textId="77777777" w:rsidTr="00073B1B">
        <w:trPr>
          <w:trHeight w:val="530"/>
        </w:trPr>
        <w:tc>
          <w:tcPr>
            <w:tcW w:w="990" w:type="dxa"/>
            <w:gridSpan w:val="2"/>
          </w:tcPr>
          <w:p w14:paraId="09A1C0A3" w14:textId="630B163B"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3(39)</w:t>
            </w:r>
          </w:p>
        </w:tc>
        <w:tc>
          <w:tcPr>
            <w:tcW w:w="4860" w:type="dxa"/>
          </w:tcPr>
          <w:p w14:paraId="7AC983A2" w14:textId="13E1038A"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(39) ‘non-qualified refundable tax credit’ means a tax credit that is a not a qualified refundable tax credit but that is refundable in whole or in part;</w:t>
            </w:r>
          </w:p>
        </w:tc>
        <w:tc>
          <w:tcPr>
            <w:tcW w:w="990" w:type="dxa"/>
            <w:gridSpan w:val="2"/>
          </w:tcPr>
          <w:p w14:paraId="33F8C56C" w14:textId="299EAEA2"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AA27A4D" w14:textId="1D18927E" w:rsidR="0017423E" w:rsidRPr="005E6D70" w:rsidRDefault="00CC6971"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4(40)</w:t>
            </w:r>
          </w:p>
          <w:p w14:paraId="69BAA037" w14:textId="77777777" w:rsidR="00CC6971" w:rsidRPr="005E6D70" w:rsidRDefault="00CC6971" w:rsidP="00CC6971">
            <w:pPr>
              <w:rPr>
                <w:rFonts w:ascii="Times New Roman" w:eastAsia="Calibri" w:hAnsi="Times New Roman" w:cs="Times New Roman"/>
                <w:sz w:val="18"/>
                <w:szCs w:val="18"/>
              </w:rPr>
            </w:pPr>
          </w:p>
        </w:tc>
        <w:tc>
          <w:tcPr>
            <w:tcW w:w="4680" w:type="dxa"/>
            <w:gridSpan w:val="2"/>
          </w:tcPr>
          <w:p w14:paraId="37A151F8" w14:textId="193A5FC7" w:rsidR="0017423E" w:rsidRPr="005E6D70" w:rsidRDefault="00CC6971"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40. “Non-qualified refundable tax credit” means a tax credit that is not a qualified refundable tax credit but that is refundable in whole or in part.</w:t>
            </w:r>
          </w:p>
        </w:tc>
        <w:tc>
          <w:tcPr>
            <w:tcW w:w="1530" w:type="dxa"/>
          </w:tcPr>
          <w:p w14:paraId="42D277D4" w14:textId="658FA07D"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1F4BC69A" w14:textId="3BC07211" w:rsidR="0017423E" w:rsidRPr="005E6D70" w:rsidRDefault="00CC6971"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40 of Article 4 in the draft law. Verbatim transposition.</w:t>
            </w:r>
          </w:p>
        </w:tc>
      </w:tr>
      <w:tr w:rsidR="00D37F89" w:rsidRPr="005E6D70" w14:paraId="731F4A73" w14:textId="77777777" w:rsidTr="00073B1B">
        <w:trPr>
          <w:trHeight w:val="530"/>
        </w:trPr>
        <w:tc>
          <w:tcPr>
            <w:tcW w:w="990" w:type="dxa"/>
            <w:gridSpan w:val="2"/>
          </w:tcPr>
          <w:p w14:paraId="015362A9" w14:textId="01B1921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3(40)</w:t>
            </w:r>
          </w:p>
        </w:tc>
        <w:tc>
          <w:tcPr>
            <w:tcW w:w="4860" w:type="dxa"/>
          </w:tcPr>
          <w:p w14:paraId="6B5D4D78" w14:textId="5DF30514"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(40) ‘main entity’ means an entity that includes the financial accounting net income or loss of a permanent establishment in its financial statements;</w:t>
            </w:r>
          </w:p>
        </w:tc>
        <w:tc>
          <w:tcPr>
            <w:tcW w:w="990" w:type="dxa"/>
            <w:gridSpan w:val="2"/>
          </w:tcPr>
          <w:p w14:paraId="544161DB" w14:textId="479E4468"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6B53FEE0" w14:textId="0878503E" w:rsidR="0017423E" w:rsidRPr="005E6D70" w:rsidRDefault="00CC6971"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4(45)</w:t>
            </w:r>
          </w:p>
        </w:tc>
        <w:tc>
          <w:tcPr>
            <w:tcW w:w="4680" w:type="dxa"/>
            <w:gridSpan w:val="2"/>
          </w:tcPr>
          <w:p w14:paraId="1065BBEF" w14:textId="4B88F572" w:rsidR="0017423E" w:rsidRPr="005E6D70" w:rsidRDefault="00CC6971"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45. “Main entity” means the entity that includes the financial accounting net income or loss of a permanent establishment in its financial statements.</w:t>
            </w:r>
          </w:p>
        </w:tc>
        <w:tc>
          <w:tcPr>
            <w:tcW w:w="1530" w:type="dxa"/>
          </w:tcPr>
          <w:p w14:paraId="29E76A4F" w14:textId="520CD46B"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2DE6322A" w14:textId="30284084" w:rsidR="0017423E" w:rsidRPr="005E6D70" w:rsidRDefault="00CC6971"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45 of Article 4 in the draft law. The term "an entity" is transposed as "the entity".</w:t>
            </w:r>
          </w:p>
        </w:tc>
      </w:tr>
      <w:tr w:rsidR="00D37F89" w:rsidRPr="005E6D70" w14:paraId="1FECF759" w14:textId="77777777" w:rsidTr="00073B1B">
        <w:trPr>
          <w:trHeight w:val="530"/>
        </w:trPr>
        <w:tc>
          <w:tcPr>
            <w:tcW w:w="990" w:type="dxa"/>
            <w:gridSpan w:val="2"/>
          </w:tcPr>
          <w:p w14:paraId="0A5DFF1C" w14:textId="10AC3197"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3(41)</w:t>
            </w:r>
          </w:p>
        </w:tc>
        <w:tc>
          <w:tcPr>
            <w:tcW w:w="4860" w:type="dxa"/>
          </w:tcPr>
          <w:p w14:paraId="2C34110A" w14:textId="4C4CE42C"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(41) ‘constituent entity-owner’ means a constituent entity that owns, directly or indirectly, an ownership interest in another constituent entity of the same MNE group or large-scale domestic group;</w:t>
            </w:r>
          </w:p>
        </w:tc>
        <w:tc>
          <w:tcPr>
            <w:tcW w:w="990" w:type="dxa"/>
            <w:gridSpan w:val="2"/>
          </w:tcPr>
          <w:p w14:paraId="3BAD819B" w14:textId="1DB33588"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0A51FDAA" w14:textId="0DD58B8C" w:rsidR="0017423E" w:rsidRPr="005E6D70" w:rsidRDefault="002C703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4(25)</w:t>
            </w:r>
          </w:p>
        </w:tc>
        <w:tc>
          <w:tcPr>
            <w:tcW w:w="4680" w:type="dxa"/>
            <w:gridSpan w:val="2"/>
          </w:tcPr>
          <w:p w14:paraId="067D1AE2" w14:textId="10C574F3" w:rsidR="0017423E" w:rsidRPr="005E6D70" w:rsidRDefault="002C7038"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25. “Constituent entity-owner” means a constituent entity that owns, directly or indirectly, an ownership interest in another constituent entity of the same multinational enterprise group or large-scale domestic group.</w:t>
            </w:r>
          </w:p>
        </w:tc>
        <w:tc>
          <w:tcPr>
            <w:tcW w:w="1530" w:type="dxa"/>
          </w:tcPr>
          <w:p w14:paraId="087D0574" w14:textId="513DF41F"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3F46F334" w14:textId="0DF4A6B3" w:rsidR="0017423E" w:rsidRPr="005E6D70" w:rsidRDefault="002C703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25 of Article 4 in the draft law. The abbreviation "MNE" is expanded to "multinational enterprise".</w:t>
            </w:r>
          </w:p>
        </w:tc>
      </w:tr>
      <w:tr w:rsidR="00D37F89" w:rsidRPr="005E6D70" w14:paraId="3129FFB8" w14:textId="77777777" w:rsidTr="00073B1B">
        <w:trPr>
          <w:trHeight w:val="413"/>
        </w:trPr>
        <w:tc>
          <w:tcPr>
            <w:tcW w:w="990" w:type="dxa"/>
            <w:gridSpan w:val="2"/>
          </w:tcPr>
          <w:p w14:paraId="2EC8BA44" w14:textId="2AF6F690"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3(42)</w:t>
            </w:r>
          </w:p>
        </w:tc>
        <w:tc>
          <w:tcPr>
            <w:tcW w:w="4860" w:type="dxa"/>
          </w:tcPr>
          <w:p w14:paraId="60B552C5" w14:textId="3A006B37"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(42) ‘eligible distribution tax system’ means a corporate income tax system that:</w:t>
            </w:r>
          </w:p>
        </w:tc>
        <w:tc>
          <w:tcPr>
            <w:tcW w:w="990" w:type="dxa"/>
            <w:gridSpan w:val="2"/>
          </w:tcPr>
          <w:p w14:paraId="110527E1" w14:textId="7F195D85"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0DD7B038" w14:textId="5299EF3F" w:rsidR="0017423E" w:rsidRPr="005E6D70" w:rsidRDefault="002C703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43(1)</w:t>
            </w:r>
          </w:p>
        </w:tc>
        <w:tc>
          <w:tcPr>
            <w:tcW w:w="4680" w:type="dxa"/>
            <w:gridSpan w:val="2"/>
          </w:tcPr>
          <w:p w14:paraId="269000C7" w14:textId="563458A6" w:rsidR="0017423E" w:rsidRPr="005E6D70" w:rsidRDefault="002C7038"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 For the purposes of this Article, an “eligible distribution tax system” means a corporate income tax regime that meets all of the following conditions:</w:t>
            </w:r>
          </w:p>
        </w:tc>
        <w:tc>
          <w:tcPr>
            <w:tcW w:w="1530" w:type="dxa"/>
          </w:tcPr>
          <w:p w14:paraId="7D7AA11D" w14:textId="50CB2EA4"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6483D908" w14:textId="3AA7B255" w:rsidR="0017423E" w:rsidRPr="005E6D70" w:rsidRDefault="002C703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definition is structurally transposed into Article 43, paragraph 1 of the draft law, serving as a specific definition within the article regulating this particular system. The term "corporate income tax system" is transposed as "corporate income tax regime"</w:t>
            </w:r>
          </w:p>
        </w:tc>
      </w:tr>
      <w:tr w:rsidR="00D37F89" w:rsidRPr="005E6D70" w14:paraId="7B299A73" w14:textId="77777777" w:rsidTr="00073B1B">
        <w:trPr>
          <w:trHeight w:val="530"/>
        </w:trPr>
        <w:tc>
          <w:tcPr>
            <w:tcW w:w="990" w:type="dxa"/>
            <w:gridSpan w:val="2"/>
          </w:tcPr>
          <w:p w14:paraId="27020471" w14:textId="1D70273F"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3(42a)</w:t>
            </w:r>
          </w:p>
        </w:tc>
        <w:tc>
          <w:tcPr>
            <w:tcW w:w="4860" w:type="dxa"/>
          </w:tcPr>
          <w:p w14:paraId="422856EA" w14:textId="1D3FBE6D"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imposes income tax on profits only when those profits are distributed or deemed to be distributed to shareholders, or when the company incurs certain non-business expenses;</w:t>
            </w:r>
          </w:p>
        </w:tc>
        <w:tc>
          <w:tcPr>
            <w:tcW w:w="990" w:type="dxa"/>
            <w:gridSpan w:val="2"/>
          </w:tcPr>
          <w:p w14:paraId="7A3128E2" w14:textId="0B25C396"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AFA7238" w14:textId="28A422CC" w:rsidR="0017423E" w:rsidRPr="005E6D70" w:rsidRDefault="00215B99"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43(1)(a)</w:t>
            </w:r>
          </w:p>
        </w:tc>
        <w:tc>
          <w:tcPr>
            <w:tcW w:w="4680" w:type="dxa"/>
            <w:gridSpan w:val="2"/>
          </w:tcPr>
          <w:p w14:paraId="04FC9B99" w14:textId="265DE0AF" w:rsidR="0017423E" w:rsidRPr="005E6D70" w:rsidRDefault="00215B99"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it imposes a tax on profits only when such profits are distributed or deemed to be distributed to shareholders, or when the company incurs certain non-business expenses;</w:t>
            </w:r>
          </w:p>
        </w:tc>
        <w:tc>
          <w:tcPr>
            <w:tcW w:w="1530" w:type="dxa"/>
          </w:tcPr>
          <w:p w14:paraId="69E9FA78" w14:textId="1DC91A34"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503ACF25" w14:textId="4F5260F1" w:rsidR="0017423E" w:rsidRPr="005E6D70" w:rsidRDefault="00215B99"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341533E4" w14:textId="77777777" w:rsidTr="00073B1B">
        <w:trPr>
          <w:trHeight w:val="440"/>
        </w:trPr>
        <w:tc>
          <w:tcPr>
            <w:tcW w:w="990" w:type="dxa"/>
            <w:gridSpan w:val="2"/>
          </w:tcPr>
          <w:p w14:paraId="4F91E44C" w14:textId="29021AD4"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3(42b)</w:t>
            </w:r>
          </w:p>
        </w:tc>
        <w:tc>
          <w:tcPr>
            <w:tcW w:w="4860" w:type="dxa"/>
          </w:tcPr>
          <w:p w14:paraId="78B1FE93" w14:textId="5760AD57"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imposes tax at a rate equal to, or in excess of, the minimum tax rate; and</w:t>
            </w:r>
          </w:p>
        </w:tc>
        <w:tc>
          <w:tcPr>
            <w:tcW w:w="990" w:type="dxa"/>
            <w:gridSpan w:val="2"/>
          </w:tcPr>
          <w:p w14:paraId="5764343E" w14:textId="42CD062B"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3A3501EB" w14:textId="526CA286" w:rsidR="0017423E" w:rsidRPr="005E6D70" w:rsidRDefault="00215B99"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43(1)(b)</w:t>
            </w:r>
          </w:p>
        </w:tc>
        <w:tc>
          <w:tcPr>
            <w:tcW w:w="4680" w:type="dxa"/>
            <w:gridSpan w:val="2"/>
          </w:tcPr>
          <w:p w14:paraId="1E977495" w14:textId="46078A7F" w:rsidR="0017423E" w:rsidRPr="005E6D70" w:rsidRDefault="00215B99"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it imposes tax at a rate equal to, or in excess of, the minimum tax rate; and</w:t>
            </w:r>
          </w:p>
        </w:tc>
        <w:tc>
          <w:tcPr>
            <w:tcW w:w="1530" w:type="dxa"/>
          </w:tcPr>
          <w:p w14:paraId="3360344C" w14:textId="46FF0173"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0CC31BFB" w14:textId="53C00D6E" w:rsidR="0017423E" w:rsidRPr="005E6D70" w:rsidRDefault="00215B99"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1D27B0E3" w14:textId="77777777" w:rsidTr="00073B1B">
        <w:trPr>
          <w:trHeight w:val="260"/>
        </w:trPr>
        <w:tc>
          <w:tcPr>
            <w:tcW w:w="990" w:type="dxa"/>
            <w:gridSpan w:val="2"/>
          </w:tcPr>
          <w:p w14:paraId="0843EA89" w14:textId="50CC0DDB"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3(42c)</w:t>
            </w:r>
          </w:p>
        </w:tc>
        <w:tc>
          <w:tcPr>
            <w:tcW w:w="4860" w:type="dxa"/>
          </w:tcPr>
          <w:p w14:paraId="560BDDA0" w14:textId="1D65C328"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was in force on or before 1 July 2021;</w:t>
            </w:r>
          </w:p>
        </w:tc>
        <w:tc>
          <w:tcPr>
            <w:tcW w:w="990" w:type="dxa"/>
            <w:gridSpan w:val="2"/>
          </w:tcPr>
          <w:p w14:paraId="1F0788A5" w14:textId="4E726DB2"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7F11D4D0" w14:textId="748DB4E3" w:rsidR="0017423E" w:rsidRPr="005E6D70" w:rsidRDefault="00215B99"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43(1)(c)</w:t>
            </w:r>
          </w:p>
        </w:tc>
        <w:tc>
          <w:tcPr>
            <w:tcW w:w="4680" w:type="dxa"/>
            <w:gridSpan w:val="2"/>
          </w:tcPr>
          <w:p w14:paraId="6A1E3C93" w14:textId="2FC26138" w:rsidR="0017423E" w:rsidRPr="005E6D70" w:rsidRDefault="00215B99"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c) it was in force on or before 1 July 2021.</w:t>
            </w:r>
          </w:p>
        </w:tc>
        <w:tc>
          <w:tcPr>
            <w:tcW w:w="1530" w:type="dxa"/>
          </w:tcPr>
          <w:p w14:paraId="2506CDE9" w14:textId="3FE77A56"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11163CD0" w14:textId="45C252A3" w:rsidR="0017423E" w:rsidRPr="005E6D70" w:rsidRDefault="00215B99"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0C055124" w14:textId="77777777" w:rsidTr="00073B1B">
        <w:trPr>
          <w:trHeight w:val="530"/>
        </w:trPr>
        <w:tc>
          <w:tcPr>
            <w:tcW w:w="990" w:type="dxa"/>
            <w:gridSpan w:val="2"/>
          </w:tcPr>
          <w:p w14:paraId="25044DC2" w14:textId="1953EB2E"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3(43)</w:t>
            </w:r>
          </w:p>
        </w:tc>
        <w:tc>
          <w:tcPr>
            <w:tcW w:w="4860" w:type="dxa"/>
          </w:tcPr>
          <w:p w14:paraId="26B3BAFF" w14:textId="40AAD6DC"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(43) ‘qualified UTPR’ means a set of rules implemented in the domestic law of a jurisdiction, provided that such jurisdiction does not provide any benefits that are related to those rules, and that:</w:t>
            </w:r>
          </w:p>
        </w:tc>
        <w:tc>
          <w:tcPr>
            <w:tcW w:w="990" w:type="dxa"/>
            <w:gridSpan w:val="2"/>
          </w:tcPr>
          <w:p w14:paraId="5F61EAF4" w14:textId="16E729D9"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A7F83A2" w14:textId="5FA49E57" w:rsidR="0017423E" w:rsidRPr="005E6D70" w:rsidRDefault="00AE1DA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4(23)</w:t>
            </w:r>
          </w:p>
        </w:tc>
        <w:tc>
          <w:tcPr>
            <w:tcW w:w="4680" w:type="dxa"/>
            <w:gridSpan w:val="2"/>
          </w:tcPr>
          <w:p w14:paraId="18E9B465" w14:textId="4EF61AA7" w:rsidR="0017423E" w:rsidRPr="005E6D70" w:rsidRDefault="00DE2F4D"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 “Qualified UTPR” means a set of rules implemented in the domestic law of a jurisdiction, provided that such jurisdiction does not provide any benefits that are related to those rules, and that:</w:t>
            </w:r>
          </w:p>
        </w:tc>
        <w:tc>
          <w:tcPr>
            <w:tcW w:w="1530" w:type="dxa"/>
          </w:tcPr>
          <w:p w14:paraId="58BA58A9" w14:textId="2E4CFBC0"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7FE840A7" w14:textId="318D0CAF" w:rsidR="0017423E" w:rsidRPr="005E6D70" w:rsidRDefault="00DE2F4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23 of Article 4 in the draft law. Verbatim transposition.</w:t>
            </w:r>
          </w:p>
        </w:tc>
      </w:tr>
      <w:tr w:rsidR="00D37F89" w:rsidRPr="005E6D70" w14:paraId="112FA058" w14:textId="77777777" w:rsidTr="00073B1B">
        <w:trPr>
          <w:trHeight w:val="530"/>
        </w:trPr>
        <w:tc>
          <w:tcPr>
            <w:tcW w:w="990" w:type="dxa"/>
            <w:gridSpan w:val="2"/>
          </w:tcPr>
          <w:p w14:paraId="1A22647B" w14:textId="4F87CDFF"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3(43a)</w:t>
            </w:r>
          </w:p>
        </w:tc>
        <w:tc>
          <w:tcPr>
            <w:tcW w:w="4860" w:type="dxa"/>
          </w:tcPr>
          <w:p w14:paraId="6536D0A5" w14:textId="6072A6A0"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is equivalent to the rules laid down in this Directive or, as regards third-country jurisdictions, the OECD Model Rules, in accordance with which a jurisdiction collects its allocable share of top-up tax of an MNE group that was not charged under the IIR in respect of the low-taxed constituent entities of that MNE group;</w:t>
            </w:r>
          </w:p>
        </w:tc>
        <w:tc>
          <w:tcPr>
            <w:tcW w:w="990" w:type="dxa"/>
            <w:gridSpan w:val="2"/>
          </w:tcPr>
          <w:p w14:paraId="1DC66094" w14:textId="3D3D17B0"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E73E01C" w14:textId="7445D9D2" w:rsidR="0017423E" w:rsidRPr="005E6D70" w:rsidRDefault="00227CC0"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4(23)(a)</w:t>
            </w:r>
          </w:p>
        </w:tc>
        <w:tc>
          <w:tcPr>
            <w:tcW w:w="4680" w:type="dxa"/>
            <w:gridSpan w:val="2"/>
          </w:tcPr>
          <w:p w14:paraId="1E6983EA" w14:textId="770BC53E" w:rsidR="0017423E" w:rsidRPr="005E6D70" w:rsidRDefault="00227CC0"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is equivalent to the rules laid down in this Law or, as regards third-country jurisdictions, the OECD Model Rules, in accordance with which a jurisdiction collects its allocable share of top-up tax of a multinational enterprise group that was not charged under the IIR in respect of the low-taxed constituent entities of that multinational enterprise group; and</w:t>
            </w:r>
          </w:p>
        </w:tc>
        <w:tc>
          <w:tcPr>
            <w:tcW w:w="1530" w:type="dxa"/>
          </w:tcPr>
          <w:p w14:paraId="50F67782" w14:textId="5A62CBAA"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1A53855A" w14:textId="1A4677A7" w:rsidR="0017423E" w:rsidRPr="005E6D70" w:rsidRDefault="00DC235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term "this Directive" is transposed as "this Law". The abbreviation "MNE" is expanded to "multinational enterprise".</w:t>
            </w:r>
          </w:p>
        </w:tc>
      </w:tr>
      <w:tr w:rsidR="00D37F89" w:rsidRPr="005E6D70" w14:paraId="08BEE30D" w14:textId="77777777" w:rsidTr="00073B1B">
        <w:trPr>
          <w:trHeight w:val="530"/>
        </w:trPr>
        <w:tc>
          <w:tcPr>
            <w:tcW w:w="990" w:type="dxa"/>
            <w:gridSpan w:val="2"/>
          </w:tcPr>
          <w:p w14:paraId="39EB782A" w14:textId="27F69B0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3(43b)</w:t>
            </w:r>
          </w:p>
        </w:tc>
        <w:tc>
          <w:tcPr>
            <w:tcW w:w="4860" w:type="dxa"/>
          </w:tcPr>
          <w:p w14:paraId="2D5BC8E3" w14:textId="2A2E37E9"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is administered in a way that is consistent with the rules laid down in this Directive or, as regards third-country jurisdictions, the OECD Model Rules;</w:t>
            </w:r>
          </w:p>
        </w:tc>
        <w:tc>
          <w:tcPr>
            <w:tcW w:w="990" w:type="dxa"/>
            <w:gridSpan w:val="2"/>
          </w:tcPr>
          <w:p w14:paraId="1EBD7F22" w14:textId="6BC29B11"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66C2F019" w14:textId="6DC7C9A2" w:rsidR="0017423E" w:rsidRPr="005E6D70" w:rsidRDefault="00DC235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4(23)(b)</w:t>
            </w:r>
          </w:p>
        </w:tc>
        <w:tc>
          <w:tcPr>
            <w:tcW w:w="4680" w:type="dxa"/>
            <w:gridSpan w:val="2"/>
          </w:tcPr>
          <w:p w14:paraId="5F81EA7D" w14:textId="5F590BBE" w:rsidR="0017423E" w:rsidRPr="005E6D70" w:rsidRDefault="00DC235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is administered in a way that is consistent with the rules laid down in this Law or, as regards third-country jurisdictions, with the OECD Model Rules.</w:t>
            </w:r>
          </w:p>
        </w:tc>
        <w:tc>
          <w:tcPr>
            <w:tcW w:w="1530" w:type="dxa"/>
          </w:tcPr>
          <w:p w14:paraId="160D9D79" w14:textId="1B2C2D93" w:rsidR="0017423E" w:rsidRPr="005E6D70" w:rsidRDefault="0017423E" w:rsidP="0017423E">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235ED931" w14:textId="43A6D77B" w:rsidR="0017423E" w:rsidRPr="005E6D70" w:rsidRDefault="00DC2353"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term "this Directive" is transposed as "this Law".</w:t>
            </w:r>
          </w:p>
        </w:tc>
      </w:tr>
      <w:tr w:rsidR="00D37F89" w:rsidRPr="005E6D70" w14:paraId="75ADBAD6" w14:textId="77777777" w:rsidTr="00073B1B">
        <w:trPr>
          <w:trHeight w:val="1097"/>
        </w:trPr>
        <w:tc>
          <w:tcPr>
            <w:tcW w:w="990" w:type="dxa"/>
            <w:gridSpan w:val="2"/>
          </w:tcPr>
          <w:p w14:paraId="6AFFFD80" w14:textId="666908B6"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3(44)</w:t>
            </w:r>
          </w:p>
        </w:tc>
        <w:tc>
          <w:tcPr>
            <w:tcW w:w="4860" w:type="dxa"/>
          </w:tcPr>
          <w:p w14:paraId="05FC7BD6" w14:textId="70A5D9AE"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(44) ‘designated filing entity’ means the constituent entity, other than the ultimate parent entity, that has been appointed by the MNE group or large-scale domestic group to fulfil the filing obligations set out in Article 44 on behalf of the MNE group or the large-scale domestic group.</w:t>
            </w:r>
          </w:p>
        </w:tc>
        <w:tc>
          <w:tcPr>
            <w:tcW w:w="990" w:type="dxa"/>
            <w:gridSpan w:val="2"/>
          </w:tcPr>
          <w:p w14:paraId="7CCA104B" w14:textId="23C3DD1A" w:rsidR="0017423E" w:rsidRPr="005E6D70" w:rsidRDefault="0017423E" w:rsidP="00DD3921">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6EE014CA" w14:textId="4F22389A" w:rsidR="0017423E" w:rsidRPr="005E6D70" w:rsidRDefault="00C0662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4(41)</w:t>
            </w:r>
          </w:p>
        </w:tc>
        <w:tc>
          <w:tcPr>
            <w:tcW w:w="4680" w:type="dxa"/>
            <w:gridSpan w:val="2"/>
          </w:tcPr>
          <w:p w14:paraId="258A79DA" w14:textId="75B40626" w:rsidR="0017423E" w:rsidRPr="005E6D70" w:rsidRDefault="00C06628"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 “Designated filing entity” means the constituent entity, other than the ultimate parent entity, that has been appointed by the multinational enterprise group or the large-scale domestic group to fulfil the filing obligations set out in Article 54, of this Law, on behalf of the multinational enterprise group or the large-scale domestic group.</w:t>
            </w:r>
          </w:p>
        </w:tc>
        <w:tc>
          <w:tcPr>
            <w:tcW w:w="1530" w:type="dxa"/>
          </w:tcPr>
          <w:p w14:paraId="4C716C66" w14:textId="08DD1AB3" w:rsidR="0017423E" w:rsidRPr="005E6D70" w:rsidRDefault="0017423E" w:rsidP="00C90271">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3658547B" w14:textId="34746CF1" w:rsidR="0017423E" w:rsidRPr="005E6D70" w:rsidRDefault="00C06628"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41 of Article 4 in the draft law. The abbreviation "MNE" is expanded. The cross-reference to "Article 44" of the Directive is mapped to the corresponding "Article 54, of this Law".</w:t>
            </w:r>
          </w:p>
        </w:tc>
      </w:tr>
      <w:tr w:rsidR="0088332E" w:rsidRPr="005E6D70" w14:paraId="27605F4A" w14:textId="77777777" w:rsidTr="00073B1B">
        <w:trPr>
          <w:trHeight w:val="260"/>
        </w:trPr>
        <w:tc>
          <w:tcPr>
            <w:tcW w:w="990" w:type="dxa"/>
            <w:gridSpan w:val="2"/>
            <w:shd w:val="clear" w:color="auto" w:fill="D9D9D9" w:themeFill="background1" w:themeFillShade="D9"/>
          </w:tcPr>
          <w:p w14:paraId="544D4079" w14:textId="50F03A77" w:rsidR="0017423E" w:rsidRPr="005E6D70" w:rsidRDefault="0017423E" w:rsidP="0017423E">
            <w:pPr>
              <w:jc w:val="both"/>
              <w:rPr>
                <w:rFonts w:ascii="Times New Roman" w:eastAsia="Calibri" w:hAnsi="Times New Roman" w:cs="Times New Roman"/>
                <w:sz w:val="18"/>
                <w:szCs w:val="18"/>
                <w:lang w:val="en-US"/>
              </w:rPr>
            </w:pPr>
          </w:p>
        </w:tc>
        <w:tc>
          <w:tcPr>
            <w:tcW w:w="4860" w:type="dxa"/>
            <w:shd w:val="clear" w:color="auto" w:fill="D9D9D9" w:themeFill="background1" w:themeFillShade="D9"/>
          </w:tcPr>
          <w:p w14:paraId="7EE756E9" w14:textId="54152AA2"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4. Location of a constituent entity</w:t>
            </w:r>
          </w:p>
        </w:tc>
        <w:tc>
          <w:tcPr>
            <w:tcW w:w="990" w:type="dxa"/>
            <w:gridSpan w:val="2"/>
            <w:shd w:val="clear" w:color="auto" w:fill="D9D9D9" w:themeFill="background1" w:themeFillShade="D9"/>
          </w:tcPr>
          <w:p w14:paraId="4E19E6AD" w14:textId="2C060716"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shd w:val="clear" w:color="auto" w:fill="D9D9D9" w:themeFill="background1" w:themeFillShade="D9"/>
          </w:tcPr>
          <w:p w14:paraId="72640A97" w14:textId="495B6637" w:rsidR="0017423E" w:rsidRPr="005E6D70" w:rsidRDefault="00AE1DA5"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w:t>
            </w:r>
          </w:p>
        </w:tc>
        <w:tc>
          <w:tcPr>
            <w:tcW w:w="4680" w:type="dxa"/>
            <w:gridSpan w:val="2"/>
            <w:shd w:val="clear" w:color="auto" w:fill="D9D9D9" w:themeFill="background1" w:themeFillShade="D9"/>
          </w:tcPr>
          <w:p w14:paraId="02F73593" w14:textId="1BF6FA17" w:rsidR="0017423E" w:rsidRPr="005E6D70" w:rsidRDefault="008F430C" w:rsidP="00754FB1">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b/>
                <w:bCs/>
                <w:sz w:val="18"/>
                <w:szCs w:val="18"/>
                <w:lang w:val="en-US"/>
              </w:rPr>
              <w:t>Article 5. Location of a Constituent Entity</w:t>
            </w:r>
          </w:p>
        </w:tc>
        <w:tc>
          <w:tcPr>
            <w:tcW w:w="1530" w:type="dxa"/>
            <w:shd w:val="clear" w:color="auto" w:fill="D9D9D9" w:themeFill="background1" w:themeFillShade="D9"/>
          </w:tcPr>
          <w:p w14:paraId="60CEFF79" w14:textId="255604A5" w:rsidR="0017423E" w:rsidRPr="005E6D70" w:rsidRDefault="0017423E"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shd w:val="clear" w:color="auto" w:fill="D9D9D9" w:themeFill="background1" w:themeFillShade="D9"/>
          </w:tcPr>
          <w:p w14:paraId="002BB236" w14:textId="70457CF4" w:rsidR="0017423E" w:rsidRPr="005E6D70" w:rsidRDefault="008F430C"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The article is structurally transposed as </w:t>
            </w:r>
            <w:r w:rsidRPr="005E6D70">
              <w:rPr>
                <w:rFonts w:ascii="Times New Roman" w:eastAsia="Calibri" w:hAnsi="Times New Roman" w:cs="Times New Roman"/>
                <w:sz w:val="18"/>
                <w:szCs w:val="18"/>
                <w:lang w:val="en-US"/>
              </w:rPr>
              <w:lastRenderedPageBreak/>
              <w:t>Article 5 in the draft law due to the shift of the Definitions article.</w:t>
            </w:r>
          </w:p>
        </w:tc>
      </w:tr>
      <w:tr w:rsidR="00D37F89" w:rsidRPr="005E6D70" w14:paraId="26A635EE" w14:textId="77777777" w:rsidTr="00073B1B">
        <w:trPr>
          <w:trHeight w:val="1079"/>
        </w:trPr>
        <w:tc>
          <w:tcPr>
            <w:tcW w:w="990" w:type="dxa"/>
            <w:gridSpan w:val="2"/>
          </w:tcPr>
          <w:p w14:paraId="37347107" w14:textId="31628DE5"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4(1)</w:t>
            </w:r>
          </w:p>
        </w:tc>
        <w:tc>
          <w:tcPr>
            <w:tcW w:w="4860" w:type="dxa"/>
          </w:tcPr>
          <w:p w14:paraId="0B0BB2BB"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For the purposes of this Directive, an entity other than a flowthrough entity shall be determined to be located in the jurisdiction where it is considered to be resident for tax purposes based on its place of management, its place of creation or similar criteria.</w:t>
            </w:r>
          </w:p>
          <w:p w14:paraId="5AD4644F" w14:textId="77777777" w:rsidR="0017423E" w:rsidRPr="005E6D70" w:rsidRDefault="0017423E" w:rsidP="0017423E">
            <w:pPr>
              <w:jc w:val="both"/>
              <w:rPr>
                <w:rFonts w:ascii="Times New Roman" w:eastAsia="Calibri" w:hAnsi="Times New Roman" w:cs="Times New Roman"/>
                <w:iCs/>
                <w:sz w:val="18"/>
                <w:szCs w:val="18"/>
                <w:lang w:val="en-US"/>
              </w:rPr>
            </w:pPr>
          </w:p>
          <w:p w14:paraId="2E9C8391" w14:textId="77777777" w:rsidR="00697B4B" w:rsidRPr="005E6D70" w:rsidRDefault="00697B4B" w:rsidP="0017423E">
            <w:pPr>
              <w:jc w:val="both"/>
              <w:rPr>
                <w:rFonts w:ascii="Times New Roman" w:eastAsia="Calibri" w:hAnsi="Times New Roman" w:cs="Times New Roman"/>
                <w:iCs/>
                <w:sz w:val="18"/>
                <w:szCs w:val="18"/>
                <w:lang w:val="en-US"/>
              </w:rPr>
            </w:pPr>
          </w:p>
          <w:p w14:paraId="7AC69E2F" w14:textId="77777777" w:rsidR="00697B4B" w:rsidRPr="005E6D70" w:rsidRDefault="00697B4B" w:rsidP="0017423E">
            <w:pPr>
              <w:jc w:val="both"/>
              <w:rPr>
                <w:rFonts w:ascii="Times New Roman" w:eastAsia="Calibri" w:hAnsi="Times New Roman" w:cs="Times New Roman"/>
                <w:iCs/>
                <w:sz w:val="18"/>
                <w:szCs w:val="18"/>
                <w:lang w:val="en-US"/>
              </w:rPr>
            </w:pPr>
          </w:p>
          <w:p w14:paraId="5357BC9C" w14:textId="77777777" w:rsidR="00697B4B" w:rsidRPr="005E6D70" w:rsidRDefault="00697B4B" w:rsidP="0017423E">
            <w:pPr>
              <w:jc w:val="both"/>
              <w:rPr>
                <w:rFonts w:ascii="Times New Roman" w:eastAsia="Calibri" w:hAnsi="Times New Roman" w:cs="Times New Roman"/>
                <w:iCs/>
                <w:sz w:val="18"/>
                <w:szCs w:val="18"/>
                <w:lang w:val="en-US"/>
              </w:rPr>
            </w:pPr>
          </w:p>
          <w:p w14:paraId="5140C503" w14:textId="77777777" w:rsidR="00697B4B" w:rsidRPr="005E6D70" w:rsidRDefault="00697B4B" w:rsidP="0017423E">
            <w:pPr>
              <w:jc w:val="both"/>
              <w:rPr>
                <w:rFonts w:ascii="Times New Roman" w:eastAsia="Calibri" w:hAnsi="Times New Roman" w:cs="Times New Roman"/>
                <w:iCs/>
                <w:sz w:val="18"/>
                <w:szCs w:val="18"/>
                <w:lang w:val="en-US"/>
              </w:rPr>
            </w:pPr>
          </w:p>
          <w:p w14:paraId="01311E48" w14:textId="77777777" w:rsidR="00697B4B" w:rsidRPr="005E6D70" w:rsidRDefault="00697B4B" w:rsidP="0017423E">
            <w:pPr>
              <w:jc w:val="both"/>
              <w:rPr>
                <w:rFonts w:ascii="Times New Roman" w:eastAsia="Calibri" w:hAnsi="Times New Roman" w:cs="Times New Roman"/>
                <w:iCs/>
                <w:sz w:val="18"/>
                <w:szCs w:val="18"/>
                <w:lang w:val="en-US"/>
              </w:rPr>
            </w:pPr>
          </w:p>
          <w:p w14:paraId="2D0DC5A3" w14:textId="3CD2E1E7"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Where it is not possible to determine the location of an entity other than a flow-through entity based on the first subparagraph, it shall be deemed to be located in the jurisdiction where it was created.</w:t>
            </w:r>
          </w:p>
        </w:tc>
        <w:tc>
          <w:tcPr>
            <w:tcW w:w="990" w:type="dxa"/>
            <w:gridSpan w:val="2"/>
          </w:tcPr>
          <w:p w14:paraId="4490F7F0" w14:textId="7E4AAC42"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7AC4DF6A" w14:textId="77777777" w:rsidR="0017423E" w:rsidRPr="005E6D70" w:rsidRDefault="008F430C"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5(1)</w:t>
            </w:r>
          </w:p>
          <w:p w14:paraId="58F2F0B2" w14:textId="77777777" w:rsidR="008F430C" w:rsidRPr="005E6D70" w:rsidRDefault="008F430C" w:rsidP="0017423E">
            <w:pPr>
              <w:rPr>
                <w:rFonts w:ascii="Times New Roman" w:eastAsia="Calibri" w:hAnsi="Times New Roman" w:cs="Times New Roman"/>
                <w:sz w:val="18"/>
                <w:szCs w:val="18"/>
                <w:lang w:val="en-US"/>
              </w:rPr>
            </w:pPr>
          </w:p>
          <w:p w14:paraId="19C9B377" w14:textId="77777777" w:rsidR="008F430C" w:rsidRPr="005E6D70" w:rsidRDefault="008F430C" w:rsidP="0017423E">
            <w:pPr>
              <w:rPr>
                <w:rFonts w:ascii="Times New Roman" w:eastAsia="Calibri" w:hAnsi="Times New Roman" w:cs="Times New Roman"/>
                <w:sz w:val="18"/>
                <w:szCs w:val="18"/>
                <w:lang w:val="en-US"/>
              </w:rPr>
            </w:pPr>
          </w:p>
          <w:p w14:paraId="379FAEA1" w14:textId="77777777" w:rsidR="008F430C" w:rsidRPr="005E6D70" w:rsidRDefault="008F430C" w:rsidP="0017423E">
            <w:pPr>
              <w:rPr>
                <w:rFonts w:ascii="Times New Roman" w:eastAsia="Calibri" w:hAnsi="Times New Roman" w:cs="Times New Roman"/>
                <w:sz w:val="18"/>
                <w:szCs w:val="18"/>
                <w:lang w:val="en-US"/>
              </w:rPr>
            </w:pPr>
          </w:p>
          <w:p w14:paraId="5274C67C" w14:textId="77777777" w:rsidR="008F430C" w:rsidRPr="005E6D70" w:rsidRDefault="008F430C" w:rsidP="0017423E">
            <w:pPr>
              <w:rPr>
                <w:rFonts w:ascii="Times New Roman" w:eastAsia="Calibri" w:hAnsi="Times New Roman" w:cs="Times New Roman"/>
                <w:sz w:val="18"/>
                <w:szCs w:val="18"/>
                <w:lang w:val="en-US"/>
              </w:rPr>
            </w:pPr>
          </w:p>
          <w:p w14:paraId="05A41C00" w14:textId="77777777" w:rsidR="00697B4B" w:rsidRPr="005E6D70" w:rsidRDefault="00697B4B" w:rsidP="0017423E">
            <w:pPr>
              <w:rPr>
                <w:rFonts w:ascii="Times New Roman" w:eastAsia="Calibri" w:hAnsi="Times New Roman" w:cs="Times New Roman"/>
                <w:sz w:val="18"/>
                <w:szCs w:val="18"/>
                <w:lang w:val="en-US"/>
              </w:rPr>
            </w:pPr>
          </w:p>
          <w:p w14:paraId="4C35D898" w14:textId="77777777" w:rsidR="00697B4B" w:rsidRPr="005E6D70" w:rsidRDefault="00697B4B" w:rsidP="0017423E">
            <w:pPr>
              <w:rPr>
                <w:rFonts w:ascii="Times New Roman" w:eastAsia="Calibri" w:hAnsi="Times New Roman" w:cs="Times New Roman"/>
                <w:sz w:val="18"/>
                <w:szCs w:val="18"/>
                <w:lang w:val="en-US"/>
              </w:rPr>
            </w:pPr>
          </w:p>
          <w:p w14:paraId="01938FE2" w14:textId="77777777" w:rsidR="00697B4B" w:rsidRPr="005E6D70" w:rsidRDefault="00697B4B" w:rsidP="0017423E">
            <w:pPr>
              <w:rPr>
                <w:rFonts w:ascii="Times New Roman" w:eastAsia="Calibri" w:hAnsi="Times New Roman" w:cs="Times New Roman"/>
                <w:sz w:val="18"/>
                <w:szCs w:val="18"/>
                <w:lang w:val="en-US"/>
              </w:rPr>
            </w:pPr>
          </w:p>
          <w:p w14:paraId="403353C5" w14:textId="77777777" w:rsidR="00697B4B" w:rsidRPr="005E6D70" w:rsidRDefault="00697B4B" w:rsidP="0017423E">
            <w:pPr>
              <w:rPr>
                <w:rFonts w:ascii="Times New Roman" w:eastAsia="Calibri" w:hAnsi="Times New Roman" w:cs="Times New Roman"/>
                <w:sz w:val="18"/>
                <w:szCs w:val="18"/>
                <w:lang w:val="en-US"/>
              </w:rPr>
            </w:pPr>
          </w:p>
          <w:p w14:paraId="7E015BFB" w14:textId="77777777" w:rsidR="00697B4B" w:rsidRPr="005E6D70" w:rsidRDefault="00697B4B" w:rsidP="0017423E">
            <w:pPr>
              <w:rPr>
                <w:rFonts w:ascii="Times New Roman" w:eastAsia="Calibri" w:hAnsi="Times New Roman" w:cs="Times New Roman"/>
                <w:sz w:val="18"/>
                <w:szCs w:val="18"/>
                <w:lang w:val="en-US"/>
              </w:rPr>
            </w:pPr>
          </w:p>
          <w:p w14:paraId="551A578E" w14:textId="77777777" w:rsidR="00697B4B" w:rsidRPr="005E6D70" w:rsidRDefault="00697B4B" w:rsidP="0017423E">
            <w:pPr>
              <w:rPr>
                <w:rFonts w:ascii="Times New Roman" w:eastAsia="Calibri" w:hAnsi="Times New Roman" w:cs="Times New Roman"/>
                <w:sz w:val="18"/>
                <w:szCs w:val="18"/>
                <w:lang w:val="en-US"/>
              </w:rPr>
            </w:pPr>
          </w:p>
          <w:p w14:paraId="3A291DFE" w14:textId="1532B36F" w:rsidR="008F430C" w:rsidRPr="005E6D70" w:rsidRDefault="008F430C"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5(2)</w:t>
            </w:r>
          </w:p>
        </w:tc>
        <w:tc>
          <w:tcPr>
            <w:tcW w:w="4680" w:type="dxa"/>
            <w:gridSpan w:val="2"/>
            <w:tcBorders>
              <w:bottom w:val="dashed" w:sz="4" w:space="0" w:color="auto"/>
            </w:tcBorders>
          </w:tcPr>
          <w:p w14:paraId="241FB11E" w14:textId="77777777" w:rsidR="0017423E" w:rsidRPr="005E6D70" w:rsidRDefault="008F430C"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 An entity, other than a flow-through entity, shall be determined to be located in the jurisdiction where it is considered to be resident for tax purposes based on its place of management, its place of creation, or similar criteria.</w:t>
            </w:r>
          </w:p>
          <w:p w14:paraId="4CEB7D26" w14:textId="77777777" w:rsidR="008F430C" w:rsidRPr="005E6D70" w:rsidRDefault="008F430C" w:rsidP="00754FB1">
            <w:pPr>
              <w:jc w:val="both"/>
              <w:rPr>
                <w:rFonts w:ascii="Times New Roman" w:eastAsia="Calibri" w:hAnsi="Times New Roman" w:cs="Times New Roman"/>
                <w:sz w:val="18"/>
                <w:szCs w:val="18"/>
                <w:lang w:val="en-US"/>
              </w:rPr>
            </w:pPr>
          </w:p>
          <w:p w14:paraId="34BCCE7C" w14:textId="77777777" w:rsidR="00697B4B" w:rsidRPr="005E6D70" w:rsidRDefault="00697B4B" w:rsidP="00754FB1">
            <w:pPr>
              <w:jc w:val="both"/>
              <w:rPr>
                <w:rFonts w:ascii="Times New Roman" w:eastAsia="Calibri" w:hAnsi="Times New Roman" w:cs="Times New Roman"/>
                <w:sz w:val="18"/>
                <w:szCs w:val="18"/>
                <w:lang w:val="en-US"/>
              </w:rPr>
            </w:pPr>
          </w:p>
          <w:p w14:paraId="1E58891B" w14:textId="77777777" w:rsidR="00697B4B" w:rsidRPr="005E6D70" w:rsidRDefault="00697B4B" w:rsidP="00754FB1">
            <w:pPr>
              <w:jc w:val="both"/>
              <w:rPr>
                <w:rFonts w:ascii="Times New Roman" w:eastAsia="Calibri" w:hAnsi="Times New Roman" w:cs="Times New Roman"/>
                <w:sz w:val="18"/>
                <w:szCs w:val="18"/>
                <w:lang w:val="en-US"/>
              </w:rPr>
            </w:pPr>
          </w:p>
          <w:p w14:paraId="54ED6DA8" w14:textId="77777777" w:rsidR="00697B4B" w:rsidRPr="005E6D70" w:rsidRDefault="00697B4B" w:rsidP="00754FB1">
            <w:pPr>
              <w:jc w:val="both"/>
              <w:rPr>
                <w:rFonts w:ascii="Times New Roman" w:eastAsia="Calibri" w:hAnsi="Times New Roman" w:cs="Times New Roman"/>
                <w:sz w:val="18"/>
                <w:szCs w:val="18"/>
                <w:lang w:val="en-US"/>
              </w:rPr>
            </w:pPr>
          </w:p>
          <w:p w14:paraId="67308668" w14:textId="77777777" w:rsidR="00697B4B" w:rsidRPr="005E6D70" w:rsidRDefault="00697B4B" w:rsidP="00754FB1">
            <w:pPr>
              <w:jc w:val="both"/>
              <w:rPr>
                <w:rFonts w:ascii="Times New Roman" w:eastAsia="Calibri" w:hAnsi="Times New Roman" w:cs="Times New Roman"/>
                <w:sz w:val="18"/>
                <w:szCs w:val="18"/>
                <w:lang w:val="en-US"/>
              </w:rPr>
            </w:pPr>
          </w:p>
          <w:p w14:paraId="0247486A" w14:textId="77777777" w:rsidR="00697B4B" w:rsidRPr="005E6D70" w:rsidRDefault="00697B4B" w:rsidP="00754FB1">
            <w:pPr>
              <w:jc w:val="both"/>
              <w:rPr>
                <w:rFonts w:ascii="Times New Roman" w:eastAsia="Calibri" w:hAnsi="Times New Roman" w:cs="Times New Roman"/>
                <w:sz w:val="18"/>
                <w:szCs w:val="18"/>
                <w:lang w:val="en-US"/>
              </w:rPr>
            </w:pPr>
          </w:p>
          <w:p w14:paraId="57282352" w14:textId="77777777" w:rsidR="00697B4B" w:rsidRPr="005E6D70" w:rsidRDefault="00697B4B" w:rsidP="00754FB1">
            <w:pPr>
              <w:jc w:val="both"/>
              <w:rPr>
                <w:rFonts w:ascii="Times New Roman" w:eastAsia="Calibri" w:hAnsi="Times New Roman" w:cs="Times New Roman"/>
                <w:sz w:val="18"/>
                <w:szCs w:val="18"/>
                <w:lang w:val="en-US"/>
              </w:rPr>
            </w:pPr>
          </w:p>
          <w:p w14:paraId="3486BF7E" w14:textId="012CEAFB" w:rsidR="008F430C" w:rsidRPr="005E6D70" w:rsidRDefault="008F430C" w:rsidP="00754FB1">
            <w:pPr>
              <w:jc w:val="both"/>
              <w:rPr>
                <w:rFonts w:ascii="Times New Roman" w:eastAsia="Calibri" w:hAnsi="Times New Roman" w:cs="Times New Roman"/>
                <w:sz w:val="18"/>
                <w:szCs w:val="18"/>
                <w:lang w:val="en-US"/>
              </w:rPr>
            </w:pPr>
            <w:r w:rsidRPr="005E6D70">
              <w:rPr>
                <w:rFonts w:ascii="Times New Roman" w:hAnsi="Times New Roman" w:cs="Times New Roman"/>
                <w:sz w:val="18"/>
                <w:szCs w:val="18"/>
                <w:lang w:val="en-US"/>
              </w:rPr>
              <w:t>2. Where it is not possible to determine the location of an entity other than a flow-through entity based on paragraph 1, of this Article, it shall be deemed to be located in the jurisdiction where it was created.</w:t>
            </w:r>
          </w:p>
        </w:tc>
        <w:tc>
          <w:tcPr>
            <w:tcW w:w="1530" w:type="dxa"/>
            <w:tcBorders>
              <w:bottom w:val="dashed" w:sz="4" w:space="0" w:color="auto"/>
            </w:tcBorders>
          </w:tcPr>
          <w:p w14:paraId="306D02AA" w14:textId="6FFCE995" w:rsidR="0017423E" w:rsidRPr="005E6D70" w:rsidRDefault="0017423E"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Borders>
              <w:bottom w:val="dashed" w:sz="4" w:space="0" w:color="auto"/>
            </w:tcBorders>
          </w:tcPr>
          <w:p w14:paraId="49DDB025" w14:textId="77777777" w:rsidR="0017423E" w:rsidRPr="005E6D70" w:rsidRDefault="008F430C"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introductory phrase "For the purposes of this Directive" is omitted. Verbatim transposition of the substantive text.</w:t>
            </w:r>
          </w:p>
          <w:p w14:paraId="287DFD67" w14:textId="77777777" w:rsidR="004C5A47" w:rsidRPr="005E6D70" w:rsidRDefault="004C5A47" w:rsidP="0017423E">
            <w:pPr>
              <w:rPr>
                <w:rFonts w:ascii="Times New Roman" w:eastAsia="Calibri" w:hAnsi="Times New Roman" w:cs="Times New Roman"/>
                <w:sz w:val="18"/>
                <w:szCs w:val="18"/>
                <w:lang w:val="en-US"/>
              </w:rPr>
            </w:pPr>
          </w:p>
          <w:p w14:paraId="610C0EF2" w14:textId="4A6D21A8" w:rsidR="004C5A47" w:rsidRPr="005E6D70" w:rsidRDefault="004C5A47"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unnumbered second subparagraph of the Directive is structurally transposed as an independent numbered paragraph in the draft law to align with national legislative drafting standards. The internal cross-reference is mapped to "paragraph 1, of this Article".</w:t>
            </w:r>
          </w:p>
        </w:tc>
      </w:tr>
      <w:tr w:rsidR="00D37F89" w:rsidRPr="005E6D70" w14:paraId="6F670772" w14:textId="77777777" w:rsidTr="00073B1B">
        <w:trPr>
          <w:trHeight w:val="1070"/>
        </w:trPr>
        <w:tc>
          <w:tcPr>
            <w:tcW w:w="990" w:type="dxa"/>
            <w:gridSpan w:val="2"/>
          </w:tcPr>
          <w:p w14:paraId="516FA109" w14:textId="2DBE7A97"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4(2)</w:t>
            </w:r>
          </w:p>
        </w:tc>
        <w:tc>
          <w:tcPr>
            <w:tcW w:w="4860" w:type="dxa"/>
          </w:tcPr>
          <w:p w14:paraId="03285C7F" w14:textId="2C59A709"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 A flow-through entity shall be considered to be stateless, unless it is the ultimate parent entity of an MNE group or of a large-scale domestic group or it is required to apply an IIR in accordance with Articles 5, 6, 7 and 8, in which case the flow-through entity shall be deemed to be located in the jurisdiction where it was created.</w:t>
            </w:r>
          </w:p>
        </w:tc>
        <w:tc>
          <w:tcPr>
            <w:tcW w:w="990" w:type="dxa"/>
            <w:gridSpan w:val="2"/>
          </w:tcPr>
          <w:p w14:paraId="5F89BF63" w14:textId="11BF54F1"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9D19203" w14:textId="5E4654EF" w:rsidR="0017423E" w:rsidRPr="005E6D70" w:rsidRDefault="004C5A47"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5(3)</w:t>
            </w:r>
          </w:p>
        </w:tc>
        <w:tc>
          <w:tcPr>
            <w:tcW w:w="4680" w:type="dxa"/>
            <w:gridSpan w:val="2"/>
          </w:tcPr>
          <w:p w14:paraId="17DB30F1" w14:textId="74338B89" w:rsidR="0017423E" w:rsidRPr="005E6D70" w:rsidRDefault="004C5A47" w:rsidP="00754FB1">
            <w:pPr>
              <w:widowControl w:val="0"/>
              <w:tabs>
                <w:tab w:val="left" w:pos="1464"/>
              </w:tabs>
              <w:autoSpaceDE w:val="0"/>
              <w:autoSpaceDN w:val="0"/>
              <w:jc w:val="both"/>
              <w:rPr>
                <w:rFonts w:ascii="Times New Roman" w:hAnsi="Times New Roman" w:cs="Times New Roman"/>
                <w:sz w:val="18"/>
                <w:szCs w:val="18"/>
                <w:lang w:val="en-US"/>
              </w:rPr>
            </w:pPr>
            <w:r w:rsidRPr="005E6D70">
              <w:rPr>
                <w:rFonts w:ascii="Times New Roman" w:hAnsi="Times New Roman" w:cs="Times New Roman"/>
                <w:sz w:val="18"/>
                <w:szCs w:val="18"/>
                <w:lang w:val="en-US"/>
              </w:rPr>
              <w:t>3. A flow-through entity shall be considered to be stateless, unless it is the ultimate parent entity of a multinational enterprise group or of a large-scale domestic group or it is required to apply an income inclusion rule (IIR) in accordance with Articles 6, 7, 8 and 9, of this Law, in which case the flow-through entity shall be deemed to be located in the jurisdiction where it was created.</w:t>
            </w:r>
          </w:p>
        </w:tc>
        <w:tc>
          <w:tcPr>
            <w:tcW w:w="1530" w:type="dxa"/>
          </w:tcPr>
          <w:p w14:paraId="4EF15BB3" w14:textId="5499E972" w:rsidR="0017423E" w:rsidRPr="005E6D70" w:rsidRDefault="0017423E"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1C57CD2D" w14:textId="1E3A5C5D" w:rsidR="0017423E" w:rsidRPr="005E6D70" w:rsidRDefault="004C5A47"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3 of Article 5. The abbreviation "MNE" is expanded. The cross-references to "Articles 5, 6, 7 and 8" of the Directive are mapped to the corresponding "Articles 6, 7, 8 and 9, of this Law".</w:t>
            </w:r>
          </w:p>
        </w:tc>
      </w:tr>
      <w:tr w:rsidR="00D37F89" w:rsidRPr="005E6D70" w14:paraId="71F4D229" w14:textId="77777777" w:rsidTr="00073B1B">
        <w:tc>
          <w:tcPr>
            <w:tcW w:w="990" w:type="dxa"/>
            <w:gridSpan w:val="2"/>
          </w:tcPr>
          <w:p w14:paraId="5E9580EC" w14:textId="285BBFE3"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w:t>
            </w:r>
          </w:p>
        </w:tc>
        <w:tc>
          <w:tcPr>
            <w:tcW w:w="4860" w:type="dxa"/>
          </w:tcPr>
          <w:p w14:paraId="482386C2"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A permanent establishment as defined in Article 3, point (13)(a), shall be determined to be located in the jurisdiction where it is treated as a permanent establishment and is liable to tax under the applicable tax treaty.</w:t>
            </w:r>
          </w:p>
          <w:p w14:paraId="15F5A8B4" w14:textId="77777777" w:rsidR="0017423E" w:rsidRPr="005E6D70" w:rsidRDefault="0017423E" w:rsidP="0017423E">
            <w:pPr>
              <w:jc w:val="both"/>
              <w:rPr>
                <w:rFonts w:ascii="Times New Roman" w:eastAsia="Calibri" w:hAnsi="Times New Roman" w:cs="Times New Roman"/>
                <w:iCs/>
                <w:sz w:val="18"/>
                <w:szCs w:val="18"/>
                <w:lang w:val="en-US"/>
              </w:rPr>
            </w:pPr>
          </w:p>
          <w:p w14:paraId="5D3A17FB" w14:textId="77777777" w:rsidR="00697B4B" w:rsidRPr="005E6D70" w:rsidRDefault="00697B4B" w:rsidP="0017423E">
            <w:pPr>
              <w:jc w:val="both"/>
              <w:rPr>
                <w:rFonts w:ascii="Times New Roman" w:eastAsia="Calibri" w:hAnsi="Times New Roman" w:cs="Times New Roman"/>
                <w:iCs/>
                <w:sz w:val="18"/>
                <w:szCs w:val="18"/>
                <w:lang w:val="en-US"/>
              </w:rPr>
            </w:pPr>
          </w:p>
          <w:p w14:paraId="3B8C805B" w14:textId="77777777" w:rsidR="00697B4B" w:rsidRPr="005E6D70" w:rsidRDefault="00697B4B" w:rsidP="0017423E">
            <w:pPr>
              <w:jc w:val="both"/>
              <w:rPr>
                <w:rFonts w:ascii="Times New Roman" w:eastAsia="Calibri" w:hAnsi="Times New Roman" w:cs="Times New Roman"/>
                <w:iCs/>
                <w:sz w:val="18"/>
                <w:szCs w:val="18"/>
                <w:lang w:val="en-US"/>
              </w:rPr>
            </w:pPr>
          </w:p>
          <w:p w14:paraId="5EFB2A3B" w14:textId="77777777" w:rsidR="00697B4B" w:rsidRPr="005E6D70" w:rsidRDefault="00697B4B" w:rsidP="0017423E">
            <w:pPr>
              <w:jc w:val="both"/>
              <w:rPr>
                <w:rFonts w:ascii="Times New Roman" w:eastAsia="Calibri" w:hAnsi="Times New Roman" w:cs="Times New Roman"/>
                <w:iCs/>
                <w:sz w:val="18"/>
                <w:szCs w:val="18"/>
                <w:lang w:val="en-US"/>
              </w:rPr>
            </w:pPr>
          </w:p>
          <w:p w14:paraId="06627D55" w14:textId="77777777" w:rsidR="00697B4B" w:rsidRPr="005E6D70" w:rsidRDefault="00697B4B" w:rsidP="0017423E">
            <w:pPr>
              <w:jc w:val="both"/>
              <w:rPr>
                <w:rFonts w:ascii="Times New Roman" w:eastAsia="Calibri" w:hAnsi="Times New Roman" w:cs="Times New Roman"/>
                <w:iCs/>
                <w:sz w:val="18"/>
                <w:szCs w:val="18"/>
                <w:lang w:val="en-US"/>
              </w:rPr>
            </w:pPr>
          </w:p>
          <w:p w14:paraId="359B34FC" w14:textId="77777777" w:rsidR="00697B4B" w:rsidRPr="005E6D70" w:rsidRDefault="00697B4B" w:rsidP="0017423E">
            <w:pPr>
              <w:jc w:val="both"/>
              <w:rPr>
                <w:rFonts w:ascii="Times New Roman" w:eastAsia="Calibri" w:hAnsi="Times New Roman" w:cs="Times New Roman"/>
                <w:iCs/>
                <w:sz w:val="18"/>
                <w:szCs w:val="18"/>
                <w:lang w:val="en-US"/>
              </w:rPr>
            </w:pPr>
          </w:p>
          <w:p w14:paraId="743850BC" w14:textId="77777777" w:rsidR="00697B4B" w:rsidRPr="005E6D70" w:rsidRDefault="00697B4B" w:rsidP="0017423E">
            <w:pPr>
              <w:jc w:val="both"/>
              <w:rPr>
                <w:rFonts w:ascii="Times New Roman" w:eastAsia="Calibri" w:hAnsi="Times New Roman" w:cs="Times New Roman"/>
                <w:iCs/>
                <w:sz w:val="18"/>
                <w:szCs w:val="18"/>
                <w:lang w:val="en-US"/>
              </w:rPr>
            </w:pPr>
          </w:p>
          <w:p w14:paraId="16B34565" w14:textId="77777777" w:rsidR="00697B4B" w:rsidRPr="005E6D70" w:rsidRDefault="00697B4B" w:rsidP="0017423E">
            <w:pPr>
              <w:jc w:val="both"/>
              <w:rPr>
                <w:rFonts w:ascii="Times New Roman" w:eastAsia="Calibri" w:hAnsi="Times New Roman" w:cs="Times New Roman"/>
                <w:iCs/>
                <w:sz w:val="18"/>
                <w:szCs w:val="18"/>
                <w:lang w:val="en-US"/>
              </w:rPr>
            </w:pPr>
          </w:p>
          <w:p w14:paraId="3D475290" w14:textId="77777777" w:rsidR="00697B4B" w:rsidRPr="005E6D70" w:rsidRDefault="00697B4B" w:rsidP="0017423E">
            <w:pPr>
              <w:jc w:val="both"/>
              <w:rPr>
                <w:rFonts w:ascii="Times New Roman" w:eastAsia="Calibri" w:hAnsi="Times New Roman" w:cs="Times New Roman"/>
                <w:iCs/>
                <w:sz w:val="18"/>
                <w:szCs w:val="18"/>
                <w:lang w:val="en-US"/>
              </w:rPr>
            </w:pPr>
          </w:p>
          <w:p w14:paraId="02C5E0A0" w14:textId="77777777" w:rsidR="00697B4B" w:rsidRPr="005E6D70" w:rsidRDefault="00697B4B" w:rsidP="0017423E">
            <w:pPr>
              <w:jc w:val="both"/>
              <w:rPr>
                <w:rFonts w:ascii="Times New Roman" w:eastAsia="Calibri" w:hAnsi="Times New Roman" w:cs="Times New Roman"/>
                <w:iCs/>
                <w:sz w:val="18"/>
                <w:szCs w:val="18"/>
                <w:lang w:val="en-US"/>
              </w:rPr>
            </w:pPr>
          </w:p>
          <w:p w14:paraId="4A523C1B" w14:textId="77777777" w:rsidR="00697B4B" w:rsidRPr="005E6D70" w:rsidRDefault="00697B4B" w:rsidP="0017423E">
            <w:pPr>
              <w:jc w:val="both"/>
              <w:rPr>
                <w:rFonts w:ascii="Times New Roman" w:eastAsia="Calibri" w:hAnsi="Times New Roman" w:cs="Times New Roman"/>
                <w:iCs/>
                <w:sz w:val="18"/>
                <w:szCs w:val="18"/>
                <w:lang w:val="en-US"/>
              </w:rPr>
            </w:pPr>
          </w:p>
          <w:p w14:paraId="479CB98B" w14:textId="77777777" w:rsidR="00697B4B" w:rsidRPr="005E6D70" w:rsidRDefault="00697B4B" w:rsidP="0017423E">
            <w:pPr>
              <w:jc w:val="both"/>
              <w:rPr>
                <w:rFonts w:ascii="Times New Roman" w:eastAsia="Calibri" w:hAnsi="Times New Roman" w:cs="Times New Roman"/>
                <w:iCs/>
                <w:sz w:val="18"/>
                <w:szCs w:val="18"/>
                <w:lang w:val="en-US"/>
              </w:rPr>
            </w:pPr>
          </w:p>
          <w:p w14:paraId="6E898C5B" w14:textId="77777777" w:rsidR="00697B4B" w:rsidRPr="005E6D70" w:rsidRDefault="00697B4B" w:rsidP="0017423E">
            <w:pPr>
              <w:jc w:val="both"/>
              <w:rPr>
                <w:rFonts w:ascii="Times New Roman" w:eastAsia="Calibri" w:hAnsi="Times New Roman" w:cs="Times New Roman"/>
                <w:iCs/>
                <w:sz w:val="18"/>
                <w:szCs w:val="18"/>
                <w:lang w:val="en-US"/>
              </w:rPr>
            </w:pPr>
          </w:p>
          <w:p w14:paraId="31094DD5" w14:textId="77777777" w:rsidR="00697B4B" w:rsidRPr="005E6D70" w:rsidRDefault="00697B4B" w:rsidP="0017423E">
            <w:pPr>
              <w:jc w:val="both"/>
              <w:rPr>
                <w:rFonts w:ascii="Times New Roman" w:eastAsia="Calibri" w:hAnsi="Times New Roman" w:cs="Times New Roman"/>
                <w:iCs/>
                <w:sz w:val="18"/>
                <w:szCs w:val="18"/>
                <w:lang w:val="en-US"/>
              </w:rPr>
            </w:pPr>
          </w:p>
          <w:p w14:paraId="6D61C2AE" w14:textId="77777777" w:rsidR="00697B4B" w:rsidRPr="005E6D70" w:rsidRDefault="00697B4B" w:rsidP="0017423E">
            <w:pPr>
              <w:jc w:val="both"/>
              <w:rPr>
                <w:rFonts w:ascii="Times New Roman" w:eastAsia="Calibri" w:hAnsi="Times New Roman" w:cs="Times New Roman"/>
                <w:iCs/>
                <w:sz w:val="18"/>
                <w:szCs w:val="18"/>
                <w:lang w:val="en-US"/>
              </w:rPr>
            </w:pPr>
          </w:p>
          <w:p w14:paraId="11BA0638" w14:textId="77777777" w:rsidR="00697B4B" w:rsidRPr="005E6D70" w:rsidRDefault="00697B4B" w:rsidP="0017423E">
            <w:pPr>
              <w:jc w:val="both"/>
              <w:rPr>
                <w:rFonts w:ascii="Times New Roman" w:eastAsia="Calibri" w:hAnsi="Times New Roman" w:cs="Times New Roman"/>
                <w:iCs/>
                <w:sz w:val="18"/>
                <w:szCs w:val="18"/>
                <w:lang w:val="en-US"/>
              </w:rPr>
            </w:pPr>
          </w:p>
          <w:p w14:paraId="5148DD9A" w14:textId="77777777" w:rsidR="00697B4B" w:rsidRPr="005E6D70" w:rsidRDefault="00697B4B" w:rsidP="0017423E">
            <w:pPr>
              <w:jc w:val="both"/>
              <w:rPr>
                <w:rFonts w:ascii="Times New Roman" w:eastAsia="Calibri" w:hAnsi="Times New Roman" w:cs="Times New Roman"/>
                <w:iCs/>
                <w:sz w:val="18"/>
                <w:szCs w:val="18"/>
                <w:lang w:val="en-US"/>
              </w:rPr>
            </w:pPr>
          </w:p>
          <w:p w14:paraId="0C55CE45" w14:textId="288D56D4"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A permanent establishment as defined in Article 3, point (13)(b), shall be determined to be located in the jurisdiction where it is subject to net basis taxation based on its business presence.</w:t>
            </w:r>
          </w:p>
          <w:p w14:paraId="65D607CF" w14:textId="77777777" w:rsidR="0017423E" w:rsidRPr="005E6D70" w:rsidRDefault="0017423E" w:rsidP="0017423E">
            <w:pPr>
              <w:jc w:val="both"/>
              <w:rPr>
                <w:rFonts w:ascii="Times New Roman" w:eastAsia="Calibri" w:hAnsi="Times New Roman" w:cs="Times New Roman"/>
                <w:iCs/>
                <w:sz w:val="18"/>
                <w:szCs w:val="18"/>
                <w:lang w:val="en-US"/>
              </w:rPr>
            </w:pPr>
          </w:p>
          <w:p w14:paraId="1F61ED55" w14:textId="77777777" w:rsidR="00E21E2E" w:rsidRPr="005E6D70" w:rsidRDefault="00E21E2E" w:rsidP="0017423E">
            <w:pPr>
              <w:jc w:val="both"/>
              <w:rPr>
                <w:rFonts w:ascii="Times New Roman" w:eastAsia="Calibri" w:hAnsi="Times New Roman" w:cs="Times New Roman"/>
                <w:iCs/>
                <w:sz w:val="18"/>
                <w:szCs w:val="18"/>
                <w:lang w:val="en-US"/>
              </w:rPr>
            </w:pPr>
          </w:p>
          <w:p w14:paraId="7C80DD7A" w14:textId="77777777" w:rsidR="00E21E2E" w:rsidRPr="005E6D70" w:rsidRDefault="00E21E2E" w:rsidP="0017423E">
            <w:pPr>
              <w:jc w:val="both"/>
              <w:rPr>
                <w:rFonts w:ascii="Times New Roman" w:eastAsia="Calibri" w:hAnsi="Times New Roman" w:cs="Times New Roman"/>
                <w:iCs/>
                <w:sz w:val="18"/>
                <w:szCs w:val="18"/>
                <w:lang w:val="en-US"/>
              </w:rPr>
            </w:pPr>
          </w:p>
          <w:p w14:paraId="621CEC7F" w14:textId="77777777" w:rsidR="00E21E2E" w:rsidRPr="005E6D70" w:rsidRDefault="00E21E2E" w:rsidP="0017423E">
            <w:pPr>
              <w:jc w:val="both"/>
              <w:rPr>
                <w:rFonts w:ascii="Times New Roman" w:eastAsia="Calibri" w:hAnsi="Times New Roman" w:cs="Times New Roman"/>
                <w:iCs/>
                <w:sz w:val="18"/>
                <w:szCs w:val="18"/>
                <w:lang w:val="en-US"/>
              </w:rPr>
            </w:pPr>
          </w:p>
          <w:p w14:paraId="29D33DD6" w14:textId="77777777" w:rsidR="00E21E2E" w:rsidRPr="005E6D70" w:rsidRDefault="00E21E2E" w:rsidP="0017423E">
            <w:pPr>
              <w:jc w:val="both"/>
              <w:rPr>
                <w:rFonts w:ascii="Times New Roman" w:eastAsia="Calibri" w:hAnsi="Times New Roman" w:cs="Times New Roman"/>
                <w:iCs/>
                <w:sz w:val="18"/>
                <w:szCs w:val="18"/>
                <w:lang w:val="en-US"/>
              </w:rPr>
            </w:pPr>
          </w:p>
          <w:p w14:paraId="7146404D" w14:textId="77777777" w:rsidR="00E21E2E" w:rsidRPr="005E6D70" w:rsidRDefault="00E21E2E" w:rsidP="0017423E">
            <w:pPr>
              <w:jc w:val="both"/>
              <w:rPr>
                <w:rFonts w:ascii="Times New Roman" w:eastAsia="Calibri" w:hAnsi="Times New Roman" w:cs="Times New Roman"/>
                <w:iCs/>
                <w:sz w:val="18"/>
                <w:szCs w:val="18"/>
                <w:lang w:val="en-US"/>
              </w:rPr>
            </w:pPr>
          </w:p>
          <w:p w14:paraId="52D6EE7A" w14:textId="27F8078C"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permanent establishment as defined in Article 3, point (13)(c), shall be determined to be located in the jurisdiction where it is situated.</w:t>
            </w:r>
          </w:p>
          <w:p w14:paraId="1A87AE1E" w14:textId="77777777" w:rsidR="0017423E" w:rsidRPr="005E6D70" w:rsidRDefault="0017423E" w:rsidP="0017423E">
            <w:pPr>
              <w:jc w:val="both"/>
              <w:rPr>
                <w:rFonts w:ascii="Times New Roman" w:eastAsia="Calibri" w:hAnsi="Times New Roman" w:cs="Times New Roman"/>
                <w:iCs/>
                <w:sz w:val="18"/>
                <w:szCs w:val="18"/>
                <w:lang w:val="en-US"/>
              </w:rPr>
            </w:pPr>
          </w:p>
          <w:p w14:paraId="43EC5ADD" w14:textId="77777777" w:rsidR="00E21E2E" w:rsidRPr="005E6D70" w:rsidRDefault="00E21E2E" w:rsidP="0017423E">
            <w:pPr>
              <w:jc w:val="both"/>
              <w:rPr>
                <w:rFonts w:ascii="Times New Roman" w:eastAsia="Calibri" w:hAnsi="Times New Roman" w:cs="Times New Roman"/>
                <w:iCs/>
                <w:sz w:val="18"/>
                <w:szCs w:val="18"/>
                <w:lang w:val="en-US"/>
              </w:rPr>
            </w:pPr>
          </w:p>
          <w:p w14:paraId="487C4992" w14:textId="77777777" w:rsidR="00E21E2E" w:rsidRPr="005E6D70" w:rsidRDefault="00E21E2E" w:rsidP="0017423E">
            <w:pPr>
              <w:jc w:val="both"/>
              <w:rPr>
                <w:rFonts w:ascii="Times New Roman" w:eastAsia="Calibri" w:hAnsi="Times New Roman" w:cs="Times New Roman"/>
                <w:iCs/>
                <w:sz w:val="18"/>
                <w:szCs w:val="18"/>
                <w:lang w:val="en-US"/>
              </w:rPr>
            </w:pPr>
          </w:p>
          <w:p w14:paraId="408C304A" w14:textId="77777777" w:rsidR="00E21E2E" w:rsidRPr="005E6D70" w:rsidRDefault="00E21E2E" w:rsidP="0017423E">
            <w:pPr>
              <w:jc w:val="both"/>
              <w:rPr>
                <w:rFonts w:ascii="Times New Roman" w:eastAsia="Calibri" w:hAnsi="Times New Roman" w:cs="Times New Roman"/>
                <w:iCs/>
                <w:sz w:val="18"/>
                <w:szCs w:val="18"/>
                <w:lang w:val="en-US"/>
              </w:rPr>
            </w:pPr>
          </w:p>
          <w:p w14:paraId="18230B87" w14:textId="631F3DA1" w:rsidR="0017423E" w:rsidRPr="005E6D70" w:rsidRDefault="0017423E" w:rsidP="0017423E">
            <w:pPr>
              <w:jc w:val="both"/>
              <w:rPr>
                <w:rFonts w:ascii="Times New Roman" w:eastAsia="Calibri" w:hAnsi="Times New Roman" w:cs="Times New Roman"/>
                <w:bCs/>
                <w:sz w:val="18"/>
                <w:szCs w:val="18"/>
                <w:lang w:val="en-US"/>
              </w:rPr>
            </w:pPr>
            <w:r w:rsidRPr="005E6D70">
              <w:rPr>
                <w:rFonts w:ascii="Times New Roman" w:eastAsia="Calibri" w:hAnsi="Times New Roman" w:cs="Times New Roman"/>
                <w:iCs/>
                <w:sz w:val="18"/>
                <w:szCs w:val="18"/>
                <w:lang w:val="en-US"/>
              </w:rPr>
              <w:t>A permanent establishment as defined in Article 3, point (13)(d), shall be considered to be stateless.</w:t>
            </w:r>
          </w:p>
        </w:tc>
        <w:tc>
          <w:tcPr>
            <w:tcW w:w="990" w:type="dxa"/>
            <w:gridSpan w:val="2"/>
          </w:tcPr>
          <w:p w14:paraId="4801E7A0" w14:textId="742A69DB" w:rsidR="0017423E" w:rsidRPr="005E6D70" w:rsidRDefault="0017423E"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sz w:val="18"/>
                <w:szCs w:val="18"/>
                <w:lang w:val="en-US"/>
              </w:rPr>
              <w:lastRenderedPageBreak/>
              <w:t>1</w:t>
            </w:r>
          </w:p>
        </w:tc>
        <w:tc>
          <w:tcPr>
            <w:tcW w:w="1080" w:type="dxa"/>
            <w:gridSpan w:val="2"/>
          </w:tcPr>
          <w:p w14:paraId="230A874E" w14:textId="77777777" w:rsidR="0017423E" w:rsidRPr="005E6D70" w:rsidRDefault="003C6116" w:rsidP="003C6116">
            <w:pP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5(4)(a)</w:t>
            </w:r>
          </w:p>
          <w:p w14:paraId="182F5F1E" w14:textId="77777777" w:rsidR="00E21E2E" w:rsidRPr="005E6D70" w:rsidRDefault="00E21E2E" w:rsidP="003C6116">
            <w:pPr>
              <w:rPr>
                <w:rFonts w:ascii="Times New Roman" w:eastAsia="Calibri" w:hAnsi="Times New Roman" w:cs="Times New Roman"/>
                <w:bCs/>
                <w:sz w:val="18"/>
                <w:szCs w:val="18"/>
                <w:lang w:val="en-US"/>
              </w:rPr>
            </w:pPr>
          </w:p>
          <w:p w14:paraId="591D2760" w14:textId="77777777" w:rsidR="00E21E2E" w:rsidRPr="005E6D70" w:rsidRDefault="00E21E2E" w:rsidP="003C6116">
            <w:pPr>
              <w:rPr>
                <w:rFonts w:ascii="Times New Roman" w:eastAsia="Calibri" w:hAnsi="Times New Roman" w:cs="Times New Roman"/>
                <w:bCs/>
                <w:sz w:val="18"/>
                <w:szCs w:val="18"/>
                <w:lang w:val="en-US"/>
              </w:rPr>
            </w:pPr>
          </w:p>
          <w:p w14:paraId="19527EBC" w14:textId="77777777" w:rsidR="00E21E2E" w:rsidRPr="005E6D70" w:rsidRDefault="00E21E2E" w:rsidP="003C6116">
            <w:pPr>
              <w:rPr>
                <w:rFonts w:ascii="Times New Roman" w:eastAsia="Calibri" w:hAnsi="Times New Roman" w:cs="Times New Roman"/>
                <w:bCs/>
                <w:sz w:val="18"/>
                <w:szCs w:val="18"/>
                <w:lang w:val="en-US"/>
              </w:rPr>
            </w:pPr>
          </w:p>
          <w:p w14:paraId="593DFCAE" w14:textId="77777777" w:rsidR="00E21E2E" w:rsidRPr="005E6D70" w:rsidRDefault="00E21E2E" w:rsidP="003C6116">
            <w:pPr>
              <w:rPr>
                <w:rFonts w:ascii="Times New Roman" w:eastAsia="Calibri" w:hAnsi="Times New Roman" w:cs="Times New Roman"/>
                <w:bCs/>
                <w:sz w:val="18"/>
                <w:szCs w:val="18"/>
                <w:lang w:val="en-US"/>
              </w:rPr>
            </w:pPr>
          </w:p>
          <w:p w14:paraId="1B1A16BD" w14:textId="77777777" w:rsidR="00E21E2E" w:rsidRPr="005E6D70" w:rsidRDefault="00E21E2E" w:rsidP="003C6116">
            <w:pPr>
              <w:rPr>
                <w:rFonts w:ascii="Times New Roman" w:eastAsia="Calibri" w:hAnsi="Times New Roman" w:cs="Times New Roman"/>
                <w:bCs/>
                <w:sz w:val="18"/>
                <w:szCs w:val="18"/>
                <w:lang w:val="en-US"/>
              </w:rPr>
            </w:pPr>
          </w:p>
          <w:p w14:paraId="04BBB733" w14:textId="77777777" w:rsidR="00E21E2E" w:rsidRPr="005E6D70" w:rsidRDefault="00E21E2E" w:rsidP="003C6116">
            <w:pPr>
              <w:rPr>
                <w:rFonts w:ascii="Times New Roman" w:eastAsia="Calibri" w:hAnsi="Times New Roman" w:cs="Times New Roman"/>
                <w:bCs/>
                <w:sz w:val="18"/>
                <w:szCs w:val="18"/>
                <w:lang w:val="en-US"/>
              </w:rPr>
            </w:pPr>
          </w:p>
          <w:p w14:paraId="4D2C9CF7" w14:textId="77777777" w:rsidR="00E21E2E" w:rsidRPr="005E6D70" w:rsidRDefault="00E21E2E" w:rsidP="003C6116">
            <w:pPr>
              <w:rPr>
                <w:rFonts w:ascii="Times New Roman" w:eastAsia="Calibri" w:hAnsi="Times New Roman" w:cs="Times New Roman"/>
                <w:bCs/>
                <w:sz w:val="18"/>
                <w:szCs w:val="18"/>
                <w:lang w:val="en-US"/>
              </w:rPr>
            </w:pPr>
          </w:p>
          <w:p w14:paraId="4FCD25DD" w14:textId="77777777" w:rsidR="00E21E2E" w:rsidRPr="005E6D70" w:rsidRDefault="00E21E2E" w:rsidP="003C6116">
            <w:pPr>
              <w:rPr>
                <w:rFonts w:ascii="Times New Roman" w:eastAsia="Calibri" w:hAnsi="Times New Roman" w:cs="Times New Roman"/>
                <w:bCs/>
                <w:sz w:val="18"/>
                <w:szCs w:val="18"/>
                <w:lang w:val="en-US"/>
              </w:rPr>
            </w:pPr>
          </w:p>
          <w:p w14:paraId="05E93770" w14:textId="77777777" w:rsidR="00E21E2E" w:rsidRPr="005E6D70" w:rsidRDefault="00E21E2E" w:rsidP="003C6116">
            <w:pPr>
              <w:rPr>
                <w:rFonts w:ascii="Times New Roman" w:eastAsia="Calibri" w:hAnsi="Times New Roman" w:cs="Times New Roman"/>
                <w:bCs/>
                <w:sz w:val="18"/>
                <w:szCs w:val="18"/>
                <w:lang w:val="en-US"/>
              </w:rPr>
            </w:pPr>
          </w:p>
          <w:p w14:paraId="2FB49A42" w14:textId="77777777" w:rsidR="00E21E2E" w:rsidRPr="005E6D70" w:rsidRDefault="00E21E2E" w:rsidP="003C6116">
            <w:pPr>
              <w:rPr>
                <w:rFonts w:ascii="Times New Roman" w:eastAsia="Calibri" w:hAnsi="Times New Roman" w:cs="Times New Roman"/>
                <w:bCs/>
                <w:sz w:val="18"/>
                <w:szCs w:val="18"/>
                <w:lang w:val="en-US"/>
              </w:rPr>
            </w:pPr>
          </w:p>
          <w:p w14:paraId="0288BBC6" w14:textId="77777777" w:rsidR="00E21E2E" w:rsidRPr="005E6D70" w:rsidRDefault="00E21E2E" w:rsidP="003C6116">
            <w:pPr>
              <w:rPr>
                <w:rFonts w:ascii="Times New Roman" w:eastAsia="Calibri" w:hAnsi="Times New Roman" w:cs="Times New Roman"/>
                <w:bCs/>
                <w:sz w:val="18"/>
                <w:szCs w:val="18"/>
                <w:lang w:val="en-US"/>
              </w:rPr>
            </w:pPr>
          </w:p>
          <w:p w14:paraId="39A86A93" w14:textId="77777777" w:rsidR="00E21E2E" w:rsidRPr="005E6D70" w:rsidRDefault="00E21E2E" w:rsidP="003C6116">
            <w:pPr>
              <w:rPr>
                <w:rFonts w:ascii="Times New Roman" w:eastAsia="Calibri" w:hAnsi="Times New Roman" w:cs="Times New Roman"/>
                <w:bCs/>
                <w:sz w:val="18"/>
                <w:szCs w:val="18"/>
                <w:lang w:val="en-US"/>
              </w:rPr>
            </w:pPr>
          </w:p>
          <w:p w14:paraId="55183988" w14:textId="77777777" w:rsidR="00E21E2E" w:rsidRPr="005E6D70" w:rsidRDefault="00E21E2E" w:rsidP="003C6116">
            <w:pPr>
              <w:rPr>
                <w:rFonts w:ascii="Times New Roman" w:eastAsia="Calibri" w:hAnsi="Times New Roman" w:cs="Times New Roman"/>
                <w:bCs/>
                <w:sz w:val="18"/>
                <w:szCs w:val="18"/>
                <w:lang w:val="en-US"/>
              </w:rPr>
            </w:pPr>
          </w:p>
          <w:p w14:paraId="1F7741E1" w14:textId="77777777" w:rsidR="00E21E2E" w:rsidRPr="005E6D70" w:rsidRDefault="00E21E2E" w:rsidP="003C6116">
            <w:pPr>
              <w:rPr>
                <w:rFonts w:ascii="Times New Roman" w:eastAsia="Calibri" w:hAnsi="Times New Roman" w:cs="Times New Roman"/>
                <w:bCs/>
                <w:sz w:val="18"/>
                <w:szCs w:val="18"/>
                <w:lang w:val="en-US"/>
              </w:rPr>
            </w:pPr>
          </w:p>
          <w:p w14:paraId="1E338EFD" w14:textId="77777777" w:rsidR="00E21E2E" w:rsidRPr="005E6D70" w:rsidRDefault="00E21E2E" w:rsidP="003C6116">
            <w:pPr>
              <w:rPr>
                <w:rFonts w:ascii="Times New Roman" w:eastAsia="Calibri" w:hAnsi="Times New Roman" w:cs="Times New Roman"/>
                <w:bCs/>
                <w:sz w:val="18"/>
                <w:szCs w:val="18"/>
                <w:lang w:val="en-US"/>
              </w:rPr>
            </w:pPr>
          </w:p>
          <w:p w14:paraId="3CA95A43" w14:textId="77777777" w:rsidR="00E21E2E" w:rsidRPr="005E6D70" w:rsidRDefault="00E21E2E" w:rsidP="003C6116">
            <w:pPr>
              <w:rPr>
                <w:rFonts w:ascii="Times New Roman" w:eastAsia="Calibri" w:hAnsi="Times New Roman" w:cs="Times New Roman"/>
                <w:bCs/>
                <w:sz w:val="18"/>
                <w:szCs w:val="18"/>
                <w:lang w:val="en-US"/>
              </w:rPr>
            </w:pPr>
          </w:p>
          <w:p w14:paraId="23AC76A8" w14:textId="77777777" w:rsidR="00E21E2E" w:rsidRPr="005E6D70" w:rsidRDefault="00E21E2E" w:rsidP="003C6116">
            <w:pPr>
              <w:rPr>
                <w:rFonts w:ascii="Times New Roman" w:eastAsia="Calibri" w:hAnsi="Times New Roman" w:cs="Times New Roman"/>
                <w:bCs/>
                <w:sz w:val="18"/>
                <w:szCs w:val="18"/>
                <w:lang w:val="en-US"/>
              </w:rPr>
            </w:pPr>
          </w:p>
          <w:p w14:paraId="794714C3" w14:textId="77777777" w:rsidR="00E21E2E" w:rsidRPr="005E6D70" w:rsidRDefault="00E21E2E" w:rsidP="003C6116">
            <w:pPr>
              <w:rPr>
                <w:rFonts w:ascii="Times New Roman" w:eastAsia="Calibri" w:hAnsi="Times New Roman" w:cs="Times New Roman"/>
                <w:bCs/>
                <w:sz w:val="18"/>
                <w:szCs w:val="18"/>
                <w:lang w:val="en-US"/>
              </w:rPr>
            </w:pPr>
          </w:p>
          <w:p w14:paraId="5C318388" w14:textId="77777777" w:rsidR="00E21E2E" w:rsidRPr="005E6D70" w:rsidRDefault="00E21E2E" w:rsidP="003C6116">
            <w:pPr>
              <w:rPr>
                <w:rFonts w:ascii="Times New Roman" w:eastAsia="Calibri" w:hAnsi="Times New Roman" w:cs="Times New Roman"/>
                <w:bCs/>
                <w:sz w:val="18"/>
                <w:szCs w:val="18"/>
                <w:lang w:val="en-US"/>
              </w:rPr>
            </w:pPr>
          </w:p>
          <w:p w14:paraId="15FF8457" w14:textId="77777777" w:rsidR="00E21E2E" w:rsidRPr="005E6D70" w:rsidRDefault="00E21E2E" w:rsidP="003C6116">
            <w:pPr>
              <w:rPr>
                <w:rFonts w:ascii="Times New Roman" w:eastAsia="Calibri" w:hAnsi="Times New Roman" w:cs="Times New Roman"/>
                <w:bCs/>
                <w:sz w:val="18"/>
                <w:szCs w:val="18"/>
                <w:lang w:val="en-US"/>
              </w:rPr>
            </w:pPr>
          </w:p>
          <w:p w14:paraId="2EE2DDC3" w14:textId="77777777" w:rsidR="00E21E2E" w:rsidRPr="005E6D70" w:rsidRDefault="00E21E2E" w:rsidP="003C6116">
            <w:pPr>
              <w:rPr>
                <w:rFonts w:ascii="Times New Roman" w:eastAsia="Calibri" w:hAnsi="Times New Roman" w:cs="Times New Roman"/>
                <w:bCs/>
                <w:sz w:val="18"/>
                <w:szCs w:val="18"/>
                <w:lang w:val="en-US"/>
              </w:rPr>
            </w:pPr>
          </w:p>
          <w:p w14:paraId="6841756F" w14:textId="77777777" w:rsidR="00E21E2E" w:rsidRPr="005E6D70" w:rsidRDefault="00E21E2E" w:rsidP="003C6116">
            <w:pPr>
              <w:rPr>
                <w:rFonts w:ascii="Times New Roman" w:eastAsia="Calibri" w:hAnsi="Times New Roman" w:cs="Times New Roman"/>
                <w:bCs/>
                <w:sz w:val="18"/>
                <w:szCs w:val="18"/>
                <w:lang w:val="en-US"/>
              </w:rPr>
            </w:pPr>
          </w:p>
          <w:p w14:paraId="01C15F56" w14:textId="77777777" w:rsidR="00E21E2E" w:rsidRPr="005E6D70" w:rsidRDefault="00E21E2E" w:rsidP="003C6116">
            <w:pP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lastRenderedPageBreak/>
              <w:t>5(4)(b)</w:t>
            </w:r>
          </w:p>
          <w:p w14:paraId="463B27AC" w14:textId="77777777" w:rsidR="00E21E2E" w:rsidRPr="005E6D70" w:rsidRDefault="00E21E2E" w:rsidP="003C6116">
            <w:pPr>
              <w:rPr>
                <w:rFonts w:ascii="Times New Roman" w:eastAsia="Calibri" w:hAnsi="Times New Roman" w:cs="Times New Roman"/>
                <w:bCs/>
                <w:sz w:val="18"/>
                <w:szCs w:val="18"/>
                <w:lang w:val="en-US"/>
              </w:rPr>
            </w:pPr>
          </w:p>
          <w:p w14:paraId="1BC51059" w14:textId="77777777" w:rsidR="00E21E2E" w:rsidRPr="005E6D70" w:rsidRDefault="00E21E2E" w:rsidP="003C6116">
            <w:pPr>
              <w:rPr>
                <w:rFonts w:ascii="Times New Roman" w:eastAsia="Calibri" w:hAnsi="Times New Roman" w:cs="Times New Roman"/>
                <w:bCs/>
                <w:sz w:val="18"/>
                <w:szCs w:val="18"/>
                <w:lang w:val="en-US"/>
              </w:rPr>
            </w:pPr>
          </w:p>
          <w:p w14:paraId="0ACE73E5" w14:textId="77777777" w:rsidR="00E21E2E" w:rsidRPr="005E6D70" w:rsidRDefault="00E21E2E" w:rsidP="003C6116">
            <w:pPr>
              <w:rPr>
                <w:rFonts w:ascii="Times New Roman" w:eastAsia="Calibri" w:hAnsi="Times New Roman" w:cs="Times New Roman"/>
                <w:bCs/>
                <w:sz w:val="18"/>
                <w:szCs w:val="18"/>
                <w:lang w:val="en-US"/>
              </w:rPr>
            </w:pPr>
          </w:p>
          <w:p w14:paraId="27CCC813" w14:textId="77777777" w:rsidR="00E21E2E" w:rsidRPr="005E6D70" w:rsidRDefault="00E21E2E" w:rsidP="003C6116">
            <w:pPr>
              <w:rPr>
                <w:rFonts w:ascii="Times New Roman" w:eastAsia="Calibri" w:hAnsi="Times New Roman" w:cs="Times New Roman"/>
                <w:bCs/>
                <w:sz w:val="18"/>
                <w:szCs w:val="18"/>
                <w:lang w:val="en-US"/>
              </w:rPr>
            </w:pPr>
          </w:p>
          <w:p w14:paraId="67D76971" w14:textId="77777777" w:rsidR="00E21E2E" w:rsidRPr="005E6D70" w:rsidRDefault="00E21E2E" w:rsidP="003C6116">
            <w:pPr>
              <w:rPr>
                <w:rFonts w:ascii="Times New Roman" w:eastAsia="Calibri" w:hAnsi="Times New Roman" w:cs="Times New Roman"/>
                <w:bCs/>
                <w:sz w:val="18"/>
                <w:szCs w:val="18"/>
                <w:lang w:val="en-US"/>
              </w:rPr>
            </w:pPr>
          </w:p>
          <w:p w14:paraId="493D0B27" w14:textId="77777777" w:rsidR="00E21E2E" w:rsidRPr="005E6D70" w:rsidRDefault="00E21E2E" w:rsidP="003C6116">
            <w:pPr>
              <w:rPr>
                <w:rFonts w:ascii="Times New Roman" w:eastAsia="Calibri" w:hAnsi="Times New Roman" w:cs="Times New Roman"/>
                <w:bCs/>
                <w:sz w:val="18"/>
                <w:szCs w:val="18"/>
                <w:lang w:val="en-US"/>
              </w:rPr>
            </w:pPr>
          </w:p>
          <w:p w14:paraId="00951147" w14:textId="77777777" w:rsidR="00E21E2E" w:rsidRPr="005E6D70" w:rsidRDefault="00E21E2E" w:rsidP="003C6116">
            <w:pPr>
              <w:rPr>
                <w:rFonts w:ascii="Times New Roman" w:eastAsia="Calibri" w:hAnsi="Times New Roman" w:cs="Times New Roman"/>
                <w:bCs/>
                <w:sz w:val="18"/>
                <w:szCs w:val="18"/>
                <w:lang w:val="en-US"/>
              </w:rPr>
            </w:pPr>
          </w:p>
          <w:p w14:paraId="1CBC899A" w14:textId="77777777" w:rsidR="00E21E2E" w:rsidRPr="005E6D70" w:rsidRDefault="00E21E2E" w:rsidP="003C6116">
            <w:pPr>
              <w:rPr>
                <w:rFonts w:ascii="Times New Roman" w:eastAsia="Calibri" w:hAnsi="Times New Roman" w:cs="Times New Roman"/>
                <w:bCs/>
                <w:sz w:val="18"/>
                <w:szCs w:val="18"/>
                <w:lang w:val="en-US"/>
              </w:rPr>
            </w:pPr>
          </w:p>
          <w:p w14:paraId="272F1E94" w14:textId="77777777" w:rsidR="00E21E2E" w:rsidRPr="005E6D70" w:rsidRDefault="00E21E2E" w:rsidP="003C6116">
            <w:pP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5(4)(c)</w:t>
            </w:r>
          </w:p>
          <w:p w14:paraId="1DC86305" w14:textId="77777777" w:rsidR="00E10242" w:rsidRPr="005E6D70" w:rsidRDefault="00E10242" w:rsidP="003C6116">
            <w:pPr>
              <w:rPr>
                <w:rFonts w:ascii="Times New Roman" w:eastAsia="Calibri" w:hAnsi="Times New Roman" w:cs="Times New Roman"/>
                <w:bCs/>
                <w:sz w:val="18"/>
                <w:szCs w:val="18"/>
                <w:lang w:val="en-US"/>
              </w:rPr>
            </w:pPr>
          </w:p>
          <w:p w14:paraId="21A70C52" w14:textId="77777777" w:rsidR="00E10242" w:rsidRPr="005E6D70" w:rsidRDefault="00E10242" w:rsidP="003C6116">
            <w:pPr>
              <w:rPr>
                <w:rFonts w:ascii="Times New Roman" w:eastAsia="Calibri" w:hAnsi="Times New Roman" w:cs="Times New Roman"/>
                <w:bCs/>
                <w:sz w:val="18"/>
                <w:szCs w:val="18"/>
                <w:lang w:val="en-US"/>
              </w:rPr>
            </w:pPr>
          </w:p>
          <w:p w14:paraId="601E9072" w14:textId="77777777" w:rsidR="00E10242" w:rsidRPr="005E6D70" w:rsidRDefault="00E10242" w:rsidP="003C6116">
            <w:pPr>
              <w:rPr>
                <w:rFonts w:ascii="Times New Roman" w:eastAsia="Calibri" w:hAnsi="Times New Roman" w:cs="Times New Roman"/>
                <w:bCs/>
                <w:sz w:val="18"/>
                <w:szCs w:val="18"/>
                <w:lang w:val="en-US"/>
              </w:rPr>
            </w:pPr>
          </w:p>
          <w:p w14:paraId="628266F6" w14:textId="77777777" w:rsidR="00E10242" w:rsidRPr="005E6D70" w:rsidRDefault="00E10242" w:rsidP="003C6116">
            <w:pPr>
              <w:rPr>
                <w:rFonts w:ascii="Times New Roman" w:eastAsia="Calibri" w:hAnsi="Times New Roman" w:cs="Times New Roman"/>
                <w:bCs/>
                <w:sz w:val="18"/>
                <w:szCs w:val="18"/>
                <w:lang w:val="en-US"/>
              </w:rPr>
            </w:pPr>
          </w:p>
          <w:p w14:paraId="150133CD" w14:textId="77777777" w:rsidR="00E10242" w:rsidRPr="005E6D70" w:rsidRDefault="00E10242" w:rsidP="003C6116">
            <w:pPr>
              <w:rPr>
                <w:rFonts w:ascii="Times New Roman" w:eastAsia="Calibri" w:hAnsi="Times New Roman" w:cs="Times New Roman"/>
                <w:bCs/>
                <w:sz w:val="18"/>
                <w:szCs w:val="18"/>
                <w:lang w:val="en-US"/>
              </w:rPr>
            </w:pPr>
          </w:p>
          <w:p w14:paraId="58C1CDD6" w14:textId="77777777" w:rsidR="00E10242" w:rsidRPr="005E6D70" w:rsidRDefault="00E10242" w:rsidP="003C6116">
            <w:pPr>
              <w:rPr>
                <w:rFonts w:ascii="Times New Roman" w:eastAsia="Calibri" w:hAnsi="Times New Roman" w:cs="Times New Roman"/>
                <w:bCs/>
                <w:sz w:val="18"/>
                <w:szCs w:val="18"/>
                <w:lang w:val="en-US"/>
              </w:rPr>
            </w:pPr>
          </w:p>
          <w:p w14:paraId="18542D43" w14:textId="3F2F62AD" w:rsidR="00E21E2E" w:rsidRPr="005E6D70" w:rsidRDefault="00E10242" w:rsidP="003C6116">
            <w:pP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5(4)(d)</w:t>
            </w:r>
          </w:p>
          <w:p w14:paraId="6BB648EA" w14:textId="7714A7C6" w:rsidR="00E21E2E" w:rsidRPr="005E6D70" w:rsidRDefault="00E21E2E" w:rsidP="003C6116">
            <w:pPr>
              <w:rPr>
                <w:rFonts w:ascii="Times New Roman" w:eastAsia="Calibri" w:hAnsi="Times New Roman" w:cs="Times New Roman"/>
                <w:bCs/>
                <w:sz w:val="18"/>
                <w:szCs w:val="18"/>
                <w:lang w:val="en-US"/>
              </w:rPr>
            </w:pPr>
          </w:p>
        </w:tc>
        <w:tc>
          <w:tcPr>
            <w:tcW w:w="4680" w:type="dxa"/>
            <w:gridSpan w:val="2"/>
          </w:tcPr>
          <w:p w14:paraId="587C595B" w14:textId="77777777" w:rsidR="003C6116" w:rsidRPr="005E6D70" w:rsidRDefault="003C6116" w:rsidP="00754FB1">
            <w:pPr>
              <w:autoSpaceDE w:val="0"/>
              <w:autoSpaceDN w:val="0"/>
              <w:adjustRightInd w:val="0"/>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4. The location of a permanent establishment shall be determined as follows:</w:t>
            </w:r>
          </w:p>
          <w:p w14:paraId="0FC6DF27" w14:textId="77777777" w:rsidR="003C6116" w:rsidRPr="005E6D70" w:rsidRDefault="003C6116" w:rsidP="00754FB1">
            <w:pPr>
              <w:autoSpaceDE w:val="0"/>
              <w:autoSpaceDN w:val="0"/>
              <w:adjustRightInd w:val="0"/>
              <w:jc w:val="both"/>
              <w:rPr>
                <w:rFonts w:ascii="Times New Roman" w:eastAsia="Calibri" w:hAnsi="Times New Roman" w:cs="Times New Roman"/>
                <w:sz w:val="18"/>
                <w:szCs w:val="18"/>
                <w:lang w:val="en-US"/>
              </w:rPr>
            </w:pPr>
          </w:p>
          <w:p w14:paraId="76222911" w14:textId="77777777" w:rsidR="0017423E" w:rsidRPr="005E6D70" w:rsidRDefault="003C6116" w:rsidP="00754FB1">
            <w:pPr>
              <w:autoSpaceDE w:val="0"/>
              <w:autoSpaceDN w:val="0"/>
              <w:adjustRightInd w:val="0"/>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if it is a permanent establishment as defined in letter “a”, of paragraph 13, of Article 4, of this Law, it shall be determined to be located in the jurisdiction where it is treated as a permanent establishment and is liable to tax under the applicable tax treaty;</w:t>
            </w:r>
          </w:p>
          <w:p w14:paraId="08CD16A0" w14:textId="77777777" w:rsidR="00BC3040" w:rsidRPr="005E6D70" w:rsidRDefault="00BC3040" w:rsidP="00754FB1">
            <w:pPr>
              <w:autoSpaceDE w:val="0"/>
              <w:autoSpaceDN w:val="0"/>
              <w:adjustRightInd w:val="0"/>
              <w:jc w:val="both"/>
              <w:rPr>
                <w:rFonts w:ascii="Times New Roman" w:eastAsia="Calibri" w:hAnsi="Times New Roman" w:cs="Times New Roman"/>
                <w:sz w:val="18"/>
                <w:szCs w:val="18"/>
                <w:lang w:val="en-US"/>
              </w:rPr>
            </w:pPr>
          </w:p>
          <w:p w14:paraId="2415D3E1" w14:textId="77777777" w:rsidR="00BC3040" w:rsidRPr="005E6D70" w:rsidRDefault="00BC3040" w:rsidP="00754FB1">
            <w:pPr>
              <w:autoSpaceDE w:val="0"/>
              <w:autoSpaceDN w:val="0"/>
              <w:adjustRightInd w:val="0"/>
              <w:jc w:val="both"/>
              <w:rPr>
                <w:rFonts w:ascii="Times New Roman" w:eastAsia="Calibri" w:hAnsi="Times New Roman" w:cs="Times New Roman"/>
                <w:sz w:val="18"/>
                <w:szCs w:val="18"/>
                <w:lang w:val="en-US"/>
              </w:rPr>
            </w:pPr>
          </w:p>
          <w:p w14:paraId="418EEDAF" w14:textId="77777777" w:rsidR="00BC3040" w:rsidRPr="005E6D70" w:rsidRDefault="00BC3040" w:rsidP="00754FB1">
            <w:pPr>
              <w:autoSpaceDE w:val="0"/>
              <w:autoSpaceDN w:val="0"/>
              <w:adjustRightInd w:val="0"/>
              <w:jc w:val="both"/>
              <w:rPr>
                <w:rFonts w:ascii="Times New Roman" w:eastAsia="Calibri" w:hAnsi="Times New Roman" w:cs="Times New Roman"/>
                <w:sz w:val="18"/>
                <w:szCs w:val="18"/>
                <w:lang w:val="en-US"/>
              </w:rPr>
            </w:pPr>
          </w:p>
          <w:p w14:paraId="1343D35C" w14:textId="77777777" w:rsidR="00BC3040" w:rsidRPr="005E6D70" w:rsidRDefault="00BC3040" w:rsidP="00754FB1">
            <w:pPr>
              <w:autoSpaceDE w:val="0"/>
              <w:autoSpaceDN w:val="0"/>
              <w:adjustRightInd w:val="0"/>
              <w:jc w:val="both"/>
              <w:rPr>
                <w:rFonts w:ascii="Times New Roman" w:eastAsia="Calibri" w:hAnsi="Times New Roman" w:cs="Times New Roman"/>
                <w:sz w:val="18"/>
                <w:szCs w:val="18"/>
                <w:lang w:val="en-US"/>
              </w:rPr>
            </w:pPr>
          </w:p>
          <w:p w14:paraId="036EB286" w14:textId="77777777" w:rsidR="00BC3040" w:rsidRPr="005E6D70" w:rsidRDefault="00BC3040" w:rsidP="00754FB1">
            <w:pPr>
              <w:autoSpaceDE w:val="0"/>
              <w:autoSpaceDN w:val="0"/>
              <w:adjustRightInd w:val="0"/>
              <w:jc w:val="both"/>
              <w:rPr>
                <w:rFonts w:ascii="Times New Roman" w:eastAsia="Calibri" w:hAnsi="Times New Roman" w:cs="Times New Roman"/>
                <w:sz w:val="18"/>
                <w:szCs w:val="18"/>
                <w:lang w:val="en-US"/>
              </w:rPr>
            </w:pPr>
          </w:p>
          <w:p w14:paraId="0AB4D497" w14:textId="77777777" w:rsidR="00BC3040" w:rsidRPr="005E6D70" w:rsidRDefault="00BC3040" w:rsidP="00754FB1">
            <w:pPr>
              <w:autoSpaceDE w:val="0"/>
              <w:autoSpaceDN w:val="0"/>
              <w:adjustRightInd w:val="0"/>
              <w:jc w:val="both"/>
              <w:rPr>
                <w:rFonts w:ascii="Times New Roman" w:eastAsia="Calibri" w:hAnsi="Times New Roman" w:cs="Times New Roman"/>
                <w:sz w:val="18"/>
                <w:szCs w:val="18"/>
                <w:lang w:val="en-US"/>
              </w:rPr>
            </w:pPr>
          </w:p>
          <w:p w14:paraId="4955CD04" w14:textId="77777777" w:rsidR="00BC3040" w:rsidRPr="005E6D70" w:rsidRDefault="00BC3040" w:rsidP="00754FB1">
            <w:pPr>
              <w:autoSpaceDE w:val="0"/>
              <w:autoSpaceDN w:val="0"/>
              <w:adjustRightInd w:val="0"/>
              <w:jc w:val="both"/>
              <w:rPr>
                <w:rFonts w:ascii="Times New Roman" w:eastAsia="Calibri" w:hAnsi="Times New Roman" w:cs="Times New Roman"/>
                <w:sz w:val="18"/>
                <w:szCs w:val="18"/>
                <w:lang w:val="en-US"/>
              </w:rPr>
            </w:pPr>
          </w:p>
          <w:p w14:paraId="4FD4B31F" w14:textId="77777777" w:rsidR="00BC3040" w:rsidRPr="005E6D70" w:rsidRDefault="00BC3040" w:rsidP="00754FB1">
            <w:pPr>
              <w:autoSpaceDE w:val="0"/>
              <w:autoSpaceDN w:val="0"/>
              <w:adjustRightInd w:val="0"/>
              <w:jc w:val="both"/>
              <w:rPr>
                <w:rFonts w:ascii="Times New Roman" w:eastAsia="Calibri" w:hAnsi="Times New Roman" w:cs="Times New Roman"/>
                <w:sz w:val="18"/>
                <w:szCs w:val="18"/>
                <w:lang w:val="en-US"/>
              </w:rPr>
            </w:pPr>
          </w:p>
          <w:p w14:paraId="4DBAD61D" w14:textId="77777777" w:rsidR="00BC3040" w:rsidRPr="005E6D70" w:rsidRDefault="00BC3040" w:rsidP="00754FB1">
            <w:pPr>
              <w:autoSpaceDE w:val="0"/>
              <w:autoSpaceDN w:val="0"/>
              <w:adjustRightInd w:val="0"/>
              <w:jc w:val="both"/>
              <w:rPr>
                <w:rFonts w:ascii="Times New Roman" w:eastAsia="Calibri" w:hAnsi="Times New Roman" w:cs="Times New Roman"/>
                <w:sz w:val="18"/>
                <w:szCs w:val="18"/>
                <w:lang w:val="en-US"/>
              </w:rPr>
            </w:pPr>
          </w:p>
          <w:p w14:paraId="227E81A2" w14:textId="77777777" w:rsidR="00BC3040" w:rsidRPr="005E6D70" w:rsidRDefault="00BC3040" w:rsidP="00754FB1">
            <w:pPr>
              <w:autoSpaceDE w:val="0"/>
              <w:autoSpaceDN w:val="0"/>
              <w:adjustRightInd w:val="0"/>
              <w:jc w:val="both"/>
              <w:rPr>
                <w:rFonts w:ascii="Times New Roman" w:eastAsia="Calibri" w:hAnsi="Times New Roman" w:cs="Times New Roman"/>
                <w:sz w:val="18"/>
                <w:szCs w:val="18"/>
                <w:lang w:val="en-US"/>
              </w:rPr>
            </w:pPr>
          </w:p>
          <w:p w14:paraId="2E1D8439" w14:textId="77777777" w:rsidR="00BC3040" w:rsidRPr="005E6D70" w:rsidRDefault="00BC3040" w:rsidP="00754FB1">
            <w:pPr>
              <w:autoSpaceDE w:val="0"/>
              <w:autoSpaceDN w:val="0"/>
              <w:adjustRightInd w:val="0"/>
              <w:jc w:val="both"/>
              <w:rPr>
                <w:rFonts w:ascii="Times New Roman" w:eastAsia="Calibri" w:hAnsi="Times New Roman" w:cs="Times New Roman"/>
                <w:sz w:val="18"/>
                <w:szCs w:val="18"/>
                <w:lang w:val="en-US"/>
              </w:rPr>
            </w:pPr>
          </w:p>
          <w:p w14:paraId="197F8E9F" w14:textId="77777777" w:rsidR="00BC3040" w:rsidRPr="005E6D70" w:rsidRDefault="00BC3040" w:rsidP="00754FB1">
            <w:pPr>
              <w:autoSpaceDE w:val="0"/>
              <w:autoSpaceDN w:val="0"/>
              <w:adjustRightInd w:val="0"/>
              <w:jc w:val="both"/>
              <w:rPr>
                <w:rFonts w:ascii="Times New Roman" w:eastAsia="Calibri" w:hAnsi="Times New Roman" w:cs="Times New Roman"/>
                <w:sz w:val="18"/>
                <w:szCs w:val="18"/>
                <w:lang w:val="en-US"/>
              </w:rPr>
            </w:pPr>
          </w:p>
          <w:p w14:paraId="087DE686" w14:textId="77777777" w:rsidR="00BC3040" w:rsidRPr="005E6D70" w:rsidRDefault="00BC3040" w:rsidP="00754FB1">
            <w:pPr>
              <w:autoSpaceDE w:val="0"/>
              <w:autoSpaceDN w:val="0"/>
              <w:adjustRightInd w:val="0"/>
              <w:jc w:val="both"/>
              <w:rPr>
                <w:rFonts w:ascii="Times New Roman" w:eastAsia="Calibri" w:hAnsi="Times New Roman" w:cs="Times New Roman"/>
                <w:sz w:val="18"/>
                <w:szCs w:val="18"/>
                <w:lang w:val="en-US"/>
              </w:rPr>
            </w:pPr>
          </w:p>
          <w:p w14:paraId="0A225BEA" w14:textId="77777777" w:rsidR="00BC3040" w:rsidRPr="005E6D70" w:rsidRDefault="00BC3040" w:rsidP="00754FB1">
            <w:pPr>
              <w:autoSpaceDE w:val="0"/>
              <w:autoSpaceDN w:val="0"/>
              <w:adjustRightInd w:val="0"/>
              <w:jc w:val="both"/>
              <w:rPr>
                <w:rFonts w:ascii="Times New Roman" w:eastAsia="Calibri" w:hAnsi="Times New Roman" w:cs="Times New Roman"/>
                <w:sz w:val="18"/>
                <w:szCs w:val="18"/>
                <w:lang w:val="en-US"/>
              </w:rPr>
            </w:pPr>
          </w:p>
          <w:p w14:paraId="4BE1F4E3" w14:textId="77777777" w:rsidR="00BC3040" w:rsidRPr="005E6D70" w:rsidRDefault="00BC3040" w:rsidP="00754FB1">
            <w:pPr>
              <w:autoSpaceDE w:val="0"/>
              <w:autoSpaceDN w:val="0"/>
              <w:adjustRightInd w:val="0"/>
              <w:jc w:val="both"/>
              <w:rPr>
                <w:rFonts w:ascii="Times New Roman" w:eastAsia="Calibri" w:hAnsi="Times New Roman" w:cs="Times New Roman"/>
                <w:sz w:val="18"/>
                <w:szCs w:val="18"/>
                <w:lang w:val="en-US"/>
              </w:rPr>
            </w:pPr>
          </w:p>
          <w:p w14:paraId="13AF450C" w14:textId="77777777" w:rsidR="00BC3040" w:rsidRPr="005E6D70" w:rsidRDefault="00E21E2E" w:rsidP="00754FB1">
            <w:pPr>
              <w:autoSpaceDE w:val="0"/>
              <w:autoSpaceDN w:val="0"/>
              <w:adjustRightInd w:val="0"/>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b) if it is a permanent establishment as defined in letter “b”, of paragraph 13, of Article 4, of this Law, it shall be determined to be located in the jurisdiction where it is subject to net basis taxation based on its business presence;</w:t>
            </w:r>
          </w:p>
          <w:p w14:paraId="6A8042EE" w14:textId="77777777" w:rsidR="00E21E2E" w:rsidRPr="005E6D70" w:rsidRDefault="00E21E2E" w:rsidP="00754FB1">
            <w:pPr>
              <w:autoSpaceDE w:val="0"/>
              <w:autoSpaceDN w:val="0"/>
              <w:adjustRightInd w:val="0"/>
              <w:jc w:val="both"/>
              <w:rPr>
                <w:rFonts w:ascii="Times New Roman" w:eastAsia="Calibri" w:hAnsi="Times New Roman" w:cs="Times New Roman"/>
                <w:sz w:val="18"/>
                <w:szCs w:val="18"/>
                <w:lang w:val="en-US"/>
              </w:rPr>
            </w:pPr>
          </w:p>
          <w:p w14:paraId="41CBA773" w14:textId="77777777" w:rsidR="00E21E2E" w:rsidRPr="005E6D70" w:rsidRDefault="00E21E2E" w:rsidP="00754FB1">
            <w:pPr>
              <w:autoSpaceDE w:val="0"/>
              <w:autoSpaceDN w:val="0"/>
              <w:adjustRightInd w:val="0"/>
              <w:jc w:val="both"/>
              <w:rPr>
                <w:rFonts w:ascii="Times New Roman" w:eastAsia="Calibri" w:hAnsi="Times New Roman" w:cs="Times New Roman"/>
                <w:sz w:val="18"/>
                <w:szCs w:val="18"/>
                <w:lang w:val="en-US"/>
              </w:rPr>
            </w:pPr>
          </w:p>
          <w:p w14:paraId="065BD65A" w14:textId="77777777" w:rsidR="00E21E2E" w:rsidRPr="005E6D70" w:rsidRDefault="00E21E2E" w:rsidP="00754FB1">
            <w:pPr>
              <w:autoSpaceDE w:val="0"/>
              <w:autoSpaceDN w:val="0"/>
              <w:adjustRightInd w:val="0"/>
              <w:jc w:val="both"/>
              <w:rPr>
                <w:rFonts w:ascii="Times New Roman" w:eastAsia="Calibri" w:hAnsi="Times New Roman" w:cs="Times New Roman"/>
                <w:sz w:val="18"/>
                <w:szCs w:val="18"/>
                <w:lang w:val="en-US"/>
              </w:rPr>
            </w:pPr>
          </w:p>
          <w:p w14:paraId="4DAD0A30" w14:textId="77777777" w:rsidR="00E21E2E" w:rsidRPr="005E6D70" w:rsidRDefault="00E21E2E" w:rsidP="00754FB1">
            <w:pPr>
              <w:autoSpaceDE w:val="0"/>
              <w:autoSpaceDN w:val="0"/>
              <w:adjustRightInd w:val="0"/>
              <w:jc w:val="both"/>
              <w:rPr>
                <w:rFonts w:ascii="Times New Roman" w:eastAsia="Calibri" w:hAnsi="Times New Roman" w:cs="Times New Roman"/>
                <w:sz w:val="18"/>
                <w:szCs w:val="18"/>
                <w:lang w:val="en-US"/>
              </w:rPr>
            </w:pPr>
          </w:p>
          <w:p w14:paraId="1F26441F" w14:textId="77777777" w:rsidR="00E21E2E" w:rsidRPr="005E6D70" w:rsidRDefault="00E21E2E" w:rsidP="00754FB1">
            <w:pPr>
              <w:autoSpaceDE w:val="0"/>
              <w:autoSpaceDN w:val="0"/>
              <w:adjustRightInd w:val="0"/>
              <w:jc w:val="both"/>
              <w:rPr>
                <w:rFonts w:ascii="Times New Roman" w:eastAsia="Calibri" w:hAnsi="Times New Roman" w:cs="Times New Roman"/>
                <w:sz w:val="18"/>
                <w:szCs w:val="18"/>
                <w:lang w:val="en-US"/>
              </w:rPr>
            </w:pPr>
          </w:p>
          <w:p w14:paraId="3491CF8D" w14:textId="77777777" w:rsidR="00E21E2E" w:rsidRPr="005E6D70" w:rsidRDefault="00E21E2E" w:rsidP="00754FB1">
            <w:pPr>
              <w:autoSpaceDE w:val="0"/>
              <w:autoSpaceDN w:val="0"/>
              <w:adjustRightInd w:val="0"/>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c) if it is a permanent establishment as defined in letter “c”, of paragraph 13, of Article 4, of this Law, it shall be determined to be located in the jurisdiction where it is situated;</w:t>
            </w:r>
          </w:p>
          <w:p w14:paraId="5BBC12BB" w14:textId="77777777" w:rsidR="00E21E2E" w:rsidRPr="005E6D70" w:rsidRDefault="00E21E2E" w:rsidP="00754FB1">
            <w:pPr>
              <w:autoSpaceDE w:val="0"/>
              <w:autoSpaceDN w:val="0"/>
              <w:adjustRightInd w:val="0"/>
              <w:jc w:val="both"/>
              <w:rPr>
                <w:rFonts w:ascii="Times New Roman" w:eastAsia="Calibri" w:hAnsi="Times New Roman" w:cs="Times New Roman"/>
                <w:sz w:val="18"/>
                <w:szCs w:val="18"/>
                <w:lang w:val="en-US"/>
              </w:rPr>
            </w:pPr>
          </w:p>
          <w:p w14:paraId="57A46784" w14:textId="77777777" w:rsidR="00E21E2E" w:rsidRPr="005E6D70" w:rsidRDefault="00E21E2E" w:rsidP="00754FB1">
            <w:pPr>
              <w:autoSpaceDE w:val="0"/>
              <w:autoSpaceDN w:val="0"/>
              <w:adjustRightInd w:val="0"/>
              <w:jc w:val="both"/>
              <w:rPr>
                <w:rFonts w:ascii="Times New Roman" w:eastAsia="Calibri" w:hAnsi="Times New Roman" w:cs="Times New Roman"/>
                <w:sz w:val="18"/>
                <w:szCs w:val="18"/>
                <w:lang w:val="en-US"/>
              </w:rPr>
            </w:pPr>
          </w:p>
          <w:p w14:paraId="577314C3" w14:textId="77777777" w:rsidR="00E21E2E" w:rsidRPr="005E6D70" w:rsidRDefault="00E21E2E" w:rsidP="00754FB1">
            <w:pPr>
              <w:autoSpaceDE w:val="0"/>
              <w:autoSpaceDN w:val="0"/>
              <w:adjustRightInd w:val="0"/>
              <w:jc w:val="both"/>
              <w:rPr>
                <w:rFonts w:ascii="Times New Roman" w:eastAsia="Calibri" w:hAnsi="Times New Roman" w:cs="Times New Roman"/>
                <w:sz w:val="18"/>
                <w:szCs w:val="18"/>
                <w:lang w:val="en-US"/>
              </w:rPr>
            </w:pPr>
          </w:p>
          <w:p w14:paraId="340B1CFF" w14:textId="77777777" w:rsidR="00E21E2E" w:rsidRPr="005E6D70" w:rsidRDefault="00E21E2E" w:rsidP="00754FB1">
            <w:pPr>
              <w:autoSpaceDE w:val="0"/>
              <w:autoSpaceDN w:val="0"/>
              <w:adjustRightInd w:val="0"/>
              <w:jc w:val="both"/>
              <w:rPr>
                <w:rFonts w:ascii="Times New Roman" w:eastAsia="Calibri" w:hAnsi="Times New Roman" w:cs="Times New Roman"/>
                <w:sz w:val="18"/>
                <w:szCs w:val="18"/>
                <w:lang w:val="en-US"/>
              </w:rPr>
            </w:pPr>
          </w:p>
          <w:p w14:paraId="611E2320" w14:textId="296423E7" w:rsidR="00E10242" w:rsidRPr="005E6D70" w:rsidRDefault="00E10242" w:rsidP="00754FB1">
            <w:pPr>
              <w:autoSpaceDE w:val="0"/>
              <w:autoSpaceDN w:val="0"/>
              <w:adjustRightInd w:val="0"/>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 if it is a permanent establishment as defined in letter “d”, of paragraph 13, of Article 4, of this Law, it shall be considered to be stateless.</w:t>
            </w:r>
          </w:p>
        </w:tc>
        <w:tc>
          <w:tcPr>
            <w:tcW w:w="1530" w:type="dxa"/>
          </w:tcPr>
          <w:p w14:paraId="5C366860" w14:textId="2F9D9F0B" w:rsidR="0017423E" w:rsidRPr="005E6D70" w:rsidRDefault="0017423E"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lastRenderedPageBreak/>
              <w:t>F</w:t>
            </w:r>
          </w:p>
        </w:tc>
        <w:tc>
          <w:tcPr>
            <w:tcW w:w="1350" w:type="dxa"/>
          </w:tcPr>
          <w:p w14:paraId="4FD3E2CC" w14:textId="77777777" w:rsidR="0017423E" w:rsidRPr="005E6D70" w:rsidRDefault="0033100B"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four unnumbered subparagraphs of the Directive are structurally organized into a single introductory sentence followed by lettered sub-points (a, b, c, d) in the draft law. The cross-reference to "Article 3, point (13)(a)" is mapped to "letter 'a', of paragraph 13, of Article 4, of this Law".</w:t>
            </w:r>
          </w:p>
          <w:p w14:paraId="2618010E" w14:textId="77777777" w:rsidR="00E21E2E" w:rsidRPr="005E6D70" w:rsidRDefault="00E21E2E" w:rsidP="0017423E">
            <w:pPr>
              <w:rPr>
                <w:rFonts w:ascii="Times New Roman" w:eastAsia="Calibri" w:hAnsi="Times New Roman" w:cs="Times New Roman"/>
                <w:sz w:val="18"/>
                <w:szCs w:val="18"/>
                <w:lang w:val="en-US"/>
              </w:rPr>
            </w:pPr>
          </w:p>
          <w:p w14:paraId="70499F4F" w14:textId="77777777" w:rsidR="00E21E2E" w:rsidRPr="005E6D70" w:rsidRDefault="00E21E2E"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The cross-reference is adapted to the national format ("letter 'b', of paragraph 13, of Article 4, of this Law").</w:t>
            </w:r>
          </w:p>
          <w:p w14:paraId="48358426" w14:textId="77777777" w:rsidR="00E21E2E" w:rsidRPr="005E6D70" w:rsidRDefault="00E21E2E" w:rsidP="0017423E">
            <w:pPr>
              <w:rPr>
                <w:rFonts w:ascii="Times New Roman" w:eastAsia="Calibri" w:hAnsi="Times New Roman" w:cs="Times New Roman"/>
                <w:sz w:val="18"/>
                <w:szCs w:val="18"/>
                <w:lang w:val="en-US"/>
              </w:rPr>
            </w:pPr>
          </w:p>
          <w:p w14:paraId="096E39EB" w14:textId="77777777" w:rsidR="00E21E2E" w:rsidRPr="005E6D70" w:rsidRDefault="00E21E2E"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cross-reference is adapted to the national format.</w:t>
            </w:r>
          </w:p>
          <w:p w14:paraId="68F3A25A" w14:textId="77777777" w:rsidR="00E10242" w:rsidRPr="005E6D70" w:rsidRDefault="00E10242" w:rsidP="0017423E">
            <w:pPr>
              <w:rPr>
                <w:rFonts w:ascii="Times New Roman" w:eastAsia="Calibri" w:hAnsi="Times New Roman" w:cs="Times New Roman"/>
                <w:sz w:val="18"/>
                <w:szCs w:val="18"/>
                <w:lang w:val="en-US"/>
              </w:rPr>
            </w:pPr>
          </w:p>
          <w:p w14:paraId="04B8F723" w14:textId="77777777" w:rsidR="00E10242" w:rsidRPr="005E6D70" w:rsidRDefault="00E10242" w:rsidP="0017423E">
            <w:pPr>
              <w:rPr>
                <w:rFonts w:ascii="Times New Roman" w:eastAsia="Calibri" w:hAnsi="Times New Roman" w:cs="Times New Roman"/>
                <w:sz w:val="18"/>
                <w:szCs w:val="18"/>
                <w:lang w:val="en-US"/>
              </w:rPr>
            </w:pPr>
          </w:p>
          <w:p w14:paraId="2C4BC5ED" w14:textId="2AA52204" w:rsidR="00E10242" w:rsidRPr="005E6D70" w:rsidRDefault="00E10242"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cross-reference is adapted to the national format.</w:t>
            </w:r>
          </w:p>
        </w:tc>
      </w:tr>
      <w:tr w:rsidR="00D37F89" w:rsidRPr="005E6D70" w14:paraId="5E2E0282" w14:textId="77777777" w:rsidTr="00073B1B">
        <w:tc>
          <w:tcPr>
            <w:tcW w:w="990" w:type="dxa"/>
            <w:gridSpan w:val="2"/>
          </w:tcPr>
          <w:p w14:paraId="582F7085" w14:textId="72C394AA"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4(4)</w:t>
            </w:r>
          </w:p>
        </w:tc>
        <w:tc>
          <w:tcPr>
            <w:tcW w:w="4860" w:type="dxa"/>
          </w:tcPr>
          <w:p w14:paraId="57F59E63" w14:textId="45A57331"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Where a constituent entity is located in two jurisdictions and those jurisdictions have an applicable tax treaty, the constituent entity shall be deemed to be located in the jurisdiction where it is considered to be resident for tax purposes under that tax treaty.</w:t>
            </w:r>
          </w:p>
          <w:p w14:paraId="13AC1073" w14:textId="77777777" w:rsidR="0017423E" w:rsidRPr="005E6D70" w:rsidRDefault="0017423E" w:rsidP="0017423E">
            <w:pPr>
              <w:jc w:val="both"/>
              <w:rPr>
                <w:rFonts w:ascii="Times New Roman" w:eastAsia="Calibri" w:hAnsi="Times New Roman" w:cs="Times New Roman"/>
                <w:iCs/>
                <w:sz w:val="18"/>
                <w:szCs w:val="18"/>
                <w:lang w:val="en-US"/>
              </w:rPr>
            </w:pPr>
          </w:p>
          <w:p w14:paraId="5693DE70" w14:textId="6562FC02"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Where the applicable tax treaty requires that the competent authorities reach a mutual agreement on the deemed residence for tax purposes of the constituent entity, and no agreement is reached, paragraph 5 shall apply.</w:t>
            </w:r>
          </w:p>
          <w:p w14:paraId="01C9648E" w14:textId="77777777" w:rsidR="0017423E" w:rsidRPr="005E6D70" w:rsidRDefault="0017423E" w:rsidP="0017423E">
            <w:pPr>
              <w:jc w:val="both"/>
              <w:rPr>
                <w:rFonts w:ascii="Times New Roman" w:eastAsia="Calibri" w:hAnsi="Times New Roman" w:cs="Times New Roman"/>
                <w:iCs/>
                <w:sz w:val="18"/>
                <w:szCs w:val="18"/>
                <w:lang w:val="en-US"/>
              </w:rPr>
            </w:pPr>
          </w:p>
          <w:p w14:paraId="63EDB7E1" w14:textId="4AFFCCE4" w:rsidR="0017423E" w:rsidRPr="005E6D70" w:rsidRDefault="0017423E" w:rsidP="0017423E">
            <w:pPr>
              <w:jc w:val="both"/>
              <w:rPr>
                <w:rFonts w:ascii="Times New Roman" w:eastAsia="Calibri" w:hAnsi="Times New Roman" w:cs="Times New Roman"/>
                <w:bCs/>
                <w:sz w:val="18"/>
                <w:szCs w:val="18"/>
                <w:lang w:val="en-US"/>
              </w:rPr>
            </w:pPr>
            <w:r w:rsidRPr="005E6D70">
              <w:rPr>
                <w:rFonts w:ascii="Times New Roman" w:eastAsia="Calibri" w:hAnsi="Times New Roman" w:cs="Times New Roman"/>
                <w:iCs/>
                <w:sz w:val="18"/>
                <w:szCs w:val="18"/>
                <w:lang w:val="en-US"/>
              </w:rPr>
              <w:t>Where there is no relief for double taxation under the applicable tax treaty due to the fact that a constituent entity is resident for tax purposes in both contracting parties, paragraph 5 shall apply.</w:t>
            </w:r>
          </w:p>
        </w:tc>
        <w:tc>
          <w:tcPr>
            <w:tcW w:w="990" w:type="dxa"/>
            <w:gridSpan w:val="2"/>
          </w:tcPr>
          <w:p w14:paraId="3AAE473A" w14:textId="1A2BDB44" w:rsidR="0017423E" w:rsidRPr="005E6D70" w:rsidRDefault="0017423E"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76B7B6B8" w14:textId="34974E38" w:rsidR="0017423E" w:rsidRPr="005E6D70" w:rsidRDefault="00723D6B" w:rsidP="0017423E">
            <w:pP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5(5)</w:t>
            </w:r>
          </w:p>
        </w:tc>
        <w:tc>
          <w:tcPr>
            <w:tcW w:w="4680" w:type="dxa"/>
            <w:gridSpan w:val="2"/>
          </w:tcPr>
          <w:p w14:paraId="32DAE702" w14:textId="77777777" w:rsidR="00723D6B" w:rsidRPr="005E6D70" w:rsidRDefault="00723D6B"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 Where a constituent entity is located in two jurisdictions and those jurisdictions have an applicable tax treaty, the following rules shall apply:</w:t>
            </w:r>
          </w:p>
          <w:p w14:paraId="41BC0A1B" w14:textId="77777777" w:rsidR="00723D6B" w:rsidRPr="005E6D70" w:rsidRDefault="00723D6B" w:rsidP="00754FB1">
            <w:pPr>
              <w:jc w:val="both"/>
              <w:rPr>
                <w:rFonts w:ascii="Times New Roman" w:eastAsia="Calibri" w:hAnsi="Times New Roman" w:cs="Times New Roman"/>
                <w:sz w:val="18"/>
                <w:szCs w:val="18"/>
                <w:lang w:val="en-US"/>
              </w:rPr>
            </w:pPr>
          </w:p>
          <w:p w14:paraId="5558BEFD" w14:textId="77777777" w:rsidR="00723D6B" w:rsidRPr="005E6D70" w:rsidRDefault="00723D6B"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a) the constituent entity shall be deemed to be located in the jurisdiction where it is considered to be resident for tax purposes under that tax treaty; </w:t>
            </w:r>
          </w:p>
          <w:p w14:paraId="4FE12C84" w14:textId="77777777" w:rsidR="00723D6B" w:rsidRPr="005E6D70" w:rsidRDefault="00723D6B" w:rsidP="00754FB1">
            <w:pPr>
              <w:jc w:val="both"/>
              <w:rPr>
                <w:rFonts w:ascii="Times New Roman" w:eastAsia="Calibri" w:hAnsi="Times New Roman" w:cs="Times New Roman"/>
                <w:sz w:val="18"/>
                <w:szCs w:val="18"/>
                <w:lang w:val="en-US"/>
              </w:rPr>
            </w:pPr>
          </w:p>
          <w:p w14:paraId="15E8B54B" w14:textId="77777777" w:rsidR="00723D6B" w:rsidRPr="005E6D70" w:rsidRDefault="00723D6B"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b) where the applicable tax treaty requires that the competent authorities reach a mutual agreement on the deemed residence for tax purposes of the constituent entity, and no agreement is reached, paragraph 6, of this Article, shall apply; </w:t>
            </w:r>
          </w:p>
          <w:p w14:paraId="0EC8E140" w14:textId="77777777" w:rsidR="00723D6B" w:rsidRPr="005E6D70" w:rsidRDefault="00723D6B" w:rsidP="00754FB1">
            <w:pPr>
              <w:jc w:val="both"/>
              <w:rPr>
                <w:rFonts w:ascii="Times New Roman" w:eastAsia="Calibri" w:hAnsi="Times New Roman" w:cs="Times New Roman"/>
                <w:sz w:val="18"/>
                <w:szCs w:val="18"/>
                <w:lang w:val="en-US"/>
              </w:rPr>
            </w:pPr>
          </w:p>
          <w:p w14:paraId="0B2A0FB3" w14:textId="77777777" w:rsidR="00723D6B" w:rsidRPr="005E6D70" w:rsidRDefault="00723D6B" w:rsidP="00754FB1">
            <w:pPr>
              <w:jc w:val="both"/>
              <w:rPr>
                <w:rFonts w:ascii="Times New Roman" w:eastAsia="Calibri" w:hAnsi="Times New Roman" w:cs="Times New Roman"/>
                <w:sz w:val="18"/>
                <w:szCs w:val="18"/>
                <w:lang w:val="en-US"/>
              </w:rPr>
            </w:pPr>
          </w:p>
          <w:p w14:paraId="770B5F4C" w14:textId="4B760EFE" w:rsidR="0017423E" w:rsidRPr="005E6D70" w:rsidRDefault="00723D6B"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c) where there is no relief for double taxation under the applicable tax treaty due to the fact that a constituent entity is resident for tax purposes in both contracting parties, paragraph 6, of this Article, shall apply.</w:t>
            </w:r>
          </w:p>
        </w:tc>
        <w:tc>
          <w:tcPr>
            <w:tcW w:w="1530" w:type="dxa"/>
          </w:tcPr>
          <w:p w14:paraId="0A53E2B2" w14:textId="4CEB40A9" w:rsidR="0017423E" w:rsidRPr="005E6D70" w:rsidRDefault="0017423E"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772B9632" w14:textId="4CD63A94" w:rsidR="0017423E" w:rsidRPr="005E6D70" w:rsidRDefault="00723D6B"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three unnumbered subparagraphs of the Directive are structurally transposed as an introductory sentence followed by lettered sub-points (a, b, c) in the draft law. The cross-references to "paragraph 5" are mapped to the corresponding "paragraph 6, of this Article".</w:t>
            </w:r>
          </w:p>
        </w:tc>
      </w:tr>
      <w:tr w:rsidR="00D37F89" w:rsidRPr="005E6D70" w14:paraId="4C9F021D" w14:textId="77777777" w:rsidTr="00073B1B">
        <w:tc>
          <w:tcPr>
            <w:tcW w:w="990" w:type="dxa"/>
            <w:gridSpan w:val="2"/>
          </w:tcPr>
          <w:p w14:paraId="2623294B" w14:textId="6BB6E2DB"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4(5)</w:t>
            </w:r>
          </w:p>
        </w:tc>
        <w:tc>
          <w:tcPr>
            <w:tcW w:w="4860" w:type="dxa"/>
          </w:tcPr>
          <w:p w14:paraId="46616DAE"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5.Where a constituent entity is located in two jurisdictions and those jurisdictions do not have an applicable tax treaty, the constituent entity shall be deemed to be located in the jurisdiction which charged the higher amount of covered taxes for the fiscal year.</w:t>
            </w:r>
          </w:p>
          <w:p w14:paraId="22B98A66" w14:textId="77777777" w:rsidR="0017423E" w:rsidRPr="005E6D70" w:rsidRDefault="0017423E" w:rsidP="0017423E">
            <w:pPr>
              <w:jc w:val="both"/>
              <w:rPr>
                <w:rFonts w:ascii="Times New Roman" w:eastAsia="Calibri" w:hAnsi="Times New Roman" w:cs="Times New Roman"/>
                <w:iCs/>
                <w:sz w:val="18"/>
                <w:szCs w:val="18"/>
                <w:lang w:val="en-US"/>
              </w:rPr>
            </w:pPr>
          </w:p>
          <w:p w14:paraId="42FF2AE5"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For the purpose of computing the amount of covered taxes referred to in the first subparagraph, the amount of tax paid in accordance with a controlled foreign company tax regime shall not be taken into consideration.</w:t>
            </w:r>
          </w:p>
          <w:p w14:paraId="521D63BD" w14:textId="77777777" w:rsidR="0017423E" w:rsidRPr="005E6D70" w:rsidRDefault="0017423E" w:rsidP="0017423E">
            <w:pPr>
              <w:jc w:val="both"/>
              <w:rPr>
                <w:rFonts w:ascii="Times New Roman" w:eastAsia="Calibri" w:hAnsi="Times New Roman" w:cs="Times New Roman"/>
                <w:iCs/>
                <w:sz w:val="18"/>
                <w:szCs w:val="18"/>
                <w:lang w:val="en-US"/>
              </w:rPr>
            </w:pPr>
          </w:p>
          <w:p w14:paraId="4C882D9D" w14:textId="77777777"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If the amount of covered taxes due in the two jurisdictions is the same or zero, the constituent entity shall be deemed to be located in the jurisdiction where it has the higher amount of substance-based income exclusion computed on an entity basis in accordance with Article 28.</w:t>
            </w:r>
          </w:p>
          <w:p w14:paraId="1F4AC5B7" w14:textId="77777777" w:rsidR="0017423E" w:rsidRPr="005E6D70" w:rsidRDefault="0017423E" w:rsidP="0017423E">
            <w:pPr>
              <w:jc w:val="both"/>
              <w:rPr>
                <w:rFonts w:ascii="Times New Roman" w:eastAsia="Calibri" w:hAnsi="Times New Roman" w:cs="Times New Roman"/>
                <w:iCs/>
                <w:sz w:val="18"/>
                <w:szCs w:val="18"/>
                <w:lang w:val="en-US"/>
              </w:rPr>
            </w:pPr>
          </w:p>
          <w:p w14:paraId="6621FB1B" w14:textId="00641AE1"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If the amount of the substance-based income exclusion in the two jurisdictions is the same or zero, the constituent entity shall be considered to be stateless, unless it is an ultimate parent entity, in which case it shall be deemed to be located in the jurisdiction where it was created.</w:t>
            </w:r>
          </w:p>
        </w:tc>
        <w:tc>
          <w:tcPr>
            <w:tcW w:w="990" w:type="dxa"/>
            <w:gridSpan w:val="2"/>
          </w:tcPr>
          <w:p w14:paraId="5C12CE0E" w14:textId="1F8777FA" w:rsidR="0017423E" w:rsidRPr="005E6D70" w:rsidRDefault="0017423E"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31FA75E7" w14:textId="3A92BAFC" w:rsidR="0017423E" w:rsidRPr="005E6D70" w:rsidRDefault="00B15E2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5(6)</w:t>
            </w:r>
          </w:p>
        </w:tc>
        <w:tc>
          <w:tcPr>
            <w:tcW w:w="4680" w:type="dxa"/>
            <w:gridSpan w:val="2"/>
          </w:tcPr>
          <w:p w14:paraId="63062144" w14:textId="77777777" w:rsidR="00B15E2D" w:rsidRPr="005E6D70" w:rsidRDefault="00B15E2D"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6. Where a constituent entity is located in two jurisdictions and those jurisdictions do not have an applicable tax treaty, the following rules shall apply: </w:t>
            </w:r>
          </w:p>
          <w:p w14:paraId="430C7276" w14:textId="77777777" w:rsidR="00B15E2D" w:rsidRPr="005E6D70" w:rsidRDefault="00B15E2D" w:rsidP="00754FB1">
            <w:pPr>
              <w:jc w:val="both"/>
              <w:rPr>
                <w:rFonts w:ascii="Times New Roman" w:eastAsia="Calibri" w:hAnsi="Times New Roman" w:cs="Times New Roman"/>
                <w:sz w:val="18"/>
                <w:szCs w:val="18"/>
                <w:lang w:val="en-US"/>
              </w:rPr>
            </w:pPr>
          </w:p>
          <w:p w14:paraId="60BAD749" w14:textId="77777777" w:rsidR="00B15E2D" w:rsidRPr="005E6D70" w:rsidRDefault="00B15E2D"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a) the constituent entity shall be deemed to be located in the jurisdiction which charged the higher amount of covered taxes for the fiscal year; for the purpose of computing the amount of covered taxes referred to in this letter, the amount of tax paid in accordance with a controlled foreign company tax regime shall not be taken into consideration; </w:t>
            </w:r>
          </w:p>
          <w:p w14:paraId="4A5367A0" w14:textId="77777777" w:rsidR="00B15E2D" w:rsidRPr="005E6D70" w:rsidRDefault="00B15E2D" w:rsidP="00754FB1">
            <w:pPr>
              <w:jc w:val="both"/>
              <w:rPr>
                <w:rFonts w:ascii="Times New Roman" w:eastAsia="Calibri" w:hAnsi="Times New Roman" w:cs="Times New Roman"/>
                <w:sz w:val="18"/>
                <w:szCs w:val="18"/>
                <w:lang w:val="en-US"/>
              </w:rPr>
            </w:pPr>
          </w:p>
          <w:p w14:paraId="34AAEF94" w14:textId="77777777" w:rsidR="00B15E2D" w:rsidRPr="005E6D70" w:rsidRDefault="00B15E2D"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b) if the amount of covered taxes due in the two jurisdictions is the same or zero, the constituent entity shall be deemed to be located in the jurisdiction where it has the higher amount of substance-based income exclusion computed on an entity basis in accordance with Article 28, of this Law; </w:t>
            </w:r>
          </w:p>
          <w:p w14:paraId="06204E8A" w14:textId="77777777" w:rsidR="00B15E2D" w:rsidRPr="005E6D70" w:rsidRDefault="00B15E2D" w:rsidP="00754FB1">
            <w:pPr>
              <w:jc w:val="both"/>
              <w:rPr>
                <w:rFonts w:ascii="Times New Roman" w:eastAsia="Calibri" w:hAnsi="Times New Roman" w:cs="Times New Roman"/>
                <w:sz w:val="18"/>
                <w:szCs w:val="18"/>
                <w:lang w:val="en-US"/>
              </w:rPr>
            </w:pPr>
          </w:p>
          <w:p w14:paraId="7089E5B9" w14:textId="1CB5D104" w:rsidR="0017423E" w:rsidRPr="005E6D70" w:rsidRDefault="00B15E2D"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c) if the amount of the substance-based income exclusion in the two jurisdictions is the same or zero, the constituent entity shall be considered to be stateless, unless it is an ultimate parent entity, in which case it shall be deemed to be located in the jurisdiction where it was created.</w:t>
            </w:r>
          </w:p>
        </w:tc>
        <w:tc>
          <w:tcPr>
            <w:tcW w:w="1530" w:type="dxa"/>
          </w:tcPr>
          <w:p w14:paraId="753EE87F" w14:textId="781C8129" w:rsidR="0017423E" w:rsidRPr="005E6D70" w:rsidRDefault="0017423E"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096A4328" w14:textId="5B0BA7EC" w:rsidR="0017423E" w:rsidRPr="005E6D70" w:rsidRDefault="00B15E2D"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unnumbered subparagraphs of the Directive are structurally transposed into an introductory sentence followed by lettered sub-points (a, b, c) in the draft law. The first and second subparagraphs of the Directive are merged into letter "a" to ensure logical coherence. The cross-reference to "Article 28" is appended with "of this Law".</w:t>
            </w:r>
          </w:p>
        </w:tc>
      </w:tr>
      <w:tr w:rsidR="00D37F89" w:rsidRPr="005E6D70" w14:paraId="38DE3C9C" w14:textId="77777777" w:rsidTr="00073B1B">
        <w:tc>
          <w:tcPr>
            <w:tcW w:w="990" w:type="dxa"/>
            <w:gridSpan w:val="2"/>
          </w:tcPr>
          <w:p w14:paraId="5E5CBC2B" w14:textId="086BE681"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4(6)</w:t>
            </w:r>
          </w:p>
        </w:tc>
        <w:tc>
          <w:tcPr>
            <w:tcW w:w="4860" w:type="dxa"/>
          </w:tcPr>
          <w:p w14:paraId="7F076D2E" w14:textId="3334E7ED" w:rsidR="0017423E" w:rsidRPr="005E6D70" w:rsidRDefault="0017423E" w:rsidP="0017423E">
            <w:pPr>
              <w:jc w:val="both"/>
              <w:rPr>
                <w:rFonts w:ascii="Times New Roman" w:eastAsia="Calibri" w:hAnsi="Times New Roman" w:cs="Times New Roman"/>
                <w:b/>
                <w:sz w:val="18"/>
                <w:szCs w:val="18"/>
                <w:lang w:val="en-US"/>
              </w:rPr>
            </w:pPr>
            <w:r w:rsidRPr="005E6D70">
              <w:rPr>
                <w:rFonts w:ascii="Times New Roman" w:eastAsia="Calibri" w:hAnsi="Times New Roman" w:cs="Times New Roman"/>
                <w:bCs/>
                <w:iCs/>
                <w:sz w:val="18"/>
                <w:szCs w:val="18"/>
                <w:lang w:val="en-US"/>
              </w:rPr>
              <w:t>6. Where, as a result of applying paragraphs 4 and 5, a parent entity is located in a jurisdiction where it is not subject to a qualified IIR, it shall be deemed to be subject to the qualified IIR of the other jurisdiction, unless an applicable tax treaty prohibits the application of such rule.</w:t>
            </w:r>
          </w:p>
        </w:tc>
        <w:tc>
          <w:tcPr>
            <w:tcW w:w="990" w:type="dxa"/>
            <w:gridSpan w:val="2"/>
          </w:tcPr>
          <w:p w14:paraId="23CC6E47" w14:textId="2B12751C" w:rsidR="0017423E" w:rsidRPr="005E6D70" w:rsidRDefault="0017423E" w:rsidP="0017423E">
            <w:pPr>
              <w:jc w:val="center"/>
              <w:rPr>
                <w:rFonts w:ascii="Times New Roman" w:eastAsia="Calibri" w:hAnsi="Times New Roman" w:cs="Times New Roman"/>
                <w:b/>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74AF5C40" w14:textId="44B45E69" w:rsidR="0017423E" w:rsidRPr="005E6D70" w:rsidRDefault="00011212" w:rsidP="00011212">
            <w:pP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5(7)</w:t>
            </w:r>
          </w:p>
        </w:tc>
        <w:tc>
          <w:tcPr>
            <w:tcW w:w="4680" w:type="dxa"/>
            <w:gridSpan w:val="2"/>
          </w:tcPr>
          <w:p w14:paraId="067307E0" w14:textId="39CDC2BF" w:rsidR="0017423E" w:rsidRPr="005E6D70" w:rsidRDefault="005A6835"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7. Where, as a result of applying paragraphs 5 and 6, of this Article, a parent entity is located in a jurisdiction where it is not subject to a qualified IIR, it shall be deemed to be subject to the qualified IIR of the other jurisdiction, unless an applicable tax treaty prohibits the application of such rule.</w:t>
            </w:r>
          </w:p>
        </w:tc>
        <w:tc>
          <w:tcPr>
            <w:tcW w:w="1530" w:type="dxa"/>
          </w:tcPr>
          <w:p w14:paraId="0601E356" w14:textId="78940611" w:rsidR="0017423E" w:rsidRPr="005E6D70" w:rsidRDefault="0017423E"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117B0E3F" w14:textId="1C8C1090" w:rsidR="0017423E" w:rsidRPr="005E6D70" w:rsidRDefault="005A683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transposed into paragraph 7 of Article 5. The cross-references to "paragraphs 4 and 5" are mapped to the corresponding "paragraphs 5 and 6, of this Article".</w:t>
            </w:r>
          </w:p>
        </w:tc>
      </w:tr>
      <w:tr w:rsidR="00D37F89" w:rsidRPr="005E6D70" w14:paraId="112EBA7E" w14:textId="77777777" w:rsidTr="00073B1B">
        <w:tc>
          <w:tcPr>
            <w:tcW w:w="990" w:type="dxa"/>
            <w:gridSpan w:val="2"/>
          </w:tcPr>
          <w:p w14:paraId="3C787D42" w14:textId="3DDDF6A1"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4(7)</w:t>
            </w:r>
          </w:p>
        </w:tc>
        <w:tc>
          <w:tcPr>
            <w:tcW w:w="4860" w:type="dxa"/>
          </w:tcPr>
          <w:p w14:paraId="6EBDA0B4" w14:textId="103F308C" w:rsidR="0017423E" w:rsidRPr="005E6D70" w:rsidRDefault="0017423E" w:rsidP="0017423E">
            <w:pPr>
              <w:jc w:val="both"/>
              <w:rPr>
                <w:rFonts w:ascii="Times New Roman" w:eastAsia="Calibri" w:hAnsi="Times New Roman" w:cs="Times New Roman"/>
                <w:b/>
                <w:sz w:val="18"/>
                <w:szCs w:val="18"/>
                <w:lang w:val="en-US"/>
              </w:rPr>
            </w:pPr>
            <w:r w:rsidRPr="005E6D70">
              <w:rPr>
                <w:rFonts w:ascii="Times New Roman" w:eastAsia="Calibri" w:hAnsi="Times New Roman" w:cs="Times New Roman"/>
                <w:bCs/>
                <w:iCs/>
                <w:sz w:val="18"/>
                <w:szCs w:val="18"/>
                <w:lang w:val="en-US"/>
              </w:rPr>
              <w:t xml:space="preserve">7. Where a constituent entity changes its location in the course of a fiscal year, it shall be deemed to be located in the jurisdiction </w:t>
            </w:r>
            <w:r w:rsidRPr="005E6D70">
              <w:rPr>
                <w:rFonts w:ascii="Times New Roman" w:eastAsia="Calibri" w:hAnsi="Times New Roman" w:cs="Times New Roman"/>
                <w:bCs/>
                <w:iCs/>
                <w:sz w:val="18"/>
                <w:szCs w:val="18"/>
                <w:lang w:val="en-US"/>
              </w:rPr>
              <w:lastRenderedPageBreak/>
              <w:t>where it was deemed to be located under this Article at the beginning of that fiscal year</w:t>
            </w:r>
          </w:p>
        </w:tc>
        <w:tc>
          <w:tcPr>
            <w:tcW w:w="990" w:type="dxa"/>
            <w:gridSpan w:val="2"/>
          </w:tcPr>
          <w:p w14:paraId="04689137" w14:textId="7E236AFD" w:rsidR="0017423E" w:rsidRPr="005E6D70" w:rsidRDefault="0017423E" w:rsidP="0017423E">
            <w:pPr>
              <w:jc w:val="center"/>
              <w:rPr>
                <w:rFonts w:ascii="Times New Roman" w:eastAsia="Calibri" w:hAnsi="Times New Roman" w:cs="Times New Roman"/>
                <w:b/>
                <w:sz w:val="18"/>
                <w:szCs w:val="18"/>
                <w:lang w:val="en-US"/>
              </w:rPr>
            </w:pPr>
            <w:r w:rsidRPr="005E6D70">
              <w:rPr>
                <w:rFonts w:ascii="Times New Roman" w:eastAsia="Calibri" w:hAnsi="Times New Roman" w:cs="Times New Roman"/>
                <w:sz w:val="18"/>
                <w:szCs w:val="18"/>
                <w:lang w:val="en-US"/>
              </w:rPr>
              <w:lastRenderedPageBreak/>
              <w:t>1</w:t>
            </w:r>
          </w:p>
        </w:tc>
        <w:tc>
          <w:tcPr>
            <w:tcW w:w="1080" w:type="dxa"/>
            <w:gridSpan w:val="2"/>
          </w:tcPr>
          <w:p w14:paraId="3A9791B8" w14:textId="0DA0E8F3" w:rsidR="0017423E" w:rsidRPr="005E6D70" w:rsidRDefault="00B70E85"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5(8)</w:t>
            </w:r>
          </w:p>
        </w:tc>
        <w:tc>
          <w:tcPr>
            <w:tcW w:w="4680" w:type="dxa"/>
            <w:gridSpan w:val="2"/>
          </w:tcPr>
          <w:p w14:paraId="63BE1629" w14:textId="61FEDDD1" w:rsidR="0017423E" w:rsidRPr="005E6D70" w:rsidRDefault="00B70E85"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8. Where a constituent entity changes its location in the course of a fiscal year, it shall be deemed to be located in the </w:t>
            </w:r>
            <w:r w:rsidRPr="005E6D70">
              <w:rPr>
                <w:rFonts w:ascii="Times New Roman" w:eastAsia="Calibri" w:hAnsi="Times New Roman" w:cs="Times New Roman"/>
                <w:sz w:val="18"/>
                <w:szCs w:val="18"/>
                <w:lang w:val="en-US"/>
              </w:rPr>
              <w:lastRenderedPageBreak/>
              <w:t>jurisdiction where it was deemed to be located under this Article at the beginning of that fiscal year.</w:t>
            </w:r>
          </w:p>
        </w:tc>
        <w:tc>
          <w:tcPr>
            <w:tcW w:w="1530" w:type="dxa"/>
          </w:tcPr>
          <w:p w14:paraId="0E650654" w14:textId="61B9A3E6" w:rsidR="0017423E" w:rsidRPr="005E6D70" w:rsidRDefault="0017423E"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lastRenderedPageBreak/>
              <w:t>F</w:t>
            </w:r>
          </w:p>
        </w:tc>
        <w:tc>
          <w:tcPr>
            <w:tcW w:w="1350" w:type="dxa"/>
          </w:tcPr>
          <w:p w14:paraId="54B0796A" w14:textId="181546BA" w:rsidR="0017423E" w:rsidRPr="005E6D70" w:rsidRDefault="00B70E8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The provision is transposed into paragraph </w:t>
            </w:r>
            <w:r w:rsidRPr="005E6D70">
              <w:rPr>
                <w:rFonts w:ascii="Times New Roman" w:eastAsia="Calibri" w:hAnsi="Times New Roman" w:cs="Times New Roman"/>
                <w:sz w:val="18"/>
                <w:szCs w:val="18"/>
                <w:lang w:val="en-US"/>
              </w:rPr>
              <w:lastRenderedPageBreak/>
              <w:t>8 of Article 5. Verbatim transposition.</w:t>
            </w:r>
          </w:p>
        </w:tc>
      </w:tr>
      <w:tr w:rsidR="0088332E" w:rsidRPr="005E6D70" w14:paraId="529AD336" w14:textId="77777777" w:rsidTr="00073B1B">
        <w:tc>
          <w:tcPr>
            <w:tcW w:w="990" w:type="dxa"/>
            <w:gridSpan w:val="2"/>
            <w:shd w:val="clear" w:color="auto" w:fill="92D050"/>
          </w:tcPr>
          <w:p w14:paraId="7CE57065" w14:textId="77777777" w:rsidR="0017423E" w:rsidRPr="005E6D70" w:rsidRDefault="0017423E" w:rsidP="0017423E">
            <w:pPr>
              <w:jc w:val="both"/>
              <w:rPr>
                <w:rFonts w:ascii="Times New Roman" w:eastAsia="Calibri" w:hAnsi="Times New Roman" w:cs="Times New Roman"/>
                <w:sz w:val="18"/>
                <w:szCs w:val="18"/>
                <w:lang w:val="en-US"/>
              </w:rPr>
            </w:pPr>
          </w:p>
        </w:tc>
        <w:tc>
          <w:tcPr>
            <w:tcW w:w="4860" w:type="dxa"/>
            <w:shd w:val="clear" w:color="auto" w:fill="92D050"/>
          </w:tcPr>
          <w:p w14:paraId="63C3C866" w14:textId="77777777" w:rsidR="0017423E" w:rsidRPr="005E6D70" w:rsidRDefault="0017423E" w:rsidP="0017423E">
            <w:pPr>
              <w:rPr>
                <w:rFonts w:ascii="Times New Roman" w:eastAsia="Calibri" w:hAnsi="Times New Roman" w:cs="Times New Roman"/>
                <w:bCs/>
                <w:iCs/>
                <w:sz w:val="18"/>
                <w:szCs w:val="18"/>
                <w:lang w:val="en-US"/>
              </w:rPr>
            </w:pPr>
            <w:r w:rsidRPr="005E6D70">
              <w:rPr>
                <w:rFonts w:ascii="Times New Roman" w:eastAsia="Calibri" w:hAnsi="Times New Roman" w:cs="Times New Roman"/>
                <w:bCs/>
                <w:iCs/>
                <w:sz w:val="18"/>
                <w:szCs w:val="18"/>
                <w:lang w:val="en-US"/>
              </w:rPr>
              <w:t>CHAPTER II</w:t>
            </w:r>
          </w:p>
          <w:p w14:paraId="372C2A37" w14:textId="68EBEF88" w:rsidR="0017423E" w:rsidRPr="005E6D70" w:rsidRDefault="0017423E" w:rsidP="0017423E">
            <w:pPr>
              <w:rPr>
                <w:rFonts w:ascii="Times New Roman" w:eastAsia="Calibri" w:hAnsi="Times New Roman" w:cs="Times New Roman"/>
                <w:b/>
                <w:sz w:val="18"/>
                <w:szCs w:val="18"/>
                <w:lang w:val="en-US"/>
              </w:rPr>
            </w:pPr>
            <w:r w:rsidRPr="005E6D70">
              <w:rPr>
                <w:rFonts w:ascii="Times New Roman" w:eastAsia="Calibri" w:hAnsi="Times New Roman" w:cs="Times New Roman"/>
                <w:bCs/>
                <w:iCs/>
                <w:sz w:val="18"/>
                <w:szCs w:val="18"/>
                <w:lang w:val="en-US"/>
              </w:rPr>
              <w:t>IIR AND UTPR</w:t>
            </w:r>
          </w:p>
        </w:tc>
        <w:tc>
          <w:tcPr>
            <w:tcW w:w="990" w:type="dxa"/>
            <w:gridSpan w:val="2"/>
            <w:shd w:val="clear" w:color="auto" w:fill="92D050"/>
          </w:tcPr>
          <w:p w14:paraId="248AB57A" w14:textId="2FCC787A" w:rsidR="0017423E" w:rsidRPr="005E6D70" w:rsidRDefault="0017423E" w:rsidP="0017423E">
            <w:pPr>
              <w:jc w:val="center"/>
              <w:rPr>
                <w:rFonts w:ascii="Times New Roman" w:eastAsia="Calibri" w:hAnsi="Times New Roman" w:cs="Times New Roman"/>
                <w:b/>
                <w:sz w:val="18"/>
                <w:szCs w:val="18"/>
                <w:lang w:val="en-US"/>
              </w:rPr>
            </w:pPr>
            <w:r w:rsidRPr="005E6D70">
              <w:rPr>
                <w:rFonts w:ascii="Times New Roman" w:eastAsia="Calibri" w:hAnsi="Times New Roman" w:cs="Times New Roman"/>
                <w:sz w:val="18"/>
                <w:szCs w:val="18"/>
                <w:lang w:val="en-US"/>
              </w:rPr>
              <w:t>1</w:t>
            </w:r>
          </w:p>
        </w:tc>
        <w:tc>
          <w:tcPr>
            <w:tcW w:w="1080" w:type="dxa"/>
            <w:gridSpan w:val="2"/>
            <w:shd w:val="clear" w:color="auto" w:fill="92D050"/>
          </w:tcPr>
          <w:p w14:paraId="7860C6C2" w14:textId="77777777" w:rsidR="0017423E" w:rsidRPr="005E6D70" w:rsidRDefault="0017423E" w:rsidP="0017423E">
            <w:pPr>
              <w:jc w:val="center"/>
              <w:rPr>
                <w:rFonts w:ascii="Times New Roman" w:eastAsia="Calibri" w:hAnsi="Times New Roman" w:cs="Times New Roman"/>
                <w:b/>
                <w:sz w:val="18"/>
                <w:szCs w:val="18"/>
                <w:lang w:val="en-US"/>
              </w:rPr>
            </w:pPr>
          </w:p>
        </w:tc>
        <w:tc>
          <w:tcPr>
            <w:tcW w:w="4680" w:type="dxa"/>
            <w:gridSpan w:val="2"/>
            <w:shd w:val="clear" w:color="auto" w:fill="92D050"/>
          </w:tcPr>
          <w:p w14:paraId="33B5FE95" w14:textId="4705CE93" w:rsidR="0017423E" w:rsidRPr="005E6D70" w:rsidRDefault="00913985"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CHAPTER II INCOME INCLUSION RULE (IIR) AND UNDERTAXED PROFIT RULE (UTPR)</w:t>
            </w:r>
          </w:p>
        </w:tc>
        <w:tc>
          <w:tcPr>
            <w:tcW w:w="1530" w:type="dxa"/>
            <w:shd w:val="clear" w:color="auto" w:fill="92D050"/>
          </w:tcPr>
          <w:p w14:paraId="67F46894" w14:textId="29D193C9" w:rsidR="0017423E" w:rsidRPr="005E6D70" w:rsidRDefault="0017423E"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shd w:val="clear" w:color="auto" w:fill="92D050"/>
          </w:tcPr>
          <w:p w14:paraId="265CD66D" w14:textId="45009963" w:rsidR="0017423E" w:rsidRPr="005E6D70" w:rsidRDefault="0091398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Direct structural alignment with the Directive. The abbreviations IIR and UTPR are expanded.</w:t>
            </w:r>
          </w:p>
        </w:tc>
      </w:tr>
      <w:tr w:rsidR="0088332E" w:rsidRPr="005E6D70" w14:paraId="6BF88948" w14:textId="77777777" w:rsidTr="00073B1B">
        <w:tc>
          <w:tcPr>
            <w:tcW w:w="990" w:type="dxa"/>
            <w:gridSpan w:val="2"/>
            <w:shd w:val="clear" w:color="auto" w:fill="E7E6E6" w:themeFill="background2"/>
          </w:tcPr>
          <w:p w14:paraId="0B20EF4D" w14:textId="11D85CB1" w:rsidR="0017423E" w:rsidRPr="005E6D70" w:rsidRDefault="0017423E" w:rsidP="0017423E">
            <w:pPr>
              <w:jc w:val="both"/>
              <w:rPr>
                <w:rFonts w:ascii="Times New Roman" w:eastAsia="Calibri" w:hAnsi="Times New Roman" w:cs="Times New Roman"/>
                <w:sz w:val="18"/>
                <w:szCs w:val="18"/>
                <w:lang w:val="en-US"/>
              </w:rPr>
            </w:pPr>
          </w:p>
        </w:tc>
        <w:tc>
          <w:tcPr>
            <w:tcW w:w="4860" w:type="dxa"/>
            <w:shd w:val="clear" w:color="auto" w:fill="E7E6E6" w:themeFill="background2"/>
          </w:tcPr>
          <w:p w14:paraId="5325BF08" w14:textId="3955CC97" w:rsidR="0017423E" w:rsidRPr="005E6D70" w:rsidRDefault="0017423E" w:rsidP="0017423E">
            <w:pPr>
              <w:rPr>
                <w:rFonts w:ascii="Times New Roman" w:eastAsia="Calibri" w:hAnsi="Times New Roman" w:cs="Times New Roman"/>
                <w:b/>
                <w:sz w:val="18"/>
                <w:szCs w:val="18"/>
                <w:lang w:val="en-US"/>
              </w:rPr>
            </w:pPr>
            <w:r w:rsidRPr="005E6D70">
              <w:rPr>
                <w:rFonts w:ascii="Times New Roman" w:eastAsia="Calibri" w:hAnsi="Times New Roman" w:cs="Times New Roman"/>
                <w:b/>
                <w:iCs/>
                <w:sz w:val="18"/>
                <w:szCs w:val="18"/>
                <w:lang w:val="en-US"/>
              </w:rPr>
              <w:t>Article 5. Ultimate parent entity in the Union</w:t>
            </w:r>
          </w:p>
        </w:tc>
        <w:tc>
          <w:tcPr>
            <w:tcW w:w="990" w:type="dxa"/>
            <w:gridSpan w:val="2"/>
            <w:shd w:val="clear" w:color="auto" w:fill="E7E6E6" w:themeFill="background2"/>
          </w:tcPr>
          <w:p w14:paraId="082FE915" w14:textId="5236B0DE" w:rsidR="0017423E" w:rsidRPr="005E6D70" w:rsidRDefault="0017423E" w:rsidP="0017423E">
            <w:pPr>
              <w:jc w:val="center"/>
              <w:rPr>
                <w:rFonts w:ascii="Times New Roman" w:eastAsia="Calibri" w:hAnsi="Times New Roman" w:cs="Times New Roman"/>
                <w:b/>
                <w:sz w:val="18"/>
                <w:szCs w:val="18"/>
                <w:lang w:val="en-US"/>
              </w:rPr>
            </w:pPr>
            <w:r w:rsidRPr="005E6D70">
              <w:rPr>
                <w:rFonts w:ascii="Times New Roman" w:eastAsia="Calibri" w:hAnsi="Times New Roman" w:cs="Times New Roman"/>
                <w:sz w:val="18"/>
                <w:szCs w:val="18"/>
                <w:lang w:val="en-US"/>
              </w:rPr>
              <w:t>1</w:t>
            </w:r>
          </w:p>
        </w:tc>
        <w:tc>
          <w:tcPr>
            <w:tcW w:w="1080" w:type="dxa"/>
            <w:gridSpan w:val="2"/>
            <w:shd w:val="clear" w:color="auto" w:fill="E7E6E6" w:themeFill="background2"/>
          </w:tcPr>
          <w:p w14:paraId="1A3D1163" w14:textId="21CF5034" w:rsidR="0017423E" w:rsidRPr="005E6D70" w:rsidRDefault="00913985" w:rsidP="0017423E">
            <w:pPr>
              <w:jc w:val="center"/>
              <w:rPr>
                <w:rFonts w:ascii="Times New Roman" w:eastAsia="Calibri" w:hAnsi="Times New Roman" w:cs="Times New Roman"/>
                <w:b/>
                <w:sz w:val="18"/>
                <w:szCs w:val="18"/>
                <w:lang w:val="en-US"/>
              </w:rPr>
            </w:pPr>
            <w:r w:rsidRPr="005E6D70">
              <w:rPr>
                <w:rFonts w:ascii="Times New Roman" w:eastAsia="Calibri" w:hAnsi="Times New Roman" w:cs="Times New Roman"/>
                <w:b/>
                <w:sz w:val="18"/>
                <w:szCs w:val="18"/>
                <w:lang w:val="en-US"/>
              </w:rPr>
              <w:t>6</w:t>
            </w:r>
          </w:p>
        </w:tc>
        <w:tc>
          <w:tcPr>
            <w:tcW w:w="4680" w:type="dxa"/>
            <w:gridSpan w:val="2"/>
            <w:shd w:val="clear" w:color="auto" w:fill="E7E6E6" w:themeFill="background2"/>
          </w:tcPr>
          <w:p w14:paraId="33D0B877" w14:textId="5BF5449F" w:rsidR="0017423E" w:rsidRPr="005E6D70" w:rsidRDefault="00913985" w:rsidP="00754FB1">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b/>
                <w:bCs/>
                <w:sz w:val="18"/>
                <w:szCs w:val="18"/>
                <w:lang w:val="en-US"/>
              </w:rPr>
              <w:t>Article 6 Ultimate Parent Entity Located in the Republic of Albania</w:t>
            </w:r>
          </w:p>
        </w:tc>
        <w:tc>
          <w:tcPr>
            <w:tcW w:w="1530" w:type="dxa"/>
            <w:shd w:val="clear" w:color="auto" w:fill="E7E6E6" w:themeFill="background2"/>
          </w:tcPr>
          <w:p w14:paraId="69417B3B" w14:textId="681F48B4" w:rsidR="0017423E" w:rsidRPr="005E6D70" w:rsidRDefault="0017423E"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shd w:val="clear" w:color="auto" w:fill="E7E6E6" w:themeFill="background2"/>
          </w:tcPr>
          <w:p w14:paraId="102163A6" w14:textId="250FB610" w:rsidR="0017423E" w:rsidRPr="005E6D70" w:rsidRDefault="0091398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article is structurally transposed as Article 6 in the draft law due to the shift of the Definitions article. The term "in the Union" is adapted to "Located in the Republic of Albania".</w:t>
            </w:r>
          </w:p>
        </w:tc>
      </w:tr>
      <w:tr w:rsidR="00D37F89" w:rsidRPr="005E6D70" w14:paraId="452D40B0" w14:textId="77777777" w:rsidTr="00073B1B">
        <w:trPr>
          <w:trHeight w:val="195"/>
        </w:trPr>
        <w:tc>
          <w:tcPr>
            <w:tcW w:w="990" w:type="dxa"/>
            <w:gridSpan w:val="2"/>
          </w:tcPr>
          <w:p w14:paraId="26E5BE69" w14:textId="674A3894"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5(1)</w:t>
            </w:r>
          </w:p>
        </w:tc>
        <w:tc>
          <w:tcPr>
            <w:tcW w:w="4860" w:type="dxa"/>
          </w:tcPr>
          <w:p w14:paraId="304F5A6B" w14:textId="5AC78C30"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Member States shall ensure that an ultimate parent entity that is a constituent entity located in a Member State is subject to the top-up tax (the ‘IIR top-up tax’) for the fiscal year in respect of its low-taxed constituent entities that are located in another jurisdiction or that are stateless.</w:t>
            </w:r>
          </w:p>
        </w:tc>
        <w:tc>
          <w:tcPr>
            <w:tcW w:w="990" w:type="dxa"/>
            <w:gridSpan w:val="2"/>
          </w:tcPr>
          <w:p w14:paraId="1C1E86F0" w14:textId="172C189B" w:rsidR="0017423E" w:rsidRPr="005E6D70" w:rsidRDefault="0017423E"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A2B6207" w14:textId="741A3881" w:rsidR="0017423E" w:rsidRPr="005E6D70" w:rsidRDefault="00913985"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6(1)</w:t>
            </w:r>
          </w:p>
        </w:tc>
        <w:tc>
          <w:tcPr>
            <w:tcW w:w="4680" w:type="dxa"/>
            <w:gridSpan w:val="2"/>
            <w:tcBorders>
              <w:bottom w:val="dashed" w:sz="4" w:space="0" w:color="auto"/>
            </w:tcBorders>
          </w:tcPr>
          <w:p w14:paraId="4D5C9343" w14:textId="7F0C7012" w:rsidR="0017423E" w:rsidRPr="005E6D70" w:rsidRDefault="00913985"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 The ultimate parent entity of a multinational enterprise group, located in the Republic of Albania, shall be subject to the top-up tax (hereinafter “IIR top-up tax”) for the fiscal year in respect of its low-taxed constituent entities that are located in another jurisdiction or that are stateless.</w:t>
            </w:r>
          </w:p>
        </w:tc>
        <w:tc>
          <w:tcPr>
            <w:tcW w:w="1530" w:type="dxa"/>
            <w:tcBorders>
              <w:bottom w:val="dashed" w:sz="4" w:space="0" w:color="auto"/>
            </w:tcBorders>
          </w:tcPr>
          <w:p w14:paraId="738A60AE" w14:textId="1335148F" w:rsidR="0017423E" w:rsidRPr="005E6D70" w:rsidRDefault="0017423E"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Borders>
              <w:bottom w:val="dashed" w:sz="4" w:space="0" w:color="auto"/>
            </w:tcBorders>
          </w:tcPr>
          <w:p w14:paraId="1EABF045" w14:textId="445FE2D3" w:rsidR="0017423E" w:rsidRPr="005E6D70" w:rsidRDefault="00913985" w:rsidP="00E52945">
            <w:pPr>
              <w:tabs>
                <w:tab w:val="left" w:pos="1425"/>
              </w:tabs>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The prescriptive phrase "Member States shall ensure that" is omitted to align with national legislative drafting style. The term "located in a Member State" is transposed as "located in the </w:t>
            </w:r>
            <w:r w:rsidRPr="005E6D70">
              <w:rPr>
                <w:rFonts w:ascii="Times New Roman" w:eastAsia="Calibri" w:hAnsi="Times New Roman" w:cs="Times New Roman"/>
                <w:sz w:val="18"/>
                <w:szCs w:val="18"/>
                <w:lang w:val="en-US"/>
              </w:rPr>
              <w:lastRenderedPageBreak/>
              <w:t>Republic of Albania".</w:t>
            </w:r>
          </w:p>
        </w:tc>
      </w:tr>
      <w:tr w:rsidR="00D37F89" w:rsidRPr="005E6D70" w14:paraId="1E24074C" w14:textId="77777777" w:rsidTr="00073B1B">
        <w:trPr>
          <w:trHeight w:val="195"/>
        </w:trPr>
        <w:tc>
          <w:tcPr>
            <w:tcW w:w="990" w:type="dxa"/>
            <w:gridSpan w:val="2"/>
          </w:tcPr>
          <w:p w14:paraId="38B76EEA" w14:textId="7DF23F64"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5(2)</w:t>
            </w:r>
          </w:p>
        </w:tc>
        <w:tc>
          <w:tcPr>
            <w:tcW w:w="4860" w:type="dxa"/>
          </w:tcPr>
          <w:p w14:paraId="647C839F" w14:textId="7B93EEBA"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Member States shall ensure that, where a constituent entity that is the ultimate parent entity of an MNE group or of a large-scale domestic group is located in a Member State that is a low-tax jurisdiction, it is subject to the IIR top-up tax in respect of itself and of all low-taxed constituent entities of the group located in the same Member State for the fiscal year.</w:t>
            </w:r>
          </w:p>
        </w:tc>
        <w:tc>
          <w:tcPr>
            <w:tcW w:w="990" w:type="dxa"/>
            <w:gridSpan w:val="2"/>
          </w:tcPr>
          <w:p w14:paraId="6C8670AB" w14:textId="11B8B1A0" w:rsidR="0017423E" w:rsidRPr="005E6D70" w:rsidRDefault="0017423E"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B101488" w14:textId="733A93C7" w:rsidR="0017423E" w:rsidRPr="005E6D70" w:rsidRDefault="00427FC6" w:rsidP="0017423E">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6(2)</w:t>
            </w:r>
          </w:p>
        </w:tc>
        <w:tc>
          <w:tcPr>
            <w:tcW w:w="4680" w:type="dxa"/>
            <w:gridSpan w:val="2"/>
            <w:tcBorders>
              <w:bottom w:val="dashed" w:sz="4" w:space="0" w:color="auto"/>
            </w:tcBorders>
          </w:tcPr>
          <w:p w14:paraId="52F0762E" w14:textId="781CE8BA" w:rsidR="0017423E" w:rsidRPr="005E6D70" w:rsidRDefault="00427FC6"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 Where the ultimate parent entity that is a constituent entity located in the Republic of Albania is a low-taxed constituent entity, it shall be subject to the IIR top-up tax for the fiscal year in respect of itself and of all low-taxed constituent entities of the group located in the Republic of Albania for the fiscal year.</w:t>
            </w:r>
          </w:p>
        </w:tc>
        <w:tc>
          <w:tcPr>
            <w:tcW w:w="1530" w:type="dxa"/>
            <w:tcBorders>
              <w:bottom w:val="dashed" w:sz="4" w:space="0" w:color="auto"/>
            </w:tcBorders>
          </w:tcPr>
          <w:p w14:paraId="6DF29534" w14:textId="76626C64" w:rsidR="0017423E" w:rsidRPr="005E6D70" w:rsidRDefault="0017423E"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Borders>
              <w:bottom w:val="dashed" w:sz="4" w:space="0" w:color="auto"/>
            </w:tcBorders>
          </w:tcPr>
          <w:p w14:paraId="0E52EB92" w14:textId="121B39F0" w:rsidR="0017423E" w:rsidRPr="005E6D70" w:rsidRDefault="00427FC6" w:rsidP="00E52945">
            <w:pPr>
              <w:tabs>
                <w:tab w:val="left" w:pos="1425"/>
              </w:tabs>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prescriptive phrase "Member States shall ensure that" is omitted. The phrase "located in a Member State that is a low-tax jurisdiction" is transposed as "located in the Republic of Albania is a low-taxed constituent entity". The abbreviation "MNE" is expanded.</w:t>
            </w:r>
          </w:p>
        </w:tc>
      </w:tr>
      <w:tr w:rsidR="0088332E" w:rsidRPr="005E6D70" w14:paraId="7CCF4510" w14:textId="77777777" w:rsidTr="00073B1B">
        <w:trPr>
          <w:trHeight w:val="269"/>
        </w:trPr>
        <w:tc>
          <w:tcPr>
            <w:tcW w:w="990" w:type="dxa"/>
            <w:gridSpan w:val="2"/>
            <w:shd w:val="clear" w:color="auto" w:fill="D9D9D9" w:themeFill="background1" w:themeFillShade="D9"/>
          </w:tcPr>
          <w:p w14:paraId="6738BE7B" w14:textId="62221678" w:rsidR="0017423E" w:rsidRPr="005E6D70" w:rsidRDefault="0017423E" w:rsidP="0017423E">
            <w:pPr>
              <w:jc w:val="both"/>
              <w:rPr>
                <w:rFonts w:ascii="Times New Roman" w:eastAsia="Calibri" w:hAnsi="Times New Roman" w:cs="Times New Roman"/>
                <w:sz w:val="18"/>
                <w:szCs w:val="18"/>
                <w:lang w:val="en-US"/>
              </w:rPr>
            </w:pPr>
          </w:p>
        </w:tc>
        <w:tc>
          <w:tcPr>
            <w:tcW w:w="4860" w:type="dxa"/>
            <w:shd w:val="clear" w:color="auto" w:fill="D9D9D9" w:themeFill="background1" w:themeFillShade="D9"/>
          </w:tcPr>
          <w:p w14:paraId="79119471" w14:textId="038A5C11" w:rsidR="0017423E" w:rsidRPr="005E6D70" w:rsidRDefault="0017423E" w:rsidP="0017423E">
            <w:pPr>
              <w:jc w:val="both"/>
              <w:rPr>
                <w:rFonts w:ascii="Times New Roman" w:eastAsia="Calibri" w:hAnsi="Times New Roman" w:cs="Times New Roman"/>
                <w:b/>
                <w:sz w:val="18"/>
                <w:szCs w:val="18"/>
                <w:lang w:val="en-US"/>
              </w:rPr>
            </w:pPr>
            <w:r w:rsidRPr="005E6D70">
              <w:rPr>
                <w:rFonts w:ascii="Times New Roman" w:eastAsia="Calibri" w:hAnsi="Times New Roman" w:cs="Times New Roman"/>
                <w:b/>
                <w:bCs/>
                <w:iCs/>
                <w:sz w:val="18"/>
                <w:szCs w:val="18"/>
                <w:lang w:val="en-US"/>
              </w:rPr>
              <w:t>Article 6. Intermediate parent entity in the Union</w:t>
            </w:r>
          </w:p>
        </w:tc>
        <w:tc>
          <w:tcPr>
            <w:tcW w:w="990" w:type="dxa"/>
            <w:gridSpan w:val="2"/>
            <w:shd w:val="clear" w:color="auto" w:fill="D9D9D9" w:themeFill="background1" w:themeFillShade="D9"/>
          </w:tcPr>
          <w:p w14:paraId="39CED585" w14:textId="75830D41" w:rsidR="0017423E" w:rsidRPr="005E6D70" w:rsidRDefault="0017423E" w:rsidP="0017423E">
            <w:pPr>
              <w:jc w:val="center"/>
              <w:rPr>
                <w:rFonts w:ascii="Times New Roman" w:eastAsia="Calibri" w:hAnsi="Times New Roman" w:cs="Times New Roman"/>
                <w:b/>
                <w:sz w:val="18"/>
                <w:szCs w:val="18"/>
                <w:lang w:val="en-US"/>
              </w:rPr>
            </w:pPr>
            <w:r w:rsidRPr="005E6D70">
              <w:rPr>
                <w:rFonts w:ascii="Times New Roman" w:eastAsia="Calibri" w:hAnsi="Times New Roman" w:cs="Times New Roman"/>
                <w:sz w:val="18"/>
                <w:szCs w:val="18"/>
                <w:lang w:val="en-US"/>
              </w:rPr>
              <w:t>1</w:t>
            </w:r>
          </w:p>
        </w:tc>
        <w:tc>
          <w:tcPr>
            <w:tcW w:w="1080" w:type="dxa"/>
            <w:gridSpan w:val="2"/>
            <w:shd w:val="clear" w:color="auto" w:fill="D9D9D9" w:themeFill="background1" w:themeFillShade="D9"/>
          </w:tcPr>
          <w:p w14:paraId="1B0652E2" w14:textId="7381391D" w:rsidR="0017423E" w:rsidRPr="005E6D70" w:rsidRDefault="00E52945" w:rsidP="00E52945">
            <w:pP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7</w:t>
            </w:r>
          </w:p>
        </w:tc>
        <w:tc>
          <w:tcPr>
            <w:tcW w:w="4680" w:type="dxa"/>
            <w:gridSpan w:val="2"/>
            <w:tcBorders>
              <w:bottom w:val="dashed" w:sz="4" w:space="0" w:color="auto"/>
            </w:tcBorders>
            <w:shd w:val="clear" w:color="auto" w:fill="D9D9D9" w:themeFill="background1" w:themeFillShade="D9"/>
          </w:tcPr>
          <w:p w14:paraId="5CA65582" w14:textId="3C7CFB0D" w:rsidR="0017423E" w:rsidRPr="005E6D70" w:rsidRDefault="00E52945" w:rsidP="00754FB1">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b/>
                <w:bCs/>
                <w:sz w:val="18"/>
                <w:szCs w:val="18"/>
                <w:lang w:val="en-US"/>
              </w:rPr>
              <w:t>Article 7. Intermediate Parent Entity Located in the Republic of Albania</w:t>
            </w:r>
          </w:p>
        </w:tc>
        <w:tc>
          <w:tcPr>
            <w:tcW w:w="1530" w:type="dxa"/>
            <w:tcBorders>
              <w:bottom w:val="dashed" w:sz="4" w:space="0" w:color="auto"/>
            </w:tcBorders>
            <w:shd w:val="clear" w:color="auto" w:fill="D9D9D9" w:themeFill="background1" w:themeFillShade="D9"/>
          </w:tcPr>
          <w:p w14:paraId="742B38E9" w14:textId="38E52C3E" w:rsidR="0017423E" w:rsidRPr="005E6D70" w:rsidRDefault="0017423E" w:rsidP="0017423E">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Borders>
              <w:bottom w:val="dashed" w:sz="4" w:space="0" w:color="auto"/>
            </w:tcBorders>
            <w:shd w:val="clear" w:color="auto" w:fill="D9D9D9" w:themeFill="background1" w:themeFillShade="D9"/>
          </w:tcPr>
          <w:p w14:paraId="393336EF" w14:textId="4FF50790" w:rsidR="0017423E" w:rsidRPr="005E6D70" w:rsidRDefault="00E52945" w:rsidP="00E52945">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article is structurally transposed as Article 7 in the draft law. The term "in the Union" is transposed as "Located in the Republic of Albania".</w:t>
            </w:r>
          </w:p>
        </w:tc>
      </w:tr>
      <w:tr w:rsidR="00D37F89" w:rsidRPr="005E6D70" w14:paraId="7FB1FC2B" w14:textId="77777777" w:rsidTr="00073B1B">
        <w:trPr>
          <w:trHeight w:val="1070"/>
        </w:trPr>
        <w:tc>
          <w:tcPr>
            <w:tcW w:w="990" w:type="dxa"/>
            <w:gridSpan w:val="2"/>
          </w:tcPr>
          <w:p w14:paraId="3BA5D24D" w14:textId="36CD31C1" w:rsidR="0017423E" w:rsidRPr="005E6D70" w:rsidRDefault="0017423E" w:rsidP="0017423E">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6(1)</w:t>
            </w:r>
          </w:p>
        </w:tc>
        <w:tc>
          <w:tcPr>
            <w:tcW w:w="4860" w:type="dxa"/>
          </w:tcPr>
          <w:p w14:paraId="59BB6ACB" w14:textId="1C3F70F1" w:rsidR="0017423E" w:rsidRPr="005E6D70" w:rsidRDefault="0017423E" w:rsidP="0017423E">
            <w:pPr>
              <w:jc w:val="both"/>
              <w:rPr>
                <w:rFonts w:ascii="Times New Roman" w:eastAsia="Calibri" w:hAnsi="Times New Roman" w:cs="Times New Roman"/>
                <w:bCs/>
                <w:iCs/>
                <w:sz w:val="18"/>
                <w:szCs w:val="18"/>
                <w:lang w:val="en-US"/>
              </w:rPr>
            </w:pPr>
            <w:r w:rsidRPr="005E6D70">
              <w:rPr>
                <w:rFonts w:ascii="Times New Roman" w:eastAsia="Calibri" w:hAnsi="Times New Roman" w:cs="Times New Roman"/>
                <w:iCs/>
                <w:sz w:val="18"/>
                <w:szCs w:val="18"/>
                <w:lang w:val="en-US"/>
              </w:rPr>
              <w:t>1. Member States shall ensure that an intermediate parent entity located in a Member State and held by an ultimate parent entity that is located in a third-country jurisdiction is subject to the IIR top-up tax for the fiscal year in respect of its low-taxed constituent entities that are located in another jurisdiction or that are stateless.</w:t>
            </w:r>
          </w:p>
        </w:tc>
        <w:tc>
          <w:tcPr>
            <w:tcW w:w="990" w:type="dxa"/>
            <w:gridSpan w:val="2"/>
          </w:tcPr>
          <w:p w14:paraId="7E3B55A8" w14:textId="3FA0776A" w:rsidR="0017423E" w:rsidRPr="005E6D70" w:rsidRDefault="0017423E" w:rsidP="00E52945">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55211C1" w14:textId="11FB5BBA" w:rsidR="0017423E" w:rsidRPr="005E6D70" w:rsidRDefault="00E52945" w:rsidP="00E52945">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7(1)</w:t>
            </w:r>
          </w:p>
        </w:tc>
        <w:tc>
          <w:tcPr>
            <w:tcW w:w="4680" w:type="dxa"/>
            <w:gridSpan w:val="2"/>
          </w:tcPr>
          <w:p w14:paraId="787FFF8A" w14:textId="74EAB5AE" w:rsidR="0017423E" w:rsidRPr="005E6D70" w:rsidRDefault="00E52945"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 An intermediate parent entity located in the Republic of Albania and held by an ultimate parent entity that is located in a third-country jurisdiction shall be subject to the IIR top-up tax for the fiscal year in respect of its low-taxed constituent entities that are located in another jurisdiction or that are stateless.</w:t>
            </w:r>
          </w:p>
        </w:tc>
        <w:tc>
          <w:tcPr>
            <w:tcW w:w="1530" w:type="dxa"/>
          </w:tcPr>
          <w:p w14:paraId="617B3696" w14:textId="4ADF205D" w:rsidR="0017423E" w:rsidRPr="005E6D70" w:rsidRDefault="0017423E" w:rsidP="00E52945">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4EE9F03C" w14:textId="56BC4CD4" w:rsidR="0017423E" w:rsidRPr="005E6D70" w:rsidRDefault="00E52945" w:rsidP="00E52945">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The prescriptive phrase "Member States shall ensure that" is </w:t>
            </w:r>
            <w:r w:rsidRPr="005E6D70">
              <w:rPr>
                <w:rFonts w:ascii="Times New Roman" w:eastAsia="Calibri" w:hAnsi="Times New Roman" w:cs="Times New Roman"/>
                <w:sz w:val="18"/>
                <w:szCs w:val="18"/>
                <w:lang w:val="en-US"/>
              </w:rPr>
              <w:lastRenderedPageBreak/>
              <w:t>omitted to align with national legislative drafting style. The term "located in a Member State" is transposed as "located in the Republic of Albania".</w:t>
            </w:r>
          </w:p>
        </w:tc>
      </w:tr>
      <w:tr w:rsidR="00D37F89" w:rsidRPr="005E6D70" w14:paraId="241621A3" w14:textId="77777777" w:rsidTr="00073B1B">
        <w:trPr>
          <w:trHeight w:val="1250"/>
        </w:trPr>
        <w:tc>
          <w:tcPr>
            <w:tcW w:w="990" w:type="dxa"/>
            <w:gridSpan w:val="2"/>
          </w:tcPr>
          <w:p w14:paraId="0FC2A722" w14:textId="5E7F2C96" w:rsidR="0017423E" w:rsidRPr="005E6D70" w:rsidRDefault="0017423E" w:rsidP="0017423E">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6(2)</w:t>
            </w:r>
          </w:p>
        </w:tc>
        <w:tc>
          <w:tcPr>
            <w:tcW w:w="4860" w:type="dxa"/>
          </w:tcPr>
          <w:p w14:paraId="4E536DB9" w14:textId="2DF28953" w:rsidR="0017423E" w:rsidRPr="005E6D70" w:rsidRDefault="0017423E" w:rsidP="0017423E">
            <w:pPr>
              <w:jc w:val="both"/>
              <w:rPr>
                <w:rFonts w:ascii="Times New Roman" w:eastAsia="Calibri" w:hAnsi="Times New Roman" w:cs="Times New Roman"/>
                <w:bCs/>
                <w:iCs/>
                <w:sz w:val="18"/>
                <w:szCs w:val="18"/>
                <w:lang w:val="en-US"/>
              </w:rPr>
            </w:pPr>
            <w:r w:rsidRPr="005E6D70">
              <w:rPr>
                <w:rFonts w:ascii="Times New Roman" w:eastAsia="Calibri" w:hAnsi="Times New Roman" w:cs="Times New Roman"/>
                <w:iCs/>
                <w:sz w:val="18"/>
                <w:szCs w:val="18"/>
                <w:lang w:val="en-US"/>
              </w:rPr>
              <w:t>2. Member States shall ensure that, where an intermediate parent entity is located in a Member State that is a low-tax jurisdiction and held by an ultimate parent entity that is located in a third-country jurisdiction, it is subject to the IIR top-up tax in respect of itself and of its low-taxed constituent entities located in the same Member State for the fiscal year.</w:t>
            </w:r>
          </w:p>
        </w:tc>
        <w:tc>
          <w:tcPr>
            <w:tcW w:w="990" w:type="dxa"/>
            <w:gridSpan w:val="2"/>
          </w:tcPr>
          <w:p w14:paraId="42CB95DA" w14:textId="0A1200A4" w:rsidR="0017423E" w:rsidRPr="005E6D70" w:rsidRDefault="0017423E" w:rsidP="00E52945">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740A450" w14:textId="1F02571D" w:rsidR="0017423E" w:rsidRPr="005E6D70" w:rsidRDefault="001F3D41" w:rsidP="00E52945">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7(2)</w:t>
            </w:r>
          </w:p>
        </w:tc>
        <w:tc>
          <w:tcPr>
            <w:tcW w:w="4680" w:type="dxa"/>
            <w:gridSpan w:val="2"/>
          </w:tcPr>
          <w:p w14:paraId="25EC5BEB" w14:textId="117DA135" w:rsidR="0017423E" w:rsidRPr="005E6D70" w:rsidRDefault="001F3D41"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 Where the intermediate parent entity that is a constituent entity located in the Republic of Albania is a low-taxed constituent entity</w:t>
            </w:r>
            <w:r w:rsidR="00B37C67" w:rsidRPr="005E6D70">
              <w:rPr>
                <w:rFonts w:ascii="Times New Roman" w:eastAsia="Calibri" w:hAnsi="Times New Roman" w:cs="Times New Roman"/>
                <w:sz w:val="18"/>
                <w:szCs w:val="18"/>
                <w:lang w:val="en-US"/>
              </w:rPr>
              <w:t xml:space="preserve"> and is held by an ultimate parent entity that is located in a third-country jurisdiction</w:t>
            </w:r>
            <w:r w:rsidRPr="005E6D70">
              <w:rPr>
                <w:rFonts w:ascii="Times New Roman" w:eastAsia="Calibri" w:hAnsi="Times New Roman" w:cs="Times New Roman"/>
                <w:sz w:val="18"/>
                <w:szCs w:val="18"/>
                <w:lang w:val="en-US"/>
              </w:rPr>
              <w:t>, it shall be subject to the IIR top-up tax for the fiscal year in respect of itself and of its low-taxed constituent entities of the group located in the Republic of Albania for the fiscal year.</w:t>
            </w:r>
          </w:p>
        </w:tc>
        <w:tc>
          <w:tcPr>
            <w:tcW w:w="1530" w:type="dxa"/>
          </w:tcPr>
          <w:p w14:paraId="778F0B74" w14:textId="6CE96174" w:rsidR="0017423E" w:rsidRPr="005E6D70" w:rsidRDefault="0017423E" w:rsidP="00E52945">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45B74D1D" w14:textId="1910A5D5" w:rsidR="0017423E" w:rsidRPr="005E6D70" w:rsidRDefault="001F3D41" w:rsidP="00E52945">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prescriptive phrase is omitted. The condition "located in a Member State that is a low-tax jurisdiction" is transposed as "located in the Republic of Albania is a low-taxed constituent entity".</w:t>
            </w:r>
          </w:p>
        </w:tc>
      </w:tr>
      <w:tr w:rsidR="00D37F89" w:rsidRPr="005E6D70" w14:paraId="51B896A9" w14:textId="77777777" w:rsidTr="00073B1B">
        <w:tc>
          <w:tcPr>
            <w:tcW w:w="990" w:type="dxa"/>
            <w:gridSpan w:val="2"/>
          </w:tcPr>
          <w:p w14:paraId="77ABFC95" w14:textId="74706153" w:rsidR="0017423E" w:rsidRPr="005E6D70" w:rsidRDefault="0017423E" w:rsidP="0017423E">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6(3)</w:t>
            </w:r>
          </w:p>
        </w:tc>
        <w:tc>
          <w:tcPr>
            <w:tcW w:w="4860" w:type="dxa"/>
          </w:tcPr>
          <w:p w14:paraId="696F3054" w14:textId="5D82376B" w:rsidR="0017423E" w:rsidRPr="005E6D70" w:rsidRDefault="0017423E" w:rsidP="0017423E">
            <w:pPr>
              <w:jc w:val="both"/>
              <w:rPr>
                <w:rFonts w:ascii="Times New Roman" w:eastAsia="Calibri" w:hAnsi="Times New Roman" w:cs="Times New Roman"/>
                <w:b/>
                <w:i/>
                <w:sz w:val="18"/>
                <w:szCs w:val="18"/>
                <w:lang w:val="en-US"/>
              </w:rPr>
            </w:pPr>
            <w:r w:rsidRPr="005E6D70">
              <w:rPr>
                <w:rFonts w:ascii="Times New Roman" w:eastAsia="Calibri" w:hAnsi="Times New Roman" w:cs="Times New Roman"/>
                <w:iCs/>
                <w:sz w:val="18"/>
                <w:szCs w:val="18"/>
                <w:lang w:val="en-US"/>
              </w:rPr>
              <w:t>3. Paragraphs 1 and 2 shall not apply where:</w:t>
            </w:r>
          </w:p>
        </w:tc>
        <w:tc>
          <w:tcPr>
            <w:tcW w:w="990" w:type="dxa"/>
            <w:gridSpan w:val="2"/>
          </w:tcPr>
          <w:p w14:paraId="253A5422" w14:textId="6FAF52F7" w:rsidR="0017423E" w:rsidRPr="005E6D70" w:rsidRDefault="0017423E" w:rsidP="00E52945">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9BA5C31" w14:textId="618EBDEA" w:rsidR="0017423E" w:rsidRPr="005E6D70" w:rsidRDefault="001F3D41" w:rsidP="00E52945">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7(3)</w:t>
            </w:r>
          </w:p>
        </w:tc>
        <w:tc>
          <w:tcPr>
            <w:tcW w:w="4680" w:type="dxa"/>
            <w:gridSpan w:val="2"/>
          </w:tcPr>
          <w:p w14:paraId="0D6F945A" w14:textId="6F43F01C" w:rsidR="0017423E" w:rsidRPr="005E6D70" w:rsidRDefault="001F3D41"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 Paragraphs 1 and 2, of this Article, shall not apply where:</w:t>
            </w:r>
          </w:p>
        </w:tc>
        <w:tc>
          <w:tcPr>
            <w:tcW w:w="1530" w:type="dxa"/>
          </w:tcPr>
          <w:p w14:paraId="0C9AFE4A" w14:textId="504C9EE5" w:rsidR="0017423E" w:rsidRPr="005E6D70" w:rsidRDefault="0017423E" w:rsidP="00E52945">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311A1C33" w14:textId="38274063" w:rsidR="0017423E" w:rsidRPr="005E6D70" w:rsidRDefault="001F3D41" w:rsidP="00E52945">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internal cross-reference is adapted to national legislative drafting standards by adding "of this Article".</w:t>
            </w:r>
          </w:p>
        </w:tc>
      </w:tr>
      <w:tr w:rsidR="00D37F89" w:rsidRPr="005E6D70" w14:paraId="54392FBD" w14:textId="77777777" w:rsidTr="00073B1B">
        <w:tc>
          <w:tcPr>
            <w:tcW w:w="990" w:type="dxa"/>
            <w:gridSpan w:val="2"/>
          </w:tcPr>
          <w:p w14:paraId="01B2126D" w14:textId="61B6C446" w:rsidR="0017423E" w:rsidRPr="005E6D70" w:rsidRDefault="0017423E" w:rsidP="0017423E">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6(3</w:t>
            </w:r>
            <w:r w:rsidR="004B1F67" w:rsidRPr="005E6D70">
              <w:rPr>
                <w:rFonts w:ascii="Times New Roman" w:eastAsia="Calibri" w:hAnsi="Times New Roman" w:cs="Times New Roman"/>
                <w:iCs/>
                <w:sz w:val="18"/>
                <w:szCs w:val="18"/>
                <w:lang w:val="en-US"/>
              </w:rPr>
              <w:t>)(</w:t>
            </w:r>
            <w:r w:rsidRPr="005E6D70">
              <w:rPr>
                <w:rFonts w:ascii="Times New Roman" w:eastAsia="Calibri" w:hAnsi="Times New Roman" w:cs="Times New Roman"/>
                <w:iCs/>
                <w:sz w:val="18"/>
                <w:szCs w:val="18"/>
                <w:lang w:val="en-US"/>
              </w:rPr>
              <w:t>a)</w:t>
            </w:r>
          </w:p>
        </w:tc>
        <w:tc>
          <w:tcPr>
            <w:tcW w:w="4860" w:type="dxa"/>
          </w:tcPr>
          <w:p w14:paraId="6E12D6E9" w14:textId="5CFFE3DF" w:rsidR="0017423E" w:rsidRPr="005E6D70" w:rsidRDefault="0017423E" w:rsidP="0017423E">
            <w:pPr>
              <w:jc w:val="both"/>
              <w:rPr>
                <w:rFonts w:ascii="Times New Roman" w:eastAsia="Calibri" w:hAnsi="Times New Roman" w:cs="Times New Roman"/>
                <w:b/>
                <w:i/>
                <w:sz w:val="18"/>
                <w:szCs w:val="18"/>
                <w:lang w:val="en-US"/>
              </w:rPr>
            </w:pPr>
            <w:r w:rsidRPr="005E6D70">
              <w:rPr>
                <w:rFonts w:ascii="Times New Roman" w:eastAsia="Calibri" w:hAnsi="Times New Roman" w:cs="Times New Roman"/>
                <w:iCs/>
                <w:sz w:val="18"/>
                <w:szCs w:val="18"/>
                <w:lang w:val="en-US"/>
              </w:rPr>
              <w:t>(a) the ultimate parent entity is subject to a qualified IIR for that fiscal year; or</w:t>
            </w:r>
          </w:p>
        </w:tc>
        <w:tc>
          <w:tcPr>
            <w:tcW w:w="990" w:type="dxa"/>
            <w:gridSpan w:val="2"/>
          </w:tcPr>
          <w:p w14:paraId="7D2BDBA9" w14:textId="340EC132" w:rsidR="0017423E" w:rsidRPr="005E6D70" w:rsidRDefault="0017423E" w:rsidP="00E52945">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696E153" w14:textId="713717C2" w:rsidR="0017423E" w:rsidRPr="005E6D70" w:rsidRDefault="000E7CC9" w:rsidP="00E52945">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7(3)(a)</w:t>
            </w:r>
          </w:p>
        </w:tc>
        <w:tc>
          <w:tcPr>
            <w:tcW w:w="4680" w:type="dxa"/>
            <w:gridSpan w:val="2"/>
          </w:tcPr>
          <w:p w14:paraId="354EFB9A" w14:textId="432918CE" w:rsidR="0017423E" w:rsidRPr="005E6D70" w:rsidRDefault="000E7CC9"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the ultimate parent entity is subject to a qualified IIR for that fiscal year; or</w:t>
            </w:r>
          </w:p>
        </w:tc>
        <w:tc>
          <w:tcPr>
            <w:tcW w:w="1530" w:type="dxa"/>
          </w:tcPr>
          <w:p w14:paraId="3217239B" w14:textId="2678857E" w:rsidR="0017423E" w:rsidRPr="005E6D70" w:rsidRDefault="0017423E" w:rsidP="00E52945">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3CBDB0EC" w14:textId="0327E6A2" w:rsidR="0017423E" w:rsidRPr="005E6D70" w:rsidRDefault="000E7CC9" w:rsidP="00E52945">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D37F89" w:rsidRPr="005E6D70" w14:paraId="33981508" w14:textId="77777777" w:rsidTr="00073B1B">
        <w:tc>
          <w:tcPr>
            <w:tcW w:w="990" w:type="dxa"/>
            <w:gridSpan w:val="2"/>
          </w:tcPr>
          <w:p w14:paraId="469EA08A" w14:textId="501C604B" w:rsidR="0017423E" w:rsidRPr="005E6D70" w:rsidRDefault="0017423E" w:rsidP="0017423E">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6(3</w:t>
            </w:r>
            <w:r w:rsidR="004B1F67" w:rsidRPr="005E6D70">
              <w:rPr>
                <w:rFonts w:ascii="Times New Roman" w:eastAsia="Calibri" w:hAnsi="Times New Roman" w:cs="Times New Roman"/>
                <w:iCs/>
                <w:sz w:val="18"/>
                <w:szCs w:val="18"/>
                <w:lang w:val="en-US"/>
              </w:rPr>
              <w:t>)(</w:t>
            </w:r>
            <w:r w:rsidRPr="005E6D70">
              <w:rPr>
                <w:rFonts w:ascii="Times New Roman" w:eastAsia="Calibri" w:hAnsi="Times New Roman" w:cs="Times New Roman"/>
                <w:iCs/>
                <w:sz w:val="18"/>
                <w:szCs w:val="18"/>
                <w:lang w:val="en-US"/>
              </w:rPr>
              <w:t>b)</w:t>
            </w:r>
          </w:p>
        </w:tc>
        <w:tc>
          <w:tcPr>
            <w:tcW w:w="4860" w:type="dxa"/>
          </w:tcPr>
          <w:p w14:paraId="15087661" w14:textId="64A1AC79" w:rsidR="0017423E" w:rsidRPr="005E6D70" w:rsidRDefault="0017423E" w:rsidP="0017423E">
            <w:pPr>
              <w:jc w:val="both"/>
              <w:rPr>
                <w:rFonts w:ascii="Times New Roman" w:eastAsia="Calibri" w:hAnsi="Times New Roman" w:cs="Times New Roman"/>
                <w:b/>
                <w:i/>
                <w:sz w:val="18"/>
                <w:szCs w:val="18"/>
                <w:lang w:val="en-US"/>
              </w:rPr>
            </w:pPr>
            <w:r w:rsidRPr="005E6D70">
              <w:rPr>
                <w:rFonts w:ascii="Times New Roman" w:eastAsia="Calibri" w:hAnsi="Times New Roman" w:cs="Times New Roman"/>
                <w:iCs/>
                <w:sz w:val="18"/>
                <w:szCs w:val="18"/>
                <w:lang w:val="en-US"/>
              </w:rPr>
              <w:t>(b) another intermediate parent entity is located in a jurisdiction where it is subject to a qualified IIR for that fiscal year and owns, directly or indirectly, a controlling interest in the intermediate parent entity.</w:t>
            </w:r>
          </w:p>
        </w:tc>
        <w:tc>
          <w:tcPr>
            <w:tcW w:w="990" w:type="dxa"/>
            <w:gridSpan w:val="2"/>
          </w:tcPr>
          <w:p w14:paraId="60A55B27" w14:textId="3516718F" w:rsidR="0017423E" w:rsidRPr="005E6D70" w:rsidRDefault="0017423E" w:rsidP="00E52945">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2A6C32E" w14:textId="0A8C308A" w:rsidR="0017423E" w:rsidRPr="005E6D70" w:rsidRDefault="000E7CC9" w:rsidP="00E52945">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7(3)(b)</w:t>
            </w:r>
          </w:p>
        </w:tc>
        <w:tc>
          <w:tcPr>
            <w:tcW w:w="4680" w:type="dxa"/>
            <w:gridSpan w:val="2"/>
          </w:tcPr>
          <w:p w14:paraId="129A97A7" w14:textId="155D76C8" w:rsidR="0017423E" w:rsidRPr="005E6D70" w:rsidRDefault="000E7CC9"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another intermediate parent entity is located in a jurisdiction where it is subject to a qualified IIR for that fiscal year and owns, directly or indirectly, a controlling interest in the intermediate parent entity.</w:t>
            </w:r>
          </w:p>
        </w:tc>
        <w:tc>
          <w:tcPr>
            <w:tcW w:w="1530" w:type="dxa"/>
          </w:tcPr>
          <w:p w14:paraId="4FB89046" w14:textId="78A6057E" w:rsidR="0017423E" w:rsidRPr="005E6D70" w:rsidRDefault="0017423E" w:rsidP="00E52945">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7683A684" w14:textId="27A651DE" w:rsidR="0017423E" w:rsidRPr="005E6D70" w:rsidRDefault="00596B9E" w:rsidP="00E52945">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88332E" w:rsidRPr="005E6D70" w14:paraId="07041DF6" w14:textId="77777777" w:rsidTr="00073B1B">
        <w:tc>
          <w:tcPr>
            <w:tcW w:w="990" w:type="dxa"/>
            <w:gridSpan w:val="2"/>
            <w:shd w:val="clear" w:color="auto" w:fill="D9D9D9" w:themeFill="background1" w:themeFillShade="D9"/>
          </w:tcPr>
          <w:p w14:paraId="03401B2F" w14:textId="77777777" w:rsidR="0017423E" w:rsidRPr="005E6D70" w:rsidRDefault="0017423E" w:rsidP="0017423E">
            <w:pPr>
              <w:jc w:val="center"/>
              <w:rPr>
                <w:rFonts w:ascii="Times New Roman" w:eastAsia="Calibri" w:hAnsi="Times New Roman" w:cs="Times New Roman"/>
                <w:i/>
                <w:sz w:val="18"/>
                <w:szCs w:val="18"/>
                <w:lang w:val="en-US"/>
              </w:rPr>
            </w:pPr>
          </w:p>
        </w:tc>
        <w:tc>
          <w:tcPr>
            <w:tcW w:w="4860" w:type="dxa"/>
            <w:shd w:val="clear" w:color="auto" w:fill="D9D9D9" w:themeFill="background1" w:themeFillShade="D9"/>
          </w:tcPr>
          <w:p w14:paraId="4B58D46B" w14:textId="7E92E133" w:rsidR="0017423E" w:rsidRPr="005E6D70" w:rsidRDefault="0017423E" w:rsidP="0017423E">
            <w:pPr>
              <w:jc w:val="both"/>
              <w:rPr>
                <w:rFonts w:ascii="Times New Roman" w:eastAsia="Calibri" w:hAnsi="Times New Roman" w:cs="Times New Roman"/>
                <w:b/>
                <w:i/>
                <w:sz w:val="18"/>
                <w:szCs w:val="18"/>
                <w:lang w:val="en-US"/>
              </w:rPr>
            </w:pPr>
            <w:r w:rsidRPr="005E6D70">
              <w:rPr>
                <w:rFonts w:ascii="Times New Roman" w:eastAsia="Calibri" w:hAnsi="Times New Roman" w:cs="Times New Roman"/>
                <w:b/>
                <w:bCs/>
                <w:iCs/>
                <w:sz w:val="18"/>
                <w:szCs w:val="18"/>
                <w:lang w:val="en-US"/>
              </w:rPr>
              <w:t>Article 7. Intermediate parent entity located in the Union and held by an excluded ultimate parent entity</w:t>
            </w:r>
          </w:p>
        </w:tc>
        <w:tc>
          <w:tcPr>
            <w:tcW w:w="990" w:type="dxa"/>
            <w:gridSpan w:val="2"/>
            <w:shd w:val="clear" w:color="auto" w:fill="D9D9D9" w:themeFill="background1" w:themeFillShade="D9"/>
          </w:tcPr>
          <w:p w14:paraId="20E57A6E" w14:textId="390F3EFC" w:rsidR="0017423E" w:rsidRPr="005E6D70" w:rsidRDefault="0017423E" w:rsidP="00E52945">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shd w:val="clear" w:color="auto" w:fill="D9D9D9" w:themeFill="background1" w:themeFillShade="D9"/>
          </w:tcPr>
          <w:p w14:paraId="7BD59961" w14:textId="700FB269" w:rsidR="0017423E" w:rsidRPr="005E6D70" w:rsidRDefault="00DB2364" w:rsidP="00E52945">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8</w:t>
            </w:r>
          </w:p>
        </w:tc>
        <w:tc>
          <w:tcPr>
            <w:tcW w:w="4680" w:type="dxa"/>
            <w:gridSpan w:val="2"/>
            <w:shd w:val="clear" w:color="auto" w:fill="D9D9D9" w:themeFill="background1" w:themeFillShade="D9"/>
          </w:tcPr>
          <w:p w14:paraId="4C6A0FC1" w14:textId="1103DCB3" w:rsidR="0017423E" w:rsidRPr="005E6D70" w:rsidRDefault="00DB2364"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Article 8. Intermediate Parent Entity Held by an Excluded Ultimate Parent Entity</w:t>
            </w:r>
          </w:p>
        </w:tc>
        <w:tc>
          <w:tcPr>
            <w:tcW w:w="1530" w:type="dxa"/>
            <w:shd w:val="clear" w:color="auto" w:fill="D9D9D9" w:themeFill="background1" w:themeFillShade="D9"/>
          </w:tcPr>
          <w:p w14:paraId="1BEB4026" w14:textId="142DA0FF" w:rsidR="0017423E" w:rsidRPr="005E6D70" w:rsidRDefault="0017423E" w:rsidP="00E52945">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shd w:val="clear" w:color="auto" w:fill="D9D9D9" w:themeFill="background1" w:themeFillShade="D9"/>
          </w:tcPr>
          <w:p w14:paraId="2B08ADE6" w14:textId="34758175" w:rsidR="0017423E" w:rsidRPr="005E6D70" w:rsidRDefault="00DB2364" w:rsidP="00E52945">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article is structurally transposed as Article 8 in the draft law. The term "located in the Union" is omitted from the title to align with national legislative style.</w:t>
            </w:r>
          </w:p>
        </w:tc>
      </w:tr>
      <w:tr w:rsidR="00D37F89" w:rsidRPr="005E6D70" w14:paraId="01DB1503" w14:textId="77777777" w:rsidTr="00073B1B">
        <w:trPr>
          <w:trHeight w:val="440"/>
        </w:trPr>
        <w:tc>
          <w:tcPr>
            <w:tcW w:w="990" w:type="dxa"/>
            <w:gridSpan w:val="2"/>
          </w:tcPr>
          <w:p w14:paraId="43FE0BD5" w14:textId="339905EF"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7(1)</w:t>
            </w:r>
          </w:p>
        </w:tc>
        <w:tc>
          <w:tcPr>
            <w:tcW w:w="4860" w:type="dxa"/>
          </w:tcPr>
          <w:p w14:paraId="2A856DF3" w14:textId="4549745D"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Member States shall ensure that, where an intermediate parent entity located in a Member State is held by an ultimate parent entity that is an excluded entity, it is subject to the IIR top-up tax for the fiscal year in respect of its low-taxed constituent entities that are located in another jurisdiction or that are stateless.</w:t>
            </w:r>
          </w:p>
        </w:tc>
        <w:tc>
          <w:tcPr>
            <w:tcW w:w="990" w:type="dxa"/>
            <w:gridSpan w:val="2"/>
          </w:tcPr>
          <w:p w14:paraId="12D30A9E" w14:textId="18F020B1" w:rsidR="0017423E" w:rsidRPr="005E6D70" w:rsidRDefault="0017423E" w:rsidP="00E52945">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89A5FA3" w14:textId="350A9DF7" w:rsidR="0017423E" w:rsidRPr="005E6D70" w:rsidRDefault="00661C8F" w:rsidP="00E52945">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8(1)</w:t>
            </w:r>
          </w:p>
        </w:tc>
        <w:tc>
          <w:tcPr>
            <w:tcW w:w="4680" w:type="dxa"/>
            <w:gridSpan w:val="2"/>
          </w:tcPr>
          <w:p w14:paraId="5759BAC5" w14:textId="3734990E" w:rsidR="0017423E" w:rsidRPr="005E6D70" w:rsidRDefault="00661C8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 Where an intermediate parent entity located in the Republic of Albania is held by an ultimate parent entity that is an excluded entity, it shall be subject to the IIR top-up tax for the fiscal year in respect of its low-taxed constituent entities that are located in another jurisdiction or that are stateless.</w:t>
            </w:r>
          </w:p>
        </w:tc>
        <w:tc>
          <w:tcPr>
            <w:tcW w:w="1530" w:type="dxa"/>
          </w:tcPr>
          <w:p w14:paraId="285F00D8" w14:textId="3586119B" w:rsidR="0017423E" w:rsidRPr="005E6D70" w:rsidRDefault="0017423E" w:rsidP="00E52945">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21C64C86" w14:textId="500CB13F" w:rsidR="0017423E" w:rsidRPr="005E6D70" w:rsidRDefault="00661C8F" w:rsidP="00E52945">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prescriptive phrase "Member States shall ensure that" is omitted. The term "located in a Member State" is transposed as "located in the Republic of Albania".</w:t>
            </w:r>
          </w:p>
          <w:p w14:paraId="76CEB248" w14:textId="77777777" w:rsidR="0017423E" w:rsidRPr="005E6D70" w:rsidRDefault="0017423E" w:rsidP="00E52945">
            <w:pPr>
              <w:rPr>
                <w:rFonts w:ascii="Times New Roman" w:eastAsia="Calibri" w:hAnsi="Times New Roman" w:cs="Times New Roman"/>
                <w:sz w:val="18"/>
                <w:szCs w:val="18"/>
                <w:lang w:val="en-US"/>
              </w:rPr>
            </w:pPr>
          </w:p>
          <w:p w14:paraId="5FB019CF" w14:textId="77777777" w:rsidR="0017423E" w:rsidRPr="005E6D70" w:rsidRDefault="0017423E" w:rsidP="00E52945">
            <w:pPr>
              <w:rPr>
                <w:rFonts w:ascii="Times New Roman" w:eastAsia="Calibri" w:hAnsi="Times New Roman" w:cs="Times New Roman"/>
                <w:sz w:val="18"/>
                <w:szCs w:val="18"/>
                <w:lang w:val="en-US"/>
              </w:rPr>
            </w:pPr>
          </w:p>
        </w:tc>
      </w:tr>
      <w:tr w:rsidR="00D37F89" w:rsidRPr="005E6D70" w14:paraId="0A280824" w14:textId="77777777" w:rsidTr="00073B1B">
        <w:trPr>
          <w:trHeight w:val="998"/>
        </w:trPr>
        <w:tc>
          <w:tcPr>
            <w:tcW w:w="990" w:type="dxa"/>
            <w:gridSpan w:val="2"/>
          </w:tcPr>
          <w:p w14:paraId="4CC1BC67" w14:textId="3723C492"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7(2)</w:t>
            </w:r>
          </w:p>
        </w:tc>
        <w:tc>
          <w:tcPr>
            <w:tcW w:w="4860" w:type="dxa"/>
          </w:tcPr>
          <w:p w14:paraId="0025BDC9" w14:textId="38788F45" w:rsidR="0017423E" w:rsidRPr="005E6D70" w:rsidRDefault="0017423E" w:rsidP="0017423E">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Member States shall ensure that, where an intermediate parent entity located in a Member State that is a low-tax jurisdiction is held by an ultimate parent entity that is an excluded entity, it is subject to the IIR top-up tax in respect of itself and its low-taxed constituent entities that are located in the same Member State for the fiscal year.</w:t>
            </w:r>
          </w:p>
        </w:tc>
        <w:tc>
          <w:tcPr>
            <w:tcW w:w="990" w:type="dxa"/>
            <w:gridSpan w:val="2"/>
          </w:tcPr>
          <w:p w14:paraId="68B1A8F1" w14:textId="4F22E34B" w:rsidR="0017423E" w:rsidRPr="005E6D70" w:rsidRDefault="0017423E" w:rsidP="00E52945">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29A8AC4" w14:textId="032F9D37" w:rsidR="0017423E" w:rsidRPr="005E6D70" w:rsidRDefault="00661C8F" w:rsidP="00E52945">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8(2)</w:t>
            </w:r>
          </w:p>
        </w:tc>
        <w:tc>
          <w:tcPr>
            <w:tcW w:w="4680" w:type="dxa"/>
            <w:gridSpan w:val="2"/>
          </w:tcPr>
          <w:p w14:paraId="5AA6CCE5" w14:textId="02C46E7C" w:rsidR="0017423E" w:rsidRPr="005E6D70" w:rsidRDefault="00661C8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 Where an intermediate parent entity located in the Republic of Albania is a low-taxed constituent entity and is held by an ultimate parent entity that is an excluded entity, it shall be subject to the IIR top-up tax for the fiscal year in respect of itself and of its low-taxed constituent entities located in the Republic of Albania for the fiscal year.</w:t>
            </w:r>
          </w:p>
        </w:tc>
        <w:tc>
          <w:tcPr>
            <w:tcW w:w="1530" w:type="dxa"/>
          </w:tcPr>
          <w:p w14:paraId="4C0F418F" w14:textId="735E3F46" w:rsidR="0017423E" w:rsidRPr="005E6D70" w:rsidRDefault="0017423E" w:rsidP="00E52945">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0052F906" w14:textId="7741E1B2" w:rsidR="0017423E" w:rsidRPr="005E6D70" w:rsidRDefault="00661C8F" w:rsidP="00E52945">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The prescriptive phrase is omitted. The phrase "located in a Member State that is a low-tax </w:t>
            </w:r>
            <w:r w:rsidRPr="005E6D70">
              <w:rPr>
                <w:rFonts w:ascii="Times New Roman" w:eastAsia="Calibri" w:hAnsi="Times New Roman" w:cs="Times New Roman"/>
                <w:sz w:val="18"/>
                <w:szCs w:val="18"/>
                <w:lang w:val="en-US"/>
              </w:rPr>
              <w:lastRenderedPageBreak/>
              <w:t>jurisdiction" is transposed as "located in the Republic of Albania is a low-taxed constituent entity".</w:t>
            </w:r>
          </w:p>
        </w:tc>
      </w:tr>
      <w:tr w:rsidR="00D37F89" w:rsidRPr="005E6D70" w14:paraId="5421B75D" w14:textId="77777777" w:rsidTr="00073B1B">
        <w:trPr>
          <w:trHeight w:val="242"/>
        </w:trPr>
        <w:tc>
          <w:tcPr>
            <w:tcW w:w="990" w:type="dxa"/>
            <w:gridSpan w:val="2"/>
          </w:tcPr>
          <w:p w14:paraId="1993DC15" w14:textId="487B227D" w:rsidR="0017423E" w:rsidRPr="005E6D70" w:rsidRDefault="0017423E" w:rsidP="0017423E">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7(3)</w:t>
            </w:r>
          </w:p>
        </w:tc>
        <w:tc>
          <w:tcPr>
            <w:tcW w:w="4860" w:type="dxa"/>
          </w:tcPr>
          <w:p w14:paraId="5266446A" w14:textId="2017E8C0" w:rsidR="0017423E" w:rsidRPr="005E6D70" w:rsidRDefault="0017423E" w:rsidP="0017423E">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Paragraphs 1 and 2 shall not apply where another intermediate parent entity is located in a jurisdiction where it is subject to a qualified IIR for that fiscal year and owns, directly or indirectly, a controlling interest in the intermediate parent entity referred to in paragraphs 1 and 2.</w:t>
            </w:r>
          </w:p>
        </w:tc>
        <w:tc>
          <w:tcPr>
            <w:tcW w:w="990" w:type="dxa"/>
            <w:gridSpan w:val="2"/>
          </w:tcPr>
          <w:p w14:paraId="3129D954" w14:textId="0876888B" w:rsidR="0017423E" w:rsidRPr="005E6D70" w:rsidRDefault="0017423E" w:rsidP="00E52945">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D833F23" w14:textId="677EA246" w:rsidR="0017423E" w:rsidRPr="005E6D70" w:rsidRDefault="00661C8F" w:rsidP="00E52945">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8(3)</w:t>
            </w:r>
          </w:p>
        </w:tc>
        <w:tc>
          <w:tcPr>
            <w:tcW w:w="4680" w:type="dxa"/>
            <w:gridSpan w:val="2"/>
          </w:tcPr>
          <w:p w14:paraId="1F19F078" w14:textId="767FE4C0" w:rsidR="0017423E" w:rsidRPr="005E6D70" w:rsidRDefault="00661C8F" w:rsidP="00754FB1">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 Paragraphs 1 and 2, of this Article, shall not apply where another intermediate parent entity is located in a jurisdiction where it is subject to a qualified IIR for that fiscal year and owns, directly or indirectly, a controlling interest in the intermediate parent entity referred to in paragraphs 1 and 2, of this Article.</w:t>
            </w:r>
          </w:p>
        </w:tc>
        <w:tc>
          <w:tcPr>
            <w:tcW w:w="1530" w:type="dxa"/>
          </w:tcPr>
          <w:p w14:paraId="412ADB66" w14:textId="01AE43B7" w:rsidR="0017423E" w:rsidRPr="005E6D70" w:rsidRDefault="0017423E" w:rsidP="00E52945">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242FAD8D" w14:textId="5AF7FCE1" w:rsidR="0017423E" w:rsidRPr="005E6D70" w:rsidRDefault="00661C8F" w:rsidP="00E52945">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internal cross-references are adapted to national legislative drafting standards by adding "of this Article".</w:t>
            </w:r>
          </w:p>
        </w:tc>
      </w:tr>
      <w:tr w:rsidR="00B601FC" w:rsidRPr="005E6D70" w14:paraId="085DE070" w14:textId="77777777" w:rsidTr="00073B1B">
        <w:trPr>
          <w:trHeight w:val="242"/>
        </w:trPr>
        <w:tc>
          <w:tcPr>
            <w:tcW w:w="990" w:type="dxa"/>
            <w:gridSpan w:val="2"/>
            <w:shd w:val="clear" w:color="auto" w:fill="D9D9D9" w:themeFill="background1" w:themeFillShade="D9"/>
          </w:tcPr>
          <w:p w14:paraId="49308CF4" w14:textId="77777777" w:rsidR="00B601FC" w:rsidRPr="005E6D70" w:rsidRDefault="00B601FC" w:rsidP="00B601FC">
            <w:pPr>
              <w:jc w:val="both"/>
              <w:rPr>
                <w:rFonts w:ascii="Times New Roman" w:eastAsia="Calibri" w:hAnsi="Times New Roman" w:cs="Times New Roman"/>
                <w:sz w:val="18"/>
                <w:szCs w:val="18"/>
                <w:lang w:val="en-US"/>
              </w:rPr>
            </w:pPr>
          </w:p>
        </w:tc>
        <w:tc>
          <w:tcPr>
            <w:tcW w:w="4860" w:type="dxa"/>
            <w:shd w:val="clear" w:color="auto" w:fill="D9D9D9" w:themeFill="background1" w:themeFillShade="D9"/>
          </w:tcPr>
          <w:p w14:paraId="25486B25" w14:textId="425A65FB" w:rsidR="00B601FC" w:rsidRPr="005E6D70" w:rsidRDefault="00B601FC" w:rsidP="00B601FC">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8. Partially-owned parent entity in the Union</w:t>
            </w:r>
          </w:p>
        </w:tc>
        <w:tc>
          <w:tcPr>
            <w:tcW w:w="990" w:type="dxa"/>
            <w:gridSpan w:val="2"/>
            <w:shd w:val="clear" w:color="auto" w:fill="D9D9D9" w:themeFill="background1" w:themeFillShade="D9"/>
          </w:tcPr>
          <w:p w14:paraId="17118E49" w14:textId="4660FD3C"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shd w:val="clear" w:color="auto" w:fill="D9D9D9" w:themeFill="background1" w:themeFillShade="D9"/>
          </w:tcPr>
          <w:p w14:paraId="178C4756" w14:textId="43B9E150"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9</w:t>
            </w:r>
          </w:p>
        </w:tc>
        <w:tc>
          <w:tcPr>
            <w:tcW w:w="4680" w:type="dxa"/>
            <w:gridSpan w:val="2"/>
            <w:shd w:val="clear" w:color="auto" w:fill="D9D9D9" w:themeFill="background1" w:themeFillShade="D9"/>
          </w:tcPr>
          <w:p w14:paraId="7B996649" w14:textId="1C4FD533" w:rsidR="00B601FC" w:rsidRPr="005E6D70" w:rsidRDefault="00B601FC" w:rsidP="00754FB1">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Article 9. Partially-Owned Parent Entity Located in the Republic of Albania</w:t>
            </w:r>
          </w:p>
        </w:tc>
        <w:tc>
          <w:tcPr>
            <w:tcW w:w="1530" w:type="dxa"/>
            <w:shd w:val="clear" w:color="auto" w:fill="D9D9D9" w:themeFill="background1" w:themeFillShade="D9"/>
          </w:tcPr>
          <w:p w14:paraId="46F5F9A0" w14:textId="15686A85" w:rsidR="00B601FC" w:rsidRPr="005E6D70" w:rsidRDefault="00B601FC" w:rsidP="00B601FC">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shd w:val="clear" w:color="auto" w:fill="D9D9D9" w:themeFill="background1" w:themeFillShade="D9"/>
          </w:tcPr>
          <w:p w14:paraId="657659BF" w14:textId="0DDC41EF" w:rsidR="00B601FC" w:rsidRPr="005E6D70" w:rsidRDefault="00B601FC" w:rsidP="00B601FC">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article is structurally transposed as Article 9 in the draft law. The term "in the Union" is transposed as "Located in the Republic of Albania".</w:t>
            </w:r>
          </w:p>
        </w:tc>
      </w:tr>
      <w:tr w:rsidR="00B601FC" w:rsidRPr="005E6D70" w14:paraId="42D63892" w14:textId="77777777" w:rsidTr="00073B1B">
        <w:trPr>
          <w:trHeight w:val="890"/>
        </w:trPr>
        <w:tc>
          <w:tcPr>
            <w:tcW w:w="990" w:type="dxa"/>
            <w:gridSpan w:val="2"/>
          </w:tcPr>
          <w:p w14:paraId="3CCCFFF5" w14:textId="5B70641B"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8(1)</w:t>
            </w:r>
          </w:p>
        </w:tc>
        <w:tc>
          <w:tcPr>
            <w:tcW w:w="4860" w:type="dxa"/>
          </w:tcPr>
          <w:p w14:paraId="3CF89754" w14:textId="1500F53C" w:rsidR="00B601FC" w:rsidRPr="005E6D70" w:rsidRDefault="00B601FC" w:rsidP="00B601FC">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Member States shall ensure that a partially-owned parent entity located in a Member State is subject to the IIR top-up tax for the fiscal year in respect of its low-taxed constituent entities that are located in another jurisdiction or that are stateless.</w:t>
            </w:r>
          </w:p>
        </w:tc>
        <w:tc>
          <w:tcPr>
            <w:tcW w:w="990" w:type="dxa"/>
            <w:gridSpan w:val="2"/>
          </w:tcPr>
          <w:p w14:paraId="7A167751" w14:textId="11DFBE3E"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84A3692" w14:textId="6B4C1731"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9(1)</w:t>
            </w:r>
          </w:p>
        </w:tc>
        <w:tc>
          <w:tcPr>
            <w:tcW w:w="4680" w:type="dxa"/>
            <w:gridSpan w:val="2"/>
          </w:tcPr>
          <w:p w14:paraId="321C5EE0" w14:textId="3C3350AA" w:rsidR="00B601FC" w:rsidRPr="005E6D70" w:rsidRDefault="00B601FC" w:rsidP="00754FB1">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 A partially-owned parent entity located in the Republic of Albania shall be subject to the IIR top-up tax for the fiscal year in respect of its low-taxed constituent entities that are located in another jurisdiction or that are stateless.</w:t>
            </w:r>
          </w:p>
        </w:tc>
        <w:tc>
          <w:tcPr>
            <w:tcW w:w="1530" w:type="dxa"/>
          </w:tcPr>
          <w:p w14:paraId="05707711" w14:textId="61CB3C25" w:rsidR="00B601FC" w:rsidRPr="005E6D70" w:rsidRDefault="00B601FC" w:rsidP="00B601FC">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1F1D51C2" w14:textId="5B52E021" w:rsidR="00B601FC" w:rsidRPr="005E6D70" w:rsidRDefault="00B601FC" w:rsidP="00B601FC">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The prescriptive phrase "Member States shall ensure that" is omitted to align with national legislative drafting style. The term </w:t>
            </w:r>
            <w:r w:rsidRPr="005E6D70">
              <w:rPr>
                <w:rFonts w:ascii="Times New Roman" w:eastAsia="Calibri" w:hAnsi="Times New Roman" w:cs="Times New Roman"/>
                <w:sz w:val="18"/>
                <w:szCs w:val="18"/>
                <w:lang w:val="en-US"/>
              </w:rPr>
              <w:lastRenderedPageBreak/>
              <w:t>"located in a Member State" is transposed as "located in the Republic of Albania".</w:t>
            </w:r>
          </w:p>
        </w:tc>
      </w:tr>
      <w:tr w:rsidR="00B601FC" w:rsidRPr="005E6D70" w14:paraId="1E7B05E8" w14:textId="77777777" w:rsidTr="00073B1B">
        <w:tc>
          <w:tcPr>
            <w:tcW w:w="990" w:type="dxa"/>
            <w:gridSpan w:val="2"/>
          </w:tcPr>
          <w:p w14:paraId="2F45229D" w14:textId="732376E4"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8(2)</w:t>
            </w:r>
          </w:p>
        </w:tc>
        <w:tc>
          <w:tcPr>
            <w:tcW w:w="4860" w:type="dxa"/>
          </w:tcPr>
          <w:p w14:paraId="4AE3A53F" w14:textId="7FAC856A" w:rsidR="00B601FC" w:rsidRPr="005E6D70" w:rsidRDefault="00B601FC" w:rsidP="00B601FC">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 Member States shall ensure that, where a partially-owned parent entity is located in a Member State that is a low-tax jurisdiction, it is subject to the IIR top-up tax in respect of itself and of its low-taxed constituent entities located in the same Member State for the fiscal year.</w:t>
            </w:r>
          </w:p>
        </w:tc>
        <w:tc>
          <w:tcPr>
            <w:tcW w:w="990" w:type="dxa"/>
            <w:gridSpan w:val="2"/>
          </w:tcPr>
          <w:p w14:paraId="696A29FD" w14:textId="4F920306"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6E1EAE1" w14:textId="7ABF30FA" w:rsidR="00B601FC" w:rsidRPr="005E6D70" w:rsidRDefault="004B21C1" w:rsidP="00B601FC">
            <w:pPr>
              <w:jc w:val="center"/>
              <w:rPr>
                <w:rFonts w:ascii="Times New Roman" w:eastAsia="Calibri" w:hAnsi="Times New Roman" w:cs="Times New Roman"/>
                <w:sz w:val="18"/>
                <w:szCs w:val="18"/>
                <w:highlight w:val="yellow"/>
                <w:lang w:val="en-US"/>
              </w:rPr>
            </w:pPr>
            <w:r w:rsidRPr="005E6D70">
              <w:rPr>
                <w:rFonts w:ascii="Times New Roman" w:eastAsia="Calibri" w:hAnsi="Times New Roman" w:cs="Times New Roman"/>
                <w:sz w:val="18"/>
                <w:szCs w:val="18"/>
                <w:lang w:val="en-US"/>
              </w:rPr>
              <w:t>9(2)</w:t>
            </w:r>
          </w:p>
        </w:tc>
        <w:tc>
          <w:tcPr>
            <w:tcW w:w="4680" w:type="dxa"/>
            <w:gridSpan w:val="2"/>
          </w:tcPr>
          <w:p w14:paraId="7AD350A7" w14:textId="10CD1914" w:rsidR="00B601FC" w:rsidRPr="005E6D70" w:rsidRDefault="004B21C1"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 Where a partially-owned parent entity located in the Republic of Albania is a low-taxed constituent entity, it shall be subject to the IIR top-up tax for the fiscal year in respect of itself and of its low-taxed constituent entities located in the Republic of Albania for the fiscal year.</w:t>
            </w:r>
          </w:p>
        </w:tc>
        <w:tc>
          <w:tcPr>
            <w:tcW w:w="1530" w:type="dxa"/>
          </w:tcPr>
          <w:p w14:paraId="17CA02B8" w14:textId="4CCF4164" w:rsidR="00B601FC" w:rsidRPr="005E6D70" w:rsidRDefault="00B601FC" w:rsidP="00B601FC">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62277331" w14:textId="5426A707" w:rsidR="004B21C1" w:rsidRPr="005E6D70" w:rsidRDefault="004B21C1" w:rsidP="004B21C1">
            <w:pPr>
              <w:rPr>
                <w:rFonts w:ascii="Times New Roman" w:eastAsia="Calibri" w:hAnsi="Times New Roman" w:cs="Times New Roman"/>
                <w:sz w:val="18"/>
                <w:szCs w:val="18"/>
              </w:rPr>
            </w:pPr>
            <w:r w:rsidRPr="005E6D70">
              <w:rPr>
                <w:rFonts w:ascii="Times New Roman" w:eastAsia="Calibri" w:hAnsi="Times New Roman" w:cs="Times New Roman"/>
                <w:sz w:val="18"/>
                <w:szCs w:val="18"/>
                <w:lang w:val="en-US"/>
              </w:rPr>
              <w:t>The prescriptive phrase is omitted. The condition "located in a Member State that is a low-tax jurisdiction" is transposed as "located in the Republic of Albania is a low-taxed constituent entity".</w:t>
            </w:r>
          </w:p>
        </w:tc>
      </w:tr>
      <w:tr w:rsidR="00B601FC" w:rsidRPr="005E6D70" w14:paraId="4DDC655C" w14:textId="77777777" w:rsidTr="00073B1B">
        <w:trPr>
          <w:trHeight w:val="746"/>
        </w:trPr>
        <w:tc>
          <w:tcPr>
            <w:tcW w:w="990" w:type="dxa"/>
            <w:gridSpan w:val="2"/>
          </w:tcPr>
          <w:p w14:paraId="709E465B" w14:textId="2D005DF9"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8(3)</w:t>
            </w:r>
          </w:p>
        </w:tc>
        <w:tc>
          <w:tcPr>
            <w:tcW w:w="4860" w:type="dxa"/>
          </w:tcPr>
          <w:p w14:paraId="398BE317" w14:textId="4D330E62" w:rsidR="00B601FC" w:rsidRPr="005E6D70" w:rsidRDefault="00B601FC" w:rsidP="00B601FC">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Paragraphs 1 and 2 shall not apply where the ownership interests of the partially-owned parent entity are wholly held, directly or indirectly, by another partially-owned parent entity that is subject to a qualified IIR for that fiscal year.</w:t>
            </w:r>
          </w:p>
        </w:tc>
        <w:tc>
          <w:tcPr>
            <w:tcW w:w="990" w:type="dxa"/>
            <w:gridSpan w:val="2"/>
          </w:tcPr>
          <w:p w14:paraId="43C9614A" w14:textId="2F8AE75B"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05BDF9B8" w14:textId="17FC0C32" w:rsidR="00B601FC" w:rsidRPr="005E6D70" w:rsidRDefault="000F77B5" w:rsidP="00B601FC">
            <w:pPr>
              <w:jc w:val="center"/>
              <w:rPr>
                <w:rFonts w:ascii="Times New Roman" w:eastAsia="Calibri" w:hAnsi="Times New Roman" w:cs="Times New Roman"/>
                <w:sz w:val="18"/>
                <w:szCs w:val="18"/>
                <w:highlight w:val="cyan"/>
                <w:lang w:val="en-US"/>
              </w:rPr>
            </w:pPr>
            <w:r w:rsidRPr="005E6D70">
              <w:rPr>
                <w:rFonts w:ascii="Times New Roman" w:eastAsia="Calibri" w:hAnsi="Times New Roman" w:cs="Times New Roman"/>
                <w:sz w:val="18"/>
                <w:szCs w:val="18"/>
                <w:lang w:val="en-US"/>
              </w:rPr>
              <w:t>9(3)</w:t>
            </w:r>
          </w:p>
        </w:tc>
        <w:tc>
          <w:tcPr>
            <w:tcW w:w="4680" w:type="dxa"/>
            <w:gridSpan w:val="2"/>
          </w:tcPr>
          <w:p w14:paraId="18A13A99" w14:textId="278286B7" w:rsidR="00B601FC" w:rsidRPr="005E6D70" w:rsidRDefault="000F77B5"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 Paragraphs 1 and 2, of this Article, shall not apply where the ownership interests of the partially-owned parent entity are wholly held, directly or indirectly, by another partially-owned parent entity that is subject to a qualified IIR for that fiscal year.</w:t>
            </w:r>
          </w:p>
        </w:tc>
        <w:tc>
          <w:tcPr>
            <w:tcW w:w="1530" w:type="dxa"/>
          </w:tcPr>
          <w:p w14:paraId="7C51AE8F" w14:textId="460C6D06" w:rsidR="00B601FC" w:rsidRPr="005E6D70" w:rsidRDefault="00B601FC" w:rsidP="00B601FC">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64A29FE1" w14:textId="6C91D4A8" w:rsidR="00B601FC" w:rsidRPr="005E6D70" w:rsidRDefault="000F77B5" w:rsidP="00B601FC">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internal cross-reference is adapted to national legislative drafting standards by adding "of this Article". Verbatim transposition of the substantive text.</w:t>
            </w:r>
          </w:p>
        </w:tc>
      </w:tr>
      <w:tr w:rsidR="00B601FC" w:rsidRPr="005E6D70" w14:paraId="14A8BEE8" w14:textId="77777777" w:rsidTr="00073B1B">
        <w:trPr>
          <w:trHeight w:val="179"/>
        </w:trPr>
        <w:tc>
          <w:tcPr>
            <w:tcW w:w="990" w:type="dxa"/>
            <w:gridSpan w:val="2"/>
            <w:shd w:val="clear" w:color="auto" w:fill="D9D9D9" w:themeFill="background1" w:themeFillShade="D9"/>
          </w:tcPr>
          <w:p w14:paraId="4C8B1832" w14:textId="77777777" w:rsidR="00B601FC" w:rsidRPr="005E6D70" w:rsidRDefault="00B601FC" w:rsidP="00B601FC">
            <w:pPr>
              <w:jc w:val="center"/>
              <w:rPr>
                <w:rFonts w:ascii="Times New Roman" w:eastAsia="Calibri" w:hAnsi="Times New Roman" w:cs="Times New Roman"/>
                <w:i/>
                <w:sz w:val="18"/>
                <w:szCs w:val="18"/>
                <w:lang w:val="en-US"/>
              </w:rPr>
            </w:pPr>
          </w:p>
        </w:tc>
        <w:tc>
          <w:tcPr>
            <w:tcW w:w="4860" w:type="dxa"/>
            <w:shd w:val="clear" w:color="auto" w:fill="D9D9D9" w:themeFill="background1" w:themeFillShade="D9"/>
          </w:tcPr>
          <w:p w14:paraId="29F9D1C6" w14:textId="57450498" w:rsidR="00B601FC" w:rsidRPr="005E6D70" w:rsidRDefault="00B601FC" w:rsidP="00B601FC">
            <w:pPr>
              <w:jc w:val="both"/>
              <w:rPr>
                <w:rFonts w:ascii="Times New Roman" w:eastAsia="Calibri" w:hAnsi="Times New Roman" w:cs="Times New Roman"/>
                <w:b/>
                <w:i/>
                <w:sz w:val="18"/>
                <w:szCs w:val="18"/>
                <w:lang w:val="en-US"/>
              </w:rPr>
            </w:pPr>
            <w:r w:rsidRPr="005E6D70">
              <w:rPr>
                <w:rFonts w:ascii="Times New Roman" w:eastAsia="Calibri" w:hAnsi="Times New Roman" w:cs="Times New Roman"/>
                <w:b/>
                <w:bCs/>
                <w:iCs/>
                <w:sz w:val="18"/>
                <w:szCs w:val="18"/>
                <w:lang w:val="en-US"/>
              </w:rPr>
              <w:t>Article 9. Allocation of the top-up tax under the IIR</w:t>
            </w:r>
          </w:p>
        </w:tc>
        <w:tc>
          <w:tcPr>
            <w:tcW w:w="990" w:type="dxa"/>
            <w:gridSpan w:val="2"/>
            <w:shd w:val="clear" w:color="auto" w:fill="D9D9D9" w:themeFill="background1" w:themeFillShade="D9"/>
          </w:tcPr>
          <w:p w14:paraId="4F13BA06" w14:textId="7EDA504B"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shd w:val="clear" w:color="auto" w:fill="D9D9D9" w:themeFill="background1" w:themeFillShade="D9"/>
          </w:tcPr>
          <w:p w14:paraId="7DF04CB0" w14:textId="12221B11" w:rsidR="00B601FC" w:rsidRPr="005E6D70" w:rsidRDefault="003B3741"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10</w:t>
            </w:r>
          </w:p>
        </w:tc>
        <w:tc>
          <w:tcPr>
            <w:tcW w:w="4680" w:type="dxa"/>
            <w:gridSpan w:val="2"/>
            <w:shd w:val="clear" w:color="auto" w:fill="D9D9D9" w:themeFill="background1" w:themeFillShade="D9"/>
          </w:tcPr>
          <w:p w14:paraId="06BAF746" w14:textId="0529EE72" w:rsidR="00B601FC" w:rsidRPr="005E6D70" w:rsidRDefault="003B3741"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Article 10. Allocation of the Top-Up Tax under the IIR</w:t>
            </w:r>
          </w:p>
        </w:tc>
        <w:tc>
          <w:tcPr>
            <w:tcW w:w="1530" w:type="dxa"/>
            <w:shd w:val="clear" w:color="auto" w:fill="D9D9D9" w:themeFill="background1" w:themeFillShade="D9"/>
          </w:tcPr>
          <w:p w14:paraId="4DACEB4E" w14:textId="65BF54E5" w:rsidR="00B601FC" w:rsidRPr="005E6D70" w:rsidRDefault="00B601FC" w:rsidP="00B601FC">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shd w:val="clear" w:color="auto" w:fill="D9D9D9" w:themeFill="background1" w:themeFillShade="D9"/>
          </w:tcPr>
          <w:p w14:paraId="7DCBF5FC" w14:textId="77777777" w:rsidR="00B601FC" w:rsidRPr="005E6D70" w:rsidRDefault="00B601FC" w:rsidP="00B601FC">
            <w:pPr>
              <w:rPr>
                <w:rFonts w:ascii="Times New Roman" w:eastAsia="Calibri" w:hAnsi="Times New Roman" w:cs="Times New Roman"/>
                <w:sz w:val="18"/>
                <w:szCs w:val="18"/>
                <w:lang w:val="en-US"/>
              </w:rPr>
            </w:pPr>
          </w:p>
        </w:tc>
      </w:tr>
      <w:tr w:rsidR="00B601FC" w:rsidRPr="005E6D70" w14:paraId="6BCBDABF" w14:textId="77777777" w:rsidTr="00073B1B">
        <w:tc>
          <w:tcPr>
            <w:tcW w:w="990" w:type="dxa"/>
            <w:gridSpan w:val="2"/>
          </w:tcPr>
          <w:p w14:paraId="4CB7DC1F" w14:textId="7161C9AE"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9(1)</w:t>
            </w:r>
          </w:p>
        </w:tc>
        <w:tc>
          <w:tcPr>
            <w:tcW w:w="4860" w:type="dxa"/>
          </w:tcPr>
          <w:p w14:paraId="1ACD1843" w14:textId="7172A951" w:rsidR="00B601FC" w:rsidRPr="005E6D70" w:rsidRDefault="00B601FC" w:rsidP="00B601FC">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1. The IIR top-up tax due by a parent entity in respect of a low-taxed constituent entity pursuant to Article 5(1), Article 6(1), Article 7(1) and Article 8(1) shall be equal to the top-up tax of the low-taxed constituent entity, as computed in accordance with </w:t>
            </w:r>
            <w:r w:rsidRPr="005E6D70">
              <w:rPr>
                <w:rFonts w:ascii="Times New Roman" w:eastAsia="Calibri" w:hAnsi="Times New Roman" w:cs="Times New Roman"/>
                <w:iCs/>
                <w:sz w:val="18"/>
                <w:szCs w:val="18"/>
                <w:lang w:val="en-US"/>
              </w:rPr>
              <w:lastRenderedPageBreak/>
              <w:t>Article 27, multiplied by the parent entity’s allocable share in such top-up tax for the fiscal year.</w:t>
            </w:r>
          </w:p>
        </w:tc>
        <w:tc>
          <w:tcPr>
            <w:tcW w:w="990" w:type="dxa"/>
            <w:gridSpan w:val="2"/>
          </w:tcPr>
          <w:p w14:paraId="677DAE6D" w14:textId="18473CF8"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1080" w:type="dxa"/>
            <w:gridSpan w:val="2"/>
          </w:tcPr>
          <w:p w14:paraId="312247C3" w14:textId="60056DAF" w:rsidR="00B601FC" w:rsidRPr="005E6D70" w:rsidRDefault="003522E1"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10(1)</w:t>
            </w:r>
          </w:p>
        </w:tc>
        <w:tc>
          <w:tcPr>
            <w:tcW w:w="4680" w:type="dxa"/>
            <w:gridSpan w:val="2"/>
          </w:tcPr>
          <w:p w14:paraId="1CB3E06D" w14:textId="6B2E8F1D" w:rsidR="00B601FC" w:rsidRPr="005E6D70" w:rsidRDefault="003522E1"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1. The IIR top-up tax due by a parent entity in respect of a low-taxed constituent entity in accordance with Articles 6, 7, 8 and 9, of this Law, shall be equal to the top-up tax of the low-taxed constituent entity, as computed in accordance with Article 27, </w:t>
            </w:r>
            <w:r w:rsidRPr="005E6D70">
              <w:rPr>
                <w:rFonts w:ascii="Times New Roman" w:eastAsia="Calibri" w:hAnsi="Times New Roman" w:cs="Times New Roman"/>
                <w:sz w:val="18"/>
                <w:szCs w:val="18"/>
                <w:lang w:val="en-US"/>
              </w:rPr>
              <w:lastRenderedPageBreak/>
              <w:t>of this Law, multiplied by the parent entity’s allocable share in such top-up tax for the fiscal year.</w:t>
            </w:r>
          </w:p>
        </w:tc>
        <w:tc>
          <w:tcPr>
            <w:tcW w:w="1530" w:type="dxa"/>
          </w:tcPr>
          <w:p w14:paraId="3BB570A4" w14:textId="7828CD99" w:rsidR="00B601FC" w:rsidRPr="005E6D70" w:rsidRDefault="00B601FC" w:rsidP="00B601FC">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lastRenderedPageBreak/>
              <w:t>F</w:t>
            </w:r>
          </w:p>
        </w:tc>
        <w:tc>
          <w:tcPr>
            <w:tcW w:w="1350" w:type="dxa"/>
          </w:tcPr>
          <w:p w14:paraId="3AAF2283" w14:textId="522A03FA" w:rsidR="00B601FC" w:rsidRPr="005E6D70" w:rsidRDefault="003522E1" w:rsidP="00B601FC">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Verbatim transposition. The specific paragraph </w:t>
            </w:r>
            <w:r w:rsidRPr="005E6D70">
              <w:rPr>
                <w:rFonts w:ascii="Times New Roman" w:eastAsia="Calibri" w:hAnsi="Times New Roman" w:cs="Times New Roman"/>
                <w:sz w:val="18"/>
                <w:szCs w:val="18"/>
                <w:lang w:val="en-US"/>
              </w:rPr>
              <w:lastRenderedPageBreak/>
              <w:t>cross-references of the Directive are consolidated as general references to "Articles 6, 7, 8 and 9, of this Law" to align with national legislative drafting techniques.</w:t>
            </w:r>
          </w:p>
        </w:tc>
      </w:tr>
      <w:tr w:rsidR="00B601FC" w:rsidRPr="005E6D70" w14:paraId="244CEC79" w14:textId="77777777" w:rsidTr="00073B1B">
        <w:tc>
          <w:tcPr>
            <w:tcW w:w="990" w:type="dxa"/>
            <w:gridSpan w:val="2"/>
          </w:tcPr>
          <w:p w14:paraId="4972C921" w14:textId="2F135EF2"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9(2)</w:t>
            </w:r>
          </w:p>
        </w:tc>
        <w:tc>
          <w:tcPr>
            <w:tcW w:w="4860" w:type="dxa"/>
          </w:tcPr>
          <w:p w14:paraId="64805FFC" w14:textId="36C0EC7D" w:rsidR="00B601FC" w:rsidRPr="005E6D70" w:rsidRDefault="00B601FC" w:rsidP="00B601FC">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A parent entity’s allocable share in the top-up tax with respect to a low-taxed constituent entity shall be the proportion of the parent entity’s ownership interest in the qualifying income of the low-taxed constituent entity. That proportion shall be equal to the qualifying income of the low-taxed constituent entity for the fiscal year, reduced by the amount of such income attributable to ownership interests held by other owners, divided by the qualifying income of the low-taxed constituent entity for the fiscal year.</w:t>
            </w:r>
          </w:p>
          <w:p w14:paraId="2BEF32E5" w14:textId="77777777" w:rsidR="00B601FC" w:rsidRPr="005E6D70" w:rsidRDefault="00B601FC" w:rsidP="00B601FC">
            <w:pPr>
              <w:jc w:val="both"/>
              <w:rPr>
                <w:rFonts w:ascii="Times New Roman" w:eastAsia="Calibri" w:hAnsi="Times New Roman" w:cs="Times New Roman"/>
                <w:iCs/>
                <w:sz w:val="18"/>
                <w:szCs w:val="18"/>
                <w:lang w:val="en-US"/>
              </w:rPr>
            </w:pPr>
          </w:p>
          <w:p w14:paraId="30DD9D5B" w14:textId="128047B2" w:rsidR="00B601FC" w:rsidRPr="005E6D70" w:rsidRDefault="00B601FC" w:rsidP="00B601FC">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The amount of qualifying income attributable to ownership interests in a low-taxed constituent entity held by other owners shall be the amount that would have been treated as attributable to such owners under the principles of the acceptable financial accounting standard used in the ultimate parent entity’s consolidated financial statements if the low-taxed constituent entity’s net income were equal to its qualifying income and:</w:t>
            </w:r>
          </w:p>
        </w:tc>
        <w:tc>
          <w:tcPr>
            <w:tcW w:w="990" w:type="dxa"/>
            <w:gridSpan w:val="2"/>
          </w:tcPr>
          <w:p w14:paraId="7413B4A7" w14:textId="7FFAA2F9"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33065B23" w14:textId="20609763" w:rsidR="00B601FC" w:rsidRPr="005E6D70" w:rsidRDefault="003522E1"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10(2)</w:t>
            </w:r>
          </w:p>
        </w:tc>
        <w:tc>
          <w:tcPr>
            <w:tcW w:w="4680" w:type="dxa"/>
            <w:gridSpan w:val="2"/>
          </w:tcPr>
          <w:p w14:paraId="15E319EB" w14:textId="6A2BEE1E" w:rsidR="00B601FC" w:rsidRPr="005E6D70" w:rsidRDefault="003522E1"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 A parent entity’s allocable share in the top-up tax with respect to a low-taxed constituent entity shall be the proportion of the parent entity’s ownership interest in the qualifying income of the low-taxed constituent entity. That proportion shall be equal to the qualifying income of the low-taxed constituent entity for the fiscal year, reduced by the amount of such income attributable to ownership interests held by other owners, divided by the qualifying income of the low-taxed constituent entity for the fiscal year. The amount of qualifying income attributable to ownership interests in a low-taxed constituent entity held by other owners shall be the amount that would have been treated as attributable to such owners under the principles of the acceptable financial accounting standard used in the ultimate parent entity’s consolidated financial statements if the low-taxed constituent entity’s net income were equal to its qualifying income and:</w:t>
            </w:r>
          </w:p>
        </w:tc>
        <w:tc>
          <w:tcPr>
            <w:tcW w:w="1530" w:type="dxa"/>
          </w:tcPr>
          <w:p w14:paraId="44661BCC" w14:textId="506462D0" w:rsidR="00B601FC" w:rsidRPr="005E6D70" w:rsidRDefault="00B601FC" w:rsidP="00B601FC">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1C452945" w14:textId="6B7A71DB" w:rsidR="00B601FC" w:rsidRPr="005E6D70" w:rsidRDefault="00993A13" w:rsidP="00B601FC">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two unnumbered subparagraphs of the Directive are structurally consolidated into a single introductory paragraph in the draft law. Verbatim transposition.</w:t>
            </w:r>
          </w:p>
        </w:tc>
      </w:tr>
      <w:tr w:rsidR="00B601FC" w:rsidRPr="005E6D70" w14:paraId="1F7A7085" w14:textId="77777777" w:rsidTr="00073B1B">
        <w:tc>
          <w:tcPr>
            <w:tcW w:w="990" w:type="dxa"/>
            <w:gridSpan w:val="2"/>
          </w:tcPr>
          <w:p w14:paraId="1E0BA724" w14:textId="30DE9F84"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9(2a)</w:t>
            </w:r>
          </w:p>
        </w:tc>
        <w:tc>
          <w:tcPr>
            <w:tcW w:w="4860" w:type="dxa"/>
          </w:tcPr>
          <w:p w14:paraId="7FF75C09" w14:textId="13CE62C1" w:rsidR="00B601FC" w:rsidRPr="005E6D70" w:rsidRDefault="00B601FC" w:rsidP="00B601FC">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the parent entity had prepared consolidated financial statements in accordance with that accounting standard (the ‘hypothetical consolidated financial statements’);</w:t>
            </w:r>
          </w:p>
        </w:tc>
        <w:tc>
          <w:tcPr>
            <w:tcW w:w="990" w:type="dxa"/>
            <w:gridSpan w:val="2"/>
          </w:tcPr>
          <w:p w14:paraId="6CFA9622" w14:textId="4D4B2317"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645E7B47" w14:textId="146C286B" w:rsidR="00B601FC" w:rsidRPr="005E6D70" w:rsidRDefault="00993A13"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10(2)(a)</w:t>
            </w:r>
          </w:p>
        </w:tc>
        <w:tc>
          <w:tcPr>
            <w:tcW w:w="4680" w:type="dxa"/>
            <w:gridSpan w:val="2"/>
          </w:tcPr>
          <w:p w14:paraId="17AC4669" w14:textId="1591FF5D" w:rsidR="00B601FC" w:rsidRPr="005E6D70" w:rsidRDefault="00993A1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the parent entity had prepared consolidated financial statements in accordance with that accounting standard (“hypothetical consolidated financial statements”);</w:t>
            </w:r>
          </w:p>
        </w:tc>
        <w:tc>
          <w:tcPr>
            <w:tcW w:w="1530" w:type="dxa"/>
          </w:tcPr>
          <w:p w14:paraId="4715E809" w14:textId="362FA5B2" w:rsidR="00B601FC" w:rsidRPr="005E6D70" w:rsidRDefault="00B601FC" w:rsidP="00B601FC">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2E737C75" w14:textId="501E8D55" w:rsidR="00B601FC" w:rsidRPr="005E6D70" w:rsidRDefault="00993A13" w:rsidP="00B601FC">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B601FC" w:rsidRPr="005E6D70" w14:paraId="72A52467" w14:textId="77777777" w:rsidTr="00073B1B">
        <w:tc>
          <w:tcPr>
            <w:tcW w:w="990" w:type="dxa"/>
            <w:gridSpan w:val="2"/>
          </w:tcPr>
          <w:p w14:paraId="13D51973" w14:textId="679A53A2"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9(2b)</w:t>
            </w:r>
          </w:p>
        </w:tc>
        <w:tc>
          <w:tcPr>
            <w:tcW w:w="4860" w:type="dxa"/>
          </w:tcPr>
          <w:p w14:paraId="49C32654" w14:textId="00C5D182" w:rsidR="00B601FC" w:rsidRPr="005E6D70" w:rsidRDefault="00B601FC" w:rsidP="00B601FC">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the parent entity owned a controlling interest in the low-taxed constituent entity such that all of the income and expenses of the low-taxed constituent entity were consolidated on a line-by-line basis with those of the parent entity in the hypothetical consolidated financial statements;</w:t>
            </w:r>
          </w:p>
        </w:tc>
        <w:tc>
          <w:tcPr>
            <w:tcW w:w="990" w:type="dxa"/>
            <w:gridSpan w:val="2"/>
          </w:tcPr>
          <w:p w14:paraId="747DB48A" w14:textId="568E1447"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5840873" w14:textId="52E2CF45" w:rsidR="00B601FC" w:rsidRPr="005E6D70" w:rsidRDefault="00993A13"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10(2)(b)</w:t>
            </w:r>
          </w:p>
        </w:tc>
        <w:tc>
          <w:tcPr>
            <w:tcW w:w="4680" w:type="dxa"/>
            <w:gridSpan w:val="2"/>
          </w:tcPr>
          <w:p w14:paraId="5F1EA4DC" w14:textId="11BF94CF" w:rsidR="00B601FC" w:rsidRPr="005E6D70" w:rsidRDefault="00993A1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the parent entity owned a controlling interest in the low-taxed constituent entity such that all of the income and expenses of the low-taxed constituent entity were consolidated on a line-by-line basis with those of the parent entity in the hypothetical consolidated financial statements;</w:t>
            </w:r>
          </w:p>
          <w:p w14:paraId="0544D010" w14:textId="77777777" w:rsidR="00993A13" w:rsidRPr="005E6D70" w:rsidRDefault="00993A13" w:rsidP="00754FB1">
            <w:pPr>
              <w:ind w:firstLine="720"/>
              <w:jc w:val="both"/>
              <w:rPr>
                <w:rFonts w:ascii="Times New Roman" w:eastAsia="Calibri" w:hAnsi="Times New Roman" w:cs="Times New Roman"/>
                <w:sz w:val="18"/>
                <w:szCs w:val="18"/>
              </w:rPr>
            </w:pPr>
          </w:p>
        </w:tc>
        <w:tc>
          <w:tcPr>
            <w:tcW w:w="1530" w:type="dxa"/>
          </w:tcPr>
          <w:p w14:paraId="3BEEB6B3" w14:textId="5CF4793A" w:rsidR="00B601FC" w:rsidRPr="005E6D70" w:rsidRDefault="00B601FC" w:rsidP="00B601FC">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4FE3D668" w14:textId="3F4D09FA" w:rsidR="00B601FC" w:rsidRPr="005E6D70" w:rsidRDefault="00993A13" w:rsidP="00B601FC">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B601FC" w:rsidRPr="005E6D70" w14:paraId="56816EE0" w14:textId="77777777" w:rsidTr="00073B1B">
        <w:tc>
          <w:tcPr>
            <w:tcW w:w="990" w:type="dxa"/>
            <w:gridSpan w:val="2"/>
          </w:tcPr>
          <w:p w14:paraId="0E531AD6" w14:textId="26874F09"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9(2c)</w:t>
            </w:r>
          </w:p>
        </w:tc>
        <w:tc>
          <w:tcPr>
            <w:tcW w:w="4860" w:type="dxa"/>
          </w:tcPr>
          <w:p w14:paraId="11D19423" w14:textId="79B8184A" w:rsidR="00B601FC" w:rsidRPr="005E6D70" w:rsidRDefault="00B601FC" w:rsidP="00B601FC">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all of the low-taxed constituent entity’s qualifying income were attributable to transactions with persons that are not group entities; and</w:t>
            </w:r>
          </w:p>
        </w:tc>
        <w:tc>
          <w:tcPr>
            <w:tcW w:w="990" w:type="dxa"/>
            <w:gridSpan w:val="2"/>
          </w:tcPr>
          <w:p w14:paraId="1F306F35" w14:textId="23ACC95A"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0270A50" w14:textId="3C439FAC" w:rsidR="00B601FC" w:rsidRPr="005E6D70" w:rsidRDefault="00993A13"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10(2)(c)</w:t>
            </w:r>
          </w:p>
        </w:tc>
        <w:tc>
          <w:tcPr>
            <w:tcW w:w="4680" w:type="dxa"/>
            <w:gridSpan w:val="2"/>
          </w:tcPr>
          <w:p w14:paraId="14C37289" w14:textId="18FD004A" w:rsidR="00B601FC" w:rsidRPr="005E6D70" w:rsidRDefault="00993A1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c) all of the low-taxed constituent entity’s qualifying income were attributable to transactions with persons that are not group entities; and</w:t>
            </w:r>
          </w:p>
        </w:tc>
        <w:tc>
          <w:tcPr>
            <w:tcW w:w="1530" w:type="dxa"/>
          </w:tcPr>
          <w:p w14:paraId="290DB296" w14:textId="29DB7E90" w:rsidR="00B601FC" w:rsidRPr="005E6D70" w:rsidRDefault="00B601FC" w:rsidP="00B601FC">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0D88DC8B" w14:textId="0AA93DD0" w:rsidR="00B601FC" w:rsidRPr="005E6D70" w:rsidRDefault="00993A13" w:rsidP="00B601FC">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B601FC" w:rsidRPr="005E6D70" w14:paraId="12D16C99" w14:textId="77777777" w:rsidTr="00073B1B">
        <w:tc>
          <w:tcPr>
            <w:tcW w:w="990" w:type="dxa"/>
            <w:gridSpan w:val="2"/>
          </w:tcPr>
          <w:p w14:paraId="3C5DB680" w14:textId="2FEFD64D"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9(2d)</w:t>
            </w:r>
          </w:p>
        </w:tc>
        <w:tc>
          <w:tcPr>
            <w:tcW w:w="4860" w:type="dxa"/>
          </w:tcPr>
          <w:p w14:paraId="414485B8" w14:textId="29D4E722" w:rsidR="00B601FC" w:rsidRPr="005E6D70" w:rsidRDefault="00B601FC" w:rsidP="00B601FC">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(d) all ownership interests not directly or indirectly held by the parent entity were held by persons other than group entities.</w:t>
            </w:r>
          </w:p>
        </w:tc>
        <w:tc>
          <w:tcPr>
            <w:tcW w:w="990" w:type="dxa"/>
            <w:gridSpan w:val="2"/>
          </w:tcPr>
          <w:p w14:paraId="136EE558" w14:textId="36B54834"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0611FFC" w14:textId="40843083" w:rsidR="00B601FC" w:rsidRPr="005E6D70" w:rsidRDefault="00993A13"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10(2)(d)</w:t>
            </w:r>
          </w:p>
        </w:tc>
        <w:tc>
          <w:tcPr>
            <w:tcW w:w="4680" w:type="dxa"/>
            <w:gridSpan w:val="2"/>
          </w:tcPr>
          <w:p w14:paraId="4914D72B" w14:textId="3851F7CD" w:rsidR="00B601FC" w:rsidRPr="005E6D70" w:rsidRDefault="00993A1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 all ownership interests not directly or indirectly held by the parent entity were held by persons other than group entities.</w:t>
            </w:r>
          </w:p>
        </w:tc>
        <w:tc>
          <w:tcPr>
            <w:tcW w:w="1530" w:type="dxa"/>
          </w:tcPr>
          <w:p w14:paraId="3F8F778B" w14:textId="649321A4" w:rsidR="00B601FC" w:rsidRPr="005E6D70" w:rsidRDefault="00B601FC" w:rsidP="00B601FC">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7DE9F10D" w14:textId="45F5D9EE" w:rsidR="00B601FC" w:rsidRPr="005E6D70" w:rsidRDefault="00993A13" w:rsidP="00B601FC">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B601FC" w:rsidRPr="005E6D70" w14:paraId="694364F1" w14:textId="77777777" w:rsidTr="00073B1B">
        <w:tc>
          <w:tcPr>
            <w:tcW w:w="990" w:type="dxa"/>
            <w:gridSpan w:val="2"/>
          </w:tcPr>
          <w:p w14:paraId="5729DC43" w14:textId="36DC9FC2"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9(3)</w:t>
            </w:r>
          </w:p>
        </w:tc>
        <w:tc>
          <w:tcPr>
            <w:tcW w:w="4860" w:type="dxa"/>
          </w:tcPr>
          <w:p w14:paraId="0893D77C" w14:textId="757ED356" w:rsidR="00B601FC" w:rsidRPr="005E6D70" w:rsidRDefault="00B601FC" w:rsidP="00B601FC">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In addition to the amount allocated to a parent entity in accordance with paragraph 1 of this Article, the IIR top-up tax due by a parent entity pursuant to Article 5(2), Article 6(2), Article 7(2) and Article 8(2) shall include, for the fiscal year, in accordance with Article 27:</w:t>
            </w:r>
          </w:p>
        </w:tc>
        <w:tc>
          <w:tcPr>
            <w:tcW w:w="990" w:type="dxa"/>
            <w:gridSpan w:val="2"/>
          </w:tcPr>
          <w:p w14:paraId="5643A6D4" w14:textId="639FC9CE"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7C63E476" w14:textId="18A815DE" w:rsidR="00B601FC" w:rsidRPr="005E6D70" w:rsidRDefault="00993A13"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10(3)</w:t>
            </w:r>
          </w:p>
        </w:tc>
        <w:tc>
          <w:tcPr>
            <w:tcW w:w="4680" w:type="dxa"/>
            <w:gridSpan w:val="2"/>
          </w:tcPr>
          <w:p w14:paraId="1F406DB8" w14:textId="0F620AC4" w:rsidR="00B601FC" w:rsidRPr="005E6D70" w:rsidRDefault="00993A1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 In addition to the amount allocated to a parent entity in accordance with paragraph 1, of this Article, the IIR top-up tax due by a parent entity in accordance with Articles 6, 7, 8 and 9, of this Law, shall include, for the fiscal year, in accordance with Article 27, of this Law:</w:t>
            </w:r>
          </w:p>
        </w:tc>
        <w:tc>
          <w:tcPr>
            <w:tcW w:w="1530" w:type="dxa"/>
          </w:tcPr>
          <w:p w14:paraId="05BDE039" w14:textId="7B7E8DC8" w:rsidR="00B601FC" w:rsidRPr="005E6D70" w:rsidRDefault="00B601FC" w:rsidP="00B601FC">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604F9CE8" w14:textId="6CAD4AE7" w:rsidR="00B601FC" w:rsidRPr="005E6D70" w:rsidRDefault="00993A13" w:rsidP="00B601FC">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cross-references are consolidated and adapted to national formatting standards.</w:t>
            </w:r>
          </w:p>
        </w:tc>
      </w:tr>
      <w:tr w:rsidR="00B601FC" w:rsidRPr="005E6D70" w14:paraId="5EFC5E6E" w14:textId="77777777" w:rsidTr="00073B1B">
        <w:tc>
          <w:tcPr>
            <w:tcW w:w="990" w:type="dxa"/>
            <w:gridSpan w:val="2"/>
          </w:tcPr>
          <w:p w14:paraId="3CDD5CD0" w14:textId="223CF0AA"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9(3a)</w:t>
            </w:r>
          </w:p>
        </w:tc>
        <w:tc>
          <w:tcPr>
            <w:tcW w:w="4860" w:type="dxa"/>
          </w:tcPr>
          <w:p w14:paraId="631FB2D1" w14:textId="11E4D304" w:rsidR="00B601FC" w:rsidRPr="005E6D70" w:rsidRDefault="00B601FC" w:rsidP="00B601FC">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the full amount of top-up tax computed for that parent entity; and</w:t>
            </w:r>
          </w:p>
        </w:tc>
        <w:tc>
          <w:tcPr>
            <w:tcW w:w="990" w:type="dxa"/>
            <w:gridSpan w:val="2"/>
          </w:tcPr>
          <w:p w14:paraId="5A4CD3B9" w14:textId="040DD8A7"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0634390" w14:textId="2A0E4C7D" w:rsidR="00B601FC" w:rsidRPr="005E6D70" w:rsidRDefault="00993A13"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10(3)(a)</w:t>
            </w:r>
          </w:p>
        </w:tc>
        <w:tc>
          <w:tcPr>
            <w:tcW w:w="4680" w:type="dxa"/>
            <w:gridSpan w:val="2"/>
          </w:tcPr>
          <w:p w14:paraId="0B23BF9C" w14:textId="2261B590" w:rsidR="00B601FC" w:rsidRPr="005E6D70" w:rsidRDefault="00993A13"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the full amount of top-up tax computed for that parent entity; and</w:t>
            </w:r>
          </w:p>
        </w:tc>
        <w:tc>
          <w:tcPr>
            <w:tcW w:w="1530" w:type="dxa"/>
          </w:tcPr>
          <w:p w14:paraId="757A8468" w14:textId="41121F80" w:rsidR="00B601FC" w:rsidRPr="005E6D70" w:rsidRDefault="00B601FC" w:rsidP="00B601FC">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78368795" w14:textId="16772E93" w:rsidR="00B601FC" w:rsidRPr="005E6D70" w:rsidRDefault="00993A13" w:rsidP="00B601FC">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B601FC" w:rsidRPr="005E6D70" w14:paraId="07098DC2" w14:textId="77777777" w:rsidTr="00073B1B">
        <w:tc>
          <w:tcPr>
            <w:tcW w:w="990" w:type="dxa"/>
            <w:gridSpan w:val="2"/>
          </w:tcPr>
          <w:p w14:paraId="2EF7C7EB" w14:textId="16E975AA"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9(3b)</w:t>
            </w:r>
          </w:p>
        </w:tc>
        <w:tc>
          <w:tcPr>
            <w:tcW w:w="4860" w:type="dxa"/>
          </w:tcPr>
          <w:p w14:paraId="159BDB90" w14:textId="5DA4D246" w:rsidR="00B601FC" w:rsidRPr="005E6D70" w:rsidRDefault="00B601FC" w:rsidP="00B601FC">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the amount of top-up tax computed for its low-taxed constituent entities located in the same Member State multiplied by the parent entity’s allocable share in such top-up tax for the fiscal year.</w:t>
            </w:r>
          </w:p>
        </w:tc>
        <w:tc>
          <w:tcPr>
            <w:tcW w:w="990" w:type="dxa"/>
            <w:gridSpan w:val="2"/>
          </w:tcPr>
          <w:p w14:paraId="64C3DE15" w14:textId="223D38F7" w:rsidR="00B601FC" w:rsidRPr="005E6D70" w:rsidRDefault="00B601FC"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92BB0DB" w14:textId="490E7FFB" w:rsidR="00B601FC" w:rsidRPr="005E6D70" w:rsidRDefault="00993A13" w:rsidP="00B601FC">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10(3)(b)</w:t>
            </w:r>
          </w:p>
        </w:tc>
        <w:tc>
          <w:tcPr>
            <w:tcW w:w="4680" w:type="dxa"/>
            <w:gridSpan w:val="2"/>
          </w:tcPr>
          <w:p w14:paraId="2C2CAA9C" w14:textId="2105AC76" w:rsidR="00B601FC" w:rsidRPr="005E6D70" w:rsidRDefault="006B68E8"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the amount of top-up tax computed for its low-taxed constituent entities located in the Republic of Albania, multiplied by the parent entity’s allocable share in such top-up tax for the fiscal year.</w:t>
            </w:r>
          </w:p>
        </w:tc>
        <w:tc>
          <w:tcPr>
            <w:tcW w:w="1530" w:type="dxa"/>
          </w:tcPr>
          <w:p w14:paraId="4899EF79" w14:textId="6F4F566D" w:rsidR="00B601FC" w:rsidRPr="005E6D70" w:rsidRDefault="00B601FC" w:rsidP="00B601FC">
            <w:pPr>
              <w:jc w:val="center"/>
              <w:rPr>
                <w:rFonts w:ascii="Times New Roman" w:eastAsia="Calibri" w:hAnsi="Times New Roman" w:cs="Times New Roman"/>
                <w:bCs/>
                <w:sz w:val="18"/>
                <w:szCs w:val="18"/>
                <w:highlight w:val="cyan"/>
                <w:lang w:val="en-US"/>
              </w:rPr>
            </w:pPr>
            <w:r w:rsidRPr="005E6D70">
              <w:rPr>
                <w:rFonts w:ascii="Times New Roman" w:eastAsia="Calibri" w:hAnsi="Times New Roman" w:cs="Times New Roman"/>
                <w:bCs/>
                <w:sz w:val="18"/>
                <w:szCs w:val="18"/>
                <w:lang w:val="en-US"/>
              </w:rPr>
              <w:t>F</w:t>
            </w:r>
          </w:p>
        </w:tc>
        <w:tc>
          <w:tcPr>
            <w:tcW w:w="1350" w:type="dxa"/>
          </w:tcPr>
          <w:p w14:paraId="5484D5C3" w14:textId="1C0C8641" w:rsidR="00B601FC" w:rsidRPr="005E6D70" w:rsidRDefault="006B68E8" w:rsidP="00B601FC">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term "same Member State" is transposed as "the Republic of Albania".</w:t>
            </w:r>
          </w:p>
        </w:tc>
      </w:tr>
      <w:tr w:rsidR="007B58EB" w:rsidRPr="005E6D70" w14:paraId="30923026" w14:textId="77777777" w:rsidTr="00073B1B">
        <w:trPr>
          <w:trHeight w:val="161"/>
        </w:trPr>
        <w:tc>
          <w:tcPr>
            <w:tcW w:w="990" w:type="dxa"/>
            <w:gridSpan w:val="2"/>
            <w:shd w:val="clear" w:color="auto" w:fill="D9D9D9" w:themeFill="background1" w:themeFillShade="D9"/>
          </w:tcPr>
          <w:p w14:paraId="3EE4A7F4" w14:textId="77777777" w:rsidR="007B58EB" w:rsidRPr="005E6D70" w:rsidRDefault="007B58EB" w:rsidP="007B58EB">
            <w:pPr>
              <w:jc w:val="center"/>
              <w:rPr>
                <w:rFonts w:ascii="Times New Roman" w:eastAsia="Calibri" w:hAnsi="Times New Roman" w:cs="Times New Roman"/>
                <w:i/>
                <w:sz w:val="18"/>
                <w:szCs w:val="18"/>
                <w:lang w:val="en-US"/>
              </w:rPr>
            </w:pPr>
          </w:p>
        </w:tc>
        <w:tc>
          <w:tcPr>
            <w:tcW w:w="4860" w:type="dxa"/>
            <w:shd w:val="clear" w:color="auto" w:fill="D9D9D9" w:themeFill="background1" w:themeFillShade="D9"/>
          </w:tcPr>
          <w:p w14:paraId="79791D96" w14:textId="6694E5DB" w:rsidR="007B58EB" w:rsidRPr="005E6D70" w:rsidRDefault="007B58EB" w:rsidP="007B58EB">
            <w:pPr>
              <w:jc w:val="both"/>
              <w:rPr>
                <w:rFonts w:ascii="Times New Roman" w:eastAsia="Calibri" w:hAnsi="Times New Roman" w:cs="Times New Roman"/>
                <w:b/>
                <w:i/>
                <w:sz w:val="18"/>
                <w:szCs w:val="18"/>
                <w:lang w:val="en-US"/>
              </w:rPr>
            </w:pPr>
            <w:r w:rsidRPr="005E6D70">
              <w:rPr>
                <w:rFonts w:ascii="Times New Roman" w:eastAsia="Calibri" w:hAnsi="Times New Roman" w:cs="Times New Roman"/>
                <w:b/>
                <w:bCs/>
                <w:iCs/>
                <w:sz w:val="18"/>
                <w:szCs w:val="18"/>
                <w:lang w:val="en-US"/>
              </w:rPr>
              <w:t>Article 10. IIR offset mechanism</w:t>
            </w:r>
          </w:p>
        </w:tc>
        <w:tc>
          <w:tcPr>
            <w:tcW w:w="990" w:type="dxa"/>
            <w:gridSpan w:val="2"/>
            <w:shd w:val="clear" w:color="auto" w:fill="D9D9D9" w:themeFill="background1" w:themeFillShade="D9"/>
          </w:tcPr>
          <w:p w14:paraId="3CE5F52F" w14:textId="21BF1B59"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shd w:val="clear" w:color="auto" w:fill="D9D9D9" w:themeFill="background1" w:themeFillShade="D9"/>
          </w:tcPr>
          <w:p w14:paraId="2CF4F395" w14:textId="0DECF2B4"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11</w:t>
            </w:r>
          </w:p>
        </w:tc>
        <w:tc>
          <w:tcPr>
            <w:tcW w:w="4680" w:type="dxa"/>
            <w:gridSpan w:val="2"/>
            <w:shd w:val="clear" w:color="auto" w:fill="D9D9D9" w:themeFill="background1" w:themeFillShade="D9"/>
          </w:tcPr>
          <w:p w14:paraId="4C31678E" w14:textId="56278B07" w:rsidR="007B58EB" w:rsidRPr="005E6D70" w:rsidRDefault="007B58EB"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Article 11. IIR Offset Mechanism</w:t>
            </w:r>
          </w:p>
        </w:tc>
        <w:tc>
          <w:tcPr>
            <w:tcW w:w="1530" w:type="dxa"/>
            <w:shd w:val="clear" w:color="auto" w:fill="D9D9D9" w:themeFill="background1" w:themeFillShade="D9"/>
          </w:tcPr>
          <w:p w14:paraId="1E5E96EB" w14:textId="0B788C75"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shd w:val="clear" w:color="auto" w:fill="D9D9D9" w:themeFill="background1" w:themeFillShade="D9"/>
          </w:tcPr>
          <w:p w14:paraId="2DD0712A" w14:textId="2AB11DE7" w:rsidR="007B58EB" w:rsidRPr="005E6D70" w:rsidRDefault="007B58EB"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Structurally transposed as Article 11.</w:t>
            </w:r>
          </w:p>
        </w:tc>
      </w:tr>
      <w:tr w:rsidR="007B58EB" w:rsidRPr="005E6D70" w14:paraId="2666782D" w14:textId="77777777" w:rsidTr="00073B1B">
        <w:trPr>
          <w:trHeight w:val="1664"/>
        </w:trPr>
        <w:tc>
          <w:tcPr>
            <w:tcW w:w="990" w:type="dxa"/>
            <w:gridSpan w:val="2"/>
          </w:tcPr>
          <w:p w14:paraId="734DFE1D" w14:textId="451EFB3C" w:rsidR="007B58EB" w:rsidRPr="005E6D70" w:rsidRDefault="007B58EB" w:rsidP="007B58EB">
            <w:pPr>
              <w:jc w:val="center"/>
              <w:rPr>
                <w:rFonts w:ascii="Times New Roman" w:eastAsia="Calibri" w:hAnsi="Times New Roman" w:cs="Times New Roman"/>
                <w:sz w:val="18"/>
                <w:szCs w:val="18"/>
                <w:lang w:val="en-US"/>
              </w:rPr>
            </w:pPr>
          </w:p>
        </w:tc>
        <w:tc>
          <w:tcPr>
            <w:tcW w:w="4860" w:type="dxa"/>
          </w:tcPr>
          <w:p w14:paraId="291A903D" w14:textId="0D8F8A5E"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Where a parent entity located in a Member State holds an ownership interest in a low-taxed constituent entity indirectly through an intermediate parent entity or a partially-owned parent entity that is subject to a qualified IIR for the fiscal year, the top-up tax due pursuant to Articles 5 to 8 shall be reduced by an amount equal to the portion of the first-mentioned parent entity’s allocable share of the top-up tax which is due by the intermediate parent entity or the partially-owned parent entity.</w:t>
            </w:r>
          </w:p>
        </w:tc>
        <w:tc>
          <w:tcPr>
            <w:tcW w:w="990" w:type="dxa"/>
            <w:gridSpan w:val="2"/>
          </w:tcPr>
          <w:p w14:paraId="475C8BEC" w14:textId="3B88E0FA"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648DB77F" w14:textId="54FA4A59"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11</w:t>
            </w:r>
          </w:p>
        </w:tc>
        <w:tc>
          <w:tcPr>
            <w:tcW w:w="4680" w:type="dxa"/>
            <w:gridSpan w:val="2"/>
          </w:tcPr>
          <w:p w14:paraId="7C755A5C" w14:textId="5D008761" w:rsidR="007B58EB" w:rsidRPr="005E6D70" w:rsidRDefault="007B58EB" w:rsidP="00754FB1">
            <w:pPr>
              <w:spacing w:after="60"/>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Where a parent entity located in the Republic of Albania holds an ownership interest in a low-taxed constituent entity indirectly through an intermediate parent entity or a partially-owned parent entity that is subject to a qualified IIR for the fiscal year, the top-up tax due in accordance with Articles 6, 7, 8 and 9, of this Law, shall be reduced by an amount equal to the portion of the first-mentioned parent entity’s allocable share of the top-up tax which is due by the intermediate parent entity or the partially-owned parent entity.</w:t>
            </w:r>
          </w:p>
        </w:tc>
        <w:tc>
          <w:tcPr>
            <w:tcW w:w="1530" w:type="dxa"/>
          </w:tcPr>
          <w:p w14:paraId="3D186EBD" w14:textId="6F542726"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6D5D111D" w14:textId="1E252E39" w:rsidR="007B58EB" w:rsidRPr="005E6D70" w:rsidRDefault="007B58EB"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Transposed by replacing "Member State" with "Republic of Albania" and updating the cross-references to the national articles (Articles 6 to 9) that correspond to Articles 5 to 8 of the Directive.</w:t>
            </w:r>
          </w:p>
        </w:tc>
      </w:tr>
      <w:tr w:rsidR="007B58EB" w:rsidRPr="005E6D70" w14:paraId="437E14E6" w14:textId="77777777" w:rsidTr="00073B1B">
        <w:trPr>
          <w:trHeight w:val="242"/>
        </w:trPr>
        <w:tc>
          <w:tcPr>
            <w:tcW w:w="990" w:type="dxa"/>
            <w:gridSpan w:val="2"/>
            <w:shd w:val="clear" w:color="auto" w:fill="D9D9D9" w:themeFill="background1" w:themeFillShade="D9"/>
          </w:tcPr>
          <w:p w14:paraId="2253E74A" w14:textId="3719CB16" w:rsidR="007B58EB" w:rsidRPr="005E6D70" w:rsidRDefault="007B58EB" w:rsidP="007B58EB">
            <w:pPr>
              <w:jc w:val="both"/>
              <w:rPr>
                <w:rFonts w:ascii="Times New Roman" w:eastAsia="Calibri" w:hAnsi="Times New Roman" w:cs="Times New Roman"/>
                <w:sz w:val="18"/>
                <w:szCs w:val="18"/>
                <w:lang w:val="en-US"/>
              </w:rPr>
            </w:pPr>
          </w:p>
        </w:tc>
        <w:tc>
          <w:tcPr>
            <w:tcW w:w="4860" w:type="dxa"/>
            <w:shd w:val="clear" w:color="auto" w:fill="D9D9D9" w:themeFill="background1" w:themeFillShade="D9"/>
          </w:tcPr>
          <w:p w14:paraId="072E5015" w14:textId="5E6DABCF"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11. Election to apply a qualified domestic top-up tax</w:t>
            </w:r>
          </w:p>
        </w:tc>
        <w:tc>
          <w:tcPr>
            <w:tcW w:w="990" w:type="dxa"/>
            <w:gridSpan w:val="2"/>
            <w:shd w:val="clear" w:color="auto" w:fill="D9D9D9" w:themeFill="background1" w:themeFillShade="D9"/>
          </w:tcPr>
          <w:p w14:paraId="166B5507" w14:textId="0D2BA0C7"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Borders>
              <w:bottom w:val="dashed" w:sz="4" w:space="0" w:color="auto"/>
            </w:tcBorders>
            <w:shd w:val="clear" w:color="auto" w:fill="D9D9D9" w:themeFill="background1" w:themeFillShade="D9"/>
          </w:tcPr>
          <w:p w14:paraId="13A9D4F9" w14:textId="227FBC5A" w:rsidR="007B58EB" w:rsidRPr="005E6D70" w:rsidRDefault="00FA6B64"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47</w:t>
            </w:r>
          </w:p>
        </w:tc>
        <w:tc>
          <w:tcPr>
            <w:tcW w:w="4680" w:type="dxa"/>
            <w:gridSpan w:val="2"/>
            <w:tcBorders>
              <w:bottom w:val="dashed" w:sz="4" w:space="0" w:color="auto"/>
            </w:tcBorders>
            <w:shd w:val="clear" w:color="auto" w:fill="D9D9D9" w:themeFill="background1" w:themeFillShade="D9"/>
          </w:tcPr>
          <w:p w14:paraId="524197CC" w14:textId="2C946F14" w:rsidR="007B58EB" w:rsidRPr="005E6D70" w:rsidRDefault="00FA6B64" w:rsidP="00754FB1">
            <w:pPr>
              <w:spacing w:after="60"/>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Article 47. Domestic top-up tax in the Republic of Albania</w:t>
            </w:r>
          </w:p>
        </w:tc>
        <w:tc>
          <w:tcPr>
            <w:tcW w:w="1530" w:type="dxa"/>
            <w:tcBorders>
              <w:bottom w:val="dashed" w:sz="4" w:space="0" w:color="auto"/>
            </w:tcBorders>
            <w:shd w:val="clear" w:color="auto" w:fill="D9D9D9" w:themeFill="background1" w:themeFillShade="D9"/>
          </w:tcPr>
          <w:p w14:paraId="396942AE" w14:textId="0A6ECA0E"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Borders>
              <w:bottom w:val="dashed" w:sz="4" w:space="0" w:color="auto"/>
            </w:tcBorders>
            <w:shd w:val="clear" w:color="auto" w:fill="D9D9D9" w:themeFill="background1" w:themeFillShade="D9"/>
          </w:tcPr>
          <w:p w14:paraId="162FD153" w14:textId="6CD7E441" w:rsidR="007B58EB" w:rsidRPr="005E6D70" w:rsidRDefault="00FA6B64"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Structurally transposed primarily in Article 47.</w:t>
            </w:r>
          </w:p>
        </w:tc>
      </w:tr>
      <w:tr w:rsidR="007B58EB" w:rsidRPr="005E6D70" w14:paraId="2C519BA4" w14:textId="77777777" w:rsidTr="00073B1B">
        <w:tc>
          <w:tcPr>
            <w:tcW w:w="990" w:type="dxa"/>
            <w:gridSpan w:val="2"/>
          </w:tcPr>
          <w:p w14:paraId="56F49ACA" w14:textId="7FA67866"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11(1)</w:t>
            </w:r>
          </w:p>
        </w:tc>
        <w:tc>
          <w:tcPr>
            <w:tcW w:w="4860" w:type="dxa"/>
          </w:tcPr>
          <w:p w14:paraId="685D1F61" w14:textId="77777777"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1. Member States may elect to apply a qualified domestic top-up tax. </w:t>
            </w:r>
          </w:p>
          <w:p w14:paraId="5789BA3B" w14:textId="77777777" w:rsidR="007B58EB" w:rsidRPr="005E6D70" w:rsidRDefault="007B58EB" w:rsidP="007B58EB">
            <w:pPr>
              <w:jc w:val="both"/>
              <w:rPr>
                <w:rFonts w:ascii="Times New Roman" w:eastAsia="Calibri" w:hAnsi="Times New Roman" w:cs="Times New Roman"/>
                <w:iCs/>
                <w:sz w:val="18"/>
                <w:szCs w:val="18"/>
                <w:lang w:val="en-US"/>
              </w:rPr>
            </w:pPr>
          </w:p>
          <w:p w14:paraId="5D6DFB2A" w14:textId="55530097"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If a Member State where constituent entities of an MNE group or of a large-scale domestic group are located elects to apply a qualified domestic top-up tax, all low-taxed constituent entities of the MNE group or the large-scale domestic group in that Member State shall be subject to that domestic top-up tax for the fiscal year.</w:t>
            </w:r>
          </w:p>
          <w:p w14:paraId="5F496089" w14:textId="77777777" w:rsidR="007B58EB" w:rsidRPr="005E6D70" w:rsidRDefault="007B58EB" w:rsidP="007B58EB">
            <w:pPr>
              <w:jc w:val="both"/>
              <w:rPr>
                <w:rFonts w:ascii="Times New Roman" w:eastAsia="Calibri" w:hAnsi="Times New Roman" w:cs="Times New Roman"/>
                <w:iCs/>
                <w:sz w:val="18"/>
                <w:szCs w:val="18"/>
                <w:lang w:val="en-US"/>
              </w:rPr>
            </w:pPr>
          </w:p>
          <w:p w14:paraId="4E4D444A" w14:textId="1FF3AD5D"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Under a qualified domestic top-up tax, the domestic excess profits of the low-taxed constituent entities may be computed based on an acceptable financial accounting standard or an authorised financial accounting standard permitted by the authorised accounting body and adjusted to prevent any material competitive distortions, rather than the financial accounting standard used in the consolidated financial statements.</w:t>
            </w:r>
          </w:p>
        </w:tc>
        <w:tc>
          <w:tcPr>
            <w:tcW w:w="990" w:type="dxa"/>
            <w:gridSpan w:val="2"/>
          </w:tcPr>
          <w:p w14:paraId="3D39C6FD" w14:textId="5DC3B07B"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6E150628" w14:textId="17E377C2" w:rsidR="007B58EB" w:rsidRPr="005E6D70" w:rsidRDefault="00FA6B64"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47(1)</w:t>
            </w:r>
          </w:p>
        </w:tc>
        <w:tc>
          <w:tcPr>
            <w:tcW w:w="4680" w:type="dxa"/>
            <w:gridSpan w:val="2"/>
          </w:tcPr>
          <w:p w14:paraId="386DF9BC" w14:textId="66BDA166" w:rsidR="007B58EB" w:rsidRPr="005E6D70" w:rsidRDefault="00FA6B64"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 A qualified domestic top-up tax (QDMTT) shall be computed and paid on the excess profits of all low-taxed constituent entities located in the Republic of Albania for the fiscal year.</w:t>
            </w:r>
          </w:p>
        </w:tc>
        <w:tc>
          <w:tcPr>
            <w:tcW w:w="1530" w:type="dxa"/>
          </w:tcPr>
          <w:p w14:paraId="6E12827A" w14:textId="574A2844"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7A6BFA90" w14:textId="33266D35" w:rsidR="007B58EB" w:rsidRPr="005E6D70" w:rsidRDefault="00FA6B64"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elective nature of the Directive is transposed as a mandatory primary law provision in Albania. The accounting standard requirements are covered in Article 49.</w:t>
            </w:r>
          </w:p>
          <w:p w14:paraId="72F95F2E" w14:textId="77777777" w:rsidR="007B58EB" w:rsidRPr="005E6D70" w:rsidRDefault="007B58EB" w:rsidP="007B58EB">
            <w:pPr>
              <w:rPr>
                <w:rFonts w:ascii="Times New Roman" w:eastAsia="Calibri" w:hAnsi="Times New Roman" w:cs="Times New Roman"/>
                <w:sz w:val="18"/>
                <w:szCs w:val="18"/>
                <w:lang w:val="en-US"/>
              </w:rPr>
            </w:pPr>
          </w:p>
          <w:p w14:paraId="26027B69" w14:textId="77777777" w:rsidR="007B58EB" w:rsidRPr="005E6D70" w:rsidRDefault="007B58EB" w:rsidP="007B58EB">
            <w:pPr>
              <w:rPr>
                <w:rFonts w:ascii="Times New Roman" w:eastAsia="Calibri" w:hAnsi="Times New Roman" w:cs="Times New Roman"/>
                <w:sz w:val="18"/>
                <w:szCs w:val="18"/>
                <w:lang w:val="en-US"/>
              </w:rPr>
            </w:pPr>
          </w:p>
          <w:p w14:paraId="225501AA" w14:textId="77777777" w:rsidR="007B58EB" w:rsidRPr="005E6D70" w:rsidRDefault="007B58EB" w:rsidP="007B58EB">
            <w:pPr>
              <w:rPr>
                <w:rFonts w:ascii="Times New Roman" w:eastAsia="Calibri" w:hAnsi="Times New Roman" w:cs="Times New Roman"/>
                <w:sz w:val="18"/>
                <w:szCs w:val="18"/>
                <w:lang w:val="en-US"/>
              </w:rPr>
            </w:pPr>
          </w:p>
          <w:p w14:paraId="19C93E34" w14:textId="77777777" w:rsidR="007B58EB" w:rsidRPr="005E6D70" w:rsidRDefault="007B58EB" w:rsidP="007B58EB">
            <w:pPr>
              <w:rPr>
                <w:rFonts w:ascii="Times New Roman" w:eastAsia="Calibri" w:hAnsi="Times New Roman" w:cs="Times New Roman"/>
                <w:sz w:val="18"/>
                <w:szCs w:val="18"/>
                <w:lang w:val="en-US"/>
              </w:rPr>
            </w:pPr>
          </w:p>
          <w:p w14:paraId="0FEE7CFD" w14:textId="77777777" w:rsidR="007B58EB" w:rsidRPr="005E6D70" w:rsidRDefault="007B58EB" w:rsidP="007B58EB">
            <w:pPr>
              <w:rPr>
                <w:rFonts w:ascii="Times New Roman" w:eastAsia="Calibri" w:hAnsi="Times New Roman" w:cs="Times New Roman"/>
                <w:sz w:val="18"/>
                <w:szCs w:val="18"/>
                <w:lang w:val="en-US"/>
              </w:rPr>
            </w:pPr>
          </w:p>
          <w:p w14:paraId="1755EF9D" w14:textId="77777777" w:rsidR="007B58EB" w:rsidRPr="005E6D70" w:rsidRDefault="007B58EB" w:rsidP="007B58EB">
            <w:pPr>
              <w:rPr>
                <w:rFonts w:ascii="Times New Roman" w:eastAsia="Calibri" w:hAnsi="Times New Roman" w:cs="Times New Roman"/>
                <w:sz w:val="18"/>
                <w:szCs w:val="18"/>
                <w:lang w:val="en-US"/>
              </w:rPr>
            </w:pPr>
          </w:p>
          <w:p w14:paraId="6F74ADDE" w14:textId="77777777" w:rsidR="007B58EB" w:rsidRPr="005E6D70" w:rsidRDefault="007B58EB" w:rsidP="007B58EB">
            <w:pPr>
              <w:rPr>
                <w:rFonts w:ascii="Times New Roman" w:eastAsia="Calibri" w:hAnsi="Times New Roman" w:cs="Times New Roman"/>
                <w:sz w:val="18"/>
                <w:szCs w:val="18"/>
                <w:lang w:val="en-US"/>
              </w:rPr>
            </w:pPr>
          </w:p>
          <w:p w14:paraId="10F076D0" w14:textId="77777777" w:rsidR="007B58EB" w:rsidRPr="005E6D70" w:rsidRDefault="007B58EB" w:rsidP="007B58EB">
            <w:pPr>
              <w:rPr>
                <w:rFonts w:ascii="Times New Roman" w:eastAsia="Calibri" w:hAnsi="Times New Roman" w:cs="Times New Roman"/>
                <w:sz w:val="18"/>
                <w:szCs w:val="18"/>
                <w:lang w:val="en-US"/>
              </w:rPr>
            </w:pPr>
          </w:p>
          <w:p w14:paraId="5B5C164B" w14:textId="77777777" w:rsidR="007B58EB" w:rsidRPr="005E6D70" w:rsidRDefault="007B58EB" w:rsidP="007B58EB">
            <w:pPr>
              <w:rPr>
                <w:rFonts w:ascii="Times New Roman" w:eastAsia="Calibri" w:hAnsi="Times New Roman" w:cs="Times New Roman"/>
                <w:sz w:val="18"/>
                <w:szCs w:val="18"/>
                <w:lang w:val="en-US"/>
              </w:rPr>
            </w:pPr>
          </w:p>
          <w:p w14:paraId="2B9152F4" w14:textId="77777777" w:rsidR="007B58EB" w:rsidRPr="005E6D70" w:rsidRDefault="007B58EB" w:rsidP="007B58EB">
            <w:pPr>
              <w:rPr>
                <w:rFonts w:ascii="Times New Roman" w:eastAsia="Calibri" w:hAnsi="Times New Roman" w:cs="Times New Roman"/>
                <w:sz w:val="18"/>
                <w:szCs w:val="18"/>
                <w:lang w:val="en-US"/>
              </w:rPr>
            </w:pPr>
          </w:p>
          <w:p w14:paraId="7C9AB990" w14:textId="77777777" w:rsidR="007B58EB" w:rsidRPr="005E6D70" w:rsidRDefault="007B58EB" w:rsidP="007B58EB">
            <w:pPr>
              <w:rPr>
                <w:rFonts w:ascii="Times New Roman" w:eastAsia="Calibri" w:hAnsi="Times New Roman" w:cs="Times New Roman"/>
                <w:sz w:val="18"/>
                <w:szCs w:val="18"/>
                <w:lang w:val="en-US"/>
              </w:rPr>
            </w:pPr>
          </w:p>
          <w:p w14:paraId="572472B6" w14:textId="1B414B31" w:rsidR="007B58EB" w:rsidRPr="005E6D70" w:rsidRDefault="007B58EB" w:rsidP="007B58EB">
            <w:pPr>
              <w:rPr>
                <w:rFonts w:ascii="Times New Roman" w:eastAsia="Calibri" w:hAnsi="Times New Roman" w:cs="Times New Roman"/>
                <w:sz w:val="18"/>
                <w:szCs w:val="18"/>
                <w:lang w:val="en-US"/>
              </w:rPr>
            </w:pPr>
          </w:p>
        </w:tc>
      </w:tr>
      <w:tr w:rsidR="007B58EB" w:rsidRPr="005E6D70" w14:paraId="0D19CB73" w14:textId="77777777" w:rsidTr="00073B1B">
        <w:tc>
          <w:tcPr>
            <w:tcW w:w="990" w:type="dxa"/>
            <w:gridSpan w:val="2"/>
          </w:tcPr>
          <w:p w14:paraId="51CCAF27" w14:textId="1A245A3C"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11(2)</w:t>
            </w:r>
          </w:p>
        </w:tc>
        <w:tc>
          <w:tcPr>
            <w:tcW w:w="4860" w:type="dxa"/>
          </w:tcPr>
          <w:p w14:paraId="627B38CC" w14:textId="74E76CC4"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Where a parent entity of an MNE group or of a large-scale domestic group is located in a Member State, and its directly or indirectly held constituent entities located either in that Member State or in another jurisdiction are subject to a qualified domestic top-up tax for the fiscal year in those jurisdictions, the amount of any top-up tax computed in accordance with Article 27 due by the parent entity pursuant to Articles 5 to 8 shall be reduced, up to zero, by the amount of qualified domestic top-up tax due either by itself or by those constituent entities.</w:t>
            </w:r>
          </w:p>
          <w:p w14:paraId="2C3EE4D8" w14:textId="77777777" w:rsidR="007B58EB" w:rsidRPr="005E6D70" w:rsidRDefault="007B58EB" w:rsidP="007B58EB">
            <w:pPr>
              <w:jc w:val="both"/>
              <w:rPr>
                <w:rFonts w:ascii="Times New Roman" w:eastAsia="Calibri" w:hAnsi="Times New Roman" w:cs="Times New Roman"/>
                <w:iCs/>
                <w:sz w:val="18"/>
                <w:szCs w:val="18"/>
                <w:lang w:val="en-US"/>
              </w:rPr>
            </w:pPr>
          </w:p>
          <w:p w14:paraId="79F348A0" w14:textId="77777777" w:rsidR="00956A26" w:rsidRPr="005E6D70" w:rsidRDefault="00956A26" w:rsidP="007B58EB">
            <w:pPr>
              <w:jc w:val="both"/>
              <w:rPr>
                <w:rFonts w:ascii="Times New Roman" w:eastAsia="Calibri" w:hAnsi="Times New Roman" w:cs="Times New Roman"/>
                <w:iCs/>
                <w:sz w:val="18"/>
                <w:szCs w:val="18"/>
                <w:lang w:val="en-US"/>
              </w:rPr>
            </w:pPr>
          </w:p>
          <w:p w14:paraId="0A5C706B" w14:textId="77777777" w:rsidR="00956A26" w:rsidRPr="005E6D70" w:rsidRDefault="00956A26" w:rsidP="007B58EB">
            <w:pPr>
              <w:jc w:val="both"/>
              <w:rPr>
                <w:rFonts w:ascii="Times New Roman" w:eastAsia="Calibri" w:hAnsi="Times New Roman" w:cs="Times New Roman"/>
                <w:iCs/>
                <w:sz w:val="18"/>
                <w:szCs w:val="18"/>
                <w:lang w:val="en-US"/>
              </w:rPr>
            </w:pPr>
          </w:p>
          <w:p w14:paraId="2BB32D1D" w14:textId="77777777" w:rsidR="00956A26" w:rsidRPr="005E6D70" w:rsidRDefault="00956A26" w:rsidP="007B58EB">
            <w:pPr>
              <w:jc w:val="both"/>
              <w:rPr>
                <w:rFonts w:ascii="Times New Roman" w:eastAsia="Calibri" w:hAnsi="Times New Roman" w:cs="Times New Roman"/>
                <w:iCs/>
                <w:sz w:val="18"/>
                <w:szCs w:val="18"/>
                <w:lang w:val="en-US"/>
              </w:rPr>
            </w:pPr>
          </w:p>
          <w:p w14:paraId="2888553B" w14:textId="77777777" w:rsidR="00956A26" w:rsidRPr="005E6D70" w:rsidRDefault="00956A26" w:rsidP="007B58EB">
            <w:pPr>
              <w:jc w:val="both"/>
              <w:rPr>
                <w:rFonts w:ascii="Times New Roman" w:eastAsia="Calibri" w:hAnsi="Times New Roman" w:cs="Times New Roman"/>
                <w:iCs/>
                <w:sz w:val="18"/>
                <w:szCs w:val="18"/>
                <w:lang w:val="en-US"/>
              </w:rPr>
            </w:pPr>
          </w:p>
          <w:p w14:paraId="0B80E1D8" w14:textId="77777777" w:rsidR="00956A26" w:rsidRPr="005E6D70" w:rsidRDefault="00956A26" w:rsidP="007B58EB">
            <w:pPr>
              <w:jc w:val="both"/>
              <w:rPr>
                <w:rFonts w:ascii="Times New Roman" w:eastAsia="Calibri" w:hAnsi="Times New Roman" w:cs="Times New Roman"/>
                <w:iCs/>
                <w:sz w:val="18"/>
                <w:szCs w:val="18"/>
                <w:lang w:val="en-US"/>
              </w:rPr>
            </w:pPr>
          </w:p>
          <w:p w14:paraId="37641719" w14:textId="77777777" w:rsidR="00956A26" w:rsidRPr="005E6D70" w:rsidRDefault="00956A26" w:rsidP="007B58EB">
            <w:pPr>
              <w:jc w:val="both"/>
              <w:rPr>
                <w:rFonts w:ascii="Times New Roman" w:eastAsia="Calibri" w:hAnsi="Times New Roman" w:cs="Times New Roman"/>
                <w:iCs/>
                <w:sz w:val="18"/>
                <w:szCs w:val="18"/>
                <w:lang w:val="en-US"/>
              </w:rPr>
            </w:pPr>
          </w:p>
          <w:p w14:paraId="6FC07447" w14:textId="77777777" w:rsidR="00956A26" w:rsidRPr="005E6D70" w:rsidRDefault="00956A26" w:rsidP="007B58EB">
            <w:pPr>
              <w:jc w:val="both"/>
              <w:rPr>
                <w:rFonts w:ascii="Times New Roman" w:eastAsia="Calibri" w:hAnsi="Times New Roman" w:cs="Times New Roman"/>
                <w:iCs/>
                <w:sz w:val="18"/>
                <w:szCs w:val="18"/>
                <w:lang w:val="en-US"/>
              </w:rPr>
            </w:pPr>
          </w:p>
          <w:p w14:paraId="53980085" w14:textId="77777777" w:rsidR="00956A26" w:rsidRPr="005E6D70" w:rsidRDefault="00956A26" w:rsidP="007B58EB">
            <w:pPr>
              <w:jc w:val="both"/>
              <w:rPr>
                <w:rFonts w:ascii="Times New Roman" w:eastAsia="Calibri" w:hAnsi="Times New Roman" w:cs="Times New Roman"/>
                <w:iCs/>
                <w:sz w:val="18"/>
                <w:szCs w:val="18"/>
                <w:lang w:val="en-US"/>
              </w:rPr>
            </w:pPr>
          </w:p>
          <w:p w14:paraId="452D7E4A" w14:textId="4539C06D"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Notwithstanding the first subparagraph, if the qualified domestic top-up tax has been computed for a fiscal year in accordance with the ultimate parent entity’s acceptable financial accounting standard or International Financial Reporting Standards (IFRS or IFRS as adopted by the Union pursuant to Regulation (EC) No 1606/2002), no top-up tax shall be computed in accordance with Article 27 for that fiscal year in respect of the constituent entities of that MNE group or large-scale domestic group located in that Member State. This subparagraph is without prejudice to the computation of any additional top-up tax pursuant to Article 29 in the case where a Member State does not apply a qualified domestic top-up tax to collect any additional top-up tax arising under Article 29.</w:t>
            </w:r>
          </w:p>
        </w:tc>
        <w:tc>
          <w:tcPr>
            <w:tcW w:w="990" w:type="dxa"/>
            <w:gridSpan w:val="2"/>
          </w:tcPr>
          <w:p w14:paraId="77B27475" w14:textId="375655BF"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1080" w:type="dxa"/>
            <w:gridSpan w:val="2"/>
          </w:tcPr>
          <w:p w14:paraId="2F2B8AE2" w14:textId="77777777" w:rsidR="007B58EB" w:rsidRPr="005E6D70" w:rsidRDefault="00FA6B64"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27(3)</w:t>
            </w:r>
          </w:p>
          <w:p w14:paraId="75848FB3" w14:textId="77777777" w:rsidR="00956A26" w:rsidRPr="005E6D70" w:rsidRDefault="00956A26" w:rsidP="007B58EB">
            <w:pPr>
              <w:jc w:val="center"/>
              <w:rPr>
                <w:rFonts w:ascii="Times New Roman" w:eastAsia="Calibri" w:hAnsi="Times New Roman" w:cs="Times New Roman"/>
                <w:sz w:val="18"/>
                <w:szCs w:val="18"/>
                <w:lang w:val="en-US"/>
              </w:rPr>
            </w:pPr>
          </w:p>
          <w:p w14:paraId="31FD1FD8" w14:textId="77777777" w:rsidR="00956A26" w:rsidRPr="005E6D70" w:rsidRDefault="00956A26" w:rsidP="007B58EB">
            <w:pPr>
              <w:jc w:val="center"/>
              <w:rPr>
                <w:rFonts w:ascii="Times New Roman" w:eastAsia="Calibri" w:hAnsi="Times New Roman" w:cs="Times New Roman"/>
                <w:sz w:val="18"/>
                <w:szCs w:val="18"/>
                <w:lang w:val="en-US"/>
              </w:rPr>
            </w:pPr>
          </w:p>
          <w:p w14:paraId="707962C0" w14:textId="77777777" w:rsidR="00956A26" w:rsidRPr="005E6D70" w:rsidRDefault="00956A26" w:rsidP="007B58EB">
            <w:pPr>
              <w:jc w:val="center"/>
              <w:rPr>
                <w:rFonts w:ascii="Times New Roman" w:eastAsia="Calibri" w:hAnsi="Times New Roman" w:cs="Times New Roman"/>
                <w:sz w:val="18"/>
                <w:szCs w:val="18"/>
                <w:lang w:val="en-US"/>
              </w:rPr>
            </w:pPr>
          </w:p>
          <w:p w14:paraId="340DCA60" w14:textId="77777777" w:rsidR="00956A26" w:rsidRPr="005E6D70" w:rsidRDefault="00956A26" w:rsidP="007B58EB">
            <w:pPr>
              <w:jc w:val="center"/>
              <w:rPr>
                <w:rFonts w:ascii="Times New Roman" w:eastAsia="Calibri" w:hAnsi="Times New Roman" w:cs="Times New Roman"/>
                <w:sz w:val="18"/>
                <w:szCs w:val="18"/>
                <w:lang w:val="en-US"/>
              </w:rPr>
            </w:pPr>
          </w:p>
          <w:p w14:paraId="414F6B23" w14:textId="77777777" w:rsidR="00956A26" w:rsidRPr="005E6D70" w:rsidRDefault="00956A26" w:rsidP="007B58EB">
            <w:pPr>
              <w:jc w:val="center"/>
              <w:rPr>
                <w:rFonts w:ascii="Times New Roman" w:eastAsia="Calibri" w:hAnsi="Times New Roman" w:cs="Times New Roman"/>
                <w:sz w:val="18"/>
                <w:szCs w:val="18"/>
                <w:lang w:val="en-US"/>
              </w:rPr>
            </w:pPr>
          </w:p>
          <w:p w14:paraId="5D686239" w14:textId="77777777" w:rsidR="00956A26" w:rsidRPr="005E6D70" w:rsidRDefault="00956A26" w:rsidP="007B58EB">
            <w:pPr>
              <w:jc w:val="center"/>
              <w:rPr>
                <w:rFonts w:ascii="Times New Roman" w:eastAsia="Calibri" w:hAnsi="Times New Roman" w:cs="Times New Roman"/>
                <w:sz w:val="18"/>
                <w:szCs w:val="18"/>
                <w:lang w:val="en-US"/>
              </w:rPr>
            </w:pPr>
          </w:p>
          <w:p w14:paraId="27722B7A" w14:textId="77777777" w:rsidR="00956A26" w:rsidRPr="005E6D70" w:rsidRDefault="00956A26" w:rsidP="007B58EB">
            <w:pPr>
              <w:jc w:val="center"/>
              <w:rPr>
                <w:rFonts w:ascii="Times New Roman" w:eastAsia="Calibri" w:hAnsi="Times New Roman" w:cs="Times New Roman"/>
                <w:sz w:val="18"/>
                <w:szCs w:val="18"/>
                <w:lang w:val="en-US"/>
              </w:rPr>
            </w:pPr>
          </w:p>
          <w:p w14:paraId="69363191" w14:textId="77777777" w:rsidR="00956A26" w:rsidRPr="005E6D70" w:rsidRDefault="00956A26" w:rsidP="007B58EB">
            <w:pPr>
              <w:jc w:val="center"/>
              <w:rPr>
                <w:rFonts w:ascii="Times New Roman" w:eastAsia="Calibri" w:hAnsi="Times New Roman" w:cs="Times New Roman"/>
                <w:sz w:val="18"/>
                <w:szCs w:val="18"/>
                <w:lang w:val="en-US"/>
              </w:rPr>
            </w:pPr>
          </w:p>
          <w:p w14:paraId="4A9D5A5C" w14:textId="77777777" w:rsidR="00956A26" w:rsidRPr="005E6D70" w:rsidRDefault="00956A26" w:rsidP="007B58EB">
            <w:pPr>
              <w:jc w:val="center"/>
              <w:rPr>
                <w:rFonts w:ascii="Times New Roman" w:eastAsia="Calibri" w:hAnsi="Times New Roman" w:cs="Times New Roman"/>
                <w:sz w:val="18"/>
                <w:szCs w:val="18"/>
                <w:lang w:val="en-US"/>
              </w:rPr>
            </w:pPr>
          </w:p>
          <w:p w14:paraId="4E8C41AB" w14:textId="77777777" w:rsidR="00956A26" w:rsidRPr="005E6D70" w:rsidRDefault="00956A26" w:rsidP="007B58EB">
            <w:pPr>
              <w:jc w:val="center"/>
              <w:rPr>
                <w:rFonts w:ascii="Times New Roman" w:eastAsia="Calibri" w:hAnsi="Times New Roman" w:cs="Times New Roman"/>
                <w:sz w:val="18"/>
                <w:szCs w:val="18"/>
                <w:lang w:val="en-US"/>
              </w:rPr>
            </w:pPr>
          </w:p>
          <w:p w14:paraId="6468F69B" w14:textId="77777777" w:rsidR="00956A26" w:rsidRPr="005E6D70" w:rsidRDefault="00956A26" w:rsidP="007B58EB">
            <w:pPr>
              <w:jc w:val="center"/>
              <w:rPr>
                <w:rFonts w:ascii="Times New Roman" w:eastAsia="Calibri" w:hAnsi="Times New Roman" w:cs="Times New Roman"/>
                <w:sz w:val="18"/>
                <w:szCs w:val="18"/>
                <w:lang w:val="en-US"/>
              </w:rPr>
            </w:pPr>
          </w:p>
          <w:p w14:paraId="3590AF67" w14:textId="77777777" w:rsidR="00956A26" w:rsidRPr="005E6D70" w:rsidRDefault="00956A26" w:rsidP="007B58EB">
            <w:pPr>
              <w:jc w:val="center"/>
              <w:rPr>
                <w:rFonts w:ascii="Times New Roman" w:eastAsia="Calibri" w:hAnsi="Times New Roman" w:cs="Times New Roman"/>
                <w:sz w:val="18"/>
                <w:szCs w:val="18"/>
                <w:lang w:val="en-US"/>
              </w:rPr>
            </w:pPr>
          </w:p>
          <w:p w14:paraId="14B287AC" w14:textId="77777777" w:rsidR="00956A26" w:rsidRPr="005E6D70" w:rsidRDefault="00956A26" w:rsidP="007B58EB">
            <w:pPr>
              <w:jc w:val="center"/>
              <w:rPr>
                <w:rFonts w:ascii="Times New Roman" w:eastAsia="Calibri" w:hAnsi="Times New Roman" w:cs="Times New Roman"/>
                <w:sz w:val="18"/>
                <w:szCs w:val="18"/>
                <w:lang w:val="en-US"/>
              </w:rPr>
            </w:pPr>
          </w:p>
          <w:p w14:paraId="783FFD46" w14:textId="77777777" w:rsidR="00956A26" w:rsidRPr="005E6D70" w:rsidRDefault="00956A26" w:rsidP="007B58EB">
            <w:pPr>
              <w:jc w:val="center"/>
              <w:rPr>
                <w:rFonts w:ascii="Times New Roman" w:eastAsia="Calibri" w:hAnsi="Times New Roman" w:cs="Times New Roman"/>
                <w:sz w:val="18"/>
                <w:szCs w:val="18"/>
                <w:lang w:val="en-US"/>
              </w:rPr>
            </w:pPr>
          </w:p>
          <w:p w14:paraId="58147FB0" w14:textId="77777777" w:rsidR="00956A26" w:rsidRPr="005E6D70" w:rsidRDefault="00956A26" w:rsidP="007B58EB">
            <w:pPr>
              <w:jc w:val="center"/>
              <w:rPr>
                <w:rFonts w:ascii="Times New Roman" w:eastAsia="Calibri" w:hAnsi="Times New Roman" w:cs="Times New Roman"/>
                <w:sz w:val="18"/>
                <w:szCs w:val="18"/>
                <w:lang w:val="en-US"/>
              </w:rPr>
            </w:pPr>
          </w:p>
          <w:p w14:paraId="55C96F51" w14:textId="77777777" w:rsidR="00956A26" w:rsidRPr="005E6D70" w:rsidRDefault="00956A26" w:rsidP="007B58EB">
            <w:pPr>
              <w:jc w:val="center"/>
              <w:rPr>
                <w:rFonts w:ascii="Times New Roman" w:eastAsia="Calibri" w:hAnsi="Times New Roman" w:cs="Times New Roman"/>
                <w:sz w:val="18"/>
                <w:szCs w:val="18"/>
                <w:lang w:val="en-US"/>
              </w:rPr>
            </w:pPr>
          </w:p>
          <w:p w14:paraId="0E6C1481" w14:textId="77777777" w:rsidR="00956A26" w:rsidRPr="005E6D70" w:rsidRDefault="00956A26" w:rsidP="007B58EB">
            <w:pPr>
              <w:jc w:val="center"/>
              <w:rPr>
                <w:rFonts w:ascii="Times New Roman" w:eastAsia="Calibri" w:hAnsi="Times New Roman" w:cs="Times New Roman"/>
                <w:sz w:val="18"/>
                <w:szCs w:val="18"/>
                <w:lang w:val="en-US"/>
              </w:rPr>
            </w:pPr>
          </w:p>
          <w:p w14:paraId="445D46BD" w14:textId="77777777" w:rsidR="00956A26" w:rsidRPr="005E6D70" w:rsidRDefault="00956A26"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35(</w:t>
            </w:r>
            <w:r w:rsidR="004F78CB" w:rsidRPr="005E6D70">
              <w:rPr>
                <w:rFonts w:ascii="Times New Roman" w:eastAsia="Calibri" w:hAnsi="Times New Roman" w:cs="Times New Roman"/>
                <w:sz w:val="18"/>
                <w:szCs w:val="18"/>
                <w:lang w:val="en-US"/>
              </w:rPr>
              <w:t>3</w:t>
            </w:r>
            <w:r w:rsidRPr="005E6D70">
              <w:rPr>
                <w:rFonts w:ascii="Times New Roman" w:eastAsia="Calibri" w:hAnsi="Times New Roman" w:cs="Times New Roman"/>
                <w:sz w:val="18"/>
                <w:szCs w:val="18"/>
                <w:lang w:val="en-US"/>
              </w:rPr>
              <w:t>)</w:t>
            </w:r>
          </w:p>
          <w:p w14:paraId="5BE29703" w14:textId="77777777" w:rsidR="00C379ED" w:rsidRPr="005E6D70" w:rsidRDefault="00C379ED" w:rsidP="007B58EB">
            <w:pPr>
              <w:jc w:val="center"/>
              <w:rPr>
                <w:rFonts w:ascii="Times New Roman" w:eastAsia="Calibri" w:hAnsi="Times New Roman" w:cs="Times New Roman"/>
                <w:sz w:val="18"/>
                <w:szCs w:val="18"/>
                <w:lang w:val="en-US"/>
              </w:rPr>
            </w:pPr>
          </w:p>
          <w:p w14:paraId="3206BD44" w14:textId="77777777" w:rsidR="00C379ED" w:rsidRPr="005E6D70" w:rsidRDefault="00C379ED" w:rsidP="007B58EB">
            <w:pPr>
              <w:jc w:val="center"/>
              <w:rPr>
                <w:rFonts w:ascii="Times New Roman" w:eastAsia="Calibri" w:hAnsi="Times New Roman" w:cs="Times New Roman"/>
                <w:sz w:val="18"/>
                <w:szCs w:val="18"/>
                <w:lang w:val="en-US"/>
              </w:rPr>
            </w:pPr>
          </w:p>
          <w:p w14:paraId="1FB0659D" w14:textId="77777777" w:rsidR="00C379ED" w:rsidRPr="005E6D70" w:rsidRDefault="00C379ED" w:rsidP="007B58EB">
            <w:pPr>
              <w:jc w:val="center"/>
              <w:rPr>
                <w:rFonts w:ascii="Times New Roman" w:eastAsia="Calibri" w:hAnsi="Times New Roman" w:cs="Times New Roman"/>
                <w:sz w:val="18"/>
                <w:szCs w:val="18"/>
                <w:lang w:val="en-US"/>
              </w:rPr>
            </w:pPr>
          </w:p>
          <w:p w14:paraId="50A21EFE" w14:textId="77777777" w:rsidR="00C379ED" w:rsidRPr="005E6D70" w:rsidRDefault="00C379ED" w:rsidP="007B58EB">
            <w:pPr>
              <w:jc w:val="center"/>
              <w:rPr>
                <w:rFonts w:ascii="Times New Roman" w:eastAsia="Calibri" w:hAnsi="Times New Roman" w:cs="Times New Roman"/>
                <w:sz w:val="18"/>
                <w:szCs w:val="18"/>
                <w:lang w:val="en-US"/>
              </w:rPr>
            </w:pPr>
          </w:p>
          <w:p w14:paraId="6CA1DB5E" w14:textId="77777777" w:rsidR="00C379ED" w:rsidRPr="005E6D70" w:rsidRDefault="00C379ED" w:rsidP="007B58EB">
            <w:pPr>
              <w:jc w:val="center"/>
              <w:rPr>
                <w:rFonts w:ascii="Times New Roman" w:eastAsia="Calibri" w:hAnsi="Times New Roman" w:cs="Times New Roman"/>
                <w:sz w:val="18"/>
                <w:szCs w:val="18"/>
                <w:lang w:val="en-US"/>
              </w:rPr>
            </w:pPr>
          </w:p>
          <w:p w14:paraId="27BA024A" w14:textId="77777777" w:rsidR="00C379ED" w:rsidRPr="005E6D70" w:rsidRDefault="00C379ED" w:rsidP="007B58EB">
            <w:pPr>
              <w:jc w:val="center"/>
              <w:rPr>
                <w:rFonts w:ascii="Times New Roman" w:eastAsia="Calibri" w:hAnsi="Times New Roman" w:cs="Times New Roman"/>
                <w:sz w:val="18"/>
                <w:szCs w:val="18"/>
                <w:lang w:val="en-US"/>
              </w:rPr>
            </w:pPr>
          </w:p>
          <w:p w14:paraId="00514BCB" w14:textId="77777777" w:rsidR="00C379ED" w:rsidRPr="005E6D70" w:rsidRDefault="00C379ED" w:rsidP="007B58EB">
            <w:pPr>
              <w:jc w:val="center"/>
              <w:rPr>
                <w:rFonts w:ascii="Times New Roman" w:eastAsia="Calibri" w:hAnsi="Times New Roman" w:cs="Times New Roman"/>
                <w:sz w:val="18"/>
                <w:szCs w:val="18"/>
                <w:lang w:val="en-US"/>
              </w:rPr>
            </w:pPr>
          </w:p>
          <w:p w14:paraId="179B38C2" w14:textId="77777777" w:rsidR="00C379ED" w:rsidRPr="005E6D70" w:rsidRDefault="00C379ED" w:rsidP="007B58EB">
            <w:pPr>
              <w:jc w:val="center"/>
              <w:rPr>
                <w:rFonts w:ascii="Times New Roman" w:eastAsia="Calibri" w:hAnsi="Times New Roman" w:cs="Times New Roman"/>
                <w:sz w:val="18"/>
                <w:szCs w:val="18"/>
                <w:lang w:val="en-US"/>
              </w:rPr>
            </w:pPr>
          </w:p>
          <w:p w14:paraId="082C43FC" w14:textId="5E78A0FA" w:rsidR="00C379ED" w:rsidRPr="005E6D70" w:rsidRDefault="00C379ED" w:rsidP="00C379ED">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49(4)</w:t>
            </w:r>
          </w:p>
          <w:p w14:paraId="02290AAF" w14:textId="77777777" w:rsidR="00C379ED" w:rsidRPr="005E6D70" w:rsidRDefault="00C379ED" w:rsidP="007B58EB">
            <w:pPr>
              <w:jc w:val="center"/>
              <w:rPr>
                <w:rFonts w:ascii="Times New Roman" w:eastAsia="Calibri" w:hAnsi="Times New Roman" w:cs="Times New Roman"/>
                <w:sz w:val="18"/>
                <w:szCs w:val="18"/>
                <w:lang w:val="en-US"/>
              </w:rPr>
            </w:pPr>
          </w:p>
          <w:p w14:paraId="3606DFDC" w14:textId="77777777" w:rsidR="00C379ED" w:rsidRPr="005E6D70" w:rsidRDefault="00C379ED" w:rsidP="007B58EB">
            <w:pPr>
              <w:jc w:val="center"/>
              <w:rPr>
                <w:rFonts w:ascii="Times New Roman" w:eastAsia="Calibri" w:hAnsi="Times New Roman" w:cs="Times New Roman"/>
                <w:sz w:val="18"/>
                <w:szCs w:val="18"/>
                <w:lang w:val="en-US"/>
              </w:rPr>
            </w:pPr>
          </w:p>
          <w:p w14:paraId="27168BED" w14:textId="77777777" w:rsidR="00C379ED" w:rsidRPr="005E6D70" w:rsidRDefault="00C379ED" w:rsidP="007B58EB">
            <w:pPr>
              <w:jc w:val="center"/>
              <w:rPr>
                <w:rFonts w:ascii="Times New Roman" w:eastAsia="Calibri" w:hAnsi="Times New Roman" w:cs="Times New Roman"/>
                <w:sz w:val="18"/>
                <w:szCs w:val="18"/>
                <w:lang w:val="en-US"/>
              </w:rPr>
            </w:pPr>
          </w:p>
          <w:p w14:paraId="32F6FF77" w14:textId="77777777" w:rsidR="00C379ED" w:rsidRPr="005E6D70" w:rsidRDefault="00C379ED" w:rsidP="007B58EB">
            <w:pPr>
              <w:jc w:val="center"/>
              <w:rPr>
                <w:rFonts w:ascii="Times New Roman" w:eastAsia="Calibri" w:hAnsi="Times New Roman" w:cs="Times New Roman"/>
                <w:sz w:val="18"/>
                <w:szCs w:val="18"/>
                <w:lang w:val="en-US"/>
              </w:rPr>
            </w:pPr>
          </w:p>
          <w:p w14:paraId="21355BAA" w14:textId="77777777" w:rsidR="00C379ED" w:rsidRPr="005E6D70" w:rsidRDefault="00C379ED" w:rsidP="007B58EB">
            <w:pPr>
              <w:jc w:val="center"/>
              <w:rPr>
                <w:rFonts w:ascii="Times New Roman" w:eastAsia="Calibri" w:hAnsi="Times New Roman" w:cs="Times New Roman"/>
                <w:sz w:val="18"/>
                <w:szCs w:val="18"/>
                <w:lang w:val="en-US"/>
              </w:rPr>
            </w:pPr>
          </w:p>
          <w:p w14:paraId="7FA150DC" w14:textId="77777777" w:rsidR="00C379ED" w:rsidRPr="005E6D70" w:rsidRDefault="00C379ED" w:rsidP="007B58EB">
            <w:pPr>
              <w:jc w:val="center"/>
              <w:rPr>
                <w:rFonts w:ascii="Times New Roman" w:eastAsia="Calibri" w:hAnsi="Times New Roman" w:cs="Times New Roman"/>
                <w:sz w:val="18"/>
                <w:szCs w:val="18"/>
                <w:lang w:val="en-US"/>
              </w:rPr>
            </w:pPr>
          </w:p>
          <w:p w14:paraId="4C54F979" w14:textId="77777777" w:rsidR="00C379ED" w:rsidRPr="005E6D70" w:rsidRDefault="00C379ED" w:rsidP="007B58EB">
            <w:pPr>
              <w:jc w:val="center"/>
              <w:rPr>
                <w:rFonts w:ascii="Times New Roman" w:eastAsia="Calibri" w:hAnsi="Times New Roman" w:cs="Times New Roman"/>
                <w:sz w:val="18"/>
                <w:szCs w:val="18"/>
                <w:lang w:val="en-US"/>
              </w:rPr>
            </w:pPr>
          </w:p>
          <w:p w14:paraId="01E1A0C6" w14:textId="77777777" w:rsidR="00C379ED" w:rsidRPr="005E6D70" w:rsidRDefault="00C379ED" w:rsidP="007B58EB">
            <w:pPr>
              <w:jc w:val="center"/>
              <w:rPr>
                <w:rFonts w:ascii="Times New Roman" w:eastAsia="Calibri" w:hAnsi="Times New Roman" w:cs="Times New Roman"/>
                <w:sz w:val="18"/>
                <w:szCs w:val="18"/>
                <w:lang w:val="en-US"/>
              </w:rPr>
            </w:pPr>
          </w:p>
          <w:p w14:paraId="6ACE0DCC" w14:textId="3FF716F5" w:rsidR="00C379ED" w:rsidRPr="005E6D70" w:rsidRDefault="00C379ED" w:rsidP="00C379ED">
            <w:pPr>
              <w:rPr>
                <w:rFonts w:ascii="Times New Roman" w:eastAsia="Calibri" w:hAnsi="Times New Roman" w:cs="Times New Roman"/>
                <w:sz w:val="18"/>
                <w:szCs w:val="18"/>
                <w:lang w:val="en-US"/>
              </w:rPr>
            </w:pPr>
          </w:p>
        </w:tc>
        <w:tc>
          <w:tcPr>
            <w:tcW w:w="4680" w:type="dxa"/>
            <w:gridSpan w:val="2"/>
          </w:tcPr>
          <w:p w14:paraId="0E2CD62B" w14:textId="77777777" w:rsidR="007B58EB" w:rsidRPr="005E6D70" w:rsidRDefault="00FA6B64"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 The jurisdictional top-up tax for a fiscal year shall be the positive amount, if any, computed in accordance with the following formula: Jurisdictional top-up tax = (top-up tax percentage × excess profit) + additional top-up tax – domestic top-up tax</w:t>
            </w:r>
          </w:p>
          <w:p w14:paraId="2FC31017" w14:textId="77777777" w:rsidR="00956A26" w:rsidRPr="005E6D70" w:rsidRDefault="00956A26" w:rsidP="00754FB1">
            <w:pPr>
              <w:jc w:val="both"/>
              <w:rPr>
                <w:rFonts w:ascii="Times New Roman" w:eastAsia="Calibri" w:hAnsi="Times New Roman" w:cs="Times New Roman"/>
                <w:sz w:val="18"/>
                <w:szCs w:val="18"/>
                <w:lang w:val="en-US"/>
              </w:rPr>
            </w:pPr>
          </w:p>
          <w:p w14:paraId="4A658832" w14:textId="77777777" w:rsidR="00956A26" w:rsidRPr="005E6D70" w:rsidRDefault="00956A26" w:rsidP="00754FB1">
            <w:pPr>
              <w:jc w:val="both"/>
              <w:rPr>
                <w:rFonts w:ascii="Times New Roman" w:eastAsia="Calibri" w:hAnsi="Times New Roman" w:cs="Times New Roman"/>
                <w:sz w:val="18"/>
                <w:szCs w:val="18"/>
                <w:lang w:val="en-US"/>
              </w:rPr>
            </w:pPr>
          </w:p>
          <w:p w14:paraId="4CAC6307" w14:textId="77777777" w:rsidR="00956A26" w:rsidRPr="005E6D70" w:rsidRDefault="00956A26" w:rsidP="00754FB1">
            <w:pPr>
              <w:jc w:val="both"/>
              <w:rPr>
                <w:rFonts w:ascii="Times New Roman" w:eastAsia="Calibri" w:hAnsi="Times New Roman" w:cs="Times New Roman"/>
                <w:sz w:val="18"/>
                <w:szCs w:val="18"/>
                <w:lang w:val="en-US"/>
              </w:rPr>
            </w:pPr>
          </w:p>
          <w:p w14:paraId="556C2262" w14:textId="77777777" w:rsidR="00956A26" w:rsidRPr="005E6D70" w:rsidRDefault="00956A26" w:rsidP="00754FB1">
            <w:pPr>
              <w:jc w:val="both"/>
              <w:rPr>
                <w:rFonts w:ascii="Times New Roman" w:eastAsia="Calibri" w:hAnsi="Times New Roman" w:cs="Times New Roman"/>
                <w:sz w:val="18"/>
                <w:szCs w:val="18"/>
                <w:lang w:val="en-US"/>
              </w:rPr>
            </w:pPr>
          </w:p>
          <w:p w14:paraId="51F63AE2" w14:textId="77777777" w:rsidR="00956A26" w:rsidRPr="005E6D70" w:rsidRDefault="00956A26" w:rsidP="00754FB1">
            <w:pPr>
              <w:jc w:val="both"/>
              <w:rPr>
                <w:rFonts w:ascii="Times New Roman" w:eastAsia="Calibri" w:hAnsi="Times New Roman" w:cs="Times New Roman"/>
                <w:sz w:val="18"/>
                <w:szCs w:val="18"/>
                <w:lang w:val="en-US"/>
              </w:rPr>
            </w:pPr>
          </w:p>
          <w:p w14:paraId="53A9D206" w14:textId="77777777" w:rsidR="00956A26" w:rsidRPr="005E6D70" w:rsidRDefault="00956A26" w:rsidP="00754FB1">
            <w:pPr>
              <w:jc w:val="both"/>
              <w:rPr>
                <w:rFonts w:ascii="Times New Roman" w:eastAsia="Calibri" w:hAnsi="Times New Roman" w:cs="Times New Roman"/>
                <w:sz w:val="18"/>
                <w:szCs w:val="18"/>
                <w:lang w:val="en-US"/>
              </w:rPr>
            </w:pPr>
          </w:p>
          <w:p w14:paraId="38DDA8A0" w14:textId="77777777" w:rsidR="00956A26" w:rsidRPr="005E6D70" w:rsidRDefault="00956A26" w:rsidP="00754FB1">
            <w:pPr>
              <w:jc w:val="both"/>
              <w:rPr>
                <w:rFonts w:ascii="Times New Roman" w:eastAsia="Calibri" w:hAnsi="Times New Roman" w:cs="Times New Roman"/>
                <w:sz w:val="18"/>
                <w:szCs w:val="18"/>
                <w:lang w:val="en-US"/>
              </w:rPr>
            </w:pPr>
          </w:p>
          <w:p w14:paraId="11C1A6BC" w14:textId="77777777" w:rsidR="00956A26" w:rsidRPr="005E6D70" w:rsidRDefault="00956A26" w:rsidP="00754FB1">
            <w:pPr>
              <w:jc w:val="both"/>
              <w:rPr>
                <w:rFonts w:ascii="Times New Roman" w:eastAsia="Calibri" w:hAnsi="Times New Roman" w:cs="Times New Roman"/>
                <w:sz w:val="18"/>
                <w:szCs w:val="18"/>
                <w:lang w:val="en-US"/>
              </w:rPr>
            </w:pPr>
          </w:p>
          <w:p w14:paraId="4C43DBC6" w14:textId="77777777" w:rsidR="00956A26" w:rsidRPr="005E6D70" w:rsidRDefault="00956A26" w:rsidP="00754FB1">
            <w:pPr>
              <w:jc w:val="both"/>
              <w:rPr>
                <w:rFonts w:ascii="Times New Roman" w:eastAsia="Calibri" w:hAnsi="Times New Roman" w:cs="Times New Roman"/>
                <w:sz w:val="18"/>
                <w:szCs w:val="18"/>
                <w:lang w:val="en-US"/>
              </w:rPr>
            </w:pPr>
          </w:p>
          <w:p w14:paraId="29F4485C" w14:textId="77777777" w:rsidR="00956A26" w:rsidRPr="005E6D70" w:rsidRDefault="00956A26" w:rsidP="00754FB1">
            <w:pPr>
              <w:jc w:val="both"/>
              <w:rPr>
                <w:rFonts w:ascii="Times New Roman" w:eastAsia="Calibri" w:hAnsi="Times New Roman" w:cs="Times New Roman"/>
                <w:sz w:val="18"/>
                <w:szCs w:val="18"/>
                <w:lang w:val="en-US"/>
              </w:rPr>
            </w:pPr>
          </w:p>
          <w:p w14:paraId="65EB490D" w14:textId="77777777" w:rsidR="00956A26" w:rsidRPr="005E6D70" w:rsidRDefault="00956A26" w:rsidP="00754FB1">
            <w:pPr>
              <w:jc w:val="both"/>
              <w:rPr>
                <w:rFonts w:ascii="Times New Roman" w:eastAsia="Calibri" w:hAnsi="Times New Roman" w:cs="Times New Roman"/>
                <w:sz w:val="18"/>
                <w:szCs w:val="18"/>
                <w:lang w:val="en-US"/>
              </w:rPr>
            </w:pPr>
          </w:p>
          <w:p w14:paraId="54BF03B9" w14:textId="77777777" w:rsidR="00956A26" w:rsidRPr="005E6D70" w:rsidRDefault="00956A26" w:rsidP="00754FB1">
            <w:pPr>
              <w:jc w:val="both"/>
              <w:rPr>
                <w:rFonts w:ascii="Times New Roman" w:eastAsia="Calibri" w:hAnsi="Times New Roman" w:cs="Times New Roman"/>
                <w:sz w:val="18"/>
                <w:szCs w:val="18"/>
                <w:lang w:val="en-US"/>
              </w:rPr>
            </w:pPr>
          </w:p>
          <w:p w14:paraId="4C9A4B57" w14:textId="77777777" w:rsidR="00956A26" w:rsidRPr="005E6D70" w:rsidRDefault="00956A26" w:rsidP="00754FB1">
            <w:pPr>
              <w:jc w:val="both"/>
              <w:rPr>
                <w:rFonts w:ascii="Times New Roman" w:eastAsia="Calibri" w:hAnsi="Times New Roman" w:cs="Times New Roman"/>
                <w:sz w:val="18"/>
                <w:szCs w:val="18"/>
                <w:lang w:val="en-US"/>
              </w:rPr>
            </w:pPr>
          </w:p>
          <w:p w14:paraId="3DF57D1A" w14:textId="77777777" w:rsidR="00C379ED" w:rsidRPr="005E6D70" w:rsidRDefault="00C379ED" w:rsidP="00C379ED">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 Notwithstanding the provisions of Chapter II, of this Law, the top-up tax calculated for a jurisdiction under the Income Inclusion Rule (IIR) or the Undertaxed Profits Rule (UTPR) shall be deemed to be zero for a fiscal year if that jurisdiction applies a Qualified Domestic Minimum Top-up Tax (QDMTT) that meets the standard of the QDMTT Safe Harbour.</w:t>
            </w:r>
          </w:p>
          <w:p w14:paraId="0DCD134F" w14:textId="77777777" w:rsidR="00C379ED" w:rsidRPr="005E6D70" w:rsidRDefault="00C379ED" w:rsidP="00C379ED">
            <w:pPr>
              <w:jc w:val="both"/>
              <w:rPr>
                <w:rFonts w:ascii="Times New Roman" w:eastAsia="Calibri" w:hAnsi="Times New Roman" w:cs="Times New Roman"/>
                <w:sz w:val="18"/>
                <w:szCs w:val="18"/>
                <w:lang w:val="en-US"/>
              </w:rPr>
            </w:pPr>
          </w:p>
          <w:p w14:paraId="0F6A6E68" w14:textId="77777777" w:rsidR="00C379ED" w:rsidRPr="005E6D70" w:rsidRDefault="00C379ED" w:rsidP="00C379ED">
            <w:pPr>
              <w:jc w:val="both"/>
              <w:rPr>
                <w:rFonts w:ascii="Times New Roman" w:eastAsia="Calibri" w:hAnsi="Times New Roman" w:cs="Times New Roman"/>
                <w:sz w:val="18"/>
                <w:szCs w:val="18"/>
                <w:lang w:val="en-US"/>
              </w:rPr>
            </w:pPr>
          </w:p>
          <w:p w14:paraId="7DF446BD" w14:textId="011A41CF" w:rsidR="00956A26" w:rsidRPr="005E6D70" w:rsidRDefault="00C379ED" w:rsidP="00C379ED">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 By way of derogation from paragraph 3, of this Article, for the purpose of qualifying for the QDMTT Safe Harbour, the computation of the excess profits shall be based on an acceptable financial accounting standard or an authorised financial accounting standard permitted by an authorised accounting body in the Republic of Albania (Local Financial Accounting Standard), provided that such financial accounting net income or loss is adjusted to prevent any material competitive distortion.</w:t>
            </w:r>
          </w:p>
        </w:tc>
        <w:tc>
          <w:tcPr>
            <w:tcW w:w="1530" w:type="dxa"/>
          </w:tcPr>
          <w:p w14:paraId="1F4AB5C7" w14:textId="52F7A6D9"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lastRenderedPageBreak/>
              <w:t>F</w:t>
            </w:r>
          </w:p>
        </w:tc>
        <w:tc>
          <w:tcPr>
            <w:tcW w:w="1350" w:type="dxa"/>
          </w:tcPr>
          <w:p w14:paraId="215F415C" w14:textId="77777777" w:rsidR="007B58EB" w:rsidRPr="005E6D70" w:rsidRDefault="00FA6B64"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Functional transposition. The reduction is applied via the mathematical formula in Article 27(3). The safe harbour conditions reflect the </w:t>
            </w:r>
            <w:r w:rsidRPr="005E6D70">
              <w:rPr>
                <w:rFonts w:ascii="Times New Roman" w:eastAsia="Calibri" w:hAnsi="Times New Roman" w:cs="Times New Roman"/>
                <w:sz w:val="18"/>
                <w:szCs w:val="18"/>
                <w:lang w:val="en-US"/>
              </w:rPr>
              <w:lastRenderedPageBreak/>
              <w:t>accounting standards required.</w:t>
            </w:r>
          </w:p>
          <w:p w14:paraId="68F1B33B" w14:textId="77777777" w:rsidR="00956A26" w:rsidRPr="005E6D70" w:rsidRDefault="00956A26" w:rsidP="007B58EB">
            <w:pPr>
              <w:rPr>
                <w:rFonts w:ascii="Times New Roman" w:eastAsia="Calibri" w:hAnsi="Times New Roman" w:cs="Times New Roman"/>
                <w:sz w:val="18"/>
                <w:szCs w:val="18"/>
                <w:lang w:val="en-US"/>
              </w:rPr>
            </w:pPr>
          </w:p>
          <w:p w14:paraId="13190E55" w14:textId="77777777" w:rsidR="00956A26" w:rsidRPr="005E6D70" w:rsidRDefault="00956A26" w:rsidP="007B58EB">
            <w:pPr>
              <w:rPr>
                <w:rFonts w:ascii="Times New Roman" w:eastAsia="Calibri" w:hAnsi="Times New Roman" w:cs="Times New Roman"/>
                <w:sz w:val="18"/>
                <w:szCs w:val="18"/>
                <w:lang w:val="en-US"/>
              </w:rPr>
            </w:pPr>
          </w:p>
          <w:p w14:paraId="29000DFC" w14:textId="77777777" w:rsidR="00956A26" w:rsidRPr="005E6D70" w:rsidRDefault="00956A26" w:rsidP="007B58EB">
            <w:pPr>
              <w:rPr>
                <w:rFonts w:ascii="Times New Roman" w:eastAsia="Calibri" w:hAnsi="Times New Roman" w:cs="Times New Roman"/>
                <w:sz w:val="18"/>
                <w:szCs w:val="18"/>
                <w:lang w:val="en-US"/>
              </w:rPr>
            </w:pPr>
          </w:p>
          <w:p w14:paraId="102C432D" w14:textId="7BC40033" w:rsidR="00956A26" w:rsidRPr="005E6D70" w:rsidRDefault="00C379ED"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Functional and structural transposition. The effect of reducing the top-up tax to zero is transposed via the QDMTT Safe Harbour mechanism in Article 35(3). The specific condition required by the Directive regarding the use of the acceptable financial accounting standard for this Safe Harbour is transposed in Article 49(4).</w:t>
            </w:r>
          </w:p>
        </w:tc>
      </w:tr>
      <w:tr w:rsidR="007B58EB" w:rsidRPr="005E6D70" w14:paraId="476F64D2" w14:textId="77777777" w:rsidTr="00073B1B">
        <w:tc>
          <w:tcPr>
            <w:tcW w:w="990" w:type="dxa"/>
            <w:gridSpan w:val="2"/>
          </w:tcPr>
          <w:p w14:paraId="64CDAB36" w14:textId="644730B4" w:rsidR="007B58EB" w:rsidRPr="005E6D70" w:rsidRDefault="007B58EB" w:rsidP="007B58EB">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11(3)</w:t>
            </w:r>
          </w:p>
        </w:tc>
        <w:tc>
          <w:tcPr>
            <w:tcW w:w="4860" w:type="dxa"/>
          </w:tcPr>
          <w:p w14:paraId="68BFEE4F" w14:textId="7E47D322" w:rsidR="007B58EB" w:rsidRPr="005E6D70" w:rsidRDefault="007B58EB" w:rsidP="007B58EB">
            <w:pPr>
              <w:pStyle w:val="Heading2"/>
              <w:jc w:val="both"/>
              <w:rPr>
                <w:rFonts w:ascii="Times New Roman" w:eastAsia="Calibri" w:hAnsi="Times New Roman" w:cs="Times New Roman"/>
                <w:iCs/>
                <w:color w:val="auto"/>
                <w:sz w:val="18"/>
                <w:szCs w:val="18"/>
                <w:lang w:val="en-US"/>
              </w:rPr>
            </w:pPr>
            <w:r w:rsidRPr="005E6D70">
              <w:rPr>
                <w:rFonts w:ascii="Times New Roman" w:eastAsia="Calibri" w:hAnsi="Times New Roman" w:cs="Times New Roman"/>
                <w:iCs/>
                <w:color w:val="auto"/>
                <w:sz w:val="18"/>
                <w:szCs w:val="18"/>
                <w:lang w:val="en-US"/>
              </w:rPr>
              <w:t>3. Where the amount of qualified domestic top-up tax for a fiscal year has not been paid within the four fiscal years following the fiscal year in which it was due, the amount of qualified domestic top-up tax that was not paid shall be added to the jurisdictional top-up tax computed in accordance with Article 27(3) and shall not be collected by the Member State which made the election pursuant to paragraph 1 of this Article.</w:t>
            </w:r>
          </w:p>
        </w:tc>
        <w:tc>
          <w:tcPr>
            <w:tcW w:w="990" w:type="dxa"/>
            <w:gridSpan w:val="2"/>
          </w:tcPr>
          <w:p w14:paraId="22172933" w14:textId="06244BEB"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6D9453DB" w14:textId="4052C740" w:rsidR="007B58EB" w:rsidRPr="005E6D70" w:rsidRDefault="00F02FDF"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27(8)</w:t>
            </w:r>
          </w:p>
        </w:tc>
        <w:tc>
          <w:tcPr>
            <w:tcW w:w="4680" w:type="dxa"/>
            <w:gridSpan w:val="2"/>
          </w:tcPr>
          <w:p w14:paraId="6E61D997" w14:textId="750E7744" w:rsidR="007B58EB" w:rsidRPr="005E6D70" w:rsidRDefault="00F02FD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8. Where the amount of domestic top-up tax for a fiscal year has not been paid within the four fiscal years following the fiscal year in which it was due, the amount of domestic top-up tax that was not paid shall be added to the jurisdictional top-up tax computed in accordance with paragraph 3, of this Article, and shall not be collected by the tax administration.</w:t>
            </w:r>
          </w:p>
        </w:tc>
        <w:tc>
          <w:tcPr>
            <w:tcW w:w="1530" w:type="dxa"/>
          </w:tcPr>
          <w:p w14:paraId="3AE55863" w14:textId="01C8AD20"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0B7CA26A" w14:textId="23094F4F" w:rsidR="007B58EB" w:rsidRPr="005E6D70" w:rsidRDefault="00F02FDF"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 is structurally transposed as paragraph 8 of Article 27.</w:t>
            </w:r>
          </w:p>
        </w:tc>
      </w:tr>
      <w:tr w:rsidR="007B58EB" w:rsidRPr="005E6D70" w14:paraId="3B27BB65" w14:textId="77777777" w:rsidTr="00073B1B">
        <w:tc>
          <w:tcPr>
            <w:tcW w:w="990" w:type="dxa"/>
            <w:gridSpan w:val="2"/>
          </w:tcPr>
          <w:p w14:paraId="301439AE" w14:textId="15366ED9" w:rsidR="007B58EB" w:rsidRPr="005E6D70" w:rsidRDefault="007B58EB" w:rsidP="007B58EB">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11(4)</w:t>
            </w:r>
          </w:p>
        </w:tc>
        <w:tc>
          <w:tcPr>
            <w:tcW w:w="4860" w:type="dxa"/>
          </w:tcPr>
          <w:p w14:paraId="23812CB3" w14:textId="1DEDF406" w:rsidR="007B58EB" w:rsidRPr="005E6D70" w:rsidRDefault="007B58EB" w:rsidP="007B58EB">
            <w:pPr>
              <w:jc w:val="both"/>
              <w:rPr>
                <w:rFonts w:ascii="Times New Roman" w:eastAsia="Calibri" w:hAnsi="Times New Roman" w:cs="Times New Roman"/>
                <w:bCs/>
                <w:iCs/>
                <w:sz w:val="18"/>
                <w:szCs w:val="18"/>
                <w:lang w:val="en-US"/>
              </w:rPr>
            </w:pPr>
            <w:r w:rsidRPr="005E6D70">
              <w:rPr>
                <w:rFonts w:ascii="Times New Roman" w:eastAsia="Calibri" w:hAnsi="Times New Roman" w:cs="Times New Roman"/>
                <w:iCs/>
                <w:sz w:val="18"/>
                <w:szCs w:val="18"/>
                <w:lang w:val="en-US"/>
              </w:rPr>
              <w:t xml:space="preserve">4. Member States that elect to apply a qualified domestic top-up tax shall notify the Commission of that election within four </w:t>
            </w:r>
            <w:r w:rsidRPr="005E6D70">
              <w:rPr>
                <w:rFonts w:ascii="Times New Roman" w:eastAsia="Calibri" w:hAnsi="Times New Roman" w:cs="Times New Roman"/>
                <w:iCs/>
                <w:sz w:val="18"/>
                <w:szCs w:val="18"/>
                <w:lang w:val="en-US"/>
              </w:rPr>
              <w:lastRenderedPageBreak/>
              <w:t>months following the adoption of their national laws, regulations and administrative provisions introducing a qualified domestic top-up tax. Such election shall be valid and may not be revoked for a period of three years. At the end of each period of three years, the election shall be renewed automatically, unless the Member State revokes its election. Any revocation of the election shall be notified to the Commission no later than four months before the end of the three-year period.</w:t>
            </w:r>
          </w:p>
        </w:tc>
        <w:tc>
          <w:tcPr>
            <w:tcW w:w="990" w:type="dxa"/>
            <w:gridSpan w:val="2"/>
          </w:tcPr>
          <w:p w14:paraId="73230C3B" w14:textId="39812D72"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1080" w:type="dxa"/>
            <w:gridSpan w:val="2"/>
          </w:tcPr>
          <w:p w14:paraId="22991FC8" w14:textId="66EFCC97" w:rsidR="007B58EB" w:rsidRPr="005E6D70" w:rsidRDefault="00F02FDF"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6765084E" w14:textId="72CBE276" w:rsidR="007B58EB" w:rsidRPr="005E6D70" w:rsidRDefault="00F02FDF"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N/A</w:t>
            </w:r>
          </w:p>
        </w:tc>
        <w:tc>
          <w:tcPr>
            <w:tcW w:w="1530" w:type="dxa"/>
          </w:tcPr>
          <w:p w14:paraId="29FC9192" w14:textId="27118233" w:rsidR="007B58EB" w:rsidRPr="005E6D70" w:rsidRDefault="00F02FDF"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N/A</w:t>
            </w:r>
          </w:p>
        </w:tc>
        <w:tc>
          <w:tcPr>
            <w:tcW w:w="1350" w:type="dxa"/>
          </w:tcPr>
          <w:p w14:paraId="596963D5" w14:textId="5B55F4B5" w:rsidR="007B58EB" w:rsidRPr="005E6D70" w:rsidRDefault="00F02FDF"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Internal EU administrative </w:t>
            </w:r>
            <w:r w:rsidRPr="005E6D70">
              <w:rPr>
                <w:rFonts w:ascii="Times New Roman" w:eastAsia="Calibri" w:hAnsi="Times New Roman" w:cs="Times New Roman"/>
                <w:sz w:val="18"/>
                <w:szCs w:val="18"/>
                <w:lang w:val="en-US"/>
              </w:rPr>
              <w:lastRenderedPageBreak/>
              <w:t>notification procedure regarding the election and its periodic renewal. Omitted as it is not applicable to the national legislative text; the QDMTT is established as a permanent provision in the draft law taking effect upon EU accession.</w:t>
            </w:r>
          </w:p>
        </w:tc>
      </w:tr>
      <w:tr w:rsidR="007B58EB" w:rsidRPr="005E6D70" w14:paraId="382C0A41" w14:textId="77777777" w:rsidTr="00073B1B">
        <w:trPr>
          <w:trHeight w:val="260"/>
        </w:trPr>
        <w:tc>
          <w:tcPr>
            <w:tcW w:w="990" w:type="dxa"/>
            <w:gridSpan w:val="2"/>
            <w:shd w:val="clear" w:color="auto" w:fill="D9D9D9" w:themeFill="background1" w:themeFillShade="D9"/>
          </w:tcPr>
          <w:p w14:paraId="0450A059" w14:textId="5DD9205B" w:rsidR="007B58EB" w:rsidRPr="005E6D70" w:rsidRDefault="007B58EB" w:rsidP="007B58EB">
            <w:pPr>
              <w:jc w:val="both"/>
              <w:rPr>
                <w:rFonts w:ascii="Times New Roman" w:eastAsia="Calibri" w:hAnsi="Times New Roman" w:cs="Times New Roman"/>
                <w:sz w:val="18"/>
                <w:szCs w:val="18"/>
                <w:lang w:val="en-US"/>
              </w:rPr>
            </w:pPr>
          </w:p>
        </w:tc>
        <w:tc>
          <w:tcPr>
            <w:tcW w:w="4860" w:type="dxa"/>
            <w:shd w:val="clear" w:color="auto" w:fill="D9D9D9" w:themeFill="background1" w:themeFillShade="D9"/>
          </w:tcPr>
          <w:p w14:paraId="6B160034" w14:textId="2A4FCFF8"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12. Application of a UTPR across the MNE group</w:t>
            </w:r>
          </w:p>
        </w:tc>
        <w:tc>
          <w:tcPr>
            <w:tcW w:w="990" w:type="dxa"/>
            <w:gridSpan w:val="2"/>
            <w:shd w:val="clear" w:color="auto" w:fill="D9D9D9" w:themeFill="background1" w:themeFillShade="D9"/>
          </w:tcPr>
          <w:p w14:paraId="4C7725A7" w14:textId="2BB9354C"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shd w:val="clear" w:color="auto" w:fill="D9D9D9" w:themeFill="background1" w:themeFillShade="D9"/>
          </w:tcPr>
          <w:p w14:paraId="78F3A983" w14:textId="78310C6E" w:rsidR="007B58EB" w:rsidRPr="005E6D70" w:rsidRDefault="00070C36"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12</w:t>
            </w:r>
          </w:p>
        </w:tc>
        <w:tc>
          <w:tcPr>
            <w:tcW w:w="4680" w:type="dxa"/>
            <w:gridSpan w:val="2"/>
            <w:shd w:val="clear" w:color="auto" w:fill="D9D9D9" w:themeFill="background1" w:themeFillShade="D9"/>
          </w:tcPr>
          <w:p w14:paraId="48170593" w14:textId="0D0E3E90" w:rsidR="007B58EB" w:rsidRPr="005E6D70" w:rsidRDefault="00070C36"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Article 12. Application of the UTPR</w:t>
            </w:r>
          </w:p>
        </w:tc>
        <w:tc>
          <w:tcPr>
            <w:tcW w:w="1530" w:type="dxa"/>
            <w:shd w:val="clear" w:color="auto" w:fill="D9D9D9" w:themeFill="background1" w:themeFillShade="D9"/>
          </w:tcPr>
          <w:p w14:paraId="363DA2E2" w14:textId="29D99745"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shd w:val="clear" w:color="auto" w:fill="D9D9D9" w:themeFill="background1" w:themeFillShade="D9"/>
          </w:tcPr>
          <w:p w14:paraId="49114FB7" w14:textId="34703612" w:rsidR="007B58EB" w:rsidRPr="005E6D70" w:rsidRDefault="007B58EB" w:rsidP="007B58EB">
            <w:pPr>
              <w:rPr>
                <w:rFonts w:ascii="Times New Roman" w:eastAsia="Calibri" w:hAnsi="Times New Roman" w:cs="Times New Roman"/>
                <w:sz w:val="18"/>
                <w:szCs w:val="18"/>
                <w:lang w:val="en-US"/>
              </w:rPr>
            </w:pPr>
          </w:p>
        </w:tc>
      </w:tr>
      <w:tr w:rsidR="007B58EB" w:rsidRPr="005E6D70" w14:paraId="79949F4D" w14:textId="77777777" w:rsidTr="00073B1B">
        <w:tc>
          <w:tcPr>
            <w:tcW w:w="990" w:type="dxa"/>
            <w:gridSpan w:val="2"/>
            <w:shd w:val="clear" w:color="auto" w:fill="FFFFFF"/>
          </w:tcPr>
          <w:p w14:paraId="0C92333D" w14:textId="76682A94"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12(1)</w:t>
            </w:r>
          </w:p>
        </w:tc>
        <w:tc>
          <w:tcPr>
            <w:tcW w:w="4860" w:type="dxa"/>
            <w:shd w:val="clear" w:color="auto" w:fill="FFFFFF"/>
          </w:tcPr>
          <w:p w14:paraId="4DD2E402" w14:textId="77777777"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Where the ultimate parent entity of an MNE group is located in a third-country jurisdiction that does not apply a qualified IIR, or where the ultimate parent entity of an MNE group is an excluded entity, Member States shall ensure that the constituent entities located in the Union are subject, in the Member State in which they are located, to an adjustment equal to the UTPR top-up tax amount allocated to that Member State for the fiscal year in accordance with Article 14.</w:t>
            </w:r>
          </w:p>
          <w:p w14:paraId="2E820C2D" w14:textId="77777777" w:rsidR="007B58EB" w:rsidRPr="005E6D70" w:rsidRDefault="007B58EB" w:rsidP="007B58EB">
            <w:pPr>
              <w:jc w:val="both"/>
              <w:rPr>
                <w:rFonts w:ascii="Times New Roman" w:eastAsia="Calibri" w:hAnsi="Times New Roman" w:cs="Times New Roman"/>
                <w:iCs/>
                <w:sz w:val="18"/>
                <w:szCs w:val="18"/>
                <w:lang w:val="en-US"/>
              </w:rPr>
            </w:pPr>
          </w:p>
          <w:p w14:paraId="5509E2E3" w14:textId="4E19DFF5"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For that purpose, such adjustment may take the form of either a top-up tax due by those constituent entities or a denial of deduction against the taxable income of those constituent entities resulting in an amount of tax liability necessary to collect the UTPR top-up tax amount allocated to that Member State.</w:t>
            </w:r>
          </w:p>
        </w:tc>
        <w:tc>
          <w:tcPr>
            <w:tcW w:w="990" w:type="dxa"/>
            <w:gridSpan w:val="2"/>
          </w:tcPr>
          <w:p w14:paraId="31C07CBF" w14:textId="7B3E7800"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shd w:val="clear" w:color="auto" w:fill="FFFFFF"/>
          </w:tcPr>
          <w:p w14:paraId="2A7D3373" w14:textId="77777777" w:rsidR="00070C36" w:rsidRPr="005E6D70" w:rsidRDefault="00070C36"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12(1)</w:t>
            </w:r>
          </w:p>
          <w:p w14:paraId="5B3A553F" w14:textId="77777777" w:rsidR="00070C36" w:rsidRPr="005E6D70" w:rsidRDefault="00070C36" w:rsidP="007B58EB">
            <w:pPr>
              <w:jc w:val="center"/>
              <w:rPr>
                <w:rFonts w:ascii="Times New Roman" w:eastAsia="Calibri" w:hAnsi="Times New Roman" w:cs="Times New Roman"/>
                <w:sz w:val="18"/>
                <w:szCs w:val="18"/>
                <w:lang w:val="en-US"/>
              </w:rPr>
            </w:pPr>
          </w:p>
          <w:p w14:paraId="5F4F5EC8" w14:textId="77777777" w:rsidR="00070C36" w:rsidRPr="005E6D70" w:rsidRDefault="00070C36" w:rsidP="007B58EB">
            <w:pPr>
              <w:jc w:val="center"/>
              <w:rPr>
                <w:rFonts w:ascii="Times New Roman" w:eastAsia="Calibri" w:hAnsi="Times New Roman" w:cs="Times New Roman"/>
                <w:sz w:val="18"/>
                <w:szCs w:val="18"/>
                <w:lang w:val="en-US"/>
              </w:rPr>
            </w:pPr>
          </w:p>
          <w:p w14:paraId="675CB19B" w14:textId="77777777" w:rsidR="00070C36" w:rsidRPr="005E6D70" w:rsidRDefault="00070C36" w:rsidP="007B58EB">
            <w:pPr>
              <w:jc w:val="center"/>
              <w:rPr>
                <w:rFonts w:ascii="Times New Roman" w:eastAsia="Calibri" w:hAnsi="Times New Roman" w:cs="Times New Roman"/>
                <w:sz w:val="18"/>
                <w:szCs w:val="18"/>
                <w:lang w:val="en-US"/>
              </w:rPr>
            </w:pPr>
          </w:p>
          <w:p w14:paraId="78FB6792" w14:textId="77777777" w:rsidR="00070C36" w:rsidRPr="005E6D70" w:rsidRDefault="00070C36" w:rsidP="007B58EB">
            <w:pPr>
              <w:jc w:val="center"/>
              <w:rPr>
                <w:rFonts w:ascii="Times New Roman" w:eastAsia="Calibri" w:hAnsi="Times New Roman" w:cs="Times New Roman"/>
                <w:sz w:val="18"/>
                <w:szCs w:val="18"/>
                <w:lang w:val="en-US"/>
              </w:rPr>
            </w:pPr>
          </w:p>
          <w:p w14:paraId="12F056CB" w14:textId="77777777" w:rsidR="00070C36" w:rsidRPr="005E6D70" w:rsidRDefault="00070C36" w:rsidP="007B58EB">
            <w:pPr>
              <w:jc w:val="center"/>
              <w:rPr>
                <w:rFonts w:ascii="Times New Roman" w:eastAsia="Calibri" w:hAnsi="Times New Roman" w:cs="Times New Roman"/>
                <w:sz w:val="18"/>
                <w:szCs w:val="18"/>
                <w:lang w:val="en-US"/>
              </w:rPr>
            </w:pPr>
          </w:p>
          <w:p w14:paraId="5B8AA2D9" w14:textId="77777777" w:rsidR="00070C36" w:rsidRPr="005E6D70" w:rsidRDefault="00070C36" w:rsidP="007B58EB">
            <w:pPr>
              <w:jc w:val="center"/>
              <w:rPr>
                <w:rFonts w:ascii="Times New Roman" w:eastAsia="Calibri" w:hAnsi="Times New Roman" w:cs="Times New Roman"/>
                <w:sz w:val="18"/>
                <w:szCs w:val="18"/>
                <w:lang w:val="en-US"/>
              </w:rPr>
            </w:pPr>
          </w:p>
          <w:p w14:paraId="4FCC3BDA" w14:textId="77777777" w:rsidR="00070C36" w:rsidRPr="005E6D70" w:rsidRDefault="00070C36" w:rsidP="007B58EB">
            <w:pPr>
              <w:jc w:val="center"/>
              <w:rPr>
                <w:rFonts w:ascii="Times New Roman" w:eastAsia="Calibri" w:hAnsi="Times New Roman" w:cs="Times New Roman"/>
                <w:sz w:val="18"/>
                <w:szCs w:val="18"/>
                <w:lang w:val="en-US"/>
              </w:rPr>
            </w:pPr>
          </w:p>
          <w:p w14:paraId="30F6C6AA" w14:textId="77777777" w:rsidR="00070C36" w:rsidRPr="005E6D70" w:rsidRDefault="00070C36" w:rsidP="007B58EB">
            <w:pPr>
              <w:jc w:val="center"/>
              <w:rPr>
                <w:rFonts w:ascii="Times New Roman" w:eastAsia="Calibri" w:hAnsi="Times New Roman" w:cs="Times New Roman"/>
                <w:sz w:val="18"/>
                <w:szCs w:val="18"/>
                <w:lang w:val="en-US"/>
              </w:rPr>
            </w:pPr>
          </w:p>
          <w:p w14:paraId="5F064925" w14:textId="77777777" w:rsidR="00070C36" w:rsidRPr="005E6D70" w:rsidRDefault="00070C36"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12(3)</w:t>
            </w:r>
          </w:p>
          <w:p w14:paraId="63FA2DEB" w14:textId="77777777" w:rsidR="00070C36" w:rsidRPr="005E6D70" w:rsidRDefault="00070C36" w:rsidP="007B58EB">
            <w:pPr>
              <w:jc w:val="center"/>
              <w:rPr>
                <w:rFonts w:ascii="Times New Roman" w:eastAsia="Calibri" w:hAnsi="Times New Roman" w:cs="Times New Roman"/>
                <w:sz w:val="18"/>
                <w:szCs w:val="18"/>
                <w:lang w:val="en-US"/>
              </w:rPr>
            </w:pPr>
          </w:p>
          <w:p w14:paraId="682C97F2" w14:textId="77777777" w:rsidR="00070C36" w:rsidRPr="005E6D70" w:rsidRDefault="00070C36" w:rsidP="007B58EB">
            <w:pPr>
              <w:jc w:val="center"/>
              <w:rPr>
                <w:rFonts w:ascii="Times New Roman" w:eastAsia="Calibri" w:hAnsi="Times New Roman" w:cs="Times New Roman"/>
                <w:sz w:val="18"/>
                <w:szCs w:val="18"/>
                <w:lang w:val="en-US"/>
              </w:rPr>
            </w:pPr>
          </w:p>
          <w:p w14:paraId="27C3DF28" w14:textId="77777777" w:rsidR="00070C36" w:rsidRPr="005E6D70" w:rsidRDefault="00070C36" w:rsidP="007B58EB">
            <w:pPr>
              <w:jc w:val="center"/>
              <w:rPr>
                <w:rFonts w:ascii="Times New Roman" w:eastAsia="Calibri" w:hAnsi="Times New Roman" w:cs="Times New Roman"/>
                <w:sz w:val="18"/>
                <w:szCs w:val="18"/>
                <w:lang w:val="en-US"/>
              </w:rPr>
            </w:pPr>
          </w:p>
          <w:p w14:paraId="0AC8FA0A" w14:textId="11CE05DE" w:rsidR="007B58EB" w:rsidRPr="005E6D70" w:rsidRDefault="00070C36"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12(4)</w:t>
            </w:r>
          </w:p>
        </w:tc>
        <w:tc>
          <w:tcPr>
            <w:tcW w:w="4680" w:type="dxa"/>
            <w:gridSpan w:val="2"/>
            <w:shd w:val="clear" w:color="auto" w:fill="FFFFFF"/>
          </w:tcPr>
          <w:p w14:paraId="034907D6" w14:textId="77777777" w:rsidR="00070C36" w:rsidRPr="005E6D70" w:rsidRDefault="00070C36" w:rsidP="00754FB1">
            <w:pPr>
              <w:spacing w:before="100" w:beforeAutospacing="1" w:after="100" w:afterAutospacing="1"/>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1. Where the ultimate parent entity of a multinational enterprise group is located in a third-country jurisdiction that does not apply a qualified IIR, or where the ultimate parent entity is an excluded entity, or where it is located in a low-tax third-country jurisdiction, the constituent entities of that group located in the Republic of Albania, other than investment entities, shall be subject to the undertaxed profit rule (UTPR) for the fiscal year. </w:t>
            </w:r>
          </w:p>
          <w:p w14:paraId="545805B4" w14:textId="77777777" w:rsidR="00070C36" w:rsidRPr="005E6D70" w:rsidRDefault="00070C36" w:rsidP="00754FB1">
            <w:pPr>
              <w:spacing w:before="100" w:beforeAutospacing="1" w:after="100" w:afterAutospacing="1"/>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3. The UTPR shall be applied and collected in the Republic of Albania in the form of an additional top-up tax liability. </w:t>
            </w:r>
          </w:p>
          <w:p w14:paraId="5B2D0EC6" w14:textId="23BE3DDD" w:rsidR="007B58EB" w:rsidRPr="005E6D70" w:rsidRDefault="00070C36" w:rsidP="00754FB1">
            <w:pPr>
              <w:spacing w:before="100" w:beforeAutospacing="1" w:after="100" w:afterAutospacing="1"/>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 The amount of the additional top-up tax liability referred to in paragraph 3, of this Article, shall be equal to the UTPR top-up tax amount allocated to the Republic of Albania for the fiscal year, in accordance with the allocation rules set out in Article 13, of this Law.</w:t>
            </w:r>
          </w:p>
        </w:tc>
        <w:tc>
          <w:tcPr>
            <w:tcW w:w="1530" w:type="dxa"/>
            <w:shd w:val="clear" w:color="auto" w:fill="FFFFFF"/>
          </w:tcPr>
          <w:p w14:paraId="6A9CA429" w14:textId="1B8CF32C"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shd w:val="clear" w:color="auto" w:fill="FFFFFF"/>
          </w:tcPr>
          <w:p w14:paraId="165297C2" w14:textId="02086E73" w:rsidR="007B58EB" w:rsidRPr="005E6D70" w:rsidRDefault="00070C36"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directive allows the adjustment to take the form of either a top-up tax or a denial of deduction. The draft law explicitly opts for the top-up tax liability approach in paragraph 3.</w:t>
            </w:r>
          </w:p>
        </w:tc>
      </w:tr>
      <w:tr w:rsidR="007B58EB" w:rsidRPr="005E6D70" w14:paraId="399DF99D" w14:textId="77777777" w:rsidTr="00073B1B">
        <w:trPr>
          <w:trHeight w:val="746"/>
        </w:trPr>
        <w:tc>
          <w:tcPr>
            <w:tcW w:w="990" w:type="dxa"/>
            <w:gridSpan w:val="2"/>
            <w:shd w:val="clear" w:color="auto" w:fill="FFFFFF"/>
          </w:tcPr>
          <w:p w14:paraId="55B04528" w14:textId="3D7CC396"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12(2)</w:t>
            </w:r>
          </w:p>
        </w:tc>
        <w:tc>
          <w:tcPr>
            <w:tcW w:w="4860" w:type="dxa"/>
            <w:shd w:val="clear" w:color="auto" w:fill="FFFFFF"/>
          </w:tcPr>
          <w:p w14:paraId="61E3A41B" w14:textId="77777777"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 Where a Member State applies the adjustment pursuant to paragraph 1 of this Article in the form of a denial of deduction against taxable income, such adjustment shall apply to the extent </w:t>
            </w:r>
            <w:r w:rsidRPr="005E6D70">
              <w:rPr>
                <w:rFonts w:ascii="Times New Roman" w:eastAsia="Calibri" w:hAnsi="Times New Roman" w:cs="Times New Roman"/>
                <w:iCs/>
                <w:sz w:val="18"/>
                <w:szCs w:val="18"/>
                <w:lang w:val="en-US"/>
              </w:rPr>
              <w:lastRenderedPageBreak/>
              <w:t>possible with respect to the taxable year in which the fiscal year for</w:t>
            </w:r>
          </w:p>
          <w:p w14:paraId="751B7932" w14:textId="77777777"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which the UTPR top-up tax amount was computed and allocated to a Member State in accordance with Article 14 ends.</w:t>
            </w:r>
          </w:p>
          <w:p w14:paraId="3A0567C1" w14:textId="77777777" w:rsidR="007B58EB" w:rsidRPr="005E6D70" w:rsidRDefault="007B58EB" w:rsidP="007B58EB">
            <w:pPr>
              <w:jc w:val="both"/>
              <w:rPr>
                <w:rFonts w:ascii="Times New Roman" w:eastAsia="Calibri" w:hAnsi="Times New Roman" w:cs="Times New Roman"/>
                <w:iCs/>
                <w:sz w:val="18"/>
                <w:szCs w:val="18"/>
                <w:lang w:val="en-US"/>
              </w:rPr>
            </w:pPr>
          </w:p>
          <w:p w14:paraId="1DE942EF" w14:textId="7C6A22DD"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Any UTPR top-up tax amount that remains due with respect to a fiscal year as a result of the application of a denial of deduction against taxable income for that fiscal year shall be carried forward to the extent necessary and shall be subject, with respect to each following fiscal year, to the adjustment pursuant to paragraph 1 until the full UTPR top-up tax amount allocated to that Member State for that fiscal year has been paid.</w:t>
            </w:r>
          </w:p>
        </w:tc>
        <w:tc>
          <w:tcPr>
            <w:tcW w:w="990" w:type="dxa"/>
            <w:gridSpan w:val="2"/>
          </w:tcPr>
          <w:p w14:paraId="4D0F7EAE" w14:textId="268E9E93"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1080" w:type="dxa"/>
            <w:gridSpan w:val="2"/>
            <w:shd w:val="clear" w:color="auto" w:fill="FFFFFF"/>
          </w:tcPr>
          <w:p w14:paraId="767675A2" w14:textId="796AE501" w:rsidR="007B58EB" w:rsidRPr="005E6D70" w:rsidRDefault="00070C36"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N/A</w:t>
            </w:r>
          </w:p>
          <w:p w14:paraId="2BDAED92" w14:textId="77777777" w:rsidR="007B58EB" w:rsidRPr="005E6D70" w:rsidRDefault="007B58EB" w:rsidP="007B58EB">
            <w:pPr>
              <w:jc w:val="center"/>
              <w:rPr>
                <w:rFonts w:ascii="Times New Roman" w:eastAsia="Calibri" w:hAnsi="Times New Roman" w:cs="Times New Roman"/>
                <w:sz w:val="18"/>
                <w:szCs w:val="18"/>
                <w:lang w:val="en-US"/>
              </w:rPr>
            </w:pPr>
          </w:p>
          <w:p w14:paraId="4B292A3D" w14:textId="77777777" w:rsidR="007B58EB" w:rsidRPr="005E6D70" w:rsidRDefault="007B58EB" w:rsidP="007B58EB">
            <w:pPr>
              <w:jc w:val="center"/>
              <w:rPr>
                <w:rFonts w:ascii="Times New Roman" w:eastAsia="Calibri" w:hAnsi="Times New Roman" w:cs="Times New Roman"/>
                <w:sz w:val="18"/>
                <w:szCs w:val="18"/>
                <w:lang w:val="en-US"/>
              </w:rPr>
            </w:pPr>
          </w:p>
          <w:p w14:paraId="054651C3" w14:textId="77777777" w:rsidR="007B58EB" w:rsidRPr="005E6D70" w:rsidRDefault="007B58EB" w:rsidP="007B58EB">
            <w:pPr>
              <w:jc w:val="center"/>
              <w:rPr>
                <w:rFonts w:ascii="Times New Roman" w:eastAsia="Calibri" w:hAnsi="Times New Roman" w:cs="Times New Roman"/>
                <w:sz w:val="18"/>
                <w:szCs w:val="18"/>
                <w:lang w:val="en-US"/>
              </w:rPr>
            </w:pPr>
          </w:p>
        </w:tc>
        <w:tc>
          <w:tcPr>
            <w:tcW w:w="4680" w:type="dxa"/>
            <w:gridSpan w:val="2"/>
            <w:shd w:val="clear" w:color="auto" w:fill="FFFFFF"/>
          </w:tcPr>
          <w:p w14:paraId="75BB5305" w14:textId="47DAACE8" w:rsidR="007B58EB" w:rsidRPr="005E6D70" w:rsidRDefault="00070C36" w:rsidP="00754FB1">
            <w:pPr>
              <w:widowControl w:val="0"/>
              <w:tabs>
                <w:tab w:val="left" w:pos="742"/>
                <w:tab w:val="left" w:pos="744"/>
              </w:tabs>
              <w:autoSpaceDE w:val="0"/>
              <w:autoSpaceDN w:val="0"/>
              <w:ind w:right="18"/>
              <w:jc w:val="both"/>
              <w:rPr>
                <w:rFonts w:ascii="Times New Roman" w:hAnsi="Times New Roman" w:cs="Times New Roman"/>
                <w:sz w:val="18"/>
                <w:szCs w:val="18"/>
                <w:lang w:val="en-US"/>
              </w:rPr>
            </w:pPr>
            <w:r w:rsidRPr="005E6D70">
              <w:rPr>
                <w:rFonts w:ascii="Times New Roman" w:hAnsi="Times New Roman" w:cs="Times New Roman"/>
                <w:sz w:val="18"/>
                <w:szCs w:val="18"/>
                <w:lang w:val="en-US"/>
              </w:rPr>
              <w:t>N/A</w:t>
            </w:r>
          </w:p>
        </w:tc>
        <w:tc>
          <w:tcPr>
            <w:tcW w:w="1530" w:type="dxa"/>
            <w:shd w:val="clear" w:color="auto" w:fill="FFFFFF"/>
          </w:tcPr>
          <w:p w14:paraId="2E6CD4F6" w14:textId="5836BE39" w:rsidR="007B58EB" w:rsidRPr="005E6D70" w:rsidRDefault="00070C36"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N/A</w:t>
            </w:r>
          </w:p>
        </w:tc>
        <w:tc>
          <w:tcPr>
            <w:tcW w:w="1350" w:type="dxa"/>
            <w:shd w:val="clear" w:color="auto" w:fill="FFFFFF"/>
          </w:tcPr>
          <w:p w14:paraId="555BB0E4" w14:textId="531C75FD" w:rsidR="007B58EB" w:rsidRPr="005E6D70" w:rsidRDefault="00070C36"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Not applicable. This paragraph provides rules specific to the </w:t>
            </w:r>
            <w:r w:rsidRPr="005E6D70">
              <w:rPr>
                <w:rFonts w:ascii="Times New Roman" w:eastAsia="Calibri" w:hAnsi="Times New Roman" w:cs="Times New Roman"/>
                <w:sz w:val="18"/>
                <w:szCs w:val="18"/>
                <w:lang w:val="en-US"/>
              </w:rPr>
              <w:lastRenderedPageBreak/>
              <w:t>denial of deduction method. Since the draft law opts for the top-up tax method, these carry-forward provisions are omitted as unnecessary.</w:t>
            </w:r>
          </w:p>
        </w:tc>
      </w:tr>
      <w:tr w:rsidR="007B58EB" w:rsidRPr="005E6D70" w14:paraId="3E3A5C8E" w14:textId="77777777" w:rsidTr="00073B1B">
        <w:tc>
          <w:tcPr>
            <w:tcW w:w="990" w:type="dxa"/>
            <w:gridSpan w:val="2"/>
            <w:shd w:val="clear" w:color="auto" w:fill="FFFFFF"/>
          </w:tcPr>
          <w:p w14:paraId="7C7DCD41" w14:textId="08FBC337"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12(3)</w:t>
            </w:r>
          </w:p>
        </w:tc>
        <w:tc>
          <w:tcPr>
            <w:tcW w:w="4860" w:type="dxa"/>
            <w:shd w:val="clear" w:color="auto" w:fill="FFFFFF"/>
          </w:tcPr>
          <w:p w14:paraId="217F4701" w14:textId="530B05B1" w:rsidR="007B58EB" w:rsidRPr="005E6D70" w:rsidRDefault="007B58EB" w:rsidP="007B58EB">
            <w:pPr>
              <w:jc w:val="both"/>
              <w:rPr>
                <w:rFonts w:ascii="Times New Roman" w:eastAsia="Calibri" w:hAnsi="Times New Roman" w:cs="Times New Roman"/>
                <w:bCs/>
                <w:sz w:val="18"/>
                <w:szCs w:val="18"/>
                <w:lang w:val="en-US"/>
              </w:rPr>
            </w:pPr>
            <w:r w:rsidRPr="005E6D70">
              <w:rPr>
                <w:rFonts w:ascii="Times New Roman" w:eastAsia="Calibri" w:hAnsi="Times New Roman" w:cs="Times New Roman"/>
                <w:iCs/>
                <w:sz w:val="18"/>
                <w:szCs w:val="18"/>
                <w:lang w:val="en-US"/>
              </w:rPr>
              <w:t>3. Constituent entities that are investment entities shall not be subject to this Article.</w:t>
            </w:r>
          </w:p>
        </w:tc>
        <w:tc>
          <w:tcPr>
            <w:tcW w:w="990" w:type="dxa"/>
            <w:gridSpan w:val="2"/>
          </w:tcPr>
          <w:p w14:paraId="3091226A" w14:textId="48662992"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shd w:val="clear" w:color="auto" w:fill="FFFFFF"/>
          </w:tcPr>
          <w:p w14:paraId="60144187" w14:textId="59431E3B" w:rsidR="007B58EB" w:rsidRPr="005E6D70" w:rsidRDefault="00070C36"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12(1)</w:t>
            </w:r>
          </w:p>
        </w:tc>
        <w:tc>
          <w:tcPr>
            <w:tcW w:w="4680" w:type="dxa"/>
            <w:gridSpan w:val="2"/>
            <w:shd w:val="clear" w:color="auto" w:fill="FFFFFF"/>
          </w:tcPr>
          <w:p w14:paraId="0422C07F" w14:textId="39576DB6" w:rsidR="007B58EB" w:rsidRPr="005E6D70" w:rsidRDefault="00070C36"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 Where the ultimate parent entity of a multinational enterprise group is located in a third-country jurisdiction that does not apply a qualified IIR, or where the ultimate parent entity is an excluded entity, or where it is located in a low-tax third-country jurisdiction, the constituent entities of that group located in the Republic of Albania, other than investment entities, shall be subject to the undertaxed profit rule (UTPR) for the fiscal year.</w:t>
            </w:r>
          </w:p>
        </w:tc>
        <w:tc>
          <w:tcPr>
            <w:tcW w:w="1530" w:type="dxa"/>
            <w:shd w:val="clear" w:color="auto" w:fill="FFFFFF"/>
          </w:tcPr>
          <w:p w14:paraId="443F838E" w14:textId="4EE83CDC"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shd w:val="clear" w:color="auto" w:fill="FFFFFF"/>
          </w:tcPr>
          <w:p w14:paraId="53A6B9FF" w14:textId="0A433159" w:rsidR="007B58EB" w:rsidRPr="005E6D70" w:rsidRDefault="00070C36"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Transposed by directly integrating the exclusion of investment entities into the main substantive provision of paragraph 1.</w:t>
            </w:r>
          </w:p>
        </w:tc>
      </w:tr>
      <w:tr w:rsidR="007B58EB" w:rsidRPr="005E6D70" w14:paraId="787DDFE1" w14:textId="77777777" w:rsidTr="00073B1B">
        <w:tc>
          <w:tcPr>
            <w:tcW w:w="990" w:type="dxa"/>
            <w:gridSpan w:val="2"/>
            <w:shd w:val="clear" w:color="auto" w:fill="D9D9D9" w:themeFill="background1" w:themeFillShade="D9"/>
          </w:tcPr>
          <w:p w14:paraId="5FFD8328" w14:textId="77777777" w:rsidR="007B58EB" w:rsidRPr="005E6D70" w:rsidRDefault="007B58EB" w:rsidP="007B58EB">
            <w:pPr>
              <w:jc w:val="center"/>
              <w:rPr>
                <w:rFonts w:ascii="Times New Roman" w:eastAsia="Calibri" w:hAnsi="Times New Roman" w:cs="Times New Roman"/>
                <w:i/>
                <w:sz w:val="18"/>
                <w:szCs w:val="18"/>
                <w:lang w:val="en-US"/>
              </w:rPr>
            </w:pPr>
          </w:p>
        </w:tc>
        <w:tc>
          <w:tcPr>
            <w:tcW w:w="4860" w:type="dxa"/>
            <w:shd w:val="clear" w:color="auto" w:fill="D9D9D9" w:themeFill="background1" w:themeFillShade="D9"/>
          </w:tcPr>
          <w:p w14:paraId="195864E0" w14:textId="6E958A91" w:rsidR="007B58EB" w:rsidRPr="005E6D70" w:rsidRDefault="007B58EB" w:rsidP="007B58EB">
            <w:pPr>
              <w:jc w:val="both"/>
              <w:rPr>
                <w:rFonts w:ascii="Times New Roman" w:eastAsia="Calibri" w:hAnsi="Times New Roman" w:cs="Times New Roman"/>
                <w:b/>
                <w:i/>
                <w:sz w:val="18"/>
                <w:szCs w:val="18"/>
                <w:lang w:val="en-US"/>
              </w:rPr>
            </w:pPr>
            <w:r w:rsidRPr="005E6D70">
              <w:rPr>
                <w:rFonts w:ascii="Times New Roman" w:eastAsia="Calibri" w:hAnsi="Times New Roman" w:cs="Times New Roman"/>
                <w:b/>
                <w:bCs/>
                <w:iCs/>
                <w:sz w:val="18"/>
                <w:szCs w:val="18"/>
                <w:lang w:val="en-US"/>
              </w:rPr>
              <w:t>Article 13. Application of the UTPR in the jurisdiction of an ultimate parent entity</w:t>
            </w:r>
          </w:p>
        </w:tc>
        <w:tc>
          <w:tcPr>
            <w:tcW w:w="990" w:type="dxa"/>
            <w:gridSpan w:val="2"/>
            <w:shd w:val="clear" w:color="auto" w:fill="D9D9D9" w:themeFill="background1" w:themeFillShade="D9"/>
          </w:tcPr>
          <w:p w14:paraId="5F211EC3" w14:textId="12559A69"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shd w:val="clear" w:color="auto" w:fill="D9D9D9" w:themeFill="background1" w:themeFillShade="D9"/>
          </w:tcPr>
          <w:p w14:paraId="359E3AF3" w14:textId="5D19CA4B" w:rsidR="007B58EB" w:rsidRPr="005E6D70" w:rsidRDefault="000C2DBA"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12</w:t>
            </w:r>
          </w:p>
        </w:tc>
        <w:tc>
          <w:tcPr>
            <w:tcW w:w="4680" w:type="dxa"/>
            <w:gridSpan w:val="2"/>
            <w:shd w:val="clear" w:color="auto" w:fill="D9D9D9" w:themeFill="background1" w:themeFillShade="D9"/>
          </w:tcPr>
          <w:p w14:paraId="12485E23" w14:textId="0EC8AC73" w:rsidR="007B58EB" w:rsidRPr="005E6D70" w:rsidRDefault="000C2DBA"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Article 12. Application of the UTPR</w:t>
            </w:r>
          </w:p>
        </w:tc>
        <w:tc>
          <w:tcPr>
            <w:tcW w:w="1530" w:type="dxa"/>
            <w:shd w:val="clear" w:color="auto" w:fill="D9D9D9" w:themeFill="background1" w:themeFillShade="D9"/>
          </w:tcPr>
          <w:p w14:paraId="7D5020BB" w14:textId="3E73976E"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shd w:val="clear" w:color="auto" w:fill="D9D9D9" w:themeFill="background1" w:themeFillShade="D9"/>
          </w:tcPr>
          <w:p w14:paraId="060492BC" w14:textId="27E101A5" w:rsidR="007B58EB" w:rsidRPr="005E6D70" w:rsidRDefault="000C2DBA"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provisions of Article 13 of the Directive are structurally merged with Article 12 in the draft law to group all UTPR triggering events under a single provision.</w:t>
            </w:r>
          </w:p>
        </w:tc>
      </w:tr>
      <w:tr w:rsidR="007B58EB" w:rsidRPr="005E6D70" w14:paraId="4F7B1588" w14:textId="77777777" w:rsidTr="00073B1B">
        <w:tc>
          <w:tcPr>
            <w:tcW w:w="990" w:type="dxa"/>
            <w:gridSpan w:val="2"/>
          </w:tcPr>
          <w:p w14:paraId="1002B3AD" w14:textId="69D0C3FD"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13(1)</w:t>
            </w:r>
          </w:p>
        </w:tc>
        <w:tc>
          <w:tcPr>
            <w:tcW w:w="4860" w:type="dxa"/>
          </w:tcPr>
          <w:p w14:paraId="0E21C486" w14:textId="77777777"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Where the ultimate parent entity of an MNE group is located in a low-tax third country jurisdiction, Member States shall ensure that the constituent entities located in the Union are subject, in the Member State in which they are located, to an adjustment equal to the UTPR top-up tax amount allocated to that Member State for the fiscal year in accordance with Article 14.</w:t>
            </w:r>
          </w:p>
          <w:p w14:paraId="407D0260" w14:textId="77777777" w:rsidR="007B58EB" w:rsidRPr="005E6D70" w:rsidRDefault="007B58EB" w:rsidP="007B58EB">
            <w:pPr>
              <w:jc w:val="both"/>
              <w:rPr>
                <w:rFonts w:ascii="Times New Roman" w:eastAsia="Calibri" w:hAnsi="Times New Roman" w:cs="Times New Roman"/>
                <w:iCs/>
                <w:sz w:val="18"/>
                <w:szCs w:val="18"/>
                <w:lang w:val="en-US"/>
              </w:rPr>
            </w:pPr>
          </w:p>
          <w:p w14:paraId="267A4BFB" w14:textId="77777777" w:rsidR="000C2DBA" w:rsidRPr="005E6D70" w:rsidRDefault="000C2DBA" w:rsidP="007B58EB">
            <w:pPr>
              <w:jc w:val="both"/>
              <w:rPr>
                <w:rFonts w:ascii="Times New Roman" w:eastAsia="Calibri" w:hAnsi="Times New Roman" w:cs="Times New Roman"/>
                <w:iCs/>
                <w:sz w:val="18"/>
                <w:szCs w:val="18"/>
                <w:lang w:val="en-US"/>
              </w:rPr>
            </w:pPr>
          </w:p>
          <w:p w14:paraId="6A6EA405" w14:textId="77777777" w:rsidR="000C2DBA" w:rsidRPr="005E6D70" w:rsidRDefault="000C2DBA" w:rsidP="007B58EB">
            <w:pPr>
              <w:jc w:val="both"/>
              <w:rPr>
                <w:rFonts w:ascii="Times New Roman" w:eastAsia="Calibri" w:hAnsi="Times New Roman" w:cs="Times New Roman"/>
                <w:iCs/>
                <w:sz w:val="18"/>
                <w:szCs w:val="18"/>
                <w:lang w:val="en-US"/>
              </w:rPr>
            </w:pPr>
          </w:p>
          <w:p w14:paraId="11B0A155" w14:textId="77777777" w:rsidR="000C2DBA" w:rsidRPr="005E6D70" w:rsidRDefault="000C2DBA" w:rsidP="007B58EB">
            <w:pPr>
              <w:jc w:val="both"/>
              <w:rPr>
                <w:rFonts w:ascii="Times New Roman" w:eastAsia="Calibri" w:hAnsi="Times New Roman" w:cs="Times New Roman"/>
                <w:iCs/>
                <w:sz w:val="18"/>
                <w:szCs w:val="18"/>
                <w:lang w:val="en-US"/>
              </w:rPr>
            </w:pPr>
          </w:p>
          <w:p w14:paraId="25D692F6" w14:textId="77777777" w:rsidR="000C2DBA" w:rsidRPr="005E6D70" w:rsidRDefault="000C2DBA" w:rsidP="007B58EB">
            <w:pPr>
              <w:jc w:val="both"/>
              <w:rPr>
                <w:rFonts w:ascii="Times New Roman" w:eastAsia="Calibri" w:hAnsi="Times New Roman" w:cs="Times New Roman"/>
                <w:iCs/>
                <w:sz w:val="18"/>
                <w:szCs w:val="18"/>
                <w:lang w:val="en-US"/>
              </w:rPr>
            </w:pPr>
          </w:p>
          <w:p w14:paraId="6923D059" w14:textId="77777777" w:rsidR="000C2DBA" w:rsidRPr="005E6D70" w:rsidRDefault="000C2DBA" w:rsidP="007B58EB">
            <w:pPr>
              <w:jc w:val="both"/>
              <w:rPr>
                <w:rFonts w:ascii="Times New Roman" w:eastAsia="Calibri" w:hAnsi="Times New Roman" w:cs="Times New Roman"/>
                <w:iCs/>
                <w:sz w:val="18"/>
                <w:szCs w:val="18"/>
                <w:lang w:val="en-US"/>
              </w:rPr>
            </w:pPr>
          </w:p>
          <w:p w14:paraId="08059FE3" w14:textId="77777777" w:rsidR="000C2DBA" w:rsidRPr="005E6D70" w:rsidRDefault="000C2DBA" w:rsidP="007B58EB">
            <w:pPr>
              <w:jc w:val="both"/>
              <w:rPr>
                <w:rFonts w:ascii="Times New Roman" w:eastAsia="Calibri" w:hAnsi="Times New Roman" w:cs="Times New Roman"/>
                <w:iCs/>
                <w:sz w:val="18"/>
                <w:szCs w:val="18"/>
                <w:lang w:val="en-US"/>
              </w:rPr>
            </w:pPr>
          </w:p>
          <w:p w14:paraId="7FCC8DF3" w14:textId="77777777" w:rsidR="000C2DBA" w:rsidRPr="005E6D70" w:rsidRDefault="000C2DBA" w:rsidP="007B58EB">
            <w:pPr>
              <w:jc w:val="both"/>
              <w:rPr>
                <w:rFonts w:ascii="Times New Roman" w:eastAsia="Calibri" w:hAnsi="Times New Roman" w:cs="Times New Roman"/>
                <w:iCs/>
                <w:sz w:val="18"/>
                <w:szCs w:val="18"/>
                <w:lang w:val="en-US"/>
              </w:rPr>
            </w:pPr>
          </w:p>
          <w:p w14:paraId="606898AB" w14:textId="77777777" w:rsidR="000C2DBA" w:rsidRPr="005E6D70" w:rsidRDefault="000C2DBA" w:rsidP="007B58EB">
            <w:pPr>
              <w:jc w:val="both"/>
              <w:rPr>
                <w:rFonts w:ascii="Times New Roman" w:eastAsia="Calibri" w:hAnsi="Times New Roman" w:cs="Times New Roman"/>
                <w:iCs/>
                <w:sz w:val="18"/>
                <w:szCs w:val="18"/>
                <w:lang w:val="en-US"/>
              </w:rPr>
            </w:pPr>
          </w:p>
          <w:p w14:paraId="024D86F7" w14:textId="77777777" w:rsidR="000C2DBA" w:rsidRPr="005E6D70" w:rsidRDefault="000C2DBA" w:rsidP="007B58EB">
            <w:pPr>
              <w:jc w:val="both"/>
              <w:rPr>
                <w:rFonts w:ascii="Times New Roman" w:eastAsia="Calibri" w:hAnsi="Times New Roman" w:cs="Times New Roman"/>
                <w:iCs/>
                <w:sz w:val="18"/>
                <w:szCs w:val="18"/>
                <w:lang w:val="en-US"/>
              </w:rPr>
            </w:pPr>
          </w:p>
          <w:p w14:paraId="5F1AF675" w14:textId="77777777" w:rsidR="000C2DBA" w:rsidRPr="005E6D70" w:rsidRDefault="000C2DBA" w:rsidP="007B58EB">
            <w:pPr>
              <w:jc w:val="both"/>
              <w:rPr>
                <w:rFonts w:ascii="Times New Roman" w:eastAsia="Calibri" w:hAnsi="Times New Roman" w:cs="Times New Roman"/>
                <w:iCs/>
                <w:sz w:val="18"/>
                <w:szCs w:val="18"/>
                <w:lang w:val="en-US"/>
              </w:rPr>
            </w:pPr>
          </w:p>
          <w:p w14:paraId="17056FCC" w14:textId="77777777" w:rsidR="000C2DBA" w:rsidRPr="005E6D70" w:rsidRDefault="000C2DBA" w:rsidP="007B58EB">
            <w:pPr>
              <w:jc w:val="both"/>
              <w:rPr>
                <w:rFonts w:ascii="Times New Roman" w:eastAsia="Calibri" w:hAnsi="Times New Roman" w:cs="Times New Roman"/>
                <w:iCs/>
                <w:sz w:val="18"/>
                <w:szCs w:val="18"/>
                <w:lang w:val="en-US"/>
              </w:rPr>
            </w:pPr>
          </w:p>
          <w:p w14:paraId="16D0F179" w14:textId="286DCAAF"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For that purpose, such adjustment may take the form of either a top-up tax due by those constituent entities or a denial of deduction against the taxable income of those constituent entities resulting in an amount of tax liability necessary to collect the UTPR top-up tax amount allocated to that Member State.</w:t>
            </w:r>
          </w:p>
          <w:p w14:paraId="0EF816FC" w14:textId="77777777" w:rsidR="007B58EB" w:rsidRPr="005E6D70" w:rsidRDefault="007B58EB" w:rsidP="007B58EB">
            <w:pPr>
              <w:jc w:val="both"/>
              <w:rPr>
                <w:rFonts w:ascii="Times New Roman" w:eastAsia="Calibri" w:hAnsi="Times New Roman" w:cs="Times New Roman"/>
                <w:iCs/>
                <w:sz w:val="18"/>
                <w:szCs w:val="18"/>
                <w:lang w:val="en-US"/>
              </w:rPr>
            </w:pPr>
          </w:p>
          <w:p w14:paraId="56083D73" w14:textId="77777777" w:rsidR="000C2DBA" w:rsidRPr="005E6D70" w:rsidRDefault="000C2DBA" w:rsidP="007B58EB">
            <w:pPr>
              <w:jc w:val="both"/>
              <w:rPr>
                <w:rFonts w:ascii="Times New Roman" w:eastAsia="Calibri" w:hAnsi="Times New Roman" w:cs="Times New Roman"/>
                <w:iCs/>
                <w:sz w:val="18"/>
                <w:szCs w:val="18"/>
                <w:lang w:val="en-US"/>
              </w:rPr>
            </w:pPr>
          </w:p>
          <w:p w14:paraId="13A50310" w14:textId="77777777" w:rsidR="000C2DBA" w:rsidRPr="005E6D70" w:rsidRDefault="000C2DBA" w:rsidP="007B58EB">
            <w:pPr>
              <w:jc w:val="both"/>
              <w:rPr>
                <w:rFonts w:ascii="Times New Roman" w:eastAsia="Calibri" w:hAnsi="Times New Roman" w:cs="Times New Roman"/>
                <w:iCs/>
                <w:sz w:val="18"/>
                <w:szCs w:val="18"/>
                <w:lang w:val="en-US"/>
              </w:rPr>
            </w:pPr>
          </w:p>
          <w:p w14:paraId="288C4A04" w14:textId="77777777" w:rsidR="000C2DBA" w:rsidRPr="005E6D70" w:rsidRDefault="000C2DBA" w:rsidP="007B58EB">
            <w:pPr>
              <w:jc w:val="both"/>
              <w:rPr>
                <w:rFonts w:ascii="Times New Roman" w:eastAsia="Calibri" w:hAnsi="Times New Roman" w:cs="Times New Roman"/>
                <w:iCs/>
                <w:sz w:val="18"/>
                <w:szCs w:val="18"/>
                <w:lang w:val="en-US"/>
              </w:rPr>
            </w:pPr>
          </w:p>
          <w:p w14:paraId="09E6B1AD" w14:textId="77777777" w:rsidR="000C2DBA" w:rsidRPr="005E6D70" w:rsidRDefault="000C2DBA" w:rsidP="007B58EB">
            <w:pPr>
              <w:jc w:val="both"/>
              <w:rPr>
                <w:rFonts w:ascii="Times New Roman" w:eastAsia="Calibri" w:hAnsi="Times New Roman" w:cs="Times New Roman"/>
                <w:iCs/>
                <w:sz w:val="18"/>
                <w:szCs w:val="18"/>
                <w:lang w:val="en-US"/>
              </w:rPr>
            </w:pPr>
          </w:p>
          <w:p w14:paraId="59D4B924" w14:textId="77777777" w:rsidR="000C2DBA" w:rsidRPr="005E6D70" w:rsidRDefault="000C2DBA" w:rsidP="007B58EB">
            <w:pPr>
              <w:jc w:val="both"/>
              <w:rPr>
                <w:rFonts w:ascii="Times New Roman" w:eastAsia="Calibri" w:hAnsi="Times New Roman" w:cs="Times New Roman"/>
                <w:iCs/>
                <w:sz w:val="18"/>
                <w:szCs w:val="18"/>
                <w:lang w:val="en-US"/>
              </w:rPr>
            </w:pPr>
          </w:p>
          <w:p w14:paraId="4508A8BA" w14:textId="77777777" w:rsidR="000C2DBA" w:rsidRPr="005E6D70" w:rsidRDefault="000C2DBA" w:rsidP="007B58EB">
            <w:pPr>
              <w:jc w:val="both"/>
              <w:rPr>
                <w:rFonts w:ascii="Times New Roman" w:eastAsia="Calibri" w:hAnsi="Times New Roman" w:cs="Times New Roman"/>
                <w:iCs/>
                <w:sz w:val="18"/>
                <w:szCs w:val="18"/>
                <w:lang w:val="en-US"/>
              </w:rPr>
            </w:pPr>
          </w:p>
          <w:p w14:paraId="77238755" w14:textId="77777777" w:rsidR="000C2DBA" w:rsidRPr="005E6D70" w:rsidRDefault="000C2DBA" w:rsidP="007B58EB">
            <w:pPr>
              <w:jc w:val="both"/>
              <w:rPr>
                <w:rFonts w:ascii="Times New Roman" w:eastAsia="Calibri" w:hAnsi="Times New Roman" w:cs="Times New Roman"/>
                <w:iCs/>
                <w:sz w:val="18"/>
                <w:szCs w:val="18"/>
                <w:lang w:val="en-US"/>
              </w:rPr>
            </w:pPr>
          </w:p>
          <w:p w14:paraId="21764505" w14:textId="5F19AD8B"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The first subparagraph shall not apply where the ultimate parent entity in a low-tax third-country jurisdiction is subject to a qualified IIR in respect of itself and its low-taxed constituent entities located in that jurisdiction.</w:t>
            </w:r>
          </w:p>
        </w:tc>
        <w:tc>
          <w:tcPr>
            <w:tcW w:w="990" w:type="dxa"/>
            <w:gridSpan w:val="2"/>
          </w:tcPr>
          <w:p w14:paraId="3E19BEB2" w14:textId="791175D9"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1080" w:type="dxa"/>
            <w:gridSpan w:val="2"/>
          </w:tcPr>
          <w:p w14:paraId="74CB2E03" w14:textId="77777777" w:rsidR="000C2DBA" w:rsidRPr="005E6D70" w:rsidRDefault="000C2DBA"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12(1) </w:t>
            </w:r>
          </w:p>
          <w:p w14:paraId="75504AFE" w14:textId="77777777" w:rsidR="000C2DBA" w:rsidRPr="005E6D70" w:rsidRDefault="000C2DBA" w:rsidP="007B58EB">
            <w:pPr>
              <w:jc w:val="center"/>
              <w:rPr>
                <w:rFonts w:ascii="Times New Roman" w:eastAsia="Calibri" w:hAnsi="Times New Roman" w:cs="Times New Roman"/>
                <w:sz w:val="18"/>
                <w:szCs w:val="18"/>
                <w:lang w:val="en-US"/>
              </w:rPr>
            </w:pPr>
          </w:p>
          <w:p w14:paraId="27484035" w14:textId="77777777" w:rsidR="000C2DBA" w:rsidRPr="005E6D70" w:rsidRDefault="000C2DBA" w:rsidP="007B58EB">
            <w:pPr>
              <w:jc w:val="center"/>
              <w:rPr>
                <w:rFonts w:ascii="Times New Roman" w:eastAsia="Calibri" w:hAnsi="Times New Roman" w:cs="Times New Roman"/>
                <w:sz w:val="18"/>
                <w:szCs w:val="18"/>
                <w:lang w:val="en-US"/>
              </w:rPr>
            </w:pPr>
          </w:p>
          <w:p w14:paraId="74C91FC3" w14:textId="77777777" w:rsidR="000C2DBA" w:rsidRPr="005E6D70" w:rsidRDefault="000C2DBA" w:rsidP="007B58EB">
            <w:pPr>
              <w:jc w:val="center"/>
              <w:rPr>
                <w:rFonts w:ascii="Times New Roman" w:eastAsia="Calibri" w:hAnsi="Times New Roman" w:cs="Times New Roman"/>
                <w:sz w:val="18"/>
                <w:szCs w:val="18"/>
                <w:lang w:val="en-US"/>
              </w:rPr>
            </w:pPr>
          </w:p>
          <w:p w14:paraId="0A31FFFE" w14:textId="77777777" w:rsidR="000C2DBA" w:rsidRPr="005E6D70" w:rsidRDefault="000C2DBA" w:rsidP="007B58EB">
            <w:pPr>
              <w:jc w:val="center"/>
              <w:rPr>
                <w:rFonts w:ascii="Times New Roman" w:eastAsia="Calibri" w:hAnsi="Times New Roman" w:cs="Times New Roman"/>
                <w:sz w:val="18"/>
                <w:szCs w:val="18"/>
                <w:lang w:val="en-US"/>
              </w:rPr>
            </w:pPr>
          </w:p>
          <w:p w14:paraId="3404A369" w14:textId="77777777" w:rsidR="000C2DBA" w:rsidRPr="005E6D70" w:rsidRDefault="000C2DBA" w:rsidP="007B58EB">
            <w:pPr>
              <w:jc w:val="center"/>
              <w:rPr>
                <w:rFonts w:ascii="Times New Roman" w:eastAsia="Calibri" w:hAnsi="Times New Roman" w:cs="Times New Roman"/>
                <w:sz w:val="18"/>
                <w:szCs w:val="18"/>
                <w:lang w:val="en-US"/>
              </w:rPr>
            </w:pPr>
          </w:p>
          <w:p w14:paraId="1229A2AE" w14:textId="77777777" w:rsidR="000C2DBA" w:rsidRPr="005E6D70" w:rsidRDefault="000C2DBA" w:rsidP="007B58EB">
            <w:pPr>
              <w:jc w:val="center"/>
              <w:rPr>
                <w:rFonts w:ascii="Times New Roman" w:eastAsia="Calibri" w:hAnsi="Times New Roman" w:cs="Times New Roman"/>
                <w:sz w:val="18"/>
                <w:szCs w:val="18"/>
                <w:lang w:val="en-US"/>
              </w:rPr>
            </w:pPr>
          </w:p>
          <w:p w14:paraId="19BCD127" w14:textId="77777777" w:rsidR="000C2DBA" w:rsidRPr="005E6D70" w:rsidRDefault="000C2DBA" w:rsidP="007B58EB">
            <w:pPr>
              <w:jc w:val="center"/>
              <w:rPr>
                <w:rFonts w:ascii="Times New Roman" w:eastAsia="Calibri" w:hAnsi="Times New Roman" w:cs="Times New Roman"/>
                <w:sz w:val="18"/>
                <w:szCs w:val="18"/>
                <w:lang w:val="en-US"/>
              </w:rPr>
            </w:pPr>
          </w:p>
          <w:p w14:paraId="3C3681EF" w14:textId="77777777" w:rsidR="000C2DBA" w:rsidRPr="005E6D70" w:rsidRDefault="000C2DBA" w:rsidP="007B58EB">
            <w:pPr>
              <w:jc w:val="center"/>
              <w:rPr>
                <w:rFonts w:ascii="Times New Roman" w:eastAsia="Calibri" w:hAnsi="Times New Roman" w:cs="Times New Roman"/>
                <w:sz w:val="18"/>
                <w:szCs w:val="18"/>
                <w:lang w:val="en-US"/>
              </w:rPr>
            </w:pPr>
          </w:p>
          <w:p w14:paraId="75C27154" w14:textId="77777777" w:rsidR="000C2DBA" w:rsidRPr="005E6D70" w:rsidRDefault="000C2DBA" w:rsidP="007B58EB">
            <w:pPr>
              <w:jc w:val="center"/>
              <w:rPr>
                <w:rFonts w:ascii="Times New Roman" w:eastAsia="Calibri" w:hAnsi="Times New Roman" w:cs="Times New Roman"/>
                <w:sz w:val="18"/>
                <w:szCs w:val="18"/>
                <w:lang w:val="en-US"/>
              </w:rPr>
            </w:pPr>
          </w:p>
          <w:p w14:paraId="4E41F94D" w14:textId="3BBB04B5" w:rsidR="007B58EB" w:rsidRPr="005E6D70" w:rsidRDefault="000C2DBA"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12(4)</w:t>
            </w:r>
          </w:p>
          <w:p w14:paraId="7F27B78F" w14:textId="77777777" w:rsidR="000C2DBA" w:rsidRPr="005E6D70" w:rsidRDefault="000C2DBA" w:rsidP="007B58EB">
            <w:pPr>
              <w:jc w:val="center"/>
              <w:rPr>
                <w:rFonts w:ascii="Times New Roman" w:eastAsia="Calibri" w:hAnsi="Times New Roman" w:cs="Times New Roman"/>
                <w:sz w:val="18"/>
                <w:szCs w:val="18"/>
                <w:lang w:val="en-US"/>
              </w:rPr>
            </w:pPr>
          </w:p>
          <w:p w14:paraId="43BF5416" w14:textId="77777777" w:rsidR="000C2DBA" w:rsidRPr="005E6D70" w:rsidRDefault="000C2DBA" w:rsidP="007B58EB">
            <w:pPr>
              <w:jc w:val="center"/>
              <w:rPr>
                <w:rFonts w:ascii="Times New Roman" w:eastAsia="Calibri" w:hAnsi="Times New Roman" w:cs="Times New Roman"/>
                <w:sz w:val="18"/>
                <w:szCs w:val="18"/>
                <w:lang w:val="en-US"/>
              </w:rPr>
            </w:pPr>
          </w:p>
          <w:p w14:paraId="76742324" w14:textId="77777777" w:rsidR="000C2DBA" w:rsidRPr="005E6D70" w:rsidRDefault="000C2DBA" w:rsidP="007B58EB">
            <w:pPr>
              <w:jc w:val="center"/>
              <w:rPr>
                <w:rFonts w:ascii="Times New Roman" w:eastAsia="Calibri" w:hAnsi="Times New Roman" w:cs="Times New Roman"/>
                <w:sz w:val="18"/>
                <w:szCs w:val="18"/>
                <w:lang w:val="en-US"/>
              </w:rPr>
            </w:pPr>
          </w:p>
          <w:p w14:paraId="03D9D53A" w14:textId="77777777" w:rsidR="000C2DBA" w:rsidRPr="005E6D70" w:rsidRDefault="000C2DBA" w:rsidP="007B58EB">
            <w:pPr>
              <w:jc w:val="center"/>
              <w:rPr>
                <w:rFonts w:ascii="Times New Roman" w:eastAsia="Calibri" w:hAnsi="Times New Roman" w:cs="Times New Roman"/>
                <w:sz w:val="18"/>
                <w:szCs w:val="18"/>
                <w:lang w:val="en-US"/>
              </w:rPr>
            </w:pPr>
          </w:p>
          <w:p w14:paraId="604511D5" w14:textId="77777777" w:rsidR="000C2DBA" w:rsidRPr="005E6D70" w:rsidRDefault="000C2DBA" w:rsidP="007B58EB">
            <w:pPr>
              <w:jc w:val="center"/>
              <w:rPr>
                <w:rFonts w:ascii="Times New Roman" w:eastAsia="Calibri" w:hAnsi="Times New Roman" w:cs="Times New Roman"/>
                <w:sz w:val="18"/>
                <w:szCs w:val="18"/>
                <w:lang w:val="en-US"/>
              </w:rPr>
            </w:pPr>
          </w:p>
          <w:p w14:paraId="67464780" w14:textId="77777777" w:rsidR="000C2DBA" w:rsidRPr="005E6D70" w:rsidRDefault="000C2DBA" w:rsidP="007B58EB">
            <w:pPr>
              <w:jc w:val="center"/>
              <w:rPr>
                <w:rFonts w:ascii="Times New Roman" w:eastAsia="Calibri" w:hAnsi="Times New Roman" w:cs="Times New Roman"/>
                <w:sz w:val="18"/>
                <w:szCs w:val="18"/>
                <w:lang w:val="en-US"/>
              </w:rPr>
            </w:pPr>
          </w:p>
          <w:p w14:paraId="28C79F4E" w14:textId="77777777" w:rsidR="000C2DBA" w:rsidRPr="005E6D70" w:rsidRDefault="000C2DBA" w:rsidP="007B58EB">
            <w:pPr>
              <w:jc w:val="center"/>
              <w:rPr>
                <w:rFonts w:ascii="Times New Roman" w:eastAsia="Calibri" w:hAnsi="Times New Roman" w:cs="Times New Roman"/>
                <w:sz w:val="18"/>
                <w:szCs w:val="18"/>
                <w:lang w:val="en-US"/>
              </w:rPr>
            </w:pPr>
          </w:p>
          <w:p w14:paraId="42B6BAAB" w14:textId="77777777" w:rsidR="000C2DBA" w:rsidRPr="005E6D70" w:rsidRDefault="000C2DBA"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12(3)</w:t>
            </w:r>
          </w:p>
          <w:p w14:paraId="39EC3092" w14:textId="77777777" w:rsidR="000C2DBA" w:rsidRPr="005E6D70" w:rsidRDefault="000C2DBA" w:rsidP="007B58EB">
            <w:pPr>
              <w:jc w:val="center"/>
              <w:rPr>
                <w:rFonts w:ascii="Times New Roman" w:eastAsia="Calibri" w:hAnsi="Times New Roman" w:cs="Times New Roman"/>
                <w:sz w:val="18"/>
                <w:szCs w:val="18"/>
                <w:lang w:val="en-US"/>
              </w:rPr>
            </w:pPr>
          </w:p>
          <w:p w14:paraId="4666E123" w14:textId="77777777" w:rsidR="000C2DBA" w:rsidRPr="005E6D70" w:rsidRDefault="000C2DBA" w:rsidP="007B58EB">
            <w:pPr>
              <w:jc w:val="center"/>
              <w:rPr>
                <w:rFonts w:ascii="Times New Roman" w:eastAsia="Calibri" w:hAnsi="Times New Roman" w:cs="Times New Roman"/>
                <w:sz w:val="18"/>
                <w:szCs w:val="18"/>
                <w:lang w:val="en-US"/>
              </w:rPr>
            </w:pPr>
          </w:p>
          <w:p w14:paraId="3A5C37EE" w14:textId="77777777" w:rsidR="000C2DBA" w:rsidRPr="005E6D70" w:rsidRDefault="000C2DBA" w:rsidP="007B58EB">
            <w:pPr>
              <w:jc w:val="center"/>
              <w:rPr>
                <w:rFonts w:ascii="Times New Roman" w:eastAsia="Calibri" w:hAnsi="Times New Roman" w:cs="Times New Roman"/>
                <w:sz w:val="18"/>
                <w:szCs w:val="18"/>
                <w:lang w:val="en-US"/>
              </w:rPr>
            </w:pPr>
          </w:p>
          <w:p w14:paraId="1FA2FB07" w14:textId="77777777" w:rsidR="000C2DBA" w:rsidRPr="005E6D70" w:rsidRDefault="000C2DBA" w:rsidP="007B58EB">
            <w:pPr>
              <w:jc w:val="center"/>
              <w:rPr>
                <w:rFonts w:ascii="Times New Roman" w:eastAsia="Calibri" w:hAnsi="Times New Roman" w:cs="Times New Roman"/>
                <w:sz w:val="18"/>
                <w:szCs w:val="18"/>
                <w:lang w:val="en-US"/>
              </w:rPr>
            </w:pPr>
          </w:p>
          <w:p w14:paraId="68BB6585" w14:textId="77777777" w:rsidR="000C2DBA" w:rsidRPr="005E6D70" w:rsidRDefault="000C2DBA" w:rsidP="007B58EB">
            <w:pPr>
              <w:jc w:val="center"/>
              <w:rPr>
                <w:rFonts w:ascii="Times New Roman" w:eastAsia="Calibri" w:hAnsi="Times New Roman" w:cs="Times New Roman"/>
                <w:sz w:val="18"/>
                <w:szCs w:val="18"/>
                <w:lang w:val="en-US"/>
              </w:rPr>
            </w:pPr>
          </w:p>
          <w:p w14:paraId="761A54D4" w14:textId="77777777" w:rsidR="000C2DBA" w:rsidRPr="005E6D70" w:rsidRDefault="000C2DBA" w:rsidP="007B58EB">
            <w:pPr>
              <w:jc w:val="center"/>
              <w:rPr>
                <w:rFonts w:ascii="Times New Roman" w:eastAsia="Calibri" w:hAnsi="Times New Roman" w:cs="Times New Roman"/>
                <w:sz w:val="18"/>
                <w:szCs w:val="18"/>
                <w:lang w:val="en-US"/>
              </w:rPr>
            </w:pPr>
          </w:p>
          <w:p w14:paraId="74B44D31" w14:textId="77777777" w:rsidR="000C2DBA" w:rsidRPr="005E6D70" w:rsidRDefault="000C2DBA" w:rsidP="007B58EB">
            <w:pPr>
              <w:jc w:val="center"/>
              <w:rPr>
                <w:rFonts w:ascii="Times New Roman" w:eastAsia="Calibri" w:hAnsi="Times New Roman" w:cs="Times New Roman"/>
                <w:sz w:val="18"/>
                <w:szCs w:val="18"/>
                <w:lang w:val="en-US"/>
              </w:rPr>
            </w:pPr>
          </w:p>
          <w:p w14:paraId="2920D725" w14:textId="77777777" w:rsidR="000C2DBA" w:rsidRPr="005E6D70" w:rsidRDefault="000C2DBA" w:rsidP="007B58EB">
            <w:pPr>
              <w:jc w:val="center"/>
              <w:rPr>
                <w:rFonts w:ascii="Times New Roman" w:eastAsia="Calibri" w:hAnsi="Times New Roman" w:cs="Times New Roman"/>
                <w:sz w:val="18"/>
                <w:szCs w:val="18"/>
                <w:lang w:val="en-US"/>
              </w:rPr>
            </w:pPr>
          </w:p>
          <w:p w14:paraId="1BCCD869" w14:textId="77777777" w:rsidR="000C2DBA" w:rsidRPr="005E6D70" w:rsidRDefault="000C2DBA" w:rsidP="007B58EB">
            <w:pPr>
              <w:jc w:val="center"/>
              <w:rPr>
                <w:rFonts w:ascii="Times New Roman" w:eastAsia="Calibri" w:hAnsi="Times New Roman" w:cs="Times New Roman"/>
                <w:sz w:val="18"/>
                <w:szCs w:val="18"/>
                <w:lang w:val="en-US"/>
              </w:rPr>
            </w:pPr>
          </w:p>
          <w:p w14:paraId="6873A010" w14:textId="77777777" w:rsidR="000C2DBA" w:rsidRPr="005E6D70" w:rsidRDefault="000C2DBA" w:rsidP="007B58EB">
            <w:pPr>
              <w:jc w:val="center"/>
              <w:rPr>
                <w:rFonts w:ascii="Times New Roman" w:eastAsia="Calibri" w:hAnsi="Times New Roman" w:cs="Times New Roman"/>
                <w:sz w:val="18"/>
                <w:szCs w:val="18"/>
                <w:lang w:val="en-US"/>
              </w:rPr>
            </w:pPr>
          </w:p>
          <w:p w14:paraId="779E258A" w14:textId="77777777" w:rsidR="000C2DBA" w:rsidRPr="005E6D70" w:rsidRDefault="000C2DBA" w:rsidP="007B58EB">
            <w:pPr>
              <w:jc w:val="center"/>
              <w:rPr>
                <w:rFonts w:ascii="Times New Roman" w:eastAsia="Calibri" w:hAnsi="Times New Roman" w:cs="Times New Roman"/>
                <w:sz w:val="18"/>
                <w:szCs w:val="18"/>
                <w:lang w:val="en-US"/>
              </w:rPr>
            </w:pPr>
          </w:p>
          <w:p w14:paraId="19189505" w14:textId="77777777" w:rsidR="000C2DBA" w:rsidRPr="005E6D70" w:rsidRDefault="000C2DBA" w:rsidP="007B58EB">
            <w:pPr>
              <w:jc w:val="center"/>
              <w:rPr>
                <w:rFonts w:ascii="Times New Roman" w:eastAsia="Calibri" w:hAnsi="Times New Roman" w:cs="Times New Roman"/>
                <w:sz w:val="18"/>
                <w:szCs w:val="18"/>
                <w:lang w:val="en-US"/>
              </w:rPr>
            </w:pPr>
          </w:p>
          <w:p w14:paraId="19667D58" w14:textId="1E6EBB6A" w:rsidR="000C2DBA" w:rsidRPr="005E6D70" w:rsidRDefault="000C2DBA"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12(2)</w:t>
            </w:r>
          </w:p>
        </w:tc>
        <w:tc>
          <w:tcPr>
            <w:tcW w:w="4680" w:type="dxa"/>
            <w:gridSpan w:val="2"/>
          </w:tcPr>
          <w:p w14:paraId="04752C36" w14:textId="77777777" w:rsidR="000C2DBA" w:rsidRPr="005E6D70" w:rsidRDefault="000C2DBA" w:rsidP="00754FB1">
            <w:pPr>
              <w:spacing w:before="100" w:beforeAutospacing="1" w:after="100" w:afterAutospacing="1"/>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 xml:space="preserve">1. Where the ultimate parent entity of a multinational enterprise group is located in a third-country jurisdiction that does not apply a qualified IIR, or where the ultimate parent entity is an excluded entity, or where it is located in a low-tax third-country jurisdiction, the constituent entities of that group located in the Republic of Albania, other than investment </w:t>
            </w:r>
            <w:r w:rsidRPr="005E6D70">
              <w:rPr>
                <w:rFonts w:ascii="Times New Roman" w:eastAsia="Calibri" w:hAnsi="Times New Roman" w:cs="Times New Roman"/>
                <w:sz w:val="18"/>
                <w:szCs w:val="18"/>
                <w:lang w:val="en-US"/>
              </w:rPr>
              <w:lastRenderedPageBreak/>
              <w:t xml:space="preserve">entities, shall be subject to the undertaxed profit rule (UTPR) for the fiscal year. </w:t>
            </w:r>
          </w:p>
          <w:p w14:paraId="60F58E93" w14:textId="52CFD3B5" w:rsidR="007B58EB" w:rsidRPr="005E6D70" w:rsidRDefault="000C2DBA" w:rsidP="00754FB1">
            <w:pPr>
              <w:spacing w:before="100" w:beforeAutospacing="1" w:after="100" w:afterAutospacing="1"/>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 The amount of the additional top-up tax liability referred to in paragraph 3, of this Article, shall be equal to the UTPR top-up tax amount allocated to the Republic of Albania for the fiscal year, in accordance with the allocation rules set out in Article 13, of this Law.</w:t>
            </w:r>
          </w:p>
          <w:p w14:paraId="02B02158" w14:textId="77777777" w:rsidR="000C2DBA" w:rsidRPr="005E6D70" w:rsidRDefault="000C2DBA" w:rsidP="00754FB1">
            <w:pPr>
              <w:spacing w:before="100" w:beforeAutospacing="1" w:after="100" w:afterAutospacing="1"/>
              <w:jc w:val="both"/>
              <w:rPr>
                <w:rFonts w:ascii="Times New Roman" w:eastAsia="Calibri" w:hAnsi="Times New Roman" w:cs="Times New Roman"/>
                <w:sz w:val="18"/>
                <w:szCs w:val="18"/>
                <w:lang w:val="en-US"/>
              </w:rPr>
            </w:pPr>
          </w:p>
          <w:p w14:paraId="7082FC94" w14:textId="77777777" w:rsidR="000C2DBA" w:rsidRPr="005E6D70" w:rsidRDefault="000C2DBA" w:rsidP="00754FB1">
            <w:pPr>
              <w:spacing w:before="100" w:beforeAutospacing="1" w:after="100" w:afterAutospacing="1"/>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 The UTPR shall be applied and collected in the Republic of Albania in the form of an additional top-up tax liability.</w:t>
            </w:r>
          </w:p>
          <w:p w14:paraId="3DDEB89A" w14:textId="77777777" w:rsidR="000C2DBA" w:rsidRPr="005E6D70" w:rsidRDefault="000C2DBA" w:rsidP="00754FB1">
            <w:pPr>
              <w:spacing w:before="100" w:beforeAutospacing="1" w:after="100" w:afterAutospacing="1"/>
              <w:jc w:val="both"/>
              <w:rPr>
                <w:rFonts w:ascii="Times New Roman" w:eastAsia="Calibri" w:hAnsi="Times New Roman" w:cs="Times New Roman"/>
                <w:sz w:val="18"/>
                <w:szCs w:val="18"/>
                <w:lang w:val="en-US"/>
              </w:rPr>
            </w:pPr>
          </w:p>
          <w:p w14:paraId="39A0E64A" w14:textId="77777777" w:rsidR="000C2DBA" w:rsidRPr="005E6D70" w:rsidRDefault="000C2DBA" w:rsidP="00754FB1">
            <w:pPr>
              <w:spacing w:before="100" w:beforeAutospacing="1" w:after="100" w:afterAutospacing="1"/>
              <w:jc w:val="both"/>
              <w:rPr>
                <w:rFonts w:ascii="Times New Roman" w:eastAsia="Calibri" w:hAnsi="Times New Roman" w:cs="Times New Roman"/>
                <w:sz w:val="18"/>
                <w:szCs w:val="18"/>
                <w:lang w:val="en-US"/>
              </w:rPr>
            </w:pPr>
          </w:p>
          <w:p w14:paraId="21784995" w14:textId="77777777" w:rsidR="000C2DBA" w:rsidRPr="005E6D70" w:rsidRDefault="000C2DBA" w:rsidP="00754FB1">
            <w:pPr>
              <w:spacing w:before="100" w:beforeAutospacing="1" w:after="100" w:afterAutospacing="1"/>
              <w:jc w:val="both"/>
              <w:rPr>
                <w:rFonts w:ascii="Times New Roman" w:eastAsia="Calibri" w:hAnsi="Times New Roman" w:cs="Times New Roman"/>
                <w:sz w:val="18"/>
                <w:szCs w:val="18"/>
                <w:lang w:val="en-US"/>
              </w:rPr>
            </w:pPr>
          </w:p>
          <w:p w14:paraId="76A28758" w14:textId="77777777" w:rsidR="000C2DBA" w:rsidRPr="005E6D70" w:rsidRDefault="000C2DBA" w:rsidP="00754FB1">
            <w:pPr>
              <w:spacing w:before="100" w:beforeAutospacing="1" w:after="100" w:afterAutospacing="1"/>
              <w:jc w:val="both"/>
              <w:rPr>
                <w:rFonts w:ascii="Times New Roman" w:eastAsia="Calibri" w:hAnsi="Times New Roman" w:cs="Times New Roman"/>
                <w:sz w:val="18"/>
                <w:szCs w:val="18"/>
                <w:lang w:val="en-US"/>
              </w:rPr>
            </w:pPr>
          </w:p>
          <w:p w14:paraId="435415BB" w14:textId="7F7CED24" w:rsidR="000C2DBA" w:rsidRPr="005E6D70" w:rsidRDefault="000C2DBA" w:rsidP="00754FB1">
            <w:pPr>
              <w:spacing w:before="100" w:beforeAutospacing="1" w:after="100" w:afterAutospacing="1"/>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 Paragraph 1, of this Article, shall not apply where the ultimate parent entity located in a low-tax third-country jurisdiction is subject to a qualified IIR in respect of itself and its low-taxed constituent entities located in that jurisdiction.</w:t>
            </w:r>
          </w:p>
        </w:tc>
        <w:tc>
          <w:tcPr>
            <w:tcW w:w="1530" w:type="dxa"/>
          </w:tcPr>
          <w:p w14:paraId="0BD27D1B" w14:textId="73852E79"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lastRenderedPageBreak/>
              <w:t>F</w:t>
            </w:r>
          </w:p>
        </w:tc>
        <w:tc>
          <w:tcPr>
            <w:tcW w:w="1350" w:type="dxa"/>
          </w:tcPr>
          <w:p w14:paraId="1508B3E6" w14:textId="77777777" w:rsidR="007B58EB" w:rsidRPr="005E6D70" w:rsidRDefault="000C2DBA"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Transposed by explicitly adding "or where it is located in a low-tax third-</w:t>
            </w:r>
            <w:r w:rsidRPr="005E6D70">
              <w:rPr>
                <w:rFonts w:ascii="Times New Roman" w:eastAsia="Calibri" w:hAnsi="Times New Roman" w:cs="Times New Roman"/>
                <w:sz w:val="18"/>
                <w:szCs w:val="18"/>
                <w:lang w:val="en-US"/>
              </w:rPr>
              <w:lastRenderedPageBreak/>
              <w:t>country jurisdiction" to the triggering conditions of the UTPR in Article 12(1) of the draft law.</w:t>
            </w:r>
          </w:p>
          <w:p w14:paraId="7B570E81" w14:textId="77777777" w:rsidR="000C2DBA" w:rsidRPr="005E6D70" w:rsidRDefault="000C2DBA" w:rsidP="007B58EB">
            <w:pPr>
              <w:rPr>
                <w:rFonts w:ascii="Times New Roman" w:eastAsia="Calibri" w:hAnsi="Times New Roman" w:cs="Times New Roman"/>
                <w:sz w:val="18"/>
                <w:szCs w:val="18"/>
                <w:lang w:val="en-US"/>
              </w:rPr>
            </w:pPr>
          </w:p>
          <w:p w14:paraId="4D5C281E" w14:textId="77777777" w:rsidR="000C2DBA" w:rsidRPr="005E6D70" w:rsidRDefault="000C2DBA" w:rsidP="007B58EB">
            <w:pPr>
              <w:rPr>
                <w:rFonts w:ascii="Times New Roman" w:eastAsia="Calibri" w:hAnsi="Times New Roman" w:cs="Times New Roman"/>
                <w:sz w:val="18"/>
                <w:szCs w:val="18"/>
                <w:lang w:val="en-US"/>
              </w:rPr>
            </w:pPr>
          </w:p>
          <w:p w14:paraId="22B1611A" w14:textId="77777777" w:rsidR="000C2DBA" w:rsidRPr="005E6D70" w:rsidRDefault="000C2DBA" w:rsidP="007B58EB">
            <w:pPr>
              <w:rPr>
                <w:rFonts w:ascii="Times New Roman" w:eastAsia="Calibri" w:hAnsi="Times New Roman" w:cs="Times New Roman"/>
                <w:sz w:val="18"/>
                <w:szCs w:val="18"/>
                <w:lang w:val="en-US"/>
              </w:rPr>
            </w:pPr>
          </w:p>
          <w:p w14:paraId="79671C5C" w14:textId="77777777" w:rsidR="000C2DBA" w:rsidRPr="005E6D70" w:rsidRDefault="000C2DBA" w:rsidP="007B58EB">
            <w:pPr>
              <w:rPr>
                <w:rFonts w:ascii="Times New Roman" w:eastAsia="Calibri" w:hAnsi="Times New Roman" w:cs="Times New Roman"/>
                <w:sz w:val="18"/>
                <w:szCs w:val="18"/>
                <w:lang w:val="en-US"/>
              </w:rPr>
            </w:pPr>
          </w:p>
          <w:p w14:paraId="3F8858A3" w14:textId="77777777" w:rsidR="000C2DBA" w:rsidRPr="005E6D70" w:rsidRDefault="000C2DBA" w:rsidP="007B58EB">
            <w:pPr>
              <w:rPr>
                <w:rFonts w:ascii="Times New Roman" w:eastAsia="Calibri" w:hAnsi="Times New Roman" w:cs="Times New Roman"/>
                <w:sz w:val="18"/>
                <w:szCs w:val="18"/>
                <w:lang w:val="en-US"/>
              </w:rPr>
            </w:pPr>
          </w:p>
          <w:p w14:paraId="74794E70" w14:textId="77777777" w:rsidR="000C2DBA" w:rsidRPr="005E6D70" w:rsidRDefault="000C2DBA"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The directive provides an election between two mechanisms. The draft law explicitly opts for the top-up tax liability method.</w:t>
            </w:r>
          </w:p>
          <w:p w14:paraId="15035CE3" w14:textId="77777777" w:rsidR="000C2DBA" w:rsidRPr="005E6D70" w:rsidRDefault="000C2DBA" w:rsidP="007B58EB">
            <w:pPr>
              <w:rPr>
                <w:rFonts w:ascii="Times New Roman" w:eastAsia="Calibri" w:hAnsi="Times New Roman" w:cs="Times New Roman"/>
                <w:sz w:val="18"/>
                <w:szCs w:val="18"/>
                <w:lang w:val="en-US"/>
              </w:rPr>
            </w:pPr>
          </w:p>
          <w:p w14:paraId="0B7208BD" w14:textId="77777777" w:rsidR="000C2DBA" w:rsidRPr="005E6D70" w:rsidRDefault="000C2DBA" w:rsidP="007B58EB">
            <w:pPr>
              <w:rPr>
                <w:rFonts w:ascii="Times New Roman" w:eastAsia="Calibri" w:hAnsi="Times New Roman" w:cs="Times New Roman"/>
                <w:sz w:val="18"/>
                <w:szCs w:val="18"/>
                <w:lang w:val="en-US"/>
              </w:rPr>
            </w:pPr>
          </w:p>
          <w:p w14:paraId="42CE4D8C" w14:textId="77777777" w:rsidR="000C2DBA" w:rsidRPr="005E6D70" w:rsidRDefault="000C2DBA" w:rsidP="007B58EB">
            <w:pPr>
              <w:rPr>
                <w:rFonts w:ascii="Times New Roman" w:eastAsia="Calibri" w:hAnsi="Times New Roman" w:cs="Times New Roman"/>
                <w:sz w:val="18"/>
                <w:szCs w:val="18"/>
                <w:lang w:val="en-US"/>
              </w:rPr>
            </w:pPr>
          </w:p>
          <w:p w14:paraId="5D6D91B1" w14:textId="290BBFEA" w:rsidR="000C2DBA" w:rsidRPr="005E6D70" w:rsidRDefault="000C2DBA"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Verbatim transposition.</w:t>
            </w:r>
          </w:p>
        </w:tc>
      </w:tr>
      <w:tr w:rsidR="007B58EB" w:rsidRPr="005E6D70" w14:paraId="5A6BB9EC" w14:textId="77777777" w:rsidTr="00073B1B">
        <w:tc>
          <w:tcPr>
            <w:tcW w:w="990" w:type="dxa"/>
            <w:gridSpan w:val="2"/>
          </w:tcPr>
          <w:p w14:paraId="3FF5E144" w14:textId="3065E1A2"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13(2)</w:t>
            </w:r>
          </w:p>
        </w:tc>
        <w:tc>
          <w:tcPr>
            <w:tcW w:w="4860" w:type="dxa"/>
          </w:tcPr>
          <w:p w14:paraId="2825DA78" w14:textId="77777777"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Where a Member State applies the adjustment pursuant to paragraph 1 of this Article in the form of a denial of deduction against taxable income, such adjustment shall apply to the extent possible with respect to the taxable year in which the fiscal year for which the UTPR top-up tax amount was computed and allocated to a Member State in accordance with Article 14 ends.</w:t>
            </w:r>
          </w:p>
          <w:p w14:paraId="4F3AE4AA" w14:textId="77777777" w:rsidR="007B58EB" w:rsidRPr="005E6D70" w:rsidRDefault="007B58EB" w:rsidP="007B58EB">
            <w:pPr>
              <w:jc w:val="both"/>
              <w:rPr>
                <w:rFonts w:ascii="Times New Roman" w:eastAsia="Calibri" w:hAnsi="Times New Roman" w:cs="Times New Roman"/>
                <w:iCs/>
                <w:sz w:val="18"/>
                <w:szCs w:val="18"/>
                <w:lang w:val="en-US"/>
              </w:rPr>
            </w:pPr>
          </w:p>
          <w:p w14:paraId="013E72E3" w14:textId="21633B01"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Any UTPR top-up tax amount that remains due with respect to a fiscal year as a result of the application of a denial of deduction against taxable income for that fiscal year shall be carried forward to the extent necessary and shall be subject, with respect to each following fiscal year, to the adjustment pursuant to </w:t>
            </w:r>
            <w:r w:rsidRPr="005E6D70">
              <w:rPr>
                <w:rFonts w:ascii="Times New Roman" w:eastAsia="Calibri" w:hAnsi="Times New Roman" w:cs="Times New Roman"/>
                <w:iCs/>
                <w:sz w:val="18"/>
                <w:szCs w:val="18"/>
                <w:lang w:val="en-US"/>
              </w:rPr>
              <w:lastRenderedPageBreak/>
              <w:t>paragraph 1 until the full UTPR top-up tax amount allocated to that Member State for that fiscal year has been paid.</w:t>
            </w:r>
          </w:p>
        </w:tc>
        <w:tc>
          <w:tcPr>
            <w:tcW w:w="990" w:type="dxa"/>
            <w:gridSpan w:val="2"/>
          </w:tcPr>
          <w:p w14:paraId="58F0A429" w14:textId="70AAA325" w:rsidR="007B58EB" w:rsidRPr="005E6D70" w:rsidRDefault="00FD3246"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1080" w:type="dxa"/>
            <w:gridSpan w:val="2"/>
          </w:tcPr>
          <w:p w14:paraId="02F1BE6C" w14:textId="17F88C8F" w:rsidR="007B58EB" w:rsidRPr="005E6D70" w:rsidRDefault="0053108D"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0F22D4EF" w14:textId="61C36BCC" w:rsidR="007B58EB" w:rsidRPr="005E6D70" w:rsidRDefault="0053108D" w:rsidP="00754FB1">
            <w:pPr>
              <w:spacing w:before="100" w:beforeAutospacing="1" w:after="100" w:afterAutospacing="1"/>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N/A</w:t>
            </w:r>
          </w:p>
        </w:tc>
        <w:tc>
          <w:tcPr>
            <w:tcW w:w="1530" w:type="dxa"/>
          </w:tcPr>
          <w:p w14:paraId="464F81EF" w14:textId="422FE79E" w:rsidR="007B58EB" w:rsidRPr="005E6D70" w:rsidRDefault="0053108D"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N/A</w:t>
            </w:r>
          </w:p>
        </w:tc>
        <w:tc>
          <w:tcPr>
            <w:tcW w:w="1350" w:type="dxa"/>
          </w:tcPr>
          <w:p w14:paraId="733885A3" w14:textId="6A76243D" w:rsidR="007B58EB" w:rsidRPr="005E6D70" w:rsidRDefault="0053108D"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Omitted. These provisions regulate the denial of deduction method, which the Republic of Albania has not selected.</w:t>
            </w:r>
          </w:p>
        </w:tc>
      </w:tr>
      <w:tr w:rsidR="007B58EB" w:rsidRPr="005E6D70" w14:paraId="19388524" w14:textId="77777777" w:rsidTr="00073B1B">
        <w:tc>
          <w:tcPr>
            <w:tcW w:w="990" w:type="dxa"/>
            <w:gridSpan w:val="2"/>
          </w:tcPr>
          <w:p w14:paraId="39536215" w14:textId="38818AF4"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13(3)</w:t>
            </w:r>
          </w:p>
        </w:tc>
        <w:tc>
          <w:tcPr>
            <w:tcW w:w="4860" w:type="dxa"/>
          </w:tcPr>
          <w:p w14:paraId="0A9C4236" w14:textId="6EA6970A"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Constituent entities that are investment entities shall not be subject to this Article.</w:t>
            </w:r>
          </w:p>
        </w:tc>
        <w:tc>
          <w:tcPr>
            <w:tcW w:w="990" w:type="dxa"/>
            <w:gridSpan w:val="2"/>
          </w:tcPr>
          <w:p w14:paraId="7D475D08" w14:textId="78714431"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35C904BA" w14:textId="28E9B1C1" w:rsidR="007B58EB" w:rsidRPr="005E6D70" w:rsidRDefault="00A81A6C"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12(1)</w:t>
            </w:r>
          </w:p>
        </w:tc>
        <w:tc>
          <w:tcPr>
            <w:tcW w:w="4680" w:type="dxa"/>
            <w:gridSpan w:val="2"/>
          </w:tcPr>
          <w:p w14:paraId="7BC7211E" w14:textId="1D92E571" w:rsidR="007B58EB" w:rsidRPr="005E6D70" w:rsidRDefault="00A81A6C" w:rsidP="00754FB1">
            <w:pPr>
              <w:spacing w:before="100" w:beforeAutospacing="1" w:after="100" w:afterAutospacing="1"/>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 Where the ultimate parent entity of a multinational enterprise group is located in a third-country jurisdiction that does not apply a qualified IIR, or where the ultimate parent entity is an excluded entity, or where it is located in a low-tax third-country jurisdiction, the constituent entities of that group located in the Republic of Albania, other than investment entities, shall be subject to the undertaxed profit rule (UTPR) for the fiscal year.</w:t>
            </w:r>
          </w:p>
        </w:tc>
        <w:tc>
          <w:tcPr>
            <w:tcW w:w="1530" w:type="dxa"/>
          </w:tcPr>
          <w:p w14:paraId="214E7C07" w14:textId="6DDB644B"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5AF8E365" w14:textId="215BBD7D" w:rsidR="007B58EB" w:rsidRPr="005E6D70" w:rsidRDefault="00A81A6C"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Transposed by directly integrating the exclusion into the substantive provision of paragraph 1.</w:t>
            </w:r>
          </w:p>
        </w:tc>
      </w:tr>
      <w:tr w:rsidR="007B58EB" w:rsidRPr="005E6D70" w14:paraId="02C12496" w14:textId="77777777" w:rsidTr="00073B1B">
        <w:tc>
          <w:tcPr>
            <w:tcW w:w="990" w:type="dxa"/>
            <w:gridSpan w:val="2"/>
            <w:shd w:val="clear" w:color="auto" w:fill="D9D9D9" w:themeFill="background1" w:themeFillShade="D9"/>
          </w:tcPr>
          <w:p w14:paraId="71C86860" w14:textId="77777777" w:rsidR="007B58EB" w:rsidRPr="005E6D70" w:rsidRDefault="007B58EB" w:rsidP="007B58EB">
            <w:pPr>
              <w:jc w:val="center"/>
              <w:rPr>
                <w:rFonts w:ascii="Times New Roman" w:eastAsia="Calibri" w:hAnsi="Times New Roman" w:cs="Times New Roman"/>
                <w:i/>
                <w:sz w:val="18"/>
                <w:szCs w:val="18"/>
                <w:lang w:val="en-US"/>
              </w:rPr>
            </w:pPr>
          </w:p>
        </w:tc>
        <w:tc>
          <w:tcPr>
            <w:tcW w:w="4860" w:type="dxa"/>
            <w:shd w:val="clear" w:color="auto" w:fill="D9D9D9" w:themeFill="background1" w:themeFillShade="D9"/>
          </w:tcPr>
          <w:p w14:paraId="7A51B70C" w14:textId="2EF151A9" w:rsidR="007B58EB" w:rsidRPr="005E6D70" w:rsidRDefault="007B58EB" w:rsidP="007B58EB">
            <w:pPr>
              <w:jc w:val="both"/>
              <w:rPr>
                <w:rFonts w:ascii="Times New Roman" w:eastAsia="Calibri" w:hAnsi="Times New Roman" w:cs="Times New Roman"/>
                <w:b/>
                <w:i/>
                <w:sz w:val="18"/>
                <w:szCs w:val="18"/>
                <w:lang w:val="en-US"/>
              </w:rPr>
            </w:pPr>
            <w:bookmarkStart w:id="5" w:name="_Toc216435524"/>
            <w:r w:rsidRPr="005E6D70">
              <w:rPr>
                <w:rFonts w:ascii="Times New Roman" w:eastAsia="Calibri" w:hAnsi="Times New Roman" w:cs="Times New Roman"/>
                <w:b/>
                <w:bCs/>
                <w:iCs/>
                <w:sz w:val="18"/>
                <w:szCs w:val="18"/>
                <w:lang w:val="en-US"/>
              </w:rPr>
              <w:t xml:space="preserve">Article </w:t>
            </w:r>
            <w:bookmarkEnd w:id="5"/>
            <w:r w:rsidRPr="005E6D70">
              <w:rPr>
                <w:rFonts w:ascii="Times New Roman" w:eastAsia="Calibri" w:hAnsi="Times New Roman" w:cs="Times New Roman"/>
                <w:b/>
                <w:bCs/>
                <w:iCs/>
                <w:sz w:val="18"/>
                <w:szCs w:val="18"/>
                <w:lang w:val="en-US"/>
              </w:rPr>
              <w:t>14. Computation and allocation of the UTPR top-up tax amount</w:t>
            </w:r>
          </w:p>
        </w:tc>
        <w:tc>
          <w:tcPr>
            <w:tcW w:w="990" w:type="dxa"/>
            <w:gridSpan w:val="2"/>
            <w:shd w:val="clear" w:color="auto" w:fill="D9D9D9" w:themeFill="background1" w:themeFillShade="D9"/>
          </w:tcPr>
          <w:p w14:paraId="1C550D25" w14:textId="2C51F274"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shd w:val="clear" w:color="auto" w:fill="D9D9D9" w:themeFill="background1" w:themeFillShade="D9"/>
          </w:tcPr>
          <w:p w14:paraId="4C6766DB" w14:textId="71DF0A87" w:rsidR="007B58EB" w:rsidRPr="005E6D70" w:rsidRDefault="00C00FCA"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13</w:t>
            </w:r>
          </w:p>
        </w:tc>
        <w:tc>
          <w:tcPr>
            <w:tcW w:w="4680" w:type="dxa"/>
            <w:gridSpan w:val="2"/>
            <w:shd w:val="clear" w:color="auto" w:fill="D9D9D9" w:themeFill="background1" w:themeFillShade="D9"/>
          </w:tcPr>
          <w:p w14:paraId="35E1CED4" w14:textId="7034FD28" w:rsidR="007B58EB" w:rsidRPr="005E6D70" w:rsidRDefault="00C00FCA"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Article 13. Computation and Allocation of the UTPR Top-Up Tax Amount</w:t>
            </w:r>
          </w:p>
        </w:tc>
        <w:tc>
          <w:tcPr>
            <w:tcW w:w="1530" w:type="dxa"/>
            <w:shd w:val="clear" w:color="auto" w:fill="D9D9D9" w:themeFill="background1" w:themeFillShade="D9"/>
          </w:tcPr>
          <w:p w14:paraId="32C86ABE" w14:textId="14A38131"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shd w:val="clear" w:color="auto" w:fill="D9D9D9" w:themeFill="background1" w:themeFillShade="D9"/>
          </w:tcPr>
          <w:p w14:paraId="4DB3B8B0" w14:textId="2AAD773C" w:rsidR="007B58EB" w:rsidRPr="005E6D70" w:rsidRDefault="00C00FCA"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Structurally transposed as Article 13 in the draft law.</w:t>
            </w:r>
          </w:p>
        </w:tc>
      </w:tr>
      <w:tr w:rsidR="007B58EB" w:rsidRPr="005E6D70" w14:paraId="109D659D" w14:textId="77777777" w:rsidTr="00073B1B">
        <w:tc>
          <w:tcPr>
            <w:tcW w:w="990" w:type="dxa"/>
            <w:gridSpan w:val="2"/>
          </w:tcPr>
          <w:p w14:paraId="46A55081" w14:textId="5CBC8FA0"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14(1)</w:t>
            </w:r>
          </w:p>
        </w:tc>
        <w:tc>
          <w:tcPr>
            <w:tcW w:w="4860" w:type="dxa"/>
          </w:tcPr>
          <w:p w14:paraId="07EBDE33" w14:textId="4A383860"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The UTPR top-up tax amount allocated to a Member State shall be computed by multiplying the total UTPR top-up tax, as determined in accordance with paragraph 2, by the Member State’s UTPR percentage, as determined in accordance with paragraph 5.</w:t>
            </w:r>
          </w:p>
        </w:tc>
        <w:tc>
          <w:tcPr>
            <w:tcW w:w="990" w:type="dxa"/>
            <w:gridSpan w:val="2"/>
          </w:tcPr>
          <w:p w14:paraId="64087129" w14:textId="5ECF2049"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01499EDB" w14:textId="53645A64" w:rsidR="007B58EB" w:rsidRPr="005E6D70" w:rsidRDefault="00C00FCA"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13(1)</w:t>
            </w:r>
          </w:p>
        </w:tc>
        <w:tc>
          <w:tcPr>
            <w:tcW w:w="4680" w:type="dxa"/>
            <w:gridSpan w:val="2"/>
          </w:tcPr>
          <w:p w14:paraId="53B38F29" w14:textId="2971C13E" w:rsidR="007B58EB" w:rsidRPr="005E6D70" w:rsidRDefault="00C00FCA"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 The UTPR top-up tax allocated to the Republic of Albania shall be computed by multiplying the total UTPR top-up tax, as determined in paragraph 2, of this Article, by the Republic of Albania’s UTPR percentage, in accordance with paragraph 5, of this Article.</w:t>
            </w:r>
          </w:p>
        </w:tc>
        <w:tc>
          <w:tcPr>
            <w:tcW w:w="1530" w:type="dxa"/>
          </w:tcPr>
          <w:p w14:paraId="2A87F2A2" w14:textId="5F9FF6A9"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153796B5" w14:textId="2809A96D" w:rsidR="007B58EB" w:rsidRPr="005E6D70" w:rsidRDefault="009B3237"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Direct transposition with local drafting adaptations (adapting the term "Member State" to "Republic of Albania" and standardizing cross-references).</w:t>
            </w:r>
          </w:p>
        </w:tc>
      </w:tr>
      <w:tr w:rsidR="007B58EB" w:rsidRPr="005E6D70" w14:paraId="2C4C5642" w14:textId="77777777" w:rsidTr="00073B1B">
        <w:trPr>
          <w:trHeight w:val="53"/>
        </w:trPr>
        <w:tc>
          <w:tcPr>
            <w:tcW w:w="990" w:type="dxa"/>
            <w:gridSpan w:val="2"/>
          </w:tcPr>
          <w:p w14:paraId="014FF2EF" w14:textId="48DED6EC"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14(2)</w:t>
            </w:r>
          </w:p>
        </w:tc>
        <w:tc>
          <w:tcPr>
            <w:tcW w:w="4860" w:type="dxa"/>
          </w:tcPr>
          <w:p w14:paraId="74C050B6" w14:textId="115B3BA5"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 The total UTPR top-up tax for a fiscal year shall be equal to the sum of the top-up tax computed for each low-taxed constituent entity of the MNE group for that fiscal year in accordance with Article 27, subject to the adjustments set out in paragraphs 3 and 4 of this Article.</w:t>
            </w:r>
          </w:p>
        </w:tc>
        <w:tc>
          <w:tcPr>
            <w:tcW w:w="990" w:type="dxa"/>
            <w:gridSpan w:val="2"/>
          </w:tcPr>
          <w:p w14:paraId="599168CB" w14:textId="4B1669AF"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EE73711" w14:textId="786A7A65" w:rsidR="007B58EB" w:rsidRPr="005E6D70" w:rsidRDefault="00C00FCA"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13(2)</w:t>
            </w:r>
          </w:p>
        </w:tc>
        <w:tc>
          <w:tcPr>
            <w:tcW w:w="4680" w:type="dxa"/>
            <w:gridSpan w:val="2"/>
          </w:tcPr>
          <w:p w14:paraId="35CE8F9F" w14:textId="50B64B4E" w:rsidR="007B58EB" w:rsidRPr="005E6D70" w:rsidRDefault="00C00FCA"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 The total UTPR top-up tax for a fiscal year shall be equal to the sum of the top-up tax computed for each low-taxed constituent entity of the multinational enterprise group for that fiscal year in accordance with Article 27, of this Law, subject to the adjustments referred to in paragraph 3 and paragraph 4, of this Article.</w:t>
            </w:r>
          </w:p>
        </w:tc>
        <w:tc>
          <w:tcPr>
            <w:tcW w:w="1530" w:type="dxa"/>
          </w:tcPr>
          <w:p w14:paraId="506891B0" w14:textId="16C6A4A3"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52B6078C" w14:textId="7571F2A1" w:rsidR="007B58EB" w:rsidRPr="005E6D70" w:rsidRDefault="009B3237"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Direct transposition with local drafting adaptations.</w:t>
            </w:r>
          </w:p>
        </w:tc>
      </w:tr>
      <w:tr w:rsidR="007B58EB" w:rsidRPr="005E6D70" w14:paraId="21E363A6" w14:textId="77777777" w:rsidTr="00073B1B">
        <w:trPr>
          <w:trHeight w:val="53"/>
        </w:trPr>
        <w:tc>
          <w:tcPr>
            <w:tcW w:w="990" w:type="dxa"/>
            <w:gridSpan w:val="2"/>
          </w:tcPr>
          <w:p w14:paraId="0D0CC061" w14:textId="27E807DC"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14(3)</w:t>
            </w:r>
          </w:p>
        </w:tc>
        <w:tc>
          <w:tcPr>
            <w:tcW w:w="4860" w:type="dxa"/>
          </w:tcPr>
          <w:p w14:paraId="48C01E73" w14:textId="33002BEA"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The UTPR top-up tax of a low-taxed constituent entity shall be equal to zero where, for the fiscal year, all of the ultimate parent entity’s ownership interests in such low-taxed constituent entity are held directly or indirectly by one or more parent entities that are required to apply a qualified IIR in respect of that low-taxed constituent entity for that fiscal year.</w:t>
            </w:r>
          </w:p>
        </w:tc>
        <w:tc>
          <w:tcPr>
            <w:tcW w:w="990" w:type="dxa"/>
            <w:gridSpan w:val="2"/>
          </w:tcPr>
          <w:p w14:paraId="6789CC38" w14:textId="35E13E42"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2C6C754F" w14:textId="7C21D84D" w:rsidR="007B58EB" w:rsidRPr="005E6D70" w:rsidRDefault="00C00FCA"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13(3)</w:t>
            </w:r>
          </w:p>
        </w:tc>
        <w:tc>
          <w:tcPr>
            <w:tcW w:w="4680" w:type="dxa"/>
            <w:gridSpan w:val="2"/>
          </w:tcPr>
          <w:p w14:paraId="57DD1FEE" w14:textId="15AA6624" w:rsidR="007B58EB" w:rsidRPr="005E6D70" w:rsidRDefault="00C00FCA"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 The UTPR top-up tax of a low-taxed constituent entity shall be zero where, for the fiscal year, all of the ultimate parent entity’s ownership interests in such low-taxed constituent entity are held directly or indirectly by one or more parent entities that are required to apply a qualified IIR in respect of that low-taxed constituent entity for that fiscal year.</w:t>
            </w:r>
          </w:p>
        </w:tc>
        <w:tc>
          <w:tcPr>
            <w:tcW w:w="1530" w:type="dxa"/>
          </w:tcPr>
          <w:p w14:paraId="591ECB32" w14:textId="5DA6C2A0"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0D661FEC" w14:textId="1CB46DBF" w:rsidR="007B58EB" w:rsidRPr="005E6D70" w:rsidRDefault="009B3237"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Direct transposition in substance.</w:t>
            </w:r>
          </w:p>
        </w:tc>
      </w:tr>
      <w:tr w:rsidR="007B58EB" w:rsidRPr="005E6D70" w14:paraId="0171FB3F" w14:textId="77777777" w:rsidTr="00073B1B">
        <w:trPr>
          <w:trHeight w:val="53"/>
        </w:trPr>
        <w:tc>
          <w:tcPr>
            <w:tcW w:w="990" w:type="dxa"/>
            <w:gridSpan w:val="2"/>
          </w:tcPr>
          <w:p w14:paraId="24ED5DCD" w14:textId="0B823A86"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14(4)</w:t>
            </w:r>
          </w:p>
        </w:tc>
        <w:tc>
          <w:tcPr>
            <w:tcW w:w="4860" w:type="dxa"/>
          </w:tcPr>
          <w:p w14:paraId="44A07D63" w14:textId="4F49BB49"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 Where paragraph 3 does not apply, the UTPR top-up tax of a lowtaxed constituent entity shall be reduced by a parent entity’s allocable share of the top-up tax of that low-taxed constituent entity that is brought into charge under qualified IIR.</w:t>
            </w:r>
          </w:p>
        </w:tc>
        <w:tc>
          <w:tcPr>
            <w:tcW w:w="990" w:type="dxa"/>
            <w:gridSpan w:val="2"/>
          </w:tcPr>
          <w:p w14:paraId="0BD19517" w14:textId="1D1E4218"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0251457D" w14:textId="3D494F14" w:rsidR="007B58EB" w:rsidRPr="005E6D70" w:rsidRDefault="00C00FCA"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13(4)</w:t>
            </w:r>
          </w:p>
        </w:tc>
        <w:tc>
          <w:tcPr>
            <w:tcW w:w="4680" w:type="dxa"/>
            <w:gridSpan w:val="2"/>
          </w:tcPr>
          <w:p w14:paraId="02E36D62" w14:textId="5E106A5A" w:rsidR="007B58EB" w:rsidRPr="005E6D70" w:rsidRDefault="001D27DD"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 Where paragraph 3, of this Article, does not apply, the UTPR top-up tax of a low-taxed constituent entity shall be reduced by a parent entity’s allocable share of the top-up tax of that low-taxed constituent entity that is brought into charge under a qualified IIR.</w:t>
            </w:r>
          </w:p>
        </w:tc>
        <w:tc>
          <w:tcPr>
            <w:tcW w:w="1530" w:type="dxa"/>
          </w:tcPr>
          <w:p w14:paraId="69E7F915" w14:textId="618563EB"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034B791D" w14:textId="26D4DB96" w:rsidR="007B58EB" w:rsidRPr="005E6D70" w:rsidRDefault="009B3237"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Direct transposition in substance.</w:t>
            </w:r>
          </w:p>
        </w:tc>
      </w:tr>
      <w:tr w:rsidR="007B58EB" w:rsidRPr="005E6D70" w14:paraId="1A542963" w14:textId="77777777" w:rsidTr="00073B1B">
        <w:trPr>
          <w:trHeight w:val="53"/>
        </w:trPr>
        <w:tc>
          <w:tcPr>
            <w:tcW w:w="990" w:type="dxa"/>
            <w:gridSpan w:val="2"/>
          </w:tcPr>
          <w:p w14:paraId="31B4F0B0" w14:textId="2D8EDBF2"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14(5)</w:t>
            </w:r>
          </w:p>
        </w:tc>
        <w:tc>
          <w:tcPr>
            <w:tcW w:w="4860" w:type="dxa"/>
          </w:tcPr>
          <w:p w14:paraId="0ECB9078" w14:textId="77777777"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5. A Member State’s UTPR percentage shall be computed, for each fiscal year and for each MNE group, according to the following formula:</w:t>
            </w:r>
          </w:p>
          <w:p w14:paraId="58359081" w14:textId="77777777" w:rsidR="007B58EB" w:rsidRPr="005E6D70" w:rsidRDefault="007B58EB" w:rsidP="007B58EB">
            <w:pPr>
              <w:jc w:val="both"/>
              <w:rPr>
                <w:rFonts w:ascii="Times New Roman" w:eastAsia="Calibri" w:hAnsi="Times New Roman" w:cs="Times New Roman"/>
                <w:iCs/>
                <w:sz w:val="18"/>
                <w:szCs w:val="18"/>
                <w:lang w:val="en-US"/>
              </w:rPr>
            </w:pPr>
          </w:p>
          <w:p w14:paraId="69D89BEC" w14:textId="0F75145E" w:rsidR="007B58EB" w:rsidRPr="005E6D70" w:rsidRDefault="007B58EB" w:rsidP="007B58EB">
            <w:pPr>
              <w:jc w:val="both"/>
              <w:rPr>
                <w:rFonts w:ascii="Times New Roman" w:eastAsia="Calibri" w:hAnsi="Times New Roman" w:cs="Times New Roman"/>
                <w:i/>
                <w:sz w:val="18"/>
                <w:szCs w:val="18"/>
                <w:lang w:val="en-US"/>
              </w:rPr>
            </w:pPr>
            <w:r w:rsidRPr="005E6D70">
              <w:rPr>
                <w:rFonts w:ascii="Times New Roman" w:eastAsia="Calibri" w:hAnsi="Times New Roman" w:cs="Times New Roman"/>
                <w:i/>
                <w:sz w:val="18"/>
                <w:szCs w:val="18"/>
                <w:lang w:val="en-US"/>
              </w:rPr>
              <w:t>(50% × Number of employees in the Member State ÷ Number of employees in all UTPR jurisdictions) + (50% × Total value of tangible assets in the Member State ÷ Total value of tangible assets in all UTPR jurisdictions)</w:t>
            </w:r>
          </w:p>
          <w:p w14:paraId="6D215C63" w14:textId="77777777" w:rsidR="007B58EB" w:rsidRPr="005E6D70" w:rsidRDefault="007B58EB" w:rsidP="007B58EB">
            <w:pPr>
              <w:jc w:val="both"/>
              <w:rPr>
                <w:rFonts w:ascii="Times New Roman" w:eastAsia="Calibri" w:hAnsi="Times New Roman" w:cs="Times New Roman"/>
                <w:iCs/>
                <w:sz w:val="18"/>
                <w:szCs w:val="18"/>
                <w:lang w:val="en-US"/>
              </w:rPr>
            </w:pPr>
          </w:p>
          <w:p w14:paraId="323FFFD8" w14:textId="35E2A9DE"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where:</w:t>
            </w:r>
          </w:p>
        </w:tc>
        <w:tc>
          <w:tcPr>
            <w:tcW w:w="990" w:type="dxa"/>
            <w:gridSpan w:val="2"/>
          </w:tcPr>
          <w:p w14:paraId="748E8694" w14:textId="2CDA5D93"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ACDCC29" w14:textId="6BCD0329" w:rsidR="007B58EB" w:rsidRPr="005E6D70" w:rsidRDefault="001D27DD"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13(5)</w:t>
            </w:r>
          </w:p>
        </w:tc>
        <w:tc>
          <w:tcPr>
            <w:tcW w:w="4680" w:type="dxa"/>
            <w:gridSpan w:val="2"/>
          </w:tcPr>
          <w:p w14:paraId="01CCFCFA" w14:textId="77777777" w:rsidR="001D27DD" w:rsidRPr="005E6D70" w:rsidRDefault="001D27DD"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5. The percentage attributable to the Republic of Albania under the undertaxed profit rule shall be calculated for each fiscal year and for each multinational enterprise group in accordance with the following formula: </w:t>
            </w:r>
          </w:p>
          <w:p w14:paraId="32F2CEA1" w14:textId="77777777" w:rsidR="001D27DD" w:rsidRPr="005E6D70" w:rsidRDefault="001D27DD" w:rsidP="00754FB1">
            <w:pPr>
              <w:jc w:val="both"/>
              <w:rPr>
                <w:rFonts w:ascii="Times New Roman" w:eastAsia="Calibri" w:hAnsi="Times New Roman" w:cs="Times New Roman"/>
                <w:sz w:val="18"/>
                <w:szCs w:val="18"/>
                <w:lang w:val="en-US"/>
              </w:rPr>
            </w:pPr>
          </w:p>
          <w:p w14:paraId="67C2EAAE" w14:textId="77777777" w:rsidR="001D27DD" w:rsidRPr="005E6D70" w:rsidRDefault="001D27DD"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50% x (Number of employees in the Republic of Albania / Number of employees in all jurisdictions with a qualified undertaxed profit rule) + 50% x (Total net book value of tangible assets in the Republic of Albania / Total net book value of tangible assets in all jurisdictions with a qualified undertaxed profit rule) </w:t>
            </w:r>
          </w:p>
          <w:p w14:paraId="362F203F" w14:textId="77777777" w:rsidR="001D27DD" w:rsidRPr="005E6D70" w:rsidRDefault="001D27DD" w:rsidP="00754FB1">
            <w:pPr>
              <w:jc w:val="both"/>
              <w:rPr>
                <w:rFonts w:ascii="Times New Roman" w:eastAsia="Calibri" w:hAnsi="Times New Roman" w:cs="Times New Roman"/>
                <w:sz w:val="18"/>
                <w:szCs w:val="18"/>
                <w:lang w:val="en-US"/>
              </w:rPr>
            </w:pPr>
          </w:p>
          <w:p w14:paraId="641E060D" w14:textId="3BB1FC76" w:rsidR="007B58EB" w:rsidRPr="005E6D70" w:rsidRDefault="001D27DD"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Where:</w:t>
            </w:r>
          </w:p>
        </w:tc>
        <w:tc>
          <w:tcPr>
            <w:tcW w:w="1530" w:type="dxa"/>
          </w:tcPr>
          <w:p w14:paraId="6EDB13A9" w14:textId="55570882"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658E2CA9" w14:textId="24387E1D" w:rsidR="007B58EB" w:rsidRPr="005E6D70" w:rsidRDefault="009B3237"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Direct transposition with local drafting adaptations. The formula integrates definitional clarifications (e.g., "net book value") directly into the variables to enhance administrative clarity without altering the substance.</w:t>
            </w:r>
          </w:p>
        </w:tc>
      </w:tr>
      <w:tr w:rsidR="007B58EB" w:rsidRPr="005E6D70" w14:paraId="1E37E8D8" w14:textId="77777777" w:rsidTr="00073B1B">
        <w:trPr>
          <w:trHeight w:val="53"/>
        </w:trPr>
        <w:tc>
          <w:tcPr>
            <w:tcW w:w="990" w:type="dxa"/>
            <w:gridSpan w:val="2"/>
          </w:tcPr>
          <w:p w14:paraId="0E67D36F" w14:textId="7AAE4DCD"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14(5a)</w:t>
            </w:r>
          </w:p>
        </w:tc>
        <w:tc>
          <w:tcPr>
            <w:tcW w:w="4860" w:type="dxa"/>
          </w:tcPr>
          <w:p w14:paraId="2424A536" w14:textId="391034B9"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the number of employees in the Member State is the total number of employees of all the constituent entities of the MNE group located in that Member State;</w:t>
            </w:r>
          </w:p>
        </w:tc>
        <w:tc>
          <w:tcPr>
            <w:tcW w:w="990" w:type="dxa"/>
            <w:gridSpan w:val="2"/>
          </w:tcPr>
          <w:p w14:paraId="3560AEC2" w14:textId="5044957C"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591D0F6F" w14:textId="61A6D7BF" w:rsidR="007B58EB" w:rsidRPr="005E6D70" w:rsidRDefault="00DF36E6"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13(5)(a)</w:t>
            </w:r>
          </w:p>
        </w:tc>
        <w:tc>
          <w:tcPr>
            <w:tcW w:w="4680" w:type="dxa"/>
            <w:gridSpan w:val="2"/>
          </w:tcPr>
          <w:p w14:paraId="4AE5EFB0" w14:textId="5D546916" w:rsidR="007B58EB" w:rsidRPr="005E6D70" w:rsidRDefault="00DF36E6"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a) number of employees in the Republic of Albania is the total number of employees of all constituent entities of the multinational enterprise group located in the Republic of Albania;</w:t>
            </w:r>
          </w:p>
        </w:tc>
        <w:tc>
          <w:tcPr>
            <w:tcW w:w="1530" w:type="dxa"/>
          </w:tcPr>
          <w:p w14:paraId="72290F06" w14:textId="06EE50C7"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2C323C16" w14:textId="228C85A7" w:rsidR="007B58EB" w:rsidRPr="005E6D70" w:rsidRDefault="009B3237"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Direct transposition with local drafting adaptations.</w:t>
            </w:r>
          </w:p>
        </w:tc>
      </w:tr>
      <w:tr w:rsidR="007B58EB" w:rsidRPr="005E6D70" w14:paraId="4A96CA3A" w14:textId="77777777" w:rsidTr="00073B1B">
        <w:trPr>
          <w:trHeight w:val="53"/>
        </w:trPr>
        <w:tc>
          <w:tcPr>
            <w:tcW w:w="990" w:type="dxa"/>
            <w:gridSpan w:val="2"/>
          </w:tcPr>
          <w:p w14:paraId="431E62E6" w14:textId="57311858"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14(5b)</w:t>
            </w:r>
          </w:p>
        </w:tc>
        <w:tc>
          <w:tcPr>
            <w:tcW w:w="4860" w:type="dxa"/>
          </w:tcPr>
          <w:p w14:paraId="141CB673" w14:textId="246936C9"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the number of employees in all UTPR jurisdictions is the total number of employees of all the constituent entities of the MNE group located in a jurisdiction that has a qualified UTPR in force for the fiscal year;</w:t>
            </w:r>
          </w:p>
        </w:tc>
        <w:tc>
          <w:tcPr>
            <w:tcW w:w="990" w:type="dxa"/>
            <w:gridSpan w:val="2"/>
          </w:tcPr>
          <w:p w14:paraId="40A13233" w14:textId="7227A204"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030FA945" w14:textId="392BBDBC" w:rsidR="007B58EB" w:rsidRPr="005E6D70" w:rsidRDefault="00DF36E6"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13(5)(b)</w:t>
            </w:r>
          </w:p>
        </w:tc>
        <w:tc>
          <w:tcPr>
            <w:tcW w:w="4680" w:type="dxa"/>
            <w:gridSpan w:val="2"/>
          </w:tcPr>
          <w:p w14:paraId="0ADD6E46" w14:textId="2AE25251" w:rsidR="007B58EB" w:rsidRPr="005E6D70" w:rsidRDefault="00DF36E6"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b) number of employees in all jurisdictions with a qualified undertaxed profit rule is the total number of employees of all constituent entities of the multinational enterprise group that are located in a jurisdiction that has a qualified undertaxed profit rule in force for the fiscal year;</w:t>
            </w:r>
          </w:p>
        </w:tc>
        <w:tc>
          <w:tcPr>
            <w:tcW w:w="1530" w:type="dxa"/>
          </w:tcPr>
          <w:p w14:paraId="6BDC1B5E" w14:textId="7F9D84D5"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7612CEDC" w14:textId="4D4D78F8" w:rsidR="007B58EB" w:rsidRPr="005E6D70" w:rsidRDefault="009B3237"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Direct transposition with local drafting adaptations.</w:t>
            </w:r>
          </w:p>
        </w:tc>
      </w:tr>
      <w:tr w:rsidR="007B58EB" w:rsidRPr="005E6D70" w14:paraId="5530664B" w14:textId="77777777" w:rsidTr="00073B1B">
        <w:trPr>
          <w:trHeight w:val="53"/>
        </w:trPr>
        <w:tc>
          <w:tcPr>
            <w:tcW w:w="990" w:type="dxa"/>
            <w:gridSpan w:val="2"/>
          </w:tcPr>
          <w:p w14:paraId="79B24FDF" w14:textId="7957DC7A"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14(5c)</w:t>
            </w:r>
          </w:p>
        </w:tc>
        <w:tc>
          <w:tcPr>
            <w:tcW w:w="4860" w:type="dxa"/>
          </w:tcPr>
          <w:p w14:paraId="2FF70A27" w14:textId="44279655"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the total value of tangible assets in the Member State is the sum of the net book value of tangible assets of all the constituent entities of the MNE group located in that Member State;</w:t>
            </w:r>
          </w:p>
        </w:tc>
        <w:tc>
          <w:tcPr>
            <w:tcW w:w="990" w:type="dxa"/>
            <w:gridSpan w:val="2"/>
          </w:tcPr>
          <w:p w14:paraId="02F0013E" w14:textId="757F69D6"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4C6C656A" w14:textId="0F558BB1" w:rsidR="007B58EB" w:rsidRPr="005E6D70" w:rsidRDefault="00DF36E6"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13(5)(c)</w:t>
            </w:r>
          </w:p>
        </w:tc>
        <w:tc>
          <w:tcPr>
            <w:tcW w:w="4680" w:type="dxa"/>
            <w:gridSpan w:val="2"/>
          </w:tcPr>
          <w:p w14:paraId="757B6EB2" w14:textId="7240CEF5" w:rsidR="007B58EB" w:rsidRPr="005E6D70" w:rsidRDefault="00DF36E6"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c) total net book value of tangible assets in the Republic of Albania is the sum of the net book value of tangible assets of all constituent entities of the multinational enterprise group located in the Republic of Albania;</w:t>
            </w:r>
          </w:p>
        </w:tc>
        <w:tc>
          <w:tcPr>
            <w:tcW w:w="1530" w:type="dxa"/>
          </w:tcPr>
          <w:p w14:paraId="1B5295AE" w14:textId="58FDD577"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4A450728" w14:textId="1042E6AE" w:rsidR="007B58EB" w:rsidRPr="005E6D70" w:rsidRDefault="009B3237"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Direct transposition in substance.</w:t>
            </w:r>
          </w:p>
        </w:tc>
      </w:tr>
      <w:tr w:rsidR="007B58EB" w:rsidRPr="005E6D70" w14:paraId="62936FEC" w14:textId="77777777" w:rsidTr="00073B1B">
        <w:trPr>
          <w:trHeight w:val="53"/>
        </w:trPr>
        <w:tc>
          <w:tcPr>
            <w:tcW w:w="990" w:type="dxa"/>
            <w:gridSpan w:val="2"/>
          </w:tcPr>
          <w:p w14:paraId="29C55797" w14:textId="3AB22EFB"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14(5d)</w:t>
            </w:r>
          </w:p>
        </w:tc>
        <w:tc>
          <w:tcPr>
            <w:tcW w:w="4860" w:type="dxa"/>
          </w:tcPr>
          <w:p w14:paraId="3860451D" w14:textId="270B9BCF"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(d) the total value of tangible assets in all UTPR jurisdictions is the sum of the net book value of tangible assets of all the constituent entities of the MNE group located in a jurisdiction that has a qualified UTPR in force for the fiscal year.</w:t>
            </w:r>
          </w:p>
        </w:tc>
        <w:tc>
          <w:tcPr>
            <w:tcW w:w="990" w:type="dxa"/>
            <w:gridSpan w:val="2"/>
          </w:tcPr>
          <w:p w14:paraId="1FAC9259" w14:textId="340C36A5"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3A7731B4" w14:textId="7B955D6E" w:rsidR="007B58EB" w:rsidRPr="005E6D70" w:rsidRDefault="00DF36E6"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13(5)(d)</w:t>
            </w:r>
          </w:p>
        </w:tc>
        <w:tc>
          <w:tcPr>
            <w:tcW w:w="4680" w:type="dxa"/>
            <w:gridSpan w:val="2"/>
          </w:tcPr>
          <w:p w14:paraId="09BAAA46" w14:textId="6D037723" w:rsidR="007B58EB" w:rsidRPr="005E6D70" w:rsidRDefault="00DF36E6"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 xml:space="preserve">d) total net book value of tangible assets in all jurisdictions with a qualified undertaxed profit rule is the sum of the net book value of tangible assets of all constituent entities of the multinational enterprise group that are located in a jurisdiction </w:t>
            </w:r>
            <w:r w:rsidRPr="005E6D70">
              <w:rPr>
                <w:rFonts w:ascii="Times New Roman" w:eastAsia="Calibri" w:hAnsi="Times New Roman" w:cs="Times New Roman"/>
                <w:sz w:val="18"/>
                <w:szCs w:val="18"/>
                <w:lang w:val="en-US"/>
              </w:rPr>
              <w:lastRenderedPageBreak/>
              <w:t>that has a qualified undertaxed profit rule in force for the fiscal year.</w:t>
            </w:r>
          </w:p>
        </w:tc>
        <w:tc>
          <w:tcPr>
            <w:tcW w:w="1530" w:type="dxa"/>
          </w:tcPr>
          <w:p w14:paraId="5922F7C6" w14:textId="1CF31A43"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lastRenderedPageBreak/>
              <w:t>F</w:t>
            </w:r>
          </w:p>
        </w:tc>
        <w:tc>
          <w:tcPr>
            <w:tcW w:w="1350" w:type="dxa"/>
          </w:tcPr>
          <w:p w14:paraId="2D88578C" w14:textId="783B1549" w:rsidR="007B58EB" w:rsidRPr="005E6D70" w:rsidRDefault="009B3237"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Direct transposition in substance.</w:t>
            </w:r>
          </w:p>
        </w:tc>
      </w:tr>
      <w:tr w:rsidR="007B58EB" w:rsidRPr="005E6D70" w14:paraId="6DC15EEA" w14:textId="77777777" w:rsidTr="00073B1B">
        <w:trPr>
          <w:trHeight w:val="53"/>
        </w:trPr>
        <w:tc>
          <w:tcPr>
            <w:tcW w:w="990" w:type="dxa"/>
            <w:gridSpan w:val="2"/>
          </w:tcPr>
          <w:p w14:paraId="7C964F22" w14:textId="143080B4"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14(6)</w:t>
            </w:r>
          </w:p>
        </w:tc>
        <w:tc>
          <w:tcPr>
            <w:tcW w:w="4860" w:type="dxa"/>
          </w:tcPr>
          <w:p w14:paraId="51C9B5A9" w14:textId="77777777"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 The number of employees shall be the number of employees on a full-time equivalent basis of all constituent entities located in the relevant jurisdiction, including independent contractors provided that they participate in the ordinary operating activities of the constituent entity.</w:t>
            </w:r>
          </w:p>
          <w:p w14:paraId="50B4DB61" w14:textId="424AF880"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The tangible assets shall include the tangible assets of all constituent entities located in the relevant jurisdiction but shall not include cash or cash equivalent, intangible or financial assets.</w:t>
            </w:r>
          </w:p>
        </w:tc>
        <w:tc>
          <w:tcPr>
            <w:tcW w:w="990" w:type="dxa"/>
            <w:gridSpan w:val="2"/>
          </w:tcPr>
          <w:p w14:paraId="58547E18" w14:textId="5399342D"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3C764D2A" w14:textId="6CAFC438" w:rsidR="007B58EB" w:rsidRPr="005E6D70" w:rsidRDefault="00DF36E6"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13(6)</w:t>
            </w:r>
          </w:p>
        </w:tc>
        <w:tc>
          <w:tcPr>
            <w:tcW w:w="4680" w:type="dxa"/>
            <w:gridSpan w:val="2"/>
          </w:tcPr>
          <w:p w14:paraId="217B140F" w14:textId="35FD1651" w:rsidR="007B58EB" w:rsidRPr="005E6D70" w:rsidRDefault="00DF36E6"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6. The number of employees shall be the number of employees on a full-time equivalent basis of all constituent entities located in the relevant jurisdiction, including independent contractors, provided that they participate in the ordinary operating activities of the constituent entity. Tangible assets shall include the tangible assets of all constituent entities located in the relevant jurisdiction, but shall not include cash or cash equivalents, intangible or financial assets.</w:t>
            </w:r>
          </w:p>
        </w:tc>
        <w:tc>
          <w:tcPr>
            <w:tcW w:w="1530" w:type="dxa"/>
          </w:tcPr>
          <w:p w14:paraId="09BD4816" w14:textId="354342A0"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3D833628" w14:textId="1D239767" w:rsidR="007B58EB" w:rsidRPr="005E6D70" w:rsidRDefault="009B3237"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Structural consolidation of the two unnumbered subparagraphs of the Directive into a single paragraph. Direct transposition in substance.</w:t>
            </w:r>
          </w:p>
        </w:tc>
      </w:tr>
      <w:tr w:rsidR="007B58EB" w:rsidRPr="005E6D70" w14:paraId="37EFE62B" w14:textId="77777777" w:rsidTr="00073B1B">
        <w:trPr>
          <w:trHeight w:val="53"/>
        </w:trPr>
        <w:tc>
          <w:tcPr>
            <w:tcW w:w="990" w:type="dxa"/>
            <w:gridSpan w:val="2"/>
          </w:tcPr>
          <w:p w14:paraId="61814A83" w14:textId="23C6448C"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14(7)</w:t>
            </w:r>
          </w:p>
        </w:tc>
        <w:tc>
          <w:tcPr>
            <w:tcW w:w="4860" w:type="dxa"/>
          </w:tcPr>
          <w:p w14:paraId="1E90C452" w14:textId="77777777"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7. The employees whose payroll costs are included in the separate financial accounts of a permanent establishment as determined by Article 18(1) and adjusted in accordance with Article 18(2) shall be</w:t>
            </w:r>
          </w:p>
          <w:p w14:paraId="32C84D97" w14:textId="77777777"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allocated to the jurisdiction in which the permanent establishment is located.</w:t>
            </w:r>
          </w:p>
          <w:p w14:paraId="49555E7D" w14:textId="77777777" w:rsidR="007B58EB" w:rsidRPr="005E6D70" w:rsidRDefault="007B58EB" w:rsidP="007B58EB">
            <w:pPr>
              <w:jc w:val="both"/>
              <w:rPr>
                <w:rFonts w:ascii="Times New Roman" w:eastAsia="Calibri" w:hAnsi="Times New Roman" w:cs="Times New Roman"/>
                <w:iCs/>
                <w:sz w:val="18"/>
                <w:szCs w:val="18"/>
                <w:lang w:val="en-US"/>
              </w:rPr>
            </w:pPr>
          </w:p>
          <w:p w14:paraId="6B16C9EF" w14:textId="77777777"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Tangible assets included in the separate financial accounts of a permanent establishment as determined by Article 18(1) and adjusted in accordance with Article 18(2) shall be allocated to the jurisdiction in which the permanent establishment is located.</w:t>
            </w:r>
          </w:p>
          <w:p w14:paraId="644DBE92" w14:textId="77777777" w:rsidR="007B58EB" w:rsidRPr="005E6D70" w:rsidRDefault="007B58EB" w:rsidP="007B58EB">
            <w:pPr>
              <w:jc w:val="both"/>
              <w:rPr>
                <w:rFonts w:ascii="Times New Roman" w:eastAsia="Calibri" w:hAnsi="Times New Roman" w:cs="Times New Roman"/>
                <w:iCs/>
                <w:sz w:val="18"/>
                <w:szCs w:val="18"/>
                <w:lang w:val="en-US"/>
              </w:rPr>
            </w:pPr>
          </w:p>
          <w:p w14:paraId="1594E4D9" w14:textId="77777777"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The number of employees and the tangible assets allocated to the jurisdiction of a permanent establishment shall not be taken into account for</w:t>
            </w:r>
          </w:p>
          <w:p w14:paraId="0C1C0B56" w14:textId="77777777"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the number of employees and the tangible assets of the jurisdiction of the main entity.</w:t>
            </w:r>
          </w:p>
          <w:p w14:paraId="2AEBA60E" w14:textId="77777777" w:rsidR="007B58EB" w:rsidRPr="005E6D70" w:rsidRDefault="007B58EB" w:rsidP="007B58EB">
            <w:pPr>
              <w:jc w:val="both"/>
              <w:rPr>
                <w:rFonts w:ascii="Times New Roman" w:eastAsia="Calibri" w:hAnsi="Times New Roman" w:cs="Times New Roman"/>
                <w:iCs/>
                <w:sz w:val="18"/>
                <w:szCs w:val="18"/>
                <w:lang w:val="en-US"/>
              </w:rPr>
            </w:pPr>
          </w:p>
          <w:p w14:paraId="2D4E2953" w14:textId="77777777"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The number of employees and the net book value of tangible assets held by an investment entity shall be excluded from the elements of the formula set out in paragraph 5.</w:t>
            </w:r>
          </w:p>
          <w:p w14:paraId="2A941E82" w14:textId="77777777" w:rsidR="007B58EB" w:rsidRPr="005E6D70" w:rsidRDefault="007B58EB" w:rsidP="007B58EB">
            <w:pPr>
              <w:jc w:val="both"/>
              <w:rPr>
                <w:rFonts w:ascii="Times New Roman" w:eastAsia="Calibri" w:hAnsi="Times New Roman" w:cs="Times New Roman"/>
                <w:iCs/>
                <w:sz w:val="18"/>
                <w:szCs w:val="18"/>
                <w:lang w:val="en-US"/>
              </w:rPr>
            </w:pPr>
          </w:p>
          <w:p w14:paraId="509CB5D2" w14:textId="0F633466"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The number of employees and the net book value of tangible assets of a flow-through entity shall be excluded from the elements of the formula set out in paragraph 5, unless they are allocated to a permanent establishment or, in the absence of a permanent establishment, to the constituent entities that are </w:t>
            </w:r>
            <w:r w:rsidRPr="005E6D70">
              <w:rPr>
                <w:rFonts w:ascii="Times New Roman" w:eastAsia="Calibri" w:hAnsi="Times New Roman" w:cs="Times New Roman"/>
                <w:iCs/>
                <w:sz w:val="18"/>
                <w:szCs w:val="18"/>
                <w:lang w:val="en-US"/>
              </w:rPr>
              <w:lastRenderedPageBreak/>
              <w:t>located in the jurisdiction where the flow-through entity was created.</w:t>
            </w:r>
          </w:p>
        </w:tc>
        <w:tc>
          <w:tcPr>
            <w:tcW w:w="990" w:type="dxa"/>
            <w:gridSpan w:val="2"/>
          </w:tcPr>
          <w:p w14:paraId="02DD9948" w14:textId="37739331"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1080" w:type="dxa"/>
            <w:gridSpan w:val="2"/>
          </w:tcPr>
          <w:p w14:paraId="0A4E036D" w14:textId="11DAD38F" w:rsidR="007B58EB" w:rsidRPr="005E6D70" w:rsidRDefault="00DF36E6"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13(7)</w:t>
            </w:r>
          </w:p>
        </w:tc>
        <w:tc>
          <w:tcPr>
            <w:tcW w:w="4680" w:type="dxa"/>
            <w:gridSpan w:val="2"/>
          </w:tcPr>
          <w:p w14:paraId="6DE61CC7" w14:textId="384D3B6D" w:rsidR="007B58EB" w:rsidRPr="005E6D70" w:rsidRDefault="00DF36E6"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7. Employees whose payroll costs are included in the separate financial accounts of a permanent establishment as determined in accordance with paragraph 1, of Article 18, of this Law, and adjusted in accordance with paragraph 2, of Article 18, of this Law, shall be allocated to the jurisdiction in which the permanent establishment is located. In doing so, the tangible assets included in the separate financial accounts of the permanent establishment, as specified in paragraph 1, of Article 18, of this Law, and adjusted in accordance with paragraph 2, of Article 18, of this Law, shall be allocated to the jurisdiction in which the permanent establishment is located. The number of employees and tangible assets allocated to the jurisdiction of the permanent establishment shall not be taken into account for the number of employees and tangible assets of the jurisdiction of the main entity. The number of employees and the net book value of tangible assets held by an investment entity shall be excluded from the elements of the formula referred to in paragraph 5, of this Article. The number of employees and the net book value of tangible assets of a flow-through entity shall be excluded from the elements of the formula referred to in paragraph 5, of this Article, unless they are allocated to a permanent establishment or, in the absence of a permanent establishment, to the constituent entities that are located in the jurisdiction in which the flow-through entity was created.</w:t>
            </w:r>
          </w:p>
        </w:tc>
        <w:tc>
          <w:tcPr>
            <w:tcW w:w="1530" w:type="dxa"/>
          </w:tcPr>
          <w:p w14:paraId="2FEAE742" w14:textId="705FB622"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61B6ABF6" w14:textId="1F1CC1AE" w:rsidR="007B58EB" w:rsidRPr="005E6D70" w:rsidRDefault="009B3237"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Structural consolidation of the five unnumbered subparagraphs of the Directive into a single paragraph to align with national drafting conventions. Direct transposition</w:t>
            </w:r>
          </w:p>
        </w:tc>
      </w:tr>
      <w:tr w:rsidR="007B58EB" w:rsidRPr="005E6D70" w14:paraId="6BD83F50" w14:textId="77777777" w:rsidTr="00073B1B">
        <w:trPr>
          <w:trHeight w:val="53"/>
        </w:trPr>
        <w:tc>
          <w:tcPr>
            <w:tcW w:w="990" w:type="dxa"/>
            <w:gridSpan w:val="2"/>
          </w:tcPr>
          <w:p w14:paraId="25992BE0" w14:textId="08406975"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14(8)</w:t>
            </w:r>
          </w:p>
        </w:tc>
        <w:tc>
          <w:tcPr>
            <w:tcW w:w="4860" w:type="dxa"/>
          </w:tcPr>
          <w:p w14:paraId="41E7FA6D" w14:textId="77777777"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8. By way of derogation from paragraph 5, a jurisdiction’s UTPR percentage for an MNE group shall be deemed to be zero for a fiscal year as long as the UTPR top-up tax amount allocated to that jurisdiction in a prior fiscal year has not resulted in the constituent entities of that MNE group located in that jurisdiction having an additional cash tax expense equal, in total, to the UTPR top-up tax amount for that prior fiscal year allocated to that jurisdiction.</w:t>
            </w:r>
          </w:p>
          <w:p w14:paraId="7B7EFE83" w14:textId="77777777" w:rsidR="007B58EB" w:rsidRPr="005E6D70" w:rsidRDefault="007B58EB" w:rsidP="007B58EB">
            <w:pPr>
              <w:jc w:val="both"/>
              <w:rPr>
                <w:rFonts w:ascii="Times New Roman" w:eastAsia="Calibri" w:hAnsi="Times New Roman" w:cs="Times New Roman"/>
                <w:iCs/>
                <w:sz w:val="18"/>
                <w:szCs w:val="18"/>
                <w:lang w:val="en-US"/>
              </w:rPr>
            </w:pPr>
          </w:p>
          <w:p w14:paraId="51F6DC67" w14:textId="77777777" w:rsidR="007B58EB" w:rsidRPr="005E6D70" w:rsidRDefault="007B58EB" w:rsidP="007B58EB">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The number of employees and the net book value of tangible assets of the constituent entities of an MNE group which is located in a jurisdiction with a UTPR percentage of zero for a fiscal year shall be excluded from the elements of the formula for allocating the total</w:t>
            </w:r>
          </w:p>
          <w:p w14:paraId="16EB8030" w14:textId="06723C27"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UTPR top-up tax to the MNE group for that fiscal year.</w:t>
            </w:r>
          </w:p>
        </w:tc>
        <w:tc>
          <w:tcPr>
            <w:tcW w:w="990" w:type="dxa"/>
            <w:gridSpan w:val="2"/>
          </w:tcPr>
          <w:p w14:paraId="0C7FA10C" w14:textId="67E28767"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1751F413" w14:textId="265BEA28" w:rsidR="007B58EB" w:rsidRPr="005E6D70" w:rsidRDefault="00DF36E6"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13(8)</w:t>
            </w:r>
          </w:p>
        </w:tc>
        <w:tc>
          <w:tcPr>
            <w:tcW w:w="4680" w:type="dxa"/>
            <w:gridSpan w:val="2"/>
          </w:tcPr>
          <w:p w14:paraId="3E0D2CEC" w14:textId="7E4CDB26" w:rsidR="007B58EB" w:rsidRPr="005E6D70" w:rsidRDefault="00DF36E6"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8. By way of derogation from paragraph 5, of this Article, the percentage attributable to a jurisdiction under the undertaxed profit rule in respect of a multinational enterprise group for a given fiscal year shall be deemed to be zero if, as a result of the amount of top-up tax under the undertaxed profit rule allocated to that jurisdiction in the preceding fiscal year, the constituent entities of that multinational enterprise group that are located in that jurisdiction do not have an additional cash tax expense that is collectively equal to the amount of the top-up tax under the undertaxed profit rule for that preceding fiscal year allocated to that jurisdiction. The number of employees and the net book value of tangible assets of the constituent entities of a multinational enterprise group located in a jurisdiction with a percentage under the undertaxed profit rule equal to zero for a given fiscal year shall be excluded from the elements of the formula for allocating the total top-up tax under the undertaxed profit rule to the multinational enterprise group for that fiscal year.</w:t>
            </w:r>
          </w:p>
        </w:tc>
        <w:tc>
          <w:tcPr>
            <w:tcW w:w="1530" w:type="dxa"/>
          </w:tcPr>
          <w:p w14:paraId="1A8134E3" w14:textId="22DB3788"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69D6ADD9" w14:textId="2C3D0D6E" w:rsidR="007B58EB" w:rsidRPr="005E6D70" w:rsidRDefault="009B3237"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Structural consolidation of the two unnumbered subparagraphs into a single paragraph. Direct transposition in substance.</w:t>
            </w:r>
          </w:p>
        </w:tc>
      </w:tr>
      <w:tr w:rsidR="007B58EB" w:rsidRPr="005E6D70" w14:paraId="002016A2" w14:textId="77777777" w:rsidTr="00073B1B">
        <w:trPr>
          <w:trHeight w:val="53"/>
        </w:trPr>
        <w:tc>
          <w:tcPr>
            <w:tcW w:w="990" w:type="dxa"/>
            <w:gridSpan w:val="2"/>
          </w:tcPr>
          <w:p w14:paraId="58C3BAA2" w14:textId="2A1A62A1"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14(9)</w:t>
            </w:r>
          </w:p>
        </w:tc>
        <w:tc>
          <w:tcPr>
            <w:tcW w:w="4860" w:type="dxa"/>
          </w:tcPr>
          <w:p w14:paraId="434FC3AB" w14:textId="4C600EBF" w:rsidR="007B58EB" w:rsidRPr="005E6D70" w:rsidRDefault="007B58EB" w:rsidP="007B58EB">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9. Paragraph 8 shall not apply for a fiscal year if all jurisdictions with a qualified UTPR in force for the fiscal year have a UTPR percentage of zero for the MNE group for that fiscal year.</w:t>
            </w:r>
          </w:p>
        </w:tc>
        <w:tc>
          <w:tcPr>
            <w:tcW w:w="990" w:type="dxa"/>
            <w:gridSpan w:val="2"/>
          </w:tcPr>
          <w:p w14:paraId="74CD062A" w14:textId="78717AFE" w:rsidR="007B58EB" w:rsidRPr="005E6D70" w:rsidRDefault="007B58EB"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1080" w:type="dxa"/>
            <w:gridSpan w:val="2"/>
          </w:tcPr>
          <w:p w14:paraId="78727556" w14:textId="0033801C" w:rsidR="007B58EB" w:rsidRPr="005E6D70" w:rsidRDefault="00DF36E6" w:rsidP="007B58EB">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13(9)</w:t>
            </w:r>
          </w:p>
        </w:tc>
        <w:tc>
          <w:tcPr>
            <w:tcW w:w="4680" w:type="dxa"/>
            <w:gridSpan w:val="2"/>
          </w:tcPr>
          <w:p w14:paraId="5A0C5CA7" w14:textId="1AE8B095" w:rsidR="007B58EB" w:rsidRPr="005E6D70" w:rsidRDefault="00DF36E6" w:rsidP="00754FB1">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9. Paragraph 8, of this Article, does not apply to a fiscal year if all jurisdictions with a qualified undertaxed profit rule in force for the fiscal year have a percentage of zero under the qualified undertaxed profit rule in respect of the multinational enterprise group for that fiscal year.</w:t>
            </w:r>
          </w:p>
        </w:tc>
        <w:tc>
          <w:tcPr>
            <w:tcW w:w="1530" w:type="dxa"/>
          </w:tcPr>
          <w:p w14:paraId="274B489D" w14:textId="4EEE1593" w:rsidR="007B58EB" w:rsidRPr="005E6D70" w:rsidRDefault="007B58EB" w:rsidP="007B58EB">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bCs/>
                <w:sz w:val="18"/>
                <w:szCs w:val="18"/>
                <w:lang w:val="en-US"/>
              </w:rPr>
              <w:t>F</w:t>
            </w:r>
          </w:p>
        </w:tc>
        <w:tc>
          <w:tcPr>
            <w:tcW w:w="1350" w:type="dxa"/>
          </w:tcPr>
          <w:p w14:paraId="0E2D6FA0" w14:textId="69B232C4" w:rsidR="007B58EB" w:rsidRPr="005E6D70" w:rsidRDefault="009B3237" w:rsidP="007B58EB">
            <w:pP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Direct transposition in substance.</w:t>
            </w:r>
          </w:p>
        </w:tc>
      </w:tr>
      <w:tr w:rsidR="00465215" w:rsidRPr="005E6D70" w14:paraId="4E5549D6" w14:textId="77777777" w:rsidTr="009170D4">
        <w:tc>
          <w:tcPr>
            <w:tcW w:w="810" w:type="dxa"/>
            <w:shd w:val="clear" w:color="auto" w:fill="92D050"/>
          </w:tcPr>
          <w:p w14:paraId="1681D184" w14:textId="77777777" w:rsidR="00465215" w:rsidRPr="005E6D70" w:rsidRDefault="00465215" w:rsidP="009170D4">
            <w:pPr>
              <w:jc w:val="center"/>
              <w:rPr>
                <w:rFonts w:ascii="Times New Roman" w:eastAsia="Calibri" w:hAnsi="Times New Roman" w:cs="Times New Roman"/>
                <w:i/>
                <w:sz w:val="18"/>
                <w:szCs w:val="18"/>
                <w:lang w:val="en-US"/>
              </w:rPr>
            </w:pPr>
          </w:p>
        </w:tc>
        <w:tc>
          <w:tcPr>
            <w:tcW w:w="5040" w:type="dxa"/>
            <w:gridSpan w:val="2"/>
            <w:shd w:val="clear" w:color="auto" w:fill="92D050"/>
          </w:tcPr>
          <w:p w14:paraId="0D4F7ACA" w14:textId="77777777" w:rsidR="00465215" w:rsidRPr="005E6D70" w:rsidRDefault="00465215" w:rsidP="009170D4">
            <w:pPr>
              <w:pStyle w:val="Heading2"/>
              <w:rPr>
                <w:rFonts w:ascii="Times New Roman" w:eastAsia="Calibri" w:hAnsi="Times New Roman" w:cs="Times New Roman"/>
                <w:iCs/>
                <w:color w:val="auto"/>
                <w:sz w:val="18"/>
                <w:szCs w:val="18"/>
                <w:lang w:val="en-US"/>
              </w:rPr>
            </w:pPr>
            <w:r w:rsidRPr="005E6D70">
              <w:rPr>
                <w:rFonts w:ascii="Times New Roman" w:eastAsia="Calibri" w:hAnsi="Times New Roman" w:cs="Times New Roman"/>
                <w:iCs/>
                <w:color w:val="auto"/>
                <w:sz w:val="18"/>
                <w:szCs w:val="18"/>
                <w:lang w:val="en-US"/>
              </w:rPr>
              <w:t>CHAPTER III</w:t>
            </w:r>
          </w:p>
          <w:p w14:paraId="3D2655F3" w14:textId="77777777" w:rsidR="00465215" w:rsidRPr="005E6D70" w:rsidRDefault="00465215" w:rsidP="009170D4">
            <w:pPr>
              <w:rPr>
                <w:rFonts w:ascii="Times New Roman" w:eastAsia="Calibri" w:hAnsi="Times New Roman" w:cs="Times New Roman"/>
                <w:b/>
                <w:i/>
                <w:sz w:val="18"/>
                <w:szCs w:val="18"/>
                <w:lang w:val="en-US"/>
              </w:rPr>
            </w:pPr>
            <w:r w:rsidRPr="005E6D70">
              <w:rPr>
                <w:rFonts w:ascii="Times New Roman" w:eastAsia="Calibri" w:hAnsi="Times New Roman" w:cs="Times New Roman"/>
                <w:iCs/>
                <w:sz w:val="18"/>
                <w:szCs w:val="18"/>
                <w:lang w:val="en-US"/>
              </w:rPr>
              <w:t>COMPUTATION OF THE QUALIFYING INCOME OR LOSS</w:t>
            </w:r>
          </w:p>
        </w:tc>
        <w:tc>
          <w:tcPr>
            <w:tcW w:w="810" w:type="dxa"/>
            <w:shd w:val="clear" w:color="auto" w:fill="92D050"/>
          </w:tcPr>
          <w:p w14:paraId="02BC1875" w14:textId="77777777" w:rsidR="00465215" w:rsidRPr="005E6D70" w:rsidRDefault="00465215" w:rsidP="009170D4">
            <w:pPr>
              <w:jc w:val="center"/>
              <w:rPr>
                <w:rFonts w:ascii="Times New Roman" w:eastAsia="Calibri" w:hAnsi="Times New Roman" w:cs="Times New Roman"/>
                <w:b/>
                <w:i/>
                <w:sz w:val="18"/>
                <w:szCs w:val="18"/>
                <w:lang w:val="en-US"/>
              </w:rPr>
            </w:pPr>
            <w:r w:rsidRPr="005E6D70">
              <w:rPr>
                <w:rFonts w:ascii="Times New Roman" w:eastAsia="Calibri" w:hAnsi="Times New Roman" w:cs="Times New Roman"/>
                <w:sz w:val="18"/>
                <w:szCs w:val="18"/>
                <w:lang w:val="en-US"/>
              </w:rPr>
              <w:t>1</w:t>
            </w:r>
          </w:p>
        </w:tc>
        <w:tc>
          <w:tcPr>
            <w:tcW w:w="990" w:type="dxa"/>
            <w:gridSpan w:val="2"/>
            <w:shd w:val="clear" w:color="auto" w:fill="92D050"/>
          </w:tcPr>
          <w:p w14:paraId="0502F76E" w14:textId="77777777" w:rsidR="00465215" w:rsidRPr="005E6D70" w:rsidRDefault="00465215" w:rsidP="009170D4">
            <w:pPr>
              <w:jc w:val="center"/>
              <w:rPr>
                <w:rFonts w:ascii="Times New Roman" w:eastAsia="Calibri" w:hAnsi="Times New Roman" w:cs="Times New Roman"/>
                <w:b/>
                <w:i/>
                <w:sz w:val="18"/>
                <w:szCs w:val="18"/>
                <w:lang w:val="en-US"/>
              </w:rPr>
            </w:pPr>
          </w:p>
        </w:tc>
        <w:tc>
          <w:tcPr>
            <w:tcW w:w="4680" w:type="dxa"/>
            <w:gridSpan w:val="2"/>
            <w:shd w:val="clear" w:color="auto" w:fill="92D050"/>
          </w:tcPr>
          <w:p w14:paraId="5DDAEFE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CHAPTER III COMPUTATION OF THE QUALIFYING INCOME OR LOSS</w:t>
            </w:r>
          </w:p>
        </w:tc>
        <w:tc>
          <w:tcPr>
            <w:tcW w:w="1800" w:type="dxa"/>
            <w:gridSpan w:val="2"/>
            <w:shd w:val="clear" w:color="auto" w:fill="92D050"/>
          </w:tcPr>
          <w:p w14:paraId="333289EA"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shd w:val="clear" w:color="auto" w:fill="92D050"/>
          </w:tcPr>
          <w:p w14:paraId="34E19D1E"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structural alignment with the Directive.</w:t>
            </w:r>
          </w:p>
        </w:tc>
      </w:tr>
      <w:tr w:rsidR="00465215" w:rsidRPr="005E6D70" w14:paraId="2C6DC4AC" w14:textId="77777777" w:rsidTr="009170D4">
        <w:tc>
          <w:tcPr>
            <w:tcW w:w="810" w:type="dxa"/>
            <w:shd w:val="clear" w:color="auto" w:fill="D9D9D9" w:themeFill="background1" w:themeFillShade="D9"/>
          </w:tcPr>
          <w:p w14:paraId="38FE6A96"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134BE02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15. Determination of the qualifying income or loss</w:t>
            </w:r>
          </w:p>
        </w:tc>
        <w:tc>
          <w:tcPr>
            <w:tcW w:w="810" w:type="dxa"/>
            <w:shd w:val="clear" w:color="auto" w:fill="D9D9D9" w:themeFill="background1" w:themeFillShade="D9"/>
          </w:tcPr>
          <w:p w14:paraId="60E2DB9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shd w:val="clear" w:color="auto" w:fill="D9D9D9" w:themeFill="background1" w:themeFillShade="D9"/>
          </w:tcPr>
          <w:p w14:paraId="7A0FC64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w:t>
            </w:r>
          </w:p>
        </w:tc>
        <w:tc>
          <w:tcPr>
            <w:tcW w:w="4680" w:type="dxa"/>
            <w:gridSpan w:val="2"/>
            <w:shd w:val="clear" w:color="auto" w:fill="D9D9D9" w:themeFill="background1" w:themeFillShade="D9"/>
          </w:tcPr>
          <w:p w14:paraId="4A36DDD3"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Article 14. General Principles for Determining Qualifying Income or Loss</w:t>
            </w:r>
          </w:p>
        </w:tc>
        <w:tc>
          <w:tcPr>
            <w:tcW w:w="1800" w:type="dxa"/>
            <w:gridSpan w:val="2"/>
            <w:shd w:val="clear" w:color="auto" w:fill="D9D9D9" w:themeFill="background1" w:themeFillShade="D9"/>
          </w:tcPr>
          <w:p w14:paraId="35E8B282"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shd w:val="clear" w:color="auto" w:fill="D9D9D9" w:themeFill="background1" w:themeFillShade="D9"/>
          </w:tcPr>
          <w:p w14:paraId="3B14EA50"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Structurally transposed as Article 14 in the draft law. The title is adapted to align with national legislative drafting standards.</w:t>
            </w:r>
          </w:p>
        </w:tc>
      </w:tr>
      <w:tr w:rsidR="00465215" w:rsidRPr="005E6D70" w14:paraId="3D77B84A" w14:textId="77777777" w:rsidTr="009170D4">
        <w:tc>
          <w:tcPr>
            <w:tcW w:w="810" w:type="dxa"/>
          </w:tcPr>
          <w:p w14:paraId="0A1ECA8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15(1)</w:t>
            </w:r>
          </w:p>
        </w:tc>
        <w:tc>
          <w:tcPr>
            <w:tcW w:w="5040" w:type="dxa"/>
            <w:gridSpan w:val="2"/>
          </w:tcPr>
          <w:p w14:paraId="5A4BB6C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The qualifying income or loss of a constituent entity shall be computed by making the adjustments set out in Articles 16 to 19 to the financial accounting net income or loss of the constituent entity for the fiscal year before any consolidation adjustments for eliminating intra-group transactions, as determined under the accounting standard used in the preparation of the consolidated financial statements of the ultimate parent entity.</w:t>
            </w:r>
          </w:p>
        </w:tc>
        <w:tc>
          <w:tcPr>
            <w:tcW w:w="810" w:type="dxa"/>
          </w:tcPr>
          <w:p w14:paraId="25AF595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3042EA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14(1)</w:t>
            </w:r>
          </w:p>
        </w:tc>
        <w:tc>
          <w:tcPr>
            <w:tcW w:w="4680" w:type="dxa"/>
            <w:gridSpan w:val="2"/>
          </w:tcPr>
          <w:p w14:paraId="627ED61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The qualifying income or loss of a constituent entity shall be computed by making the adjustments set out in Articles 15 to 19, of this Law, to the financial accounting net income or loss of the constituent entity for the fiscal year before any consolidation adjustments for eliminating intra-group transactions, as determined under the accounting standard used in the preparation of the consolidated financial statements of the ultimate parent entity.</w:t>
            </w:r>
          </w:p>
        </w:tc>
        <w:tc>
          <w:tcPr>
            <w:tcW w:w="1800" w:type="dxa"/>
            <w:gridSpan w:val="2"/>
          </w:tcPr>
          <w:p w14:paraId="36E93D1A"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2CD9E01E"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 (updating cross-references to the corresponding national articles and adding the phrase "of this Law").</w:t>
            </w:r>
          </w:p>
        </w:tc>
      </w:tr>
      <w:tr w:rsidR="00465215" w:rsidRPr="005E6D70" w14:paraId="33B7F364" w14:textId="77777777" w:rsidTr="009170D4">
        <w:tc>
          <w:tcPr>
            <w:tcW w:w="810" w:type="dxa"/>
          </w:tcPr>
          <w:p w14:paraId="34E5BD1C"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15(2)</w:t>
            </w:r>
          </w:p>
        </w:tc>
        <w:tc>
          <w:tcPr>
            <w:tcW w:w="5040" w:type="dxa"/>
            <w:gridSpan w:val="2"/>
          </w:tcPr>
          <w:p w14:paraId="6C94A6EC" w14:textId="77777777" w:rsidR="00465215" w:rsidRPr="005E6D70" w:rsidRDefault="00465215" w:rsidP="009170D4">
            <w:pPr>
              <w:pStyle w:val="Heading2"/>
              <w:jc w:val="both"/>
              <w:rPr>
                <w:rFonts w:ascii="Times New Roman" w:eastAsia="Calibri" w:hAnsi="Times New Roman" w:cs="Times New Roman"/>
                <w:iCs/>
                <w:color w:val="auto"/>
                <w:sz w:val="18"/>
                <w:szCs w:val="18"/>
                <w:lang w:val="en-US"/>
              </w:rPr>
            </w:pPr>
            <w:r w:rsidRPr="005E6D70">
              <w:rPr>
                <w:rFonts w:ascii="Times New Roman" w:eastAsia="Calibri" w:hAnsi="Times New Roman" w:cs="Times New Roman"/>
                <w:iCs/>
                <w:color w:val="auto"/>
                <w:sz w:val="18"/>
                <w:szCs w:val="18"/>
                <w:lang w:val="en-US"/>
              </w:rPr>
              <w:t>2. Where it is not reasonably practicable to determine the financial accounting net income or loss of a constituent entity based on the acceptable financial accounting standard or authorised financial accounting standard used in the preparation of the consolidated financial statements of the ultimate parent entity, the financial accounting net income or loss of the constituent entity for the fiscal year may be determined using another acceptable financial accounting standard or an authorised</w:t>
            </w:r>
          </w:p>
        </w:tc>
        <w:tc>
          <w:tcPr>
            <w:tcW w:w="810" w:type="dxa"/>
          </w:tcPr>
          <w:p w14:paraId="1DD49E14" w14:textId="77777777" w:rsidR="00465215" w:rsidRPr="005E6D70" w:rsidRDefault="00465215" w:rsidP="009170D4">
            <w:pPr>
              <w:jc w:val="center"/>
              <w:rPr>
                <w:rFonts w:ascii="Times New Roman" w:eastAsia="Calibri" w:hAnsi="Times New Roman" w:cs="Times New Roman"/>
                <w:bCs/>
                <w:iCs/>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00C11FF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14(2) intro</w:t>
            </w:r>
          </w:p>
        </w:tc>
        <w:tc>
          <w:tcPr>
            <w:tcW w:w="4680" w:type="dxa"/>
            <w:gridSpan w:val="2"/>
          </w:tcPr>
          <w:p w14:paraId="0BF2F64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Where it is not reasonably practicable to determine the financial accounting net income or loss of a constituent entity based on the acceptable financial accounting standard or authorised financial accounting standard used in the preparation of the consolidated financial statements of the ultimate parent entity, the financial accounting net income or loss of the constituent entity for the fiscal year may be determined using another acceptable financial accounting standard or an authorised financial accounting standard, provided that:</w:t>
            </w:r>
          </w:p>
        </w:tc>
        <w:tc>
          <w:tcPr>
            <w:tcW w:w="1800" w:type="dxa"/>
            <w:gridSpan w:val="2"/>
          </w:tcPr>
          <w:p w14:paraId="02DEF590"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E7F464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27F86685" w14:textId="77777777" w:rsidTr="009170D4">
        <w:tc>
          <w:tcPr>
            <w:tcW w:w="810" w:type="dxa"/>
          </w:tcPr>
          <w:p w14:paraId="3301111B"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15(2a)</w:t>
            </w:r>
          </w:p>
        </w:tc>
        <w:tc>
          <w:tcPr>
            <w:tcW w:w="5040" w:type="dxa"/>
            <w:gridSpan w:val="2"/>
          </w:tcPr>
          <w:p w14:paraId="4AFA011D" w14:textId="77777777" w:rsidR="00465215" w:rsidRPr="005E6D70" w:rsidRDefault="00465215" w:rsidP="009170D4">
            <w:pPr>
              <w:jc w:val="both"/>
              <w:rPr>
                <w:rFonts w:ascii="Times New Roman" w:eastAsia="Calibri" w:hAnsi="Times New Roman" w:cs="Times New Roman"/>
                <w:bCs/>
                <w:iCs/>
                <w:sz w:val="18"/>
                <w:szCs w:val="18"/>
                <w:lang w:val="en-US"/>
              </w:rPr>
            </w:pPr>
            <w:r w:rsidRPr="005E6D70">
              <w:rPr>
                <w:rFonts w:ascii="Times New Roman" w:eastAsia="Calibri" w:hAnsi="Times New Roman" w:cs="Times New Roman"/>
                <w:iCs/>
                <w:sz w:val="18"/>
                <w:szCs w:val="18"/>
                <w:lang w:val="en-US"/>
              </w:rPr>
              <w:t>(a) the financial accounts of the constituent entity are maintained based on that accounting standard;</w:t>
            </w:r>
          </w:p>
        </w:tc>
        <w:tc>
          <w:tcPr>
            <w:tcW w:w="810" w:type="dxa"/>
          </w:tcPr>
          <w:p w14:paraId="74099A3C" w14:textId="77777777" w:rsidR="00465215" w:rsidRPr="005E6D70" w:rsidRDefault="00465215" w:rsidP="009170D4">
            <w:pPr>
              <w:jc w:val="center"/>
              <w:rPr>
                <w:rFonts w:ascii="Times New Roman" w:eastAsia="Calibri" w:hAnsi="Times New Roman" w:cs="Times New Roman"/>
                <w:bCs/>
                <w:iCs/>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2F6EF4C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14(2)(a)</w:t>
            </w:r>
          </w:p>
        </w:tc>
        <w:tc>
          <w:tcPr>
            <w:tcW w:w="4680" w:type="dxa"/>
            <w:gridSpan w:val="2"/>
          </w:tcPr>
          <w:p w14:paraId="4EB1F97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the financial accounts of the constituent entity are maintained based on that accounting standard;</w:t>
            </w:r>
          </w:p>
        </w:tc>
        <w:tc>
          <w:tcPr>
            <w:tcW w:w="1800" w:type="dxa"/>
            <w:gridSpan w:val="2"/>
          </w:tcPr>
          <w:p w14:paraId="1CBC55C0"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00326279"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consolidation for national legislative compliance.</w:t>
            </w:r>
          </w:p>
        </w:tc>
      </w:tr>
      <w:tr w:rsidR="00465215" w:rsidRPr="005E6D70" w14:paraId="6B1352C2" w14:textId="77777777" w:rsidTr="009170D4">
        <w:tc>
          <w:tcPr>
            <w:tcW w:w="810" w:type="dxa"/>
          </w:tcPr>
          <w:p w14:paraId="7F81B662"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15(2b)</w:t>
            </w:r>
          </w:p>
        </w:tc>
        <w:tc>
          <w:tcPr>
            <w:tcW w:w="5040" w:type="dxa"/>
            <w:gridSpan w:val="2"/>
          </w:tcPr>
          <w:p w14:paraId="2E3ED36D" w14:textId="77777777" w:rsidR="00465215" w:rsidRPr="005E6D70" w:rsidRDefault="00465215" w:rsidP="009170D4">
            <w:pPr>
              <w:jc w:val="both"/>
              <w:rPr>
                <w:rFonts w:ascii="Times New Roman" w:eastAsia="Calibri" w:hAnsi="Times New Roman" w:cs="Times New Roman"/>
                <w:bCs/>
                <w:iCs/>
                <w:sz w:val="18"/>
                <w:szCs w:val="18"/>
                <w:lang w:val="en-US"/>
              </w:rPr>
            </w:pPr>
            <w:r w:rsidRPr="005E6D70">
              <w:rPr>
                <w:rFonts w:ascii="Times New Roman" w:eastAsia="Calibri" w:hAnsi="Times New Roman" w:cs="Times New Roman"/>
                <w:iCs/>
                <w:sz w:val="18"/>
                <w:szCs w:val="18"/>
                <w:lang w:val="en-US"/>
              </w:rPr>
              <w:t>(b) the information contained in the financial accounts is reliable; and;</w:t>
            </w:r>
          </w:p>
        </w:tc>
        <w:tc>
          <w:tcPr>
            <w:tcW w:w="810" w:type="dxa"/>
          </w:tcPr>
          <w:p w14:paraId="3B41BFF5" w14:textId="77777777" w:rsidR="00465215" w:rsidRPr="005E6D70" w:rsidRDefault="00465215" w:rsidP="009170D4">
            <w:pPr>
              <w:jc w:val="center"/>
              <w:rPr>
                <w:rFonts w:ascii="Times New Roman" w:eastAsia="Calibri" w:hAnsi="Times New Roman" w:cs="Times New Roman"/>
                <w:bCs/>
                <w:iCs/>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646DFF2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14(2)(b)</w:t>
            </w:r>
          </w:p>
        </w:tc>
        <w:tc>
          <w:tcPr>
            <w:tcW w:w="4680" w:type="dxa"/>
            <w:gridSpan w:val="2"/>
          </w:tcPr>
          <w:p w14:paraId="6AE2839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the information contained in the financial accounts is reliable; and</w:t>
            </w:r>
          </w:p>
        </w:tc>
        <w:tc>
          <w:tcPr>
            <w:tcW w:w="1800" w:type="dxa"/>
            <w:gridSpan w:val="2"/>
          </w:tcPr>
          <w:p w14:paraId="0EDFEEF6"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FDF0D70"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consolidation for national legislative compliance.</w:t>
            </w:r>
          </w:p>
        </w:tc>
      </w:tr>
      <w:tr w:rsidR="00465215" w:rsidRPr="005E6D70" w14:paraId="1DFFF623" w14:textId="77777777" w:rsidTr="009170D4">
        <w:tc>
          <w:tcPr>
            <w:tcW w:w="810" w:type="dxa"/>
          </w:tcPr>
          <w:p w14:paraId="5F5ACAD8"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15(2c)</w:t>
            </w:r>
          </w:p>
        </w:tc>
        <w:tc>
          <w:tcPr>
            <w:tcW w:w="5040" w:type="dxa"/>
            <w:gridSpan w:val="2"/>
          </w:tcPr>
          <w:p w14:paraId="3924AFBD" w14:textId="77777777" w:rsidR="00465215" w:rsidRPr="005E6D70" w:rsidRDefault="00465215" w:rsidP="009170D4">
            <w:pPr>
              <w:jc w:val="both"/>
              <w:rPr>
                <w:rFonts w:ascii="Times New Roman" w:eastAsia="Calibri" w:hAnsi="Times New Roman" w:cs="Times New Roman"/>
                <w:bCs/>
                <w:iCs/>
                <w:sz w:val="18"/>
                <w:szCs w:val="18"/>
                <w:lang w:val="en-US"/>
              </w:rPr>
            </w:pPr>
            <w:r w:rsidRPr="005E6D70">
              <w:rPr>
                <w:rFonts w:ascii="Times New Roman" w:eastAsia="Calibri" w:hAnsi="Times New Roman" w:cs="Times New Roman"/>
                <w:iCs/>
                <w:sz w:val="18"/>
                <w:szCs w:val="18"/>
                <w:lang w:val="en-US"/>
              </w:rPr>
              <w:t xml:space="preserve">(c) permanent differences in excess of EUR 1 000 000 that arise from the application of a particular principle or standard to items of income or expense or transactions, where that principle or standard differs from the financial standard used in the preparation of the consolidated financial statements of the ultimate parent entity, are adjusted to conform to the treatment required for that item under the </w:t>
            </w:r>
            <w:r w:rsidRPr="005E6D70">
              <w:rPr>
                <w:rFonts w:ascii="Times New Roman" w:eastAsia="Calibri" w:hAnsi="Times New Roman" w:cs="Times New Roman"/>
                <w:iCs/>
                <w:sz w:val="18"/>
                <w:szCs w:val="18"/>
                <w:lang w:val="en-US"/>
              </w:rPr>
              <w:lastRenderedPageBreak/>
              <w:t>accounting standard used in the preparation of the consolidated financial statements.</w:t>
            </w:r>
          </w:p>
        </w:tc>
        <w:tc>
          <w:tcPr>
            <w:tcW w:w="810" w:type="dxa"/>
          </w:tcPr>
          <w:p w14:paraId="4F76B562" w14:textId="77777777" w:rsidR="00465215" w:rsidRPr="005E6D70" w:rsidRDefault="00465215" w:rsidP="009170D4">
            <w:pPr>
              <w:jc w:val="center"/>
              <w:rPr>
                <w:rFonts w:ascii="Times New Roman" w:eastAsia="Calibri" w:hAnsi="Times New Roman" w:cs="Times New Roman"/>
                <w:bCs/>
                <w:iCs/>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181954A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14(2)(c)</w:t>
            </w:r>
          </w:p>
        </w:tc>
        <w:tc>
          <w:tcPr>
            <w:tcW w:w="4680" w:type="dxa"/>
            <w:gridSpan w:val="2"/>
          </w:tcPr>
          <w:p w14:paraId="1ED0912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c) permanent differences in excess of EUR 1,000,000 that arise from the application of a particular principle or standard to items of income or expense or transactions, where that principle or standard differs from the financial standard used in the preparation of the consolidated financial statements of the ultimate parent entity, are adjusted to conform to the </w:t>
            </w:r>
            <w:r w:rsidRPr="005E6D70">
              <w:rPr>
                <w:rFonts w:ascii="Times New Roman" w:eastAsia="Calibri" w:hAnsi="Times New Roman" w:cs="Times New Roman"/>
                <w:iCs/>
                <w:sz w:val="18"/>
                <w:szCs w:val="18"/>
                <w:lang w:val="en-US"/>
              </w:rPr>
              <w:lastRenderedPageBreak/>
              <w:t>treatment required for that item under the accounting standard used in the preparation of the consolidated financial statements.</w:t>
            </w:r>
          </w:p>
        </w:tc>
        <w:tc>
          <w:tcPr>
            <w:tcW w:w="1800" w:type="dxa"/>
            <w:gridSpan w:val="2"/>
          </w:tcPr>
          <w:p w14:paraId="425CADBA"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78819361"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consolidation for national legislative compliance.</w:t>
            </w:r>
          </w:p>
        </w:tc>
      </w:tr>
      <w:tr w:rsidR="00465215" w:rsidRPr="005E6D70" w14:paraId="09CD7637" w14:textId="77777777" w:rsidTr="009170D4">
        <w:tc>
          <w:tcPr>
            <w:tcW w:w="810" w:type="dxa"/>
          </w:tcPr>
          <w:p w14:paraId="7F9266F7"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15(3)</w:t>
            </w:r>
          </w:p>
        </w:tc>
        <w:tc>
          <w:tcPr>
            <w:tcW w:w="5040" w:type="dxa"/>
            <w:gridSpan w:val="2"/>
          </w:tcPr>
          <w:p w14:paraId="2E851229" w14:textId="77777777" w:rsidR="00465215" w:rsidRPr="005E6D70" w:rsidRDefault="00465215" w:rsidP="009170D4">
            <w:pPr>
              <w:pStyle w:val="Heading2"/>
              <w:jc w:val="both"/>
              <w:rPr>
                <w:rFonts w:ascii="Times New Roman" w:eastAsia="Calibri" w:hAnsi="Times New Roman" w:cs="Times New Roman"/>
                <w:iCs/>
                <w:color w:val="auto"/>
                <w:sz w:val="18"/>
                <w:szCs w:val="18"/>
                <w:lang w:val="en-US"/>
              </w:rPr>
            </w:pPr>
            <w:r w:rsidRPr="005E6D70">
              <w:rPr>
                <w:rFonts w:ascii="Times New Roman" w:eastAsia="Calibri" w:hAnsi="Times New Roman" w:cs="Times New Roman"/>
                <w:iCs/>
                <w:color w:val="auto"/>
                <w:sz w:val="18"/>
                <w:szCs w:val="18"/>
                <w:lang w:val="en-US"/>
              </w:rPr>
              <w:t>3. Where an ultimate parent entity has not prepared its consolidated financial statements in accordance with an acceptable financial accounting standard as referred to in Article 3, point (6)(c), the consolidated financial statements of the ultimate parent entity shall be adjusted to prevent any material competitive distortion.</w:t>
            </w:r>
          </w:p>
        </w:tc>
        <w:tc>
          <w:tcPr>
            <w:tcW w:w="810" w:type="dxa"/>
          </w:tcPr>
          <w:p w14:paraId="42166F42" w14:textId="77777777" w:rsidR="00465215" w:rsidRPr="005E6D70" w:rsidRDefault="00465215" w:rsidP="009170D4">
            <w:pPr>
              <w:jc w:val="center"/>
              <w:rPr>
                <w:rFonts w:ascii="Times New Roman" w:eastAsia="Calibri" w:hAnsi="Times New Roman" w:cs="Times New Roman"/>
                <w:bCs/>
                <w:iCs/>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71B711F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14(3)</w:t>
            </w:r>
          </w:p>
        </w:tc>
        <w:tc>
          <w:tcPr>
            <w:tcW w:w="4680" w:type="dxa"/>
            <w:gridSpan w:val="2"/>
          </w:tcPr>
          <w:p w14:paraId="173811A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Where an ultimate parent entity has not prepared its consolidated financial statements in accordance with an acceptable financial accounting standard as referred to in letter “c”, of paragraph 6, of Article 4, of this Law, the consolidated financial statements of the ultimate parent entity shall be adjusted to prevent any material competitive distortion.</w:t>
            </w:r>
          </w:p>
          <w:p w14:paraId="5D0A4268" w14:textId="77777777" w:rsidR="00465215" w:rsidRPr="005E6D70" w:rsidRDefault="00465215" w:rsidP="009170D4">
            <w:pPr>
              <w:rPr>
                <w:rFonts w:ascii="Times New Roman" w:eastAsia="Calibri" w:hAnsi="Times New Roman" w:cs="Times New Roman"/>
                <w:iCs/>
                <w:sz w:val="18"/>
                <w:szCs w:val="18"/>
                <w:lang w:val="en-US"/>
              </w:rPr>
            </w:pPr>
          </w:p>
          <w:p w14:paraId="6DA26A98" w14:textId="77777777" w:rsidR="00465215" w:rsidRPr="005E6D70" w:rsidRDefault="00465215" w:rsidP="009170D4">
            <w:pPr>
              <w:jc w:val="center"/>
              <w:rPr>
                <w:rFonts w:ascii="Times New Roman" w:eastAsia="Calibri" w:hAnsi="Times New Roman" w:cs="Times New Roman"/>
                <w:sz w:val="18"/>
                <w:szCs w:val="18"/>
                <w:lang w:val="en-US"/>
              </w:rPr>
            </w:pPr>
          </w:p>
        </w:tc>
        <w:tc>
          <w:tcPr>
            <w:tcW w:w="1800" w:type="dxa"/>
            <w:gridSpan w:val="2"/>
          </w:tcPr>
          <w:p w14:paraId="0AE028C2"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54883E5E"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 (adapting the internal cross-reference to the corresponding national provision in Article 4).</w:t>
            </w:r>
          </w:p>
        </w:tc>
      </w:tr>
      <w:tr w:rsidR="00465215" w:rsidRPr="005E6D70" w14:paraId="6B7BF94C" w14:textId="77777777" w:rsidTr="009170D4">
        <w:tc>
          <w:tcPr>
            <w:tcW w:w="810" w:type="dxa"/>
          </w:tcPr>
          <w:p w14:paraId="2A3CDC32"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15(4)</w:t>
            </w:r>
          </w:p>
        </w:tc>
        <w:tc>
          <w:tcPr>
            <w:tcW w:w="5040" w:type="dxa"/>
            <w:gridSpan w:val="2"/>
          </w:tcPr>
          <w:p w14:paraId="7BD83730" w14:textId="77777777" w:rsidR="00465215" w:rsidRPr="005E6D70" w:rsidRDefault="00465215" w:rsidP="009170D4">
            <w:pPr>
              <w:pStyle w:val="Heading2"/>
              <w:jc w:val="both"/>
              <w:rPr>
                <w:rFonts w:ascii="Times New Roman" w:eastAsia="Calibri" w:hAnsi="Times New Roman" w:cs="Times New Roman"/>
                <w:iCs/>
                <w:color w:val="auto"/>
                <w:sz w:val="18"/>
                <w:szCs w:val="18"/>
                <w:lang w:val="en-US"/>
              </w:rPr>
            </w:pPr>
            <w:r w:rsidRPr="005E6D70">
              <w:rPr>
                <w:rFonts w:ascii="Times New Roman" w:eastAsia="Calibri" w:hAnsi="Times New Roman" w:cs="Times New Roman"/>
                <w:iCs/>
                <w:color w:val="auto"/>
                <w:sz w:val="18"/>
                <w:szCs w:val="18"/>
                <w:lang w:val="en-US"/>
              </w:rPr>
              <w:t>4. Where an ultimate parent entity does not prepare consolidated financial statements as referred to in Article 3, points (6)(a), (b) and (c), the consolidated financial statements of the ultimate parent entity referred to in Article 3, point (6)(d), shall be those that would have been prepared if the ultimate parent entity were required to prepare such consolidated financial statements in accordance with:</w:t>
            </w:r>
          </w:p>
        </w:tc>
        <w:tc>
          <w:tcPr>
            <w:tcW w:w="810" w:type="dxa"/>
          </w:tcPr>
          <w:p w14:paraId="30CA2227" w14:textId="77777777" w:rsidR="00465215" w:rsidRPr="005E6D70" w:rsidRDefault="00465215" w:rsidP="009170D4">
            <w:pPr>
              <w:jc w:val="center"/>
              <w:rPr>
                <w:rFonts w:ascii="Times New Roman" w:eastAsia="Calibri" w:hAnsi="Times New Roman" w:cs="Times New Roman"/>
                <w:bCs/>
                <w:iCs/>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58CF36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14(4) intro</w:t>
            </w:r>
          </w:p>
        </w:tc>
        <w:tc>
          <w:tcPr>
            <w:tcW w:w="4680" w:type="dxa"/>
            <w:gridSpan w:val="2"/>
          </w:tcPr>
          <w:p w14:paraId="1B63A4D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Where an ultimate parent entity does not prepare consolidated financial statements as referred to in letters “a”, “b”, and “c”, of paragraph 6, of Article 4, of this Law, the consolidated financial statements of the ultimate parent entity referred to in letter “d”, of paragraph 6, of Article 4, of this Law, shall be those that would have been prepared if the ultimate parent entity were required to prepare such consolidated financial statements in accordance with:</w:t>
            </w:r>
          </w:p>
        </w:tc>
        <w:tc>
          <w:tcPr>
            <w:tcW w:w="1800" w:type="dxa"/>
            <w:gridSpan w:val="2"/>
          </w:tcPr>
          <w:p w14:paraId="58B6C84E"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772F4521"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6E4D5E48" w14:textId="77777777" w:rsidTr="009170D4">
        <w:tc>
          <w:tcPr>
            <w:tcW w:w="810" w:type="dxa"/>
          </w:tcPr>
          <w:p w14:paraId="0E17D19F"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15(4a)</w:t>
            </w:r>
          </w:p>
        </w:tc>
        <w:tc>
          <w:tcPr>
            <w:tcW w:w="5040" w:type="dxa"/>
            <w:gridSpan w:val="2"/>
          </w:tcPr>
          <w:p w14:paraId="42D181BA" w14:textId="77777777" w:rsidR="00465215" w:rsidRPr="005E6D70" w:rsidRDefault="00465215" w:rsidP="009170D4">
            <w:pPr>
              <w:jc w:val="both"/>
              <w:rPr>
                <w:rFonts w:ascii="Times New Roman" w:eastAsia="Calibri" w:hAnsi="Times New Roman" w:cs="Times New Roman"/>
                <w:bCs/>
                <w:iCs/>
                <w:sz w:val="18"/>
                <w:szCs w:val="18"/>
                <w:lang w:val="en-US"/>
              </w:rPr>
            </w:pPr>
            <w:r w:rsidRPr="005E6D70">
              <w:rPr>
                <w:rFonts w:ascii="Times New Roman" w:eastAsia="Calibri" w:hAnsi="Times New Roman" w:cs="Times New Roman"/>
                <w:iCs/>
                <w:sz w:val="18"/>
                <w:szCs w:val="18"/>
                <w:lang w:val="en-US"/>
              </w:rPr>
              <w:t>(a) an acceptable financial accounting standard; or</w:t>
            </w:r>
          </w:p>
        </w:tc>
        <w:tc>
          <w:tcPr>
            <w:tcW w:w="810" w:type="dxa"/>
          </w:tcPr>
          <w:p w14:paraId="7A6A828D" w14:textId="77777777" w:rsidR="00465215" w:rsidRPr="005E6D70" w:rsidRDefault="00465215" w:rsidP="009170D4">
            <w:pPr>
              <w:jc w:val="center"/>
              <w:rPr>
                <w:rFonts w:ascii="Times New Roman" w:eastAsia="Calibri" w:hAnsi="Times New Roman" w:cs="Times New Roman"/>
                <w:bCs/>
                <w:iCs/>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631F4E1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14(4)(a)</w:t>
            </w:r>
          </w:p>
        </w:tc>
        <w:tc>
          <w:tcPr>
            <w:tcW w:w="4680" w:type="dxa"/>
            <w:gridSpan w:val="2"/>
          </w:tcPr>
          <w:p w14:paraId="43038D5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an acceptable financial accounting standard; or</w:t>
            </w:r>
          </w:p>
        </w:tc>
        <w:tc>
          <w:tcPr>
            <w:tcW w:w="1800" w:type="dxa"/>
            <w:gridSpan w:val="2"/>
          </w:tcPr>
          <w:p w14:paraId="7A530DC9"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5F44D28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consolidation for national legislative compliance.</w:t>
            </w:r>
          </w:p>
        </w:tc>
      </w:tr>
      <w:tr w:rsidR="00465215" w:rsidRPr="005E6D70" w14:paraId="2299525B" w14:textId="77777777" w:rsidTr="009170D4">
        <w:tc>
          <w:tcPr>
            <w:tcW w:w="810" w:type="dxa"/>
          </w:tcPr>
          <w:p w14:paraId="2926D6CF"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15(4b)</w:t>
            </w:r>
          </w:p>
        </w:tc>
        <w:tc>
          <w:tcPr>
            <w:tcW w:w="5040" w:type="dxa"/>
            <w:gridSpan w:val="2"/>
          </w:tcPr>
          <w:p w14:paraId="520B9758" w14:textId="77777777" w:rsidR="00465215" w:rsidRPr="005E6D70" w:rsidRDefault="00465215" w:rsidP="009170D4">
            <w:pPr>
              <w:jc w:val="both"/>
              <w:rPr>
                <w:rFonts w:ascii="Times New Roman" w:eastAsia="Calibri" w:hAnsi="Times New Roman" w:cs="Times New Roman"/>
                <w:bCs/>
                <w:iCs/>
                <w:sz w:val="18"/>
                <w:szCs w:val="18"/>
                <w:lang w:val="en-US"/>
              </w:rPr>
            </w:pPr>
            <w:r w:rsidRPr="005E6D70">
              <w:rPr>
                <w:rFonts w:ascii="Times New Roman" w:eastAsia="Calibri" w:hAnsi="Times New Roman" w:cs="Times New Roman"/>
                <w:iCs/>
                <w:sz w:val="18"/>
                <w:szCs w:val="18"/>
                <w:lang w:val="en-US"/>
              </w:rPr>
              <w:t>(b) an authorised financial accounting standard, provided that such consolidated financial statements are adjusted to prevent any material competitive distortion.</w:t>
            </w:r>
          </w:p>
        </w:tc>
        <w:tc>
          <w:tcPr>
            <w:tcW w:w="810" w:type="dxa"/>
          </w:tcPr>
          <w:p w14:paraId="21B9E423" w14:textId="77777777" w:rsidR="00465215" w:rsidRPr="005E6D70" w:rsidRDefault="00465215" w:rsidP="009170D4">
            <w:pPr>
              <w:jc w:val="center"/>
              <w:rPr>
                <w:rFonts w:ascii="Times New Roman" w:eastAsia="Calibri" w:hAnsi="Times New Roman" w:cs="Times New Roman"/>
                <w:bCs/>
                <w:iCs/>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7371CC0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14(4)(b)</w:t>
            </w:r>
          </w:p>
        </w:tc>
        <w:tc>
          <w:tcPr>
            <w:tcW w:w="4680" w:type="dxa"/>
            <w:gridSpan w:val="2"/>
          </w:tcPr>
          <w:p w14:paraId="6FAD4D6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an authorised financial accounting standard, provided that such consolidated financial statements are adjusted to prevent any material competitive distortion.</w:t>
            </w:r>
          </w:p>
        </w:tc>
        <w:tc>
          <w:tcPr>
            <w:tcW w:w="1800" w:type="dxa"/>
            <w:gridSpan w:val="2"/>
          </w:tcPr>
          <w:p w14:paraId="667E99D1"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21DFD273"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consolidation for national legislative compliance.</w:t>
            </w:r>
          </w:p>
        </w:tc>
      </w:tr>
      <w:tr w:rsidR="00465215" w:rsidRPr="005E6D70" w14:paraId="20E05494" w14:textId="77777777" w:rsidTr="009170D4">
        <w:tc>
          <w:tcPr>
            <w:tcW w:w="810" w:type="dxa"/>
          </w:tcPr>
          <w:p w14:paraId="6EF938F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15(5)</w:t>
            </w:r>
          </w:p>
        </w:tc>
        <w:tc>
          <w:tcPr>
            <w:tcW w:w="5040" w:type="dxa"/>
            <w:gridSpan w:val="2"/>
          </w:tcPr>
          <w:p w14:paraId="6A0B0F47" w14:textId="77777777" w:rsidR="00465215" w:rsidRPr="005E6D70" w:rsidRDefault="00465215" w:rsidP="009170D4">
            <w:pPr>
              <w:jc w:val="both"/>
              <w:rPr>
                <w:rFonts w:ascii="Times New Roman" w:eastAsia="Calibri" w:hAnsi="Times New Roman" w:cs="Times New Roman"/>
                <w:bCs/>
                <w:iCs/>
                <w:sz w:val="18"/>
                <w:szCs w:val="18"/>
                <w:lang w:val="en-US"/>
              </w:rPr>
            </w:pPr>
            <w:r w:rsidRPr="005E6D70">
              <w:rPr>
                <w:rFonts w:ascii="Times New Roman" w:eastAsia="Calibri" w:hAnsi="Times New Roman" w:cs="Times New Roman"/>
                <w:iCs/>
                <w:sz w:val="18"/>
                <w:szCs w:val="18"/>
                <w:lang w:val="en-US"/>
              </w:rPr>
              <w:t xml:space="preserve">5. Where a qualified domestic top-up tax is applied by a Member State or a third-country jurisdiction, the financial accounting net income or loss of the constituent entities located in that Member State or third-country jurisdiction may be determined in accordance with an acceptable financial accounting standard or an authorised financial accounting standard that is different from the financial accounting standard used in the preparation of the consolidated financial statements of the ultimate parent entity, provided that such </w:t>
            </w:r>
            <w:r w:rsidRPr="005E6D70">
              <w:rPr>
                <w:rFonts w:ascii="Times New Roman" w:eastAsia="Calibri" w:hAnsi="Times New Roman" w:cs="Times New Roman"/>
                <w:iCs/>
                <w:sz w:val="18"/>
                <w:szCs w:val="18"/>
                <w:lang w:val="en-US"/>
              </w:rPr>
              <w:lastRenderedPageBreak/>
              <w:t>financial accounting net income or loss is adjusted to prevent any material competitive distortion.</w:t>
            </w:r>
          </w:p>
        </w:tc>
        <w:tc>
          <w:tcPr>
            <w:tcW w:w="810" w:type="dxa"/>
          </w:tcPr>
          <w:p w14:paraId="455615CC" w14:textId="77777777" w:rsidR="00465215" w:rsidRPr="005E6D70" w:rsidRDefault="00465215" w:rsidP="009170D4">
            <w:pPr>
              <w:jc w:val="center"/>
              <w:rPr>
                <w:rFonts w:ascii="Times New Roman" w:eastAsia="Calibri" w:hAnsi="Times New Roman" w:cs="Times New Roman"/>
                <w:bCs/>
                <w:iCs/>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128F086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14(5)</w:t>
            </w:r>
          </w:p>
        </w:tc>
        <w:tc>
          <w:tcPr>
            <w:tcW w:w="4680" w:type="dxa"/>
            <w:gridSpan w:val="2"/>
          </w:tcPr>
          <w:p w14:paraId="14413FD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5. Where a qualified domestic top-up tax is applied by the Republic of Albania or a third-country jurisdiction, the financial accounting net income or loss of the constituent entities located in the Republic of Albania or third-country jurisdiction may be determined in accordance with an acceptable financial accounting standard or an authorised financial accounting standard that is different from the financial accounting standard used in the preparation of the </w:t>
            </w:r>
            <w:r w:rsidRPr="005E6D70">
              <w:rPr>
                <w:rFonts w:ascii="Times New Roman" w:eastAsia="Calibri" w:hAnsi="Times New Roman" w:cs="Times New Roman"/>
                <w:iCs/>
                <w:sz w:val="18"/>
                <w:szCs w:val="18"/>
                <w:lang w:val="en-US"/>
              </w:rPr>
              <w:lastRenderedPageBreak/>
              <w:t>consolidated financial statements of the ultimate parent entity, provided that such financial accounting net income or loss is adjusted to prevent any material competitive distortion.</w:t>
            </w:r>
          </w:p>
        </w:tc>
        <w:tc>
          <w:tcPr>
            <w:tcW w:w="1800" w:type="dxa"/>
            <w:gridSpan w:val="2"/>
          </w:tcPr>
          <w:p w14:paraId="263AE357"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3C3037FA"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Direct transposition with local drafting adaptations (substituting the term "Member </w:t>
            </w:r>
            <w:r w:rsidRPr="005E6D70">
              <w:rPr>
                <w:rFonts w:ascii="Times New Roman" w:eastAsia="Calibri" w:hAnsi="Times New Roman" w:cs="Times New Roman"/>
                <w:iCs/>
                <w:sz w:val="18"/>
                <w:szCs w:val="18"/>
                <w:lang w:val="en-US"/>
              </w:rPr>
              <w:lastRenderedPageBreak/>
              <w:t>State" with "Republic of Albania" to reflect the domestic territorial application).</w:t>
            </w:r>
          </w:p>
        </w:tc>
      </w:tr>
      <w:tr w:rsidR="00465215" w:rsidRPr="005E6D70" w14:paraId="6127448B" w14:textId="77777777" w:rsidTr="009170D4">
        <w:tc>
          <w:tcPr>
            <w:tcW w:w="810" w:type="dxa"/>
          </w:tcPr>
          <w:p w14:paraId="591974A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15(6)</w:t>
            </w:r>
          </w:p>
        </w:tc>
        <w:tc>
          <w:tcPr>
            <w:tcW w:w="5040" w:type="dxa"/>
            <w:gridSpan w:val="2"/>
          </w:tcPr>
          <w:p w14:paraId="409DF28E" w14:textId="77777777" w:rsidR="00465215" w:rsidRPr="005E6D70" w:rsidRDefault="00465215" w:rsidP="009170D4">
            <w:pPr>
              <w:pStyle w:val="Heading2"/>
              <w:jc w:val="both"/>
              <w:rPr>
                <w:rFonts w:ascii="Times New Roman" w:eastAsia="Calibri" w:hAnsi="Times New Roman" w:cs="Times New Roman"/>
                <w:iCs/>
                <w:color w:val="auto"/>
                <w:sz w:val="18"/>
                <w:szCs w:val="18"/>
                <w:lang w:val="en-US"/>
              </w:rPr>
            </w:pPr>
            <w:r w:rsidRPr="005E6D70">
              <w:rPr>
                <w:rFonts w:ascii="Times New Roman" w:eastAsia="Calibri" w:hAnsi="Times New Roman" w:cs="Times New Roman"/>
                <w:iCs/>
                <w:color w:val="auto"/>
                <w:sz w:val="18"/>
                <w:szCs w:val="18"/>
                <w:lang w:val="en-US"/>
              </w:rPr>
              <w:t>6. Where the application of a specific principle or procedure under a set of generally accepted accounting principles results in a material competitive distortion, the accounting treatment of any item or transaction subject to that principle or procedure shall be adjusted to conform to the treatment required for the item or transaction under International Financial Reporting Standards (IFRS or IFRS as adopted by the Union pursuant to Regulation (EC) No 1606/2002).</w:t>
            </w:r>
          </w:p>
        </w:tc>
        <w:tc>
          <w:tcPr>
            <w:tcW w:w="810" w:type="dxa"/>
          </w:tcPr>
          <w:p w14:paraId="066F0609" w14:textId="77777777" w:rsidR="00465215" w:rsidRPr="005E6D70" w:rsidRDefault="00465215" w:rsidP="009170D4">
            <w:pPr>
              <w:jc w:val="center"/>
              <w:rPr>
                <w:rFonts w:ascii="Times New Roman" w:eastAsia="Calibri" w:hAnsi="Times New Roman" w:cs="Times New Roman"/>
                <w:bCs/>
                <w:iCs/>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6C472F9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14(6)</w:t>
            </w:r>
          </w:p>
        </w:tc>
        <w:tc>
          <w:tcPr>
            <w:tcW w:w="4680" w:type="dxa"/>
            <w:gridSpan w:val="2"/>
          </w:tcPr>
          <w:p w14:paraId="01F9365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 Where the application of a specific principle or procedure under a set of generally accepted accounting principles results in a material competitive distortion, the accounting treatment of any item or transaction subject to that principle or procedure shall be adjusted to conform to the treatment required for the item or transaction under International Financial Reporting Standards (IFRS).</w:t>
            </w:r>
          </w:p>
        </w:tc>
        <w:tc>
          <w:tcPr>
            <w:tcW w:w="1800" w:type="dxa"/>
            <w:gridSpan w:val="2"/>
          </w:tcPr>
          <w:p w14:paraId="50A60E34"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0D7BCAFF"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 The reference to the specific EU regulation for IFRS adoption is omitted as it pertains to internal EU mechanisms.</w:t>
            </w:r>
          </w:p>
        </w:tc>
      </w:tr>
      <w:tr w:rsidR="00465215" w:rsidRPr="005E6D70" w14:paraId="32A9084F" w14:textId="77777777" w:rsidTr="009170D4">
        <w:tc>
          <w:tcPr>
            <w:tcW w:w="810" w:type="dxa"/>
            <w:shd w:val="clear" w:color="auto" w:fill="D9D9D9" w:themeFill="background1" w:themeFillShade="D9"/>
          </w:tcPr>
          <w:p w14:paraId="3A7D7345" w14:textId="77777777" w:rsidR="00465215" w:rsidRPr="005E6D70" w:rsidRDefault="00465215" w:rsidP="009170D4">
            <w:pPr>
              <w:jc w:val="center"/>
              <w:rPr>
                <w:rFonts w:ascii="Times New Roman" w:eastAsia="Calibri" w:hAnsi="Times New Roman" w:cs="Times New Roman"/>
                <w:i/>
                <w:sz w:val="18"/>
                <w:szCs w:val="18"/>
                <w:lang w:val="en-US"/>
              </w:rPr>
            </w:pPr>
          </w:p>
        </w:tc>
        <w:tc>
          <w:tcPr>
            <w:tcW w:w="5040" w:type="dxa"/>
            <w:gridSpan w:val="2"/>
            <w:shd w:val="clear" w:color="auto" w:fill="D9D9D9" w:themeFill="background1" w:themeFillShade="D9"/>
          </w:tcPr>
          <w:p w14:paraId="79BBF1AF" w14:textId="77777777" w:rsidR="00465215" w:rsidRPr="005E6D70" w:rsidRDefault="00465215" w:rsidP="009170D4">
            <w:pPr>
              <w:jc w:val="both"/>
              <w:rPr>
                <w:rFonts w:ascii="Times New Roman" w:eastAsia="Calibri" w:hAnsi="Times New Roman" w:cs="Times New Roman"/>
                <w:b/>
                <w:i/>
                <w:sz w:val="18"/>
                <w:szCs w:val="18"/>
                <w:lang w:val="en-US"/>
              </w:rPr>
            </w:pPr>
            <w:r w:rsidRPr="005E6D70">
              <w:rPr>
                <w:rFonts w:ascii="Times New Roman" w:eastAsia="Calibri" w:hAnsi="Times New Roman" w:cs="Times New Roman"/>
                <w:b/>
                <w:bCs/>
                <w:iCs/>
                <w:sz w:val="18"/>
                <w:szCs w:val="18"/>
                <w:lang w:val="en-US"/>
              </w:rPr>
              <w:t>Article 16. Adjustments to determine the qualifying income or loss</w:t>
            </w:r>
          </w:p>
        </w:tc>
        <w:tc>
          <w:tcPr>
            <w:tcW w:w="810" w:type="dxa"/>
            <w:shd w:val="clear" w:color="auto" w:fill="D9D9D9" w:themeFill="background1" w:themeFillShade="D9"/>
          </w:tcPr>
          <w:p w14:paraId="3A33BBB0" w14:textId="77777777" w:rsidR="00465215" w:rsidRPr="005E6D70" w:rsidRDefault="00465215" w:rsidP="009170D4">
            <w:pPr>
              <w:jc w:val="center"/>
              <w:rPr>
                <w:rFonts w:ascii="Times New Roman" w:eastAsia="Calibri" w:hAnsi="Times New Roman" w:cs="Times New Roman"/>
                <w:b/>
                <w:i/>
                <w:sz w:val="18"/>
                <w:szCs w:val="18"/>
                <w:lang w:val="en-US"/>
              </w:rPr>
            </w:pPr>
            <w:r w:rsidRPr="005E6D70">
              <w:rPr>
                <w:rFonts w:ascii="Times New Roman" w:eastAsia="Calibri" w:hAnsi="Times New Roman" w:cs="Times New Roman"/>
                <w:sz w:val="18"/>
                <w:szCs w:val="18"/>
                <w:lang w:val="en-US"/>
              </w:rPr>
              <w:t>1</w:t>
            </w:r>
          </w:p>
        </w:tc>
        <w:tc>
          <w:tcPr>
            <w:tcW w:w="990" w:type="dxa"/>
            <w:gridSpan w:val="2"/>
            <w:shd w:val="clear" w:color="auto" w:fill="D9D9D9" w:themeFill="background1" w:themeFillShade="D9"/>
          </w:tcPr>
          <w:p w14:paraId="6DB4252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 and 16</w:t>
            </w:r>
          </w:p>
        </w:tc>
        <w:tc>
          <w:tcPr>
            <w:tcW w:w="4680" w:type="dxa"/>
            <w:gridSpan w:val="2"/>
            <w:shd w:val="clear" w:color="auto" w:fill="D9D9D9" w:themeFill="background1" w:themeFillShade="D9"/>
          </w:tcPr>
          <w:p w14:paraId="3303322C"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Article 15. Specific Adjustments to Financial Accounting Net Income or Loss</w:t>
            </w:r>
          </w:p>
          <w:p w14:paraId="1CA8A185" w14:textId="77777777" w:rsidR="00465215" w:rsidRPr="005E6D70" w:rsidRDefault="00465215" w:rsidP="009170D4">
            <w:pPr>
              <w:jc w:val="center"/>
              <w:rPr>
                <w:rFonts w:ascii="Times New Roman" w:eastAsia="Calibri" w:hAnsi="Times New Roman" w:cs="Times New Roman"/>
                <w:iCs/>
                <w:sz w:val="18"/>
                <w:szCs w:val="18"/>
                <w:lang w:val="en-US"/>
              </w:rPr>
            </w:pPr>
          </w:p>
          <w:p w14:paraId="0C493580" w14:textId="77777777" w:rsidR="00465215" w:rsidRPr="005E6D70" w:rsidRDefault="00465215" w:rsidP="009170D4">
            <w:pPr>
              <w:jc w:val="center"/>
              <w:rPr>
                <w:rFonts w:ascii="Times New Roman" w:eastAsia="Calibri" w:hAnsi="Times New Roman" w:cs="Times New Roman"/>
                <w:iCs/>
                <w:sz w:val="18"/>
                <w:szCs w:val="18"/>
                <w:lang w:val="en-US"/>
              </w:rPr>
            </w:pPr>
          </w:p>
          <w:p w14:paraId="6F961C3B"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Article 16. Certain rules for insurance companies and banks</w:t>
            </w:r>
          </w:p>
        </w:tc>
        <w:tc>
          <w:tcPr>
            <w:tcW w:w="1800" w:type="dxa"/>
            <w:gridSpan w:val="2"/>
            <w:shd w:val="clear" w:color="auto" w:fill="D9D9D9" w:themeFill="background1" w:themeFillShade="D9"/>
          </w:tcPr>
          <w:p w14:paraId="6CC5EE21"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shd w:val="clear" w:color="auto" w:fill="D9D9D9" w:themeFill="background1" w:themeFillShade="D9"/>
          </w:tcPr>
          <w:p w14:paraId="004D5B02"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Structurally transposed into two separate articles in the draft law (Articles 15 and 16) to systematically group specific industry rules.</w:t>
            </w:r>
          </w:p>
        </w:tc>
      </w:tr>
      <w:tr w:rsidR="00465215" w:rsidRPr="005E6D70" w14:paraId="1272BC63" w14:textId="77777777" w:rsidTr="009170D4">
        <w:trPr>
          <w:trHeight w:val="296"/>
        </w:trPr>
        <w:tc>
          <w:tcPr>
            <w:tcW w:w="810" w:type="dxa"/>
          </w:tcPr>
          <w:p w14:paraId="19B09B77" w14:textId="77777777" w:rsidR="00465215" w:rsidRPr="005E6D70" w:rsidRDefault="00465215" w:rsidP="009170D4">
            <w:pPr>
              <w:jc w:val="both"/>
              <w:rPr>
                <w:rFonts w:ascii="Times New Roman" w:eastAsia="Calibri" w:hAnsi="Times New Roman" w:cs="Times New Roman"/>
                <w:sz w:val="18"/>
                <w:szCs w:val="18"/>
                <w:highlight w:val="yellow"/>
                <w:lang w:val="en-US"/>
              </w:rPr>
            </w:pPr>
            <w:r w:rsidRPr="005E6D70">
              <w:rPr>
                <w:rFonts w:ascii="Times New Roman" w:eastAsia="Calibri" w:hAnsi="Times New Roman" w:cs="Times New Roman"/>
                <w:sz w:val="18"/>
                <w:szCs w:val="18"/>
                <w:lang w:val="en-US"/>
              </w:rPr>
              <w:t>16(1)</w:t>
            </w:r>
          </w:p>
        </w:tc>
        <w:tc>
          <w:tcPr>
            <w:tcW w:w="5040" w:type="dxa"/>
            <w:gridSpan w:val="2"/>
          </w:tcPr>
          <w:p w14:paraId="2748E12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For the purposes of this Article, the following definitions apply:</w:t>
            </w:r>
          </w:p>
        </w:tc>
        <w:tc>
          <w:tcPr>
            <w:tcW w:w="810" w:type="dxa"/>
          </w:tcPr>
          <w:p w14:paraId="31F23C2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4F9A93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15(2) intro</w:t>
            </w:r>
          </w:p>
        </w:tc>
        <w:tc>
          <w:tcPr>
            <w:tcW w:w="4680" w:type="dxa"/>
            <w:gridSpan w:val="2"/>
          </w:tcPr>
          <w:p w14:paraId="68DD53A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For the purposes of this Article, the following terms shall mean:</w:t>
            </w:r>
          </w:p>
        </w:tc>
        <w:tc>
          <w:tcPr>
            <w:tcW w:w="1800" w:type="dxa"/>
            <w:gridSpan w:val="2"/>
          </w:tcPr>
          <w:p w14:paraId="0DE03CF7"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6E8F81C8"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 The order of paragraphs 1 and 2 is swapped in the draft law.</w:t>
            </w:r>
          </w:p>
        </w:tc>
      </w:tr>
      <w:tr w:rsidR="00465215" w:rsidRPr="005E6D70" w14:paraId="2054290D" w14:textId="77777777" w:rsidTr="009170D4">
        <w:trPr>
          <w:trHeight w:val="629"/>
        </w:trPr>
        <w:tc>
          <w:tcPr>
            <w:tcW w:w="810" w:type="dxa"/>
          </w:tcPr>
          <w:p w14:paraId="56B1D6A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16(1a)</w:t>
            </w:r>
          </w:p>
        </w:tc>
        <w:tc>
          <w:tcPr>
            <w:tcW w:w="5040" w:type="dxa"/>
            <w:gridSpan w:val="2"/>
          </w:tcPr>
          <w:p w14:paraId="7F841FA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‘net taxes expense’ means the net amount of the following items:</w:t>
            </w:r>
          </w:p>
          <w:p w14:paraId="0ABF2DDA" w14:textId="77777777" w:rsidR="00465215" w:rsidRPr="005E6D70" w:rsidRDefault="00465215" w:rsidP="009170D4">
            <w:pPr>
              <w:jc w:val="both"/>
              <w:rPr>
                <w:rFonts w:ascii="Times New Roman" w:eastAsia="Calibri" w:hAnsi="Times New Roman" w:cs="Times New Roman"/>
                <w:iCs/>
                <w:sz w:val="18"/>
                <w:szCs w:val="18"/>
                <w:lang w:val="en-US"/>
              </w:rPr>
            </w:pPr>
          </w:p>
          <w:p w14:paraId="634EB22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(i) covered taxes accrued as an expense and any current and deferred covered taxes included in the income tax expense, including covered taxes on income that is excluded from the qualifying income or loss computation;</w:t>
            </w:r>
          </w:p>
          <w:p w14:paraId="5D145CBA" w14:textId="77777777" w:rsidR="00465215" w:rsidRPr="005E6D70" w:rsidRDefault="00465215" w:rsidP="009170D4">
            <w:pPr>
              <w:jc w:val="both"/>
              <w:rPr>
                <w:rFonts w:ascii="Times New Roman" w:eastAsia="Calibri" w:hAnsi="Times New Roman" w:cs="Times New Roman"/>
                <w:iCs/>
                <w:sz w:val="18"/>
                <w:szCs w:val="18"/>
                <w:lang w:val="en-US"/>
              </w:rPr>
            </w:pPr>
          </w:p>
          <w:p w14:paraId="7136230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deferred tax assets attributable to a loss for the fiscal year;</w:t>
            </w:r>
          </w:p>
          <w:p w14:paraId="44EA02F4" w14:textId="77777777" w:rsidR="00465215" w:rsidRPr="005E6D70" w:rsidRDefault="00465215" w:rsidP="009170D4">
            <w:pPr>
              <w:jc w:val="both"/>
              <w:rPr>
                <w:rFonts w:ascii="Times New Roman" w:eastAsia="Calibri" w:hAnsi="Times New Roman" w:cs="Times New Roman"/>
                <w:iCs/>
                <w:sz w:val="18"/>
                <w:szCs w:val="18"/>
                <w:lang w:val="en-US"/>
              </w:rPr>
            </w:pPr>
          </w:p>
          <w:p w14:paraId="608034F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(iii) qualified domestic top-up taxes accrued as an expense;</w:t>
            </w:r>
          </w:p>
          <w:p w14:paraId="317CB7E8" w14:textId="77777777" w:rsidR="00465215" w:rsidRPr="005E6D70" w:rsidRDefault="00465215" w:rsidP="009170D4">
            <w:pPr>
              <w:jc w:val="both"/>
              <w:rPr>
                <w:rFonts w:ascii="Times New Roman" w:eastAsia="Calibri" w:hAnsi="Times New Roman" w:cs="Times New Roman"/>
                <w:iCs/>
                <w:sz w:val="18"/>
                <w:szCs w:val="18"/>
                <w:lang w:val="en-US"/>
              </w:rPr>
            </w:pPr>
          </w:p>
          <w:p w14:paraId="18A8006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(iv) taxes arising pursuant to the rules of this Directive or, as regards third-country jurisdictions, the OECD Model Rules, accrued as an expense; and</w:t>
            </w:r>
          </w:p>
          <w:p w14:paraId="0023F69E" w14:textId="77777777" w:rsidR="00465215" w:rsidRPr="005E6D70" w:rsidRDefault="00465215" w:rsidP="009170D4">
            <w:pPr>
              <w:jc w:val="both"/>
              <w:rPr>
                <w:rFonts w:ascii="Times New Roman" w:eastAsia="Calibri" w:hAnsi="Times New Roman" w:cs="Times New Roman"/>
                <w:iCs/>
                <w:sz w:val="18"/>
                <w:szCs w:val="18"/>
                <w:lang w:val="en-US"/>
              </w:rPr>
            </w:pPr>
          </w:p>
          <w:p w14:paraId="7EB8A94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(v) disqualified refundable imputation taxes accrued as an expense;</w:t>
            </w:r>
          </w:p>
        </w:tc>
        <w:tc>
          <w:tcPr>
            <w:tcW w:w="810" w:type="dxa"/>
          </w:tcPr>
          <w:p w14:paraId="0D438E4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73B6B89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15(2)(a)</w:t>
            </w:r>
          </w:p>
        </w:tc>
        <w:tc>
          <w:tcPr>
            <w:tcW w:w="4680" w:type="dxa"/>
            <w:gridSpan w:val="2"/>
          </w:tcPr>
          <w:p w14:paraId="43D5A2B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“Net taxes expense” means the net amount of the following items:</w:t>
            </w:r>
          </w:p>
          <w:p w14:paraId="75D1644E" w14:textId="77777777" w:rsidR="00465215" w:rsidRPr="005E6D70" w:rsidRDefault="00465215" w:rsidP="009170D4">
            <w:pPr>
              <w:jc w:val="both"/>
              <w:rPr>
                <w:rFonts w:ascii="Times New Roman" w:eastAsia="Calibri" w:hAnsi="Times New Roman" w:cs="Times New Roman"/>
                <w:iCs/>
                <w:sz w:val="18"/>
                <w:szCs w:val="18"/>
                <w:lang w:val="en-US"/>
              </w:rPr>
            </w:pPr>
          </w:p>
          <w:p w14:paraId="7D020C4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(i) any covered taxes accrued as an expense and any current and deferred covered taxes included in the income tax expense, including covered taxes on income that is excluded from the computation of qualifying income or loss;</w:t>
            </w:r>
          </w:p>
          <w:p w14:paraId="529D06A2" w14:textId="77777777" w:rsidR="00465215" w:rsidRPr="005E6D70" w:rsidRDefault="00465215" w:rsidP="009170D4">
            <w:pPr>
              <w:jc w:val="both"/>
              <w:rPr>
                <w:rFonts w:ascii="Times New Roman" w:eastAsia="Calibri" w:hAnsi="Times New Roman" w:cs="Times New Roman"/>
                <w:iCs/>
                <w:sz w:val="18"/>
                <w:szCs w:val="18"/>
                <w:lang w:val="en-US"/>
              </w:rPr>
            </w:pPr>
          </w:p>
          <w:p w14:paraId="6D1459C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any deferred tax assets attributable to a loss for the fiscal year;</w:t>
            </w:r>
          </w:p>
          <w:p w14:paraId="40C51AD5" w14:textId="77777777" w:rsidR="00465215" w:rsidRPr="005E6D70" w:rsidRDefault="00465215" w:rsidP="009170D4">
            <w:pPr>
              <w:jc w:val="both"/>
              <w:rPr>
                <w:rFonts w:ascii="Times New Roman" w:eastAsia="Calibri" w:hAnsi="Times New Roman" w:cs="Times New Roman"/>
                <w:iCs/>
                <w:sz w:val="18"/>
                <w:szCs w:val="18"/>
                <w:lang w:val="en-US"/>
              </w:rPr>
            </w:pPr>
          </w:p>
          <w:p w14:paraId="64A33AD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(iii) any qualified domestic top-up taxes accounted for as an expense;</w:t>
            </w:r>
          </w:p>
          <w:p w14:paraId="65142ACE" w14:textId="77777777" w:rsidR="00465215" w:rsidRPr="005E6D70" w:rsidRDefault="00465215" w:rsidP="009170D4">
            <w:pPr>
              <w:jc w:val="both"/>
              <w:rPr>
                <w:rFonts w:ascii="Times New Roman" w:eastAsia="Calibri" w:hAnsi="Times New Roman" w:cs="Times New Roman"/>
                <w:iCs/>
                <w:sz w:val="18"/>
                <w:szCs w:val="18"/>
                <w:lang w:val="en-US"/>
              </w:rPr>
            </w:pPr>
          </w:p>
          <w:p w14:paraId="51BB1A9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(iv) any taxes arising pursuant to the rules of this Law or, as regards third-country jurisdictions, the OECD Model Rules, accounted for as an expense; and</w:t>
            </w:r>
          </w:p>
          <w:p w14:paraId="11F8196E" w14:textId="77777777" w:rsidR="00465215" w:rsidRPr="005E6D70" w:rsidRDefault="00465215" w:rsidP="009170D4">
            <w:pPr>
              <w:jc w:val="both"/>
              <w:rPr>
                <w:rFonts w:ascii="Times New Roman" w:eastAsia="Calibri" w:hAnsi="Times New Roman" w:cs="Times New Roman"/>
                <w:iCs/>
                <w:sz w:val="18"/>
                <w:szCs w:val="18"/>
                <w:lang w:val="en-US"/>
              </w:rPr>
            </w:pPr>
          </w:p>
          <w:p w14:paraId="75F44D2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(v) any disqualified refundable imputation taxes accounted for as an expense.</w:t>
            </w:r>
          </w:p>
        </w:tc>
        <w:tc>
          <w:tcPr>
            <w:tcW w:w="1800" w:type="dxa"/>
            <w:gridSpan w:val="2"/>
          </w:tcPr>
          <w:p w14:paraId="383FBF5C"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009CF448"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Direct transposition with local </w:t>
            </w:r>
            <w:r w:rsidRPr="005E6D70">
              <w:rPr>
                <w:rFonts w:ascii="Times New Roman" w:eastAsia="Calibri" w:hAnsi="Times New Roman" w:cs="Times New Roman"/>
                <w:iCs/>
                <w:sz w:val="18"/>
                <w:szCs w:val="18"/>
                <w:lang w:val="en-US"/>
              </w:rPr>
              <w:lastRenderedPageBreak/>
              <w:t>drafting adaptations (adapting "this Directive" to "this Law").</w:t>
            </w:r>
          </w:p>
        </w:tc>
      </w:tr>
      <w:tr w:rsidR="00465215" w:rsidRPr="005E6D70" w14:paraId="5927E162" w14:textId="77777777" w:rsidTr="009170D4">
        <w:trPr>
          <w:trHeight w:val="629"/>
        </w:trPr>
        <w:tc>
          <w:tcPr>
            <w:tcW w:w="810" w:type="dxa"/>
          </w:tcPr>
          <w:p w14:paraId="57B7A8B8" w14:textId="77777777" w:rsidR="00465215" w:rsidRPr="005E6D70" w:rsidRDefault="00465215" w:rsidP="009170D4">
            <w:pPr>
              <w:jc w:val="both"/>
              <w:rPr>
                <w:rFonts w:ascii="Times New Roman" w:eastAsia="Calibri" w:hAnsi="Times New Roman" w:cs="Times New Roman"/>
                <w:sz w:val="18"/>
                <w:szCs w:val="18"/>
                <w:highlight w:val="yellow"/>
                <w:lang w:val="en-US"/>
              </w:rPr>
            </w:pPr>
            <w:r w:rsidRPr="005E6D70">
              <w:rPr>
                <w:rFonts w:ascii="Times New Roman" w:eastAsia="Calibri" w:hAnsi="Times New Roman" w:cs="Times New Roman"/>
                <w:sz w:val="18"/>
                <w:szCs w:val="18"/>
                <w:lang w:val="en-US"/>
              </w:rPr>
              <w:lastRenderedPageBreak/>
              <w:t>16(1b)</w:t>
            </w:r>
          </w:p>
        </w:tc>
        <w:tc>
          <w:tcPr>
            <w:tcW w:w="5040" w:type="dxa"/>
            <w:gridSpan w:val="2"/>
          </w:tcPr>
          <w:p w14:paraId="3BD08DB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‘excluded dividend’ means a dividend or other distribution received or accrued in respect of an ownership interest, except a dividend or other distribution received or accrued in respect of:</w:t>
            </w:r>
          </w:p>
          <w:p w14:paraId="4ADAB3F3" w14:textId="77777777" w:rsidR="00465215" w:rsidRPr="005E6D70" w:rsidRDefault="00465215" w:rsidP="009170D4">
            <w:pPr>
              <w:jc w:val="both"/>
              <w:rPr>
                <w:rFonts w:ascii="Times New Roman" w:eastAsia="Calibri" w:hAnsi="Times New Roman" w:cs="Times New Roman"/>
                <w:iCs/>
                <w:sz w:val="18"/>
                <w:szCs w:val="18"/>
                <w:lang w:val="en-US"/>
              </w:rPr>
            </w:pPr>
          </w:p>
          <w:p w14:paraId="433649C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an ownership interest:</w:t>
            </w:r>
          </w:p>
          <w:p w14:paraId="14B8D1E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held by the group in an entity, that carries rights to less than 10 % of the profits, capital or reserves, or voting rights of that entity at the date of the distribution or disposition (a ‘portfolio shareholding’); and  — that is economically owned by the constituent entity that</w:t>
            </w:r>
          </w:p>
          <w:p w14:paraId="11593B6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receives or accrues the dividend or other distribution for less than one year at the date of the distribution;</w:t>
            </w:r>
          </w:p>
          <w:p w14:paraId="27487F8A" w14:textId="77777777" w:rsidR="00465215" w:rsidRPr="005E6D70" w:rsidRDefault="00465215" w:rsidP="009170D4">
            <w:pPr>
              <w:jc w:val="both"/>
              <w:rPr>
                <w:rFonts w:ascii="Times New Roman" w:eastAsia="Calibri" w:hAnsi="Times New Roman" w:cs="Times New Roman"/>
                <w:iCs/>
                <w:sz w:val="18"/>
                <w:szCs w:val="18"/>
                <w:lang w:val="en-US"/>
              </w:rPr>
            </w:pPr>
          </w:p>
          <w:p w14:paraId="23518F8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 an ownership interest in an investment entity that is subject to an election pursuant to Article 43;</w:t>
            </w:r>
          </w:p>
        </w:tc>
        <w:tc>
          <w:tcPr>
            <w:tcW w:w="810" w:type="dxa"/>
          </w:tcPr>
          <w:p w14:paraId="0AFCD37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20493B6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15(2)(b)</w:t>
            </w:r>
          </w:p>
        </w:tc>
        <w:tc>
          <w:tcPr>
            <w:tcW w:w="4680" w:type="dxa"/>
            <w:gridSpan w:val="2"/>
          </w:tcPr>
          <w:p w14:paraId="3478704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“Excluded dividend” means a dividend or other distribution received or accrued in respect of an ownership interest, other than a dividend or other distribution received or accrued in respect of:</w:t>
            </w:r>
          </w:p>
          <w:p w14:paraId="0B7729EF" w14:textId="77777777" w:rsidR="00465215" w:rsidRPr="005E6D70" w:rsidRDefault="00465215" w:rsidP="009170D4">
            <w:pPr>
              <w:jc w:val="both"/>
              <w:rPr>
                <w:rFonts w:ascii="Times New Roman" w:eastAsia="Calibri" w:hAnsi="Times New Roman" w:cs="Times New Roman"/>
                <w:iCs/>
                <w:sz w:val="18"/>
                <w:szCs w:val="18"/>
                <w:lang w:val="en-US"/>
              </w:rPr>
            </w:pPr>
          </w:p>
          <w:p w14:paraId="759071C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an ownership interest held by the group in an entity, that carries rights to less than 10% of the profits, capital or reserves, or voting rights of that entity at the date of the distribution or disposition (a “portfolio shareholding”); and that is economically owned by the constituent entity that receives or accrues the dividend or other distribution for less than one year at the date of the distribution; or</w:t>
            </w:r>
          </w:p>
          <w:p w14:paraId="41695208" w14:textId="77777777" w:rsidR="00465215" w:rsidRPr="005E6D70" w:rsidRDefault="00465215" w:rsidP="009170D4">
            <w:pPr>
              <w:jc w:val="both"/>
              <w:rPr>
                <w:rFonts w:ascii="Times New Roman" w:eastAsia="Calibri" w:hAnsi="Times New Roman" w:cs="Times New Roman"/>
                <w:iCs/>
                <w:sz w:val="18"/>
                <w:szCs w:val="18"/>
                <w:lang w:val="en-US"/>
              </w:rPr>
            </w:pPr>
          </w:p>
          <w:p w14:paraId="007CD10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an ownership interest in an investment entity that is subject to an election pursuant to Article 46, of this Law.</w:t>
            </w:r>
          </w:p>
        </w:tc>
        <w:tc>
          <w:tcPr>
            <w:tcW w:w="1800" w:type="dxa"/>
            <w:gridSpan w:val="2"/>
          </w:tcPr>
          <w:p w14:paraId="4F6CB8E3"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18FDBC2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 (internal cross-references are adapted to national formats).</w:t>
            </w:r>
          </w:p>
        </w:tc>
      </w:tr>
      <w:tr w:rsidR="00465215" w:rsidRPr="005E6D70" w14:paraId="1F40A670" w14:textId="77777777" w:rsidTr="009170D4">
        <w:trPr>
          <w:trHeight w:val="629"/>
        </w:trPr>
        <w:tc>
          <w:tcPr>
            <w:tcW w:w="810" w:type="dxa"/>
          </w:tcPr>
          <w:p w14:paraId="69FE55C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16(1c)</w:t>
            </w:r>
          </w:p>
        </w:tc>
        <w:tc>
          <w:tcPr>
            <w:tcW w:w="5040" w:type="dxa"/>
            <w:gridSpan w:val="2"/>
          </w:tcPr>
          <w:p w14:paraId="5D2E743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‘excluded equity gain or loss’ means a gain, profit or loss, included in the financial accounting net income or loss of the constituent entity, arising from:</w:t>
            </w:r>
          </w:p>
          <w:p w14:paraId="5A2D142E" w14:textId="77777777" w:rsidR="00465215" w:rsidRPr="005E6D70" w:rsidRDefault="00465215" w:rsidP="009170D4">
            <w:pPr>
              <w:jc w:val="both"/>
              <w:rPr>
                <w:rFonts w:ascii="Times New Roman" w:eastAsia="Calibri" w:hAnsi="Times New Roman" w:cs="Times New Roman"/>
                <w:iCs/>
                <w:sz w:val="18"/>
                <w:szCs w:val="18"/>
                <w:lang w:val="en-US"/>
              </w:rPr>
            </w:pPr>
          </w:p>
          <w:p w14:paraId="0E6C1D6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gains and losses arising from changes in the fair value of an ownership interest, except for a portfolio shareholding;</w:t>
            </w:r>
          </w:p>
          <w:p w14:paraId="64AFBE98" w14:textId="77777777" w:rsidR="00465215" w:rsidRPr="005E6D70" w:rsidRDefault="00465215" w:rsidP="009170D4">
            <w:pPr>
              <w:jc w:val="both"/>
              <w:rPr>
                <w:rFonts w:ascii="Times New Roman" w:eastAsia="Calibri" w:hAnsi="Times New Roman" w:cs="Times New Roman"/>
                <w:iCs/>
                <w:sz w:val="18"/>
                <w:szCs w:val="18"/>
                <w:lang w:val="en-US"/>
              </w:rPr>
            </w:pPr>
          </w:p>
          <w:p w14:paraId="452FBB7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profits or losses in respect of an ownership interest that is included under the equity method of accounting; and</w:t>
            </w:r>
          </w:p>
          <w:p w14:paraId="533698F2" w14:textId="77777777" w:rsidR="00465215" w:rsidRPr="005E6D70" w:rsidRDefault="00465215" w:rsidP="009170D4">
            <w:pPr>
              <w:jc w:val="both"/>
              <w:rPr>
                <w:rFonts w:ascii="Times New Roman" w:eastAsia="Calibri" w:hAnsi="Times New Roman" w:cs="Times New Roman"/>
                <w:iCs/>
                <w:sz w:val="18"/>
                <w:szCs w:val="18"/>
                <w:lang w:val="en-US"/>
              </w:rPr>
            </w:pPr>
          </w:p>
          <w:p w14:paraId="70964CE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(iii) gains and losses from the disposal of an ownership interest, except for the disposal of a portfolio shareholding;</w:t>
            </w:r>
          </w:p>
        </w:tc>
        <w:tc>
          <w:tcPr>
            <w:tcW w:w="810" w:type="dxa"/>
          </w:tcPr>
          <w:p w14:paraId="51116E0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24B78F5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15(2)(c)</w:t>
            </w:r>
          </w:p>
        </w:tc>
        <w:tc>
          <w:tcPr>
            <w:tcW w:w="4680" w:type="dxa"/>
            <w:gridSpan w:val="2"/>
          </w:tcPr>
          <w:p w14:paraId="3101B87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“Excluded equity gain or loss” means a gain, profit or loss included in the financial accounting net income or loss of the constituent entity arising from:</w:t>
            </w:r>
          </w:p>
          <w:p w14:paraId="2A0DB2B9" w14:textId="77777777" w:rsidR="00465215" w:rsidRPr="005E6D70" w:rsidRDefault="00465215" w:rsidP="009170D4">
            <w:pPr>
              <w:jc w:val="both"/>
              <w:rPr>
                <w:rFonts w:ascii="Times New Roman" w:eastAsia="Calibri" w:hAnsi="Times New Roman" w:cs="Times New Roman"/>
                <w:iCs/>
                <w:sz w:val="18"/>
                <w:szCs w:val="18"/>
                <w:lang w:val="en-US"/>
              </w:rPr>
            </w:pPr>
          </w:p>
          <w:p w14:paraId="6A8E3DB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gains and losses arising from changes in the fair value of an ownership interest, except for a portfolio shareholding;</w:t>
            </w:r>
          </w:p>
          <w:p w14:paraId="6DE2A5DD" w14:textId="77777777" w:rsidR="00465215" w:rsidRPr="005E6D70" w:rsidRDefault="00465215" w:rsidP="009170D4">
            <w:pPr>
              <w:jc w:val="both"/>
              <w:rPr>
                <w:rFonts w:ascii="Times New Roman" w:eastAsia="Calibri" w:hAnsi="Times New Roman" w:cs="Times New Roman"/>
                <w:iCs/>
                <w:sz w:val="18"/>
                <w:szCs w:val="18"/>
                <w:lang w:val="en-US"/>
              </w:rPr>
            </w:pPr>
          </w:p>
          <w:p w14:paraId="2B02105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profits or losses in respect of an ownership interest that is included under the equity method of accounting; and</w:t>
            </w:r>
          </w:p>
          <w:p w14:paraId="09389ED0" w14:textId="77777777" w:rsidR="00465215" w:rsidRPr="005E6D70" w:rsidRDefault="00465215" w:rsidP="009170D4">
            <w:pPr>
              <w:jc w:val="both"/>
              <w:rPr>
                <w:rFonts w:ascii="Times New Roman" w:eastAsia="Calibri" w:hAnsi="Times New Roman" w:cs="Times New Roman"/>
                <w:iCs/>
                <w:sz w:val="18"/>
                <w:szCs w:val="18"/>
                <w:lang w:val="en-US"/>
              </w:rPr>
            </w:pPr>
          </w:p>
          <w:p w14:paraId="5C314B8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(iii) gains and losses from the disposition of an ownership interest, except for the disposition of a portfolio shareholding.</w:t>
            </w:r>
          </w:p>
        </w:tc>
        <w:tc>
          <w:tcPr>
            <w:tcW w:w="1800" w:type="dxa"/>
            <w:gridSpan w:val="2"/>
          </w:tcPr>
          <w:p w14:paraId="6A2C770D"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46E0203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4C2CAA77" w14:textId="77777777" w:rsidTr="009170D4">
        <w:trPr>
          <w:trHeight w:val="629"/>
        </w:trPr>
        <w:tc>
          <w:tcPr>
            <w:tcW w:w="810" w:type="dxa"/>
          </w:tcPr>
          <w:p w14:paraId="0E3DE2F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16(1d)</w:t>
            </w:r>
          </w:p>
        </w:tc>
        <w:tc>
          <w:tcPr>
            <w:tcW w:w="5040" w:type="dxa"/>
            <w:gridSpan w:val="2"/>
          </w:tcPr>
          <w:p w14:paraId="7738F41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‘included revaluation method gain or loss’ means a net gain or loss, increased or decreased by any associated covered taxes for the fiscal year, arising from the application of an accounting method or practice that, in respect of all property, plant and equipment:</w:t>
            </w:r>
          </w:p>
          <w:p w14:paraId="5EFA33A9" w14:textId="77777777" w:rsidR="00465215" w:rsidRPr="005E6D70" w:rsidRDefault="00465215" w:rsidP="009170D4">
            <w:pPr>
              <w:jc w:val="both"/>
              <w:rPr>
                <w:rFonts w:ascii="Times New Roman" w:eastAsia="Calibri" w:hAnsi="Times New Roman" w:cs="Times New Roman"/>
                <w:iCs/>
                <w:sz w:val="18"/>
                <w:szCs w:val="18"/>
                <w:lang w:val="en-US"/>
              </w:rPr>
            </w:pPr>
          </w:p>
          <w:p w14:paraId="3F9CB18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periodically adjusts the carrying value of such property, plant and equipment to its fair value;</w:t>
            </w:r>
          </w:p>
          <w:p w14:paraId="7953B81F" w14:textId="77777777" w:rsidR="00465215" w:rsidRPr="005E6D70" w:rsidRDefault="00465215" w:rsidP="009170D4">
            <w:pPr>
              <w:jc w:val="both"/>
              <w:rPr>
                <w:rFonts w:ascii="Times New Roman" w:eastAsia="Calibri" w:hAnsi="Times New Roman" w:cs="Times New Roman"/>
                <w:iCs/>
                <w:sz w:val="18"/>
                <w:szCs w:val="18"/>
                <w:lang w:val="en-US"/>
              </w:rPr>
            </w:pPr>
          </w:p>
          <w:p w14:paraId="1BCB77E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records the changes in value in other comprehensive income; and</w:t>
            </w:r>
          </w:p>
          <w:p w14:paraId="67C4598C" w14:textId="77777777" w:rsidR="00465215" w:rsidRPr="005E6D70" w:rsidRDefault="00465215" w:rsidP="009170D4">
            <w:pPr>
              <w:jc w:val="both"/>
              <w:rPr>
                <w:rFonts w:ascii="Times New Roman" w:eastAsia="Calibri" w:hAnsi="Times New Roman" w:cs="Times New Roman"/>
                <w:iCs/>
                <w:sz w:val="18"/>
                <w:szCs w:val="18"/>
                <w:lang w:val="en-US"/>
              </w:rPr>
            </w:pPr>
          </w:p>
          <w:p w14:paraId="72AC2E4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(iii) does not subsequently report the gain or loss accrued in other comprehensive income through profit and loss;</w:t>
            </w:r>
          </w:p>
        </w:tc>
        <w:tc>
          <w:tcPr>
            <w:tcW w:w="810" w:type="dxa"/>
          </w:tcPr>
          <w:p w14:paraId="5277E1C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C1EACD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15(2)(d)</w:t>
            </w:r>
          </w:p>
        </w:tc>
        <w:tc>
          <w:tcPr>
            <w:tcW w:w="4680" w:type="dxa"/>
            <w:gridSpan w:val="2"/>
          </w:tcPr>
          <w:p w14:paraId="1FD8E05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“Included revaluation method gain or loss” means a net gain or loss, increased or decreased by any associated covered taxes for the fiscal year, resulting from the application of an accounting method or practice that, in respect of all property, plant and equipment:</w:t>
            </w:r>
          </w:p>
          <w:p w14:paraId="5E231A3B" w14:textId="77777777" w:rsidR="00465215" w:rsidRPr="005E6D70" w:rsidRDefault="00465215" w:rsidP="009170D4">
            <w:pPr>
              <w:jc w:val="both"/>
              <w:rPr>
                <w:rFonts w:ascii="Times New Roman" w:eastAsia="Calibri" w:hAnsi="Times New Roman" w:cs="Times New Roman"/>
                <w:iCs/>
                <w:sz w:val="18"/>
                <w:szCs w:val="18"/>
                <w:lang w:val="en-US"/>
              </w:rPr>
            </w:pPr>
          </w:p>
          <w:p w14:paraId="03B2453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periodically adjusts the carrying value of such property to its fair value;</w:t>
            </w:r>
          </w:p>
          <w:p w14:paraId="69162B84" w14:textId="77777777" w:rsidR="00465215" w:rsidRPr="005E6D70" w:rsidRDefault="00465215" w:rsidP="009170D4">
            <w:pPr>
              <w:jc w:val="both"/>
              <w:rPr>
                <w:rFonts w:ascii="Times New Roman" w:eastAsia="Calibri" w:hAnsi="Times New Roman" w:cs="Times New Roman"/>
                <w:iCs/>
                <w:sz w:val="18"/>
                <w:szCs w:val="18"/>
                <w:lang w:val="en-US"/>
              </w:rPr>
            </w:pPr>
          </w:p>
          <w:p w14:paraId="12904D4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records the changes in value in other comprehensive income; and</w:t>
            </w:r>
          </w:p>
          <w:p w14:paraId="44F287D2" w14:textId="77777777" w:rsidR="00465215" w:rsidRPr="005E6D70" w:rsidRDefault="00465215" w:rsidP="009170D4">
            <w:pPr>
              <w:jc w:val="both"/>
              <w:rPr>
                <w:rFonts w:ascii="Times New Roman" w:eastAsia="Calibri" w:hAnsi="Times New Roman" w:cs="Times New Roman"/>
                <w:iCs/>
                <w:sz w:val="18"/>
                <w:szCs w:val="18"/>
                <w:lang w:val="en-US"/>
              </w:rPr>
            </w:pPr>
          </w:p>
          <w:p w14:paraId="27515F0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(iii) does not subsequently report the gain or loss accrued in other comprehensive income through profit and loss.</w:t>
            </w:r>
          </w:p>
        </w:tc>
        <w:tc>
          <w:tcPr>
            <w:tcW w:w="1800" w:type="dxa"/>
            <w:gridSpan w:val="2"/>
          </w:tcPr>
          <w:p w14:paraId="77B6696D"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2BF7600D"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00F97527" w14:textId="77777777" w:rsidTr="009170D4">
        <w:trPr>
          <w:trHeight w:val="629"/>
        </w:trPr>
        <w:tc>
          <w:tcPr>
            <w:tcW w:w="810" w:type="dxa"/>
          </w:tcPr>
          <w:p w14:paraId="6894659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16(1e)</w:t>
            </w:r>
          </w:p>
        </w:tc>
        <w:tc>
          <w:tcPr>
            <w:tcW w:w="5040" w:type="dxa"/>
            <w:gridSpan w:val="2"/>
          </w:tcPr>
          <w:p w14:paraId="200AC50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(e) ‘asymmetric foreign currency gain or loss’ means a foreign currency gain or loss of an entity whose accounting and tax functional currencies are different and that is:</w:t>
            </w:r>
          </w:p>
          <w:p w14:paraId="583454BC" w14:textId="77777777" w:rsidR="00465215" w:rsidRPr="005E6D70" w:rsidRDefault="00465215" w:rsidP="009170D4">
            <w:pPr>
              <w:jc w:val="both"/>
              <w:rPr>
                <w:rFonts w:ascii="Times New Roman" w:eastAsia="Calibri" w:hAnsi="Times New Roman" w:cs="Times New Roman"/>
                <w:iCs/>
                <w:sz w:val="18"/>
                <w:szCs w:val="18"/>
                <w:lang w:val="en-US"/>
              </w:rPr>
            </w:pPr>
          </w:p>
          <w:p w14:paraId="6AA391E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included in the computation of the taxable income or loss of a constituent entity and that is attributable to fluctuations in the exchange rate between the accounting functional currency and the tax functional currency of the constituent entity;</w:t>
            </w:r>
          </w:p>
          <w:p w14:paraId="202224F0" w14:textId="77777777" w:rsidR="00465215" w:rsidRPr="005E6D70" w:rsidRDefault="00465215" w:rsidP="009170D4">
            <w:pPr>
              <w:jc w:val="both"/>
              <w:rPr>
                <w:rFonts w:ascii="Times New Roman" w:eastAsia="Calibri" w:hAnsi="Times New Roman" w:cs="Times New Roman"/>
                <w:iCs/>
                <w:sz w:val="18"/>
                <w:szCs w:val="18"/>
                <w:lang w:val="en-US"/>
              </w:rPr>
            </w:pPr>
          </w:p>
          <w:p w14:paraId="58EFDDF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included in the computation of the financial accounting net income or loss of a constituent entity and that is attributable to fluctuations in the exchange rate between the accounting functional currency and the tax functional currency of the constituent entity;</w:t>
            </w:r>
          </w:p>
          <w:p w14:paraId="0523DB60" w14:textId="77777777" w:rsidR="00465215" w:rsidRPr="005E6D70" w:rsidRDefault="00465215" w:rsidP="009170D4">
            <w:pPr>
              <w:jc w:val="both"/>
              <w:rPr>
                <w:rFonts w:ascii="Times New Roman" w:eastAsia="Calibri" w:hAnsi="Times New Roman" w:cs="Times New Roman"/>
                <w:iCs/>
                <w:sz w:val="18"/>
                <w:szCs w:val="18"/>
                <w:lang w:val="en-US"/>
              </w:rPr>
            </w:pPr>
          </w:p>
          <w:p w14:paraId="4BA3A8A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(iii) included in the computation of the financial accounting net income or loss of a constituent entity and that is attributable to fluctuations in the exchange rate between a third foreign currency and the accounting functional currency of the constituent entity; and</w:t>
            </w:r>
          </w:p>
          <w:p w14:paraId="6089B9AD" w14:textId="77777777" w:rsidR="00465215" w:rsidRPr="005E6D70" w:rsidRDefault="00465215" w:rsidP="009170D4">
            <w:pPr>
              <w:jc w:val="both"/>
              <w:rPr>
                <w:rFonts w:ascii="Times New Roman" w:eastAsia="Calibri" w:hAnsi="Times New Roman" w:cs="Times New Roman"/>
                <w:iCs/>
                <w:sz w:val="18"/>
                <w:szCs w:val="18"/>
                <w:lang w:val="en-US"/>
              </w:rPr>
            </w:pPr>
          </w:p>
          <w:p w14:paraId="1EA505B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(iv) attributable to fluctuations in the exchange rate between a third foreign currency and the tax functional currency of the constituent entity, irrespective of whether such third foreign currency gain or loss is included in the taxable income;</w:t>
            </w:r>
          </w:p>
          <w:p w14:paraId="3BD98F48" w14:textId="77777777" w:rsidR="00465215" w:rsidRPr="005E6D70" w:rsidRDefault="00465215" w:rsidP="009170D4">
            <w:pPr>
              <w:jc w:val="both"/>
              <w:rPr>
                <w:rFonts w:ascii="Times New Roman" w:eastAsia="Calibri" w:hAnsi="Times New Roman" w:cs="Times New Roman"/>
                <w:iCs/>
                <w:sz w:val="18"/>
                <w:szCs w:val="18"/>
                <w:lang w:val="en-US"/>
              </w:rPr>
            </w:pPr>
          </w:p>
          <w:p w14:paraId="245A876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the tax functional currency is the functional currency used to determine the constituent entity’s taxable income or loss for a covered tax in the jurisdiction in which it is located; the accounting functional currency is the functional currency used to determine the</w:t>
            </w:r>
          </w:p>
          <w:p w14:paraId="4009A13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constituent entity’s financial accounting net income or loss; a third foreign currency is a currency that is not the constituent entity’s tax functional currency or accounting functional currency;</w:t>
            </w:r>
          </w:p>
        </w:tc>
        <w:tc>
          <w:tcPr>
            <w:tcW w:w="810" w:type="dxa"/>
          </w:tcPr>
          <w:p w14:paraId="4C7A54D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0C153C6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15(2)(e)</w:t>
            </w:r>
          </w:p>
        </w:tc>
        <w:tc>
          <w:tcPr>
            <w:tcW w:w="4680" w:type="dxa"/>
            <w:gridSpan w:val="2"/>
          </w:tcPr>
          <w:p w14:paraId="25BB312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e) “Asymmetric foreign currency gain or loss” means a foreign currency gain or loss of an entity whose accounting functional currency and tax functional currency are different, and that:</w:t>
            </w:r>
          </w:p>
          <w:p w14:paraId="1958A68B" w14:textId="77777777" w:rsidR="00465215" w:rsidRPr="005E6D70" w:rsidRDefault="00465215" w:rsidP="009170D4">
            <w:pPr>
              <w:jc w:val="both"/>
              <w:rPr>
                <w:rFonts w:ascii="Times New Roman" w:eastAsia="Calibri" w:hAnsi="Times New Roman" w:cs="Times New Roman"/>
                <w:iCs/>
                <w:sz w:val="18"/>
                <w:szCs w:val="18"/>
                <w:lang w:val="en-US"/>
              </w:rPr>
            </w:pPr>
          </w:p>
          <w:p w14:paraId="78F9D70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is included in the computation of the taxable income or loss of a constituent entity and is attributable to fluctuations in the exchange rate between the accounting functional currency and the tax functional currency of the constituent entity;</w:t>
            </w:r>
          </w:p>
          <w:p w14:paraId="23BAC152" w14:textId="77777777" w:rsidR="00465215" w:rsidRPr="005E6D70" w:rsidRDefault="00465215" w:rsidP="009170D4">
            <w:pPr>
              <w:jc w:val="both"/>
              <w:rPr>
                <w:rFonts w:ascii="Times New Roman" w:eastAsia="Calibri" w:hAnsi="Times New Roman" w:cs="Times New Roman"/>
                <w:iCs/>
                <w:sz w:val="18"/>
                <w:szCs w:val="18"/>
                <w:lang w:val="en-US"/>
              </w:rPr>
            </w:pPr>
          </w:p>
          <w:p w14:paraId="4E972CD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is included in the computation of the financial accounting net income or loss of the constituent entity and is attributable to fluctuations in the exchange rate between the accounting functional currency and the tax functional currency of the constituent entity;</w:t>
            </w:r>
          </w:p>
          <w:p w14:paraId="18A0544E" w14:textId="77777777" w:rsidR="00465215" w:rsidRPr="005E6D70" w:rsidRDefault="00465215" w:rsidP="009170D4">
            <w:pPr>
              <w:jc w:val="both"/>
              <w:rPr>
                <w:rFonts w:ascii="Times New Roman" w:eastAsia="Calibri" w:hAnsi="Times New Roman" w:cs="Times New Roman"/>
                <w:iCs/>
                <w:sz w:val="18"/>
                <w:szCs w:val="18"/>
                <w:lang w:val="en-US"/>
              </w:rPr>
            </w:pPr>
          </w:p>
          <w:p w14:paraId="59CEF52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(iii) is included in the computation of the financial accounting net income or loss of the constituent entity and is attributable to fluctuations in the exchange rate between a third foreign currency and the accounting functional currency of the constituent entity; and</w:t>
            </w:r>
          </w:p>
          <w:p w14:paraId="739F9136" w14:textId="77777777" w:rsidR="00465215" w:rsidRPr="005E6D70" w:rsidRDefault="00465215" w:rsidP="009170D4">
            <w:pPr>
              <w:jc w:val="both"/>
              <w:rPr>
                <w:rFonts w:ascii="Times New Roman" w:eastAsia="Calibri" w:hAnsi="Times New Roman" w:cs="Times New Roman"/>
                <w:iCs/>
                <w:sz w:val="18"/>
                <w:szCs w:val="18"/>
                <w:lang w:val="en-US"/>
              </w:rPr>
            </w:pPr>
          </w:p>
          <w:p w14:paraId="4B92BFB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(iv) is attributable to fluctuations in the exchange rate between a third foreign currency and the tax functional currency of the </w:t>
            </w:r>
            <w:r w:rsidRPr="005E6D70">
              <w:rPr>
                <w:rFonts w:ascii="Times New Roman" w:eastAsia="Calibri" w:hAnsi="Times New Roman" w:cs="Times New Roman"/>
                <w:iCs/>
                <w:sz w:val="18"/>
                <w:szCs w:val="18"/>
                <w:lang w:val="en-US"/>
              </w:rPr>
              <w:lastRenderedPageBreak/>
              <w:t>constituent entity, regardless of whether such third foreign currency gain or loss is included in the taxable income;</w:t>
            </w:r>
          </w:p>
          <w:p w14:paraId="57D206D4" w14:textId="77777777" w:rsidR="00465215" w:rsidRPr="005E6D70" w:rsidRDefault="00465215" w:rsidP="009170D4">
            <w:pPr>
              <w:jc w:val="both"/>
              <w:rPr>
                <w:rFonts w:ascii="Times New Roman" w:eastAsia="Calibri" w:hAnsi="Times New Roman" w:cs="Times New Roman"/>
                <w:iCs/>
                <w:sz w:val="18"/>
                <w:szCs w:val="18"/>
                <w:lang w:val="en-US"/>
              </w:rPr>
            </w:pPr>
          </w:p>
          <w:p w14:paraId="2F5CDF1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for the purposes of this letter, the tax functional currency is the functional currency used to determine the constituent entity’s taxable income or loss for a covered tax in the jurisdiction in which it is located; the accounting functional currency means the functional currency used to determine the constituent entity’s financial accounting net income or loss; and a third foreign currency is a currency that is not the tax functional currency or the accounting functional currency of the constituent entity.</w:t>
            </w:r>
          </w:p>
        </w:tc>
        <w:tc>
          <w:tcPr>
            <w:tcW w:w="1800" w:type="dxa"/>
            <w:gridSpan w:val="2"/>
          </w:tcPr>
          <w:p w14:paraId="18E63FCF"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542A9741"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consolidation for national legislative compliance. The trailing definitional text of the Directive is incorporated directly into the paragraph structure.</w:t>
            </w:r>
          </w:p>
        </w:tc>
      </w:tr>
      <w:tr w:rsidR="00465215" w:rsidRPr="005E6D70" w14:paraId="2F85EE72" w14:textId="77777777" w:rsidTr="009170D4">
        <w:trPr>
          <w:trHeight w:val="629"/>
        </w:trPr>
        <w:tc>
          <w:tcPr>
            <w:tcW w:w="810" w:type="dxa"/>
          </w:tcPr>
          <w:p w14:paraId="7D101927" w14:textId="77777777" w:rsidR="00465215" w:rsidRPr="005E6D70" w:rsidRDefault="00465215" w:rsidP="009170D4">
            <w:pPr>
              <w:jc w:val="both"/>
              <w:rPr>
                <w:rFonts w:ascii="Times New Roman" w:eastAsia="Calibri" w:hAnsi="Times New Roman" w:cs="Times New Roman"/>
                <w:sz w:val="18"/>
                <w:szCs w:val="18"/>
                <w:highlight w:val="yellow"/>
                <w:lang w:val="en-US"/>
              </w:rPr>
            </w:pPr>
            <w:r w:rsidRPr="005E6D70">
              <w:rPr>
                <w:rFonts w:ascii="Times New Roman" w:eastAsia="Calibri" w:hAnsi="Times New Roman" w:cs="Times New Roman"/>
                <w:sz w:val="18"/>
                <w:szCs w:val="18"/>
                <w:lang w:val="en-US"/>
              </w:rPr>
              <w:t>16(1f)</w:t>
            </w:r>
          </w:p>
        </w:tc>
        <w:tc>
          <w:tcPr>
            <w:tcW w:w="5040" w:type="dxa"/>
            <w:gridSpan w:val="2"/>
          </w:tcPr>
          <w:p w14:paraId="6DA1F20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 ‘policy disallowed expense’ means:</w:t>
            </w:r>
          </w:p>
          <w:p w14:paraId="78CE6AC7" w14:textId="77777777" w:rsidR="00465215" w:rsidRPr="005E6D70" w:rsidRDefault="00465215" w:rsidP="009170D4">
            <w:pPr>
              <w:jc w:val="both"/>
              <w:rPr>
                <w:rFonts w:ascii="Times New Roman" w:eastAsia="Calibri" w:hAnsi="Times New Roman" w:cs="Times New Roman"/>
                <w:iCs/>
                <w:sz w:val="18"/>
                <w:szCs w:val="18"/>
                <w:lang w:val="en-US"/>
              </w:rPr>
            </w:pPr>
          </w:p>
          <w:p w14:paraId="21E340B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an expense accrued by the constituent entity for illegal payments, including bribes and kickbacks; and</w:t>
            </w:r>
          </w:p>
          <w:p w14:paraId="26368007" w14:textId="77777777" w:rsidR="00465215" w:rsidRPr="005E6D70" w:rsidRDefault="00465215" w:rsidP="009170D4">
            <w:pPr>
              <w:jc w:val="both"/>
              <w:rPr>
                <w:rFonts w:ascii="Times New Roman" w:eastAsia="Calibri" w:hAnsi="Times New Roman" w:cs="Times New Roman"/>
                <w:iCs/>
                <w:sz w:val="18"/>
                <w:szCs w:val="18"/>
                <w:lang w:val="en-US"/>
              </w:rPr>
            </w:pPr>
          </w:p>
          <w:p w14:paraId="13DA545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 an expense accrued by the constituent entity for fines and penalties that equal or exceed EUR 50 000 or an equivalent amount in the functional currency in which the financial accounting net income or loss of the constituent entity is computed;</w:t>
            </w:r>
          </w:p>
        </w:tc>
        <w:tc>
          <w:tcPr>
            <w:tcW w:w="810" w:type="dxa"/>
          </w:tcPr>
          <w:p w14:paraId="39E1CE7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26B99A2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15(2)(f)</w:t>
            </w:r>
          </w:p>
        </w:tc>
        <w:tc>
          <w:tcPr>
            <w:tcW w:w="4680" w:type="dxa"/>
            <w:gridSpan w:val="2"/>
          </w:tcPr>
          <w:p w14:paraId="395C4AA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 “Policy disallowed expenses” means:</w:t>
            </w:r>
          </w:p>
          <w:p w14:paraId="24A892C8" w14:textId="77777777" w:rsidR="00465215" w:rsidRPr="005E6D70" w:rsidRDefault="00465215" w:rsidP="009170D4">
            <w:pPr>
              <w:jc w:val="both"/>
              <w:rPr>
                <w:rFonts w:ascii="Times New Roman" w:eastAsia="Calibri" w:hAnsi="Times New Roman" w:cs="Times New Roman"/>
                <w:iCs/>
                <w:sz w:val="18"/>
                <w:szCs w:val="18"/>
                <w:lang w:val="en-US"/>
              </w:rPr>
            </w:pPr>
          </w:p>
          <w:p w14:paraId="7213B94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expenses accrued by the constituent entity for illegal payments, including bribes and kickbacks; and</w:t>
            </w:r>
          </w:p>
          <w:p w14:paraId="79B7C297" w14:textId="77777777" w:rsidR="00465215" w:rsidRPr="005E6D70" w:rsidRDefault="00465215" w:rsidP="009170D4">
            <w:pPr>
              <w:jc w:val="both"/>
              <w:rPr>
                <w:rFonts w:ascii="Times New Roman" w:eastAsia="Calibri" w:hAnsi="Times New Roman" w:cs="Times New Roman"/>
                <w:iCs/>
                <w:sz w:val="18"/>
                <w:szCs w:val="18"/>
                <w:lang w:val="en-US"/>
              </w:rPr>
            </w:pPr>
          </w:p>
          <w:p w14:paraId="19B106F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expenses accrued by the constituent entity for fines and penalties that equal or exceed EUR 50,000 or an equivalent amount in the functional currency in which the financial accounting net income or loss of the constituent entity is computed.</w:t>
            </w:r>
          </w:p>
        </w:tc>
        <w:tc>
          <w:tcPr>
            <w:tcW w:w="1800" w:type="dxa"/>
            <w:gridSpan w:val="2"/>
          </w:tcPr>
          <w:p w14:paraId="376582DB"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4C59E3D3"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02A07D52" w14:textId="77777777" w:rsidTr="009170D4">
        <w:trPr>
          <w:trHeight w:val="629"/>
        </w:trPr>
        <w:tc>
          <w:tcPr>
            <w:tcW w:w="810" w:type="dxa"/>
          </w:tcPr>
          <w:p w14:paraId="40194842" w14:textId="77777777" w:rsidR="00465215" w:rsidRPr="005E6D70" w:rsidRDefault="00465215" w:rsidP="009170D4">
            <w:pPr>
              <w:jc w:val="both"/>
              <w:rPr>
                <w:rFonts w:ascii="Times New Roman" w:eastAsia="Calibri" w:hAnsi="Times New Roman" w:cs="Times New Roman"/>
                <w:sz w:val="18"/>
                <w:szCs w:val="18"/>
                <w:highlight w:val="yellow"/>
                <w:lang w:val="en-US"/>
              </w:rPr>
            </w:pPr>
            <w:r w:rsidRPr="005E6D70">
              <w:rPr>
                <w:rFonts w:ascii="Times New Roman" w:eastAsia="Calibri" w:hAnsi="Times New Roman" w:cs="Times New Roman"/>
                <w:sz w:val="18"/>
                <w:szCs w:val="18"/>
                <w:lang w:val="en-US"/>
              </w:rPr>
              <w:t>16(1g)</w:t>
            </w:r>
          </w:p>
        </w:tc>
        <w:tc>
          <w:tcPr>
            <w:tcW w:w="5040" w:type="dxa"/>
            <w:gridSpan w:val="2"/>
          </w:tcPr>
          <w:p w14:paraId="24F5D25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(g) ‘prior period errors and changes in accounting principles’ means a change in the opening equity of a constituent entity at the beginning of a fiscal year that is attributable to:</w:t>
            </w:r>
          </w:p>
          <w:p w14:paraId="0592F63A" w14:textId="77777777" w:rsidR="00465215" w:rsidRPr="005E6D70" w:rsidRDefault="00465215" w:rsidP="009170D4">
            <w:pPr>
              <w:jc w:val="both"/>
              <w:rPr>
                <w:rFonts w:ascii="Times New Roman" w:eastAsia="Calibri" w:hAnsi="Times New Roman" w:cs="Times New Roman"/>
                <w:iCs/>
                <w:sz w:val="18"/>
                <w:szCs w:val="18"/>
                <w:lang w:val="en-US"/>
              </w:rPr>
            </w:pPr>
          </w:p>
          <w:p w14:paraId="71FCBF6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a correction of an error in the determination of the financial accounting net income or loss in a previous fiscal year that affected the income or expenses able to be included in the computation of the qualifying income or loss in that previous fiscal year, except to the extent such correction of an error resulted in a material decrease of a liability for covered taxes subject to Article 25; and</w:t>
            </w:r>
          </w:p>
          <w:p w14:paraId="08478BF7" w14:textId="77777777" w:rsidR="00465215" w:rsidRPr="005E6D70" w:rsidRDefault="00465215" w:rsidP="009170D4">
            <w:pPr>
              <w:jc w:val="both"/>
              <w:rPr>
                <w:rFonts w:ascii="Times New Roman" w:eastAsia="Calibri" w:hAnsi="Times New Roman" w:cs="Times New Roman"/>
                <w:iCs/>
                <w:sz w:val="18"/>
                <w:szCs w:val="18"/>
                <w:lang w:val="en-US"/>
              </w:rPr>
            </w:pPr>
          </w:p>
          <w:p w14:paraId="3BD1496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 a change in accounting principles or policy that affected the income or expenses included in the computation of the qualifying income or loss;</w:t>
            </w:r>
          </w:p>
        </w:tc>
        <w:tc>
          <w:tcPr>
            <w:tcW w:w="810" w:type="dxa"/>
          </w:tcPr>
          <w:p w14:paraId="66F93FD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0312218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15(2)(g)</w:t>
            </w:r>
          </w:p>
        </w:tc>
        <w:tc>
          <w:tcPr>
            <w:tcW w:w="4680" w:type="dxa"/>
            <w:gridSpan w:val="2"/>
          </w:tcPr>
          <w:p w14:paraId="699BE68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g) “Prior period errors and changes in accounting principles” means a change in the opening equity of a constituent entity at the beginning of a fiscal year that is attributable to:</w:t>
            </w:r>
          </w:p>
          <w:p w14:paraId="1CE8416F" w14:textId="77777777" w:rsidR="00465215" w:rsidRPr="005E6D70" w:rsidRDefault="00465215" w:rsidP="009170D4">
            <w:pPr>
              <w:jc w:val="both"/>
              <w:rPr>
                <w:rFonts w:ascii="Times New Roman" w:eastAsia="Calibri" w:hAnsi="Times New Roman" w:cs="Times New Roman"/>
                <w:iCs/>
                <w:sz w:val="18"/>
                <w:szCs w:val="18"/>
                <w:lang w:val="en-US"/>
              </w:rPr>
            </w:pPr>
          </w:p>
          <w:p w14:paraId="15230F2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a correction of an error in the determination of the financial accounting net income or loss in a previous fiscal year that affected the income or expenses includible in the computation of the qualifying income or loss in that previous fiscal year, except to the extent such correction of an error resulted in a material decrease of a liability for covered taxes subject to Article 25, of this Law; and</w:t>
            </w:r>
          </w:p>
          <w:p w14:paraId="7D080342" w14:textId="77777777" w:rsidR="00465215" w:rsidRPr="005E6D70" w:rsidRDefault="00465215" w:rsidP="009170D4">
            <w:pPr>
              <w:jc w:val="both"/>
              <w:rPr>
                <w:rFonts w:ascii="Times New Roman" w:eastAsia="Calibri" w:hAnsi="Times New Roman" w:cs="Times New Roman"/>
                <w:iCs/>
                <w:sz w:val="18"/>
                <w:szCs w:val="18"/>
                <w:lang w:val="en-US"/>
              </w:rPr>
            </w:pPr>
          </w:p>
          <w:p w14:paraId="3771E38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a change in accounting principles or policy that affected the income or expenses includible in the computation of the qualifying income or loss.</w:t>
            </w:r>
          </w:p>
        </w:tc>
        <w:tc>
          <w:tcPr>
            <w:tcW w:w="1800" w:type="dxa"/>
            <w:gridSpan w:val="2"/>
          </w:tcPr>
          <w:p w14:paraId="27318E54"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32DE46A"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 (updating cross-references).</w:t>
            </w:r>
          </w:p>
        </w:tc>
      </w:tr>
      <w:tr w:rsidR="00465215" w:rsidRPr="005E6D70" w14:paraId="31D8B765" w14:textId="77777777" w:rsidTr="009170D4">
        <w:trPr>
          <w:trHeight w:val="629"/>
        </w:trPr>
        <w:tc>
          <w:tcPr>
            <w:tcW w:w="810" w:type="dxa"/>
          </w:tcPr>
          <w:p w14:paraId="61F458D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16(1h)</w:t>
            </w:r>
          </w:p>
        </w:tc>
        <w:tc>
          <w:tcPr>
            <w:tcW w:w="5040" w:type="dxa"/>
            <w:gridSpan w:val="2"/>
          </w:tcPr>
          <w:p w14:paraId="7601878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(h) ‘accrued pension expense’ means the difference between the amount of pension liability expense included in the financial accounting net income or loss and the amount contributed to a pension fund for the fiscal year.</w:t>
            </w:r>
          </w:p>
        </w:tc>
        <w:tc>
          <w:tcPr>
            <w:tcW w:w="810" w:type="dxa"/>
          </w:tcPr>
          <w:p w14:paraId="33B918D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EFABF0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15(2)(h)</w:t>
            </w:r>
          </w:p>
        </w:tc>
        <w:tc>
          <w:tcPr>
            <w:tcW w:w="4680" w:type="dxa"/>
            <w:gridSpan w:val="2"/>
          </w:tcPr>
          <w:p w14:paraId="547E6D7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h) “Accrued pension expense” means the difference between the amount of pension liability expense included in the financial accounting net income or loss and the amount </w:t>
            </w:r>
            <w:r w:rsidRPr="005E6D70">
              <w:rPr>
                <w:rFonts w:ascii="Times New Roman" w:eastAsia="Calibri" w:hAnsi="Times New Roman" w:cs="Times New Roman"/>
                <w:iCs/>
                <w:sz w:val="18"/>
                <w:szCs w:val="18"/>
                <w:lang w:val="en-US"/>
              </w:rPr>
              <w:lastRenderedPageBreak/>
              <w:t>contributed by the constituent entity to a pension fund for the fiscal year.</w:t>
            </w:r>
          </w:p>
        </w:tc>
        <w:tc>
          <w:tcPr>
            <w:tcW w:w="1800" w:type="dxa"/>
            <w:gridSpan w:val="2"/>
          </w:tcPr>
          <w:p w14:paraId="113A61D9"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07C87FBA"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700AB873" w14:textId="77777777" w:rsidTr="009170D4">
        <w:trPr>
          <w:trHeight w:val="629"/>
        </w:trPr>
        <w:tc>
          <w:tcPr>
            <w:tcW w:w="810" w:type="dxa"/>
          </w:tcPr>
          <w:p w14:paraId="620079B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16(2)</w:t>
            </w:r>
          </w:p>
        </w:tc>
        <w:tc>
          <w:tcPr>
            <w:tcW w:w="5040" w:type="dxa"/>
            <w:gridSpan w:val="2"/>
          </w:tcPr>
          <w:p w14:paraId="4749CA5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The financial accounting net income or loss of a constituent entity shall be adjusted by the amount of the following items to determine its qualifying income or loss:</w:t>
            </w:r>
          </w:p>
          <w:p w14:paraId="74E3CD7B" w14:textId="77777777" w:rsidR="00465215" w:rsidRPr="005E6D70" w:rsidRDefault="00465215" w:rsidP="009170D4">
            <w:pPr>
              <w:jc w:val="both"/>
              <w:rPr>
                <w:rFonts w:ascii="Times New Roman" w:eastAsia="Calibri" w:hAnsi="Times New Roman" w:cs="Times New Roman"/>
                <w:sz w:val="18"/>
                <w:szCs w:val="18"/>
                <w:lang w:val="en-US"/>
              </w:rPr>
            </w:pPr>
          </w:p>
          <w:p w14:paraId="624EE72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net taxes expenses;</w:t>
            </w:r>
          </w:p>
          <w:p w14:paraId="0806028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excluded dividends;</w:t>
            </w:r>
          </w:p>
          <w:p w14:paraId="699AF211"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excluded equity gains or losses;</w:t>
            </w:r>
          </w:p>
          <w:p w14:paraId="784562E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(d) included revaluation method gains or losses;</w:t>
            </w:r>
          </w:p>
          <w:p w14:paraId="18EFDA8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(e) gains or losses from the disposal of assets and liabilities excluded pursuant to Article 35;</w:t>
            </w:r>
          </w:p>
          <w:p w14:paraId="449F909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(f) asymmetric foreign currency gains or losses;</w:t>
            </w:r>
          </w:p>
          <w:p w14:paraId="387B9E8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(g) policy disallowed expenses;</w:t>
            </w:r>
          </w:p>
          <w:p w14:paraId="797D12B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(h) prior period errors and changes in accounting principles; and</w:t>
            </w:r>
          </w:p>
          <w:p w14:paraId="4E44758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 accrued pension expenses.</w:t>
            </w:r>
          </w:p>
        </w:tc>
        <w:tc>
          <w:tcPr>
            <w:tcW w:w="810" w:type="dxa"/>
          </w:tcPr>
          <w:p w14:paraId="335DEE4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58BB82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15(1)</w:t>
            </w:r>
          </w:p>
        </w:tc>
        <w:tc>
          <w:tcPr>
            <w:tcW w:w="4680" w:type="dxa"/>
            <w:gridSpan w:val="2"/>
          </w:tcPr>
          <w:p w14:paraId="4C252C4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The financial accounting net income or loss of a constituent entity shall be adjusted by the amount of the following items to determine its qualifying income or loss:</w:t>
            </w:r>
          </w:p>
          <w:p w14:paraId="49216847" w14:textId="77777777" w:rsidR="00465215" w:rsidRPr="005E6D70" w:rsidRDefault="00465215" w:rsidP="009170D4">
            <w:pPr>
              <w:jc w:val="both"/>
              <w:rPr>
                <w:rFonts w:ascii="Times New Roman" w:eastAsia="Calibri" w:hAnsi="Times New Roman" w:cs="Times New Roman"/>
                <w:iCs/>
                <w:sz w:val="18"/>
                <w:szCs w:val="18"/>
                <w:lang w:val="en-US"/>
              </w:rPr>
            </w:pPr>
          </w:p>
          <w:p w14:paraId="21AA519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Net taxes expense;</w:t>
            </w:r>
          </w:p>
          <w:p w14:paraId="1E0A14D5" w14:textId="77777777" w:rsidR="00465215" w:rsidRPr="005E6D70" w:rsidRDefault="00465215" w:rsidP="009170D4">
            <w:pPr>
              <w:jc w:val="both"/>
              <w:rPr>
                <w:rFonts w:ascii="Times New Roman" w:eastAsia="Calibri" w:hAnsi="Times New Roman" w:cs="Times New Roman"/>
                <w:iCs/>
                <w:sz w:val="18"/>
                <w:szCs w:val="18"/>
                <w:lang w:val="en-US"/>
              </w:rPr>
            </w:pPr>
          </w:p>
          <w:p w14:paraId="03CE019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Excluded dividends;</w:t>
            </w:r>
          </w:p>
          <w:p w14:paraId="111F4836" w14:textId="77777777" w:rsidR="00465215" w:rsidRPr="005E6D70" w:rsidRDefault="00465215" w:rsidP="009170D4">
            <w:pPr>
              <w:jc w:val="both"/>
              <w:rPr>
                <w:rFonts w:ascii="Times New Roman" w:eastAsia="Calibri" w:hAnsi="Times New Roman" w:cs="Times New Roman"/>
                <w:iCs/>
                <w:sz w:val="18"/>
                <w:szCs w:val="18"/>
                <w:lang w:val="en-US"/>
              </w:rPr>
            </w:pPr>
          </w:p>
          <w:p w14:paraId="7821F0F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Excluded equity gains or losses;</w:t>
            </w:r>
          </w:p>
          <w:p w14:paraId="49273503" w14:textId="77777777" w:rsidR="00465215" w:rsidRPr="005E6D70" w:rsidRDefault="00465215" w:rsidP="009170D4">
            <w:pPr>
              <w:jc w:val="both"/>
              <w:rPr>
                <w:rFonts w:ascii="Times New Roman" w:eastAsia="Calibri" w:hAnsi="Times New Roman" w:cs="Times New Roman"/>
                <w:iCs/>
                <w:sz w:val="18"/>
                <w:szCs w:val="18"/>
                <w:lang w:val="en-US"/>
              </w:rPr>
            </w:pPr>
          </w:p>
          <w:p w14:paraId="00298DE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Included revaluation method gains or losses;</w:t>
            </w:r>
          </w:p>
          <w:p w14:paraId="5536B522" w14:textId="77777777" w:rsidR="00465215" w:rsidRPr="005E6D70" w:rsidRDefault="00465215" w:rsidP="009170D4">
            <w:pPr>
              <w:jc w:val="both"/>
              <w:rPr>
                <w:rFonts w:ascii="Times New Roman" w:eastAsia="Calibri" w:hAnsi="Times New Roman" w:cs="Times New Roman"/>
                <w:iCs/>
                <w:sz w:val="18"/>
                <w:szCs w:val="18"/>
                <w:lang w:val="en-US"/>
              </w:rPr>
            </w:pPr>
          </w:p>
          <w:p w14:paraId="2ECFB2B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e) Gains or losses from the disposition of assets and liabilities excluded under Article 38, of this Law;</w:t>
            </w:r>
          </w:p>
          <w:p w14:paraId="7108FFA2" w14:textId="77777777" w:rsidR="00465215" w:rsidRPr="005E6D70" w:rsidRDefault="00465215" w:rsidP="009170D4">
            <w:pPr>
              <w:jc w:val="both"/>
              <w:rPr>
                <w:rFonts w:ascii="Times New Roman" w:eastAsia="Calibri" w:hAnsi="Times New Roman" w:cs="Times New Roman"/>
                <w:iCs/>
                <w:sz w:val="18"/>
                <w:szCs w:val="18"/>
                <w:lang w:val="en-US"/>
              </w:rPr>
            </w:pPr>
          </w:p>
          <w:p w14:paraId="0143D72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 Asymmetric foreign currency gains or losses;</w:t>
            </w:r>
          </w:p>
          <w:p w14:paraId="22A28D6D" w14:textId="77777777" w:rsidR="00465215" w:rsidRPr="005E6D70" w:rsidRDefault="00465215" w:rsidP="009170D4">
            <w:pPr>
              <w:jc w:val="both"/>
              <w:rPr>
                <w:rFonts w:ascii="Times New Roman" w:eastAsia="Calibri" w:hAnsi="Times New Roman" w:cs="Times New Roman"/>
                <w:iCs/>
                <w:sz w:val="18"/>
                <w:szCs w:val="18"/>
                <w:lang w:val="en-US"/>
              </w:rPr>
            </w:pPr>
          </w:p>
          <w:p w14:paraId="51184B4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g) Policy disallowed expenses;</w:t>
            </w:r>
          </w:p>
          <w:p w14:paraId="2C0D402C" w14:textId="77777777" w:rsidR="00465215" w:rsidRPr="005E6D70" w:rsidRDefault="00465215" w:rsidP="009170D4">
            <w:pPr>
              <w:jc w:val="both"/>
              <w:rPr>
                <w:rFonts w:ascii="Times New Roman" w:eastAsia="Calibri" w:hAnsi="Times New Roman" w:cs="Times New Roman"/>
                <w:iCs/>
                <w:sz w:val="18"/>
                <w:szCs w:val="18"/>
                <w:lang w:val="en-US"/>
              </w:rPr>
            </w:pPr>
          </w:p>
          <w:p w14:paraId="1363918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h) Prior period errors and changes in accounting principles;</w:t>
            </w:r>
          </w:p>
          <w:p w14:paraId="6DD2D510" w14:textId="77777777" w:rsidR="00465215" w:rsidRPr="005E6D70" w:rsidRDefault="00465215" w:rsidP="009170D4">
            <w:pPr>
              <w:jc w:val="both"/>
              <w:rPr>
                <w:rFonts w:ascii="Times New Roman" w:eastAsia="Calibri" w:hAnsi="Times New Roman" w:cs="Times New Roman"/>
                <w:iCs/>
                <w:sz w:val="18"/>
                <w:szCs w:val="18"/>
                <w:lang w:val="en-US"/>
              </w:rPr>
            </w:pPr>
          </w:p>
          <w:p w14:paraId="4C44ABA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Accrued pension expense.</w:t>
            </w:r>
          </w:p>
        </w:tc>
        <w:tc>
          <w:tcPr>
            <w:tcW w:w="1800" w:type="dxa"/>
            <w:gridSpan w:val="2"/>
          </w:tcPr>
          <w:p w14:paraId="017A857C"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545F88AA"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Swapped in position with paragraph 15(2) of the draft law for structural flow.</w:t>
            </w:r>
          </w:p>
        </w:tc>
      </w:tr>
      <w:tr w:rsidR="00465215" w:rsidRPr="005E6D70" w14:paraId="0C0F2392" w14:textId="77777777" w:rsidTr="009170D4">
        <w:trPr>
          <w:trHeight w:val="629"/>
        </w:trPr>
        <w:tc>
          <w:tcPr>
            <w:tcW w:w="810" w:type="dxa"/>
          </w:tcPr>
          <w:p w14:paraId="6652FF2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16(3)</w:t>
            </w:r>
          </w:p>
        </w:tc>
        <w:tc>
          <w:tcPr>
            <w:tcW w:w="5040" w:type="dxa"/>
            <w:gridSpan w:val="2"/>
          </w:tcPr>
          <w:p w14:paraId="191339E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At the election of the filing constituent entity, a constituent entity may substitute the amount allowed as a deduction for the computation of its taxable income in its location for the amount expensed in its financial accounts for a cost or expense of such constituent entity that was paid with stock-based compensation.</w:t>
            </w:r>
          </w:p>
          <w:p w14:paraId="11A06E38" w14:textId="77777777" w:rsidR="00465215" w:rsidRPr="005E6D70" w:rsidRDefault="00465215" w:rsidP="009170D4">
            <w:pPr>
              <w:jc w:val="both"/>
              <w:rPr>
                <w:rFonts w:ascii="Times New Roman" w:eastAsia="Calibri" w:hAnsi="Times New Roman" w:cs="Times New Roman"/>
                <w:iCs/>
                <w:sz w:val="18"/>
                <w:szCs w:val="18"/>
                <w:lang w:val="en-US"/>
              </w:rPr>
            </w:pPr>
          </w:p>
          <w:p w14:paraId="52B1090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Where the option to use the stock-options has not been exercised, the amount of stock-based compensation cost or expense that has been deducted from the financial accounting net income or loss of the constituent entity for the computation of its qualifying income or loss for all previous fiscal years shall be included in the fiscal year in which that option has expired.</w:t>
            </w:r>
          </w:p>
          <w:p w14:paraId="6CB40B3C" w14:textId="77777777" w:rsidR="00465215" w:rsidRPr="005E6D70" w:rsidRDefault="00465215" w:rsidP="009170D4">
            <w:pPr>
              <w:jc w:val="both"/>
              <w:rPr>
                <w:rFonts w:ascii="Times New Roman" w:eastAsia="Calibri" w:hAnsi="Times New Roman" w:cs="Times New Roman"/>
                <w:iCs/>
                <w:sz w:val="18"/>
                <w:szCs w:val="18"/>
                <w:lang w:val="en-US"/>
              </w:rPr>
            </w:pPr>
          </w:p>
          <w:p w14:paraId="521FF7C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Where part of the amount of stock-based compensation cost or expense has been recorded in the financial accounts of the constituent entity in fiscal years prior to the fiscal year in which the </w:t>
            </w:r>
            <w:r w:rsidRPr="005E6D70">
              <w:rPr>
                <w:rFonts w:ascii="Times New Roman" w:eastAsia="Calibri" w:hAnsi="Times New Roman" w:cs="Times New Roman"/>
                <w:iCs/>
                <w:sz w:val="18"/>
                <w:szCs w:val="18"/>
                <w:lang w:val="en-US"/>
              </w:rPr>
              <w:lastRenderedPageBreak/>
              <w:t>election is made, an amount equal to the difference between the total amount of stock-based compensation cost or expense that has been deducted for the computation of its qualifying income or loss in those previous fiscal years and the total amount of stock-based compensation cost or expense that would have been deducted for the computation of its qualifying income or loss in those previous fiscal years if the election had been made in such fiscal years shall be included in the computation of the qualifying income or loss of the constituent entity for that fiscal year.</w:t>
            </w:r>
          </w:p>
          <w:p w14:paraId="2F7083CD" w14:textId="77777777" w:rsidR="00465215" w:rsidRPr="005E6D70" w:rsidRDefault="00465215" w:rsidP="009170D4">
            <w:pPr>
              <w:jc w:val="both"/>
              <w:rPr>
                <w:rFonts w:ascii="Times New Roman" w:eastAsia="Calibri" w:hAnsi="Times New Roman" w:cs="Times New Roman"/>
                <w:iCs/>
                <w:sz w:val="18"/>
                <w:szCs w:val="18"/>
                <w:lang w:val="en-US"/>
              </w:rPr>
            </w:pPr>
          </w:p>
          <w:p w14:paraId="0A7D1D6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The election shall be made in accordance with Article 45(1) and shall apply consistently to all constituent entities located in the same jurisdiction for the year in which the election is made and all subsequent fiscal years.</w:t>
            </w:r>
          </w:p>
          <w:p w14:paraId="7CDDA84B" w14:textId="77777777" w:rsidR="00465215" w:rsidRPr="005E6D70" w:rsidRDefault="00465215" w:rsidP="009170D4">
            <w:pPr>
              <w:jc w:val="both"/>
              <w:rPr>
                <w:rFonts w:ascii="Times New Roman" w:eastAsia="Calibri" w:hAnsi="Times New Roman" w:cs="Times New Roman"/>
                <w:iCs/>
                <w:sz w:val="18"/>
                <w:szCs w:val="18"/>
                <w:lang w:val="en-US"/>
              </w:rPr>
            </w:pPr>
          </w:p>
          <w:p w14:paraId="5E8E481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In the fiscal year in which the election is revoked, the amount of unpaid stock-based compensation cost or expense deducted pursuant to the election that exceeds the financial accounting expense accrued shall be included in the computation of the qualifying income or loss of the constituent entity.</w:t>
            </w:r>
          </w:p>
        </w:tc>
        <w:tc>
          <w:tcPr>
            <w:tcW w:w="810" w:type="dxa"/>
          </w:tcPr>
          <w:p w14:paraId="136FBA1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4042351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15(3)</w:t>
            </w:r>
          </w:p>
        </w:tc>
        <w:tc>
          <w:tcPr>
            <w:tcW w:w="4680" w:type="dxa"/>
            <w:gridSpan w:val="2"/>
          </w:tcPr>
          <w:p w14:paraId="46FB39B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At the election of the filing constituent entity, a constituent entity may substitute the amount allowed as a deduction for the computation of its taxable income in its location for the amount expensed in its financial accounts for a cost or expense of such constituent entity that was paid with stock-based compensation. In applying this paragraph, the following rules shall apply:</w:t>
            </w:r>
          </w:p>
          <w:p w14:paraId="2EE258E8" w14:textId="77777777" w:rsidR="00465215" w:rsidRPr="005E6D70" w:rsidRDefault="00465215" w:rsidP="009170D4">
            <w:pPr>
              <w:jc w:val="both"/>
              <w:rPr>
                <w:rFonts w:ascii="Times New Roman" w:eastAsia="Calibri" w:hAnsi="Times New Roman" w:cs="Times New Roman"/>
                <w:iCs/>
                <w:sz w:val="18"/>
                <w:szCs w:val="18"/>
                <w:lang w:val="en-US"/>
              </w:rPr>
            </w:pPr>
          </w:p>
          <w:p w14:paraId="3C7988EF" w14:textId="77777777" w:rsidR="00465215" w:rsidRPr="005E6D70" w:rsidRDefault="00465215" w:rsidP="009170D4">
            <w:pPr>
              <w:jc w:val="both"/>
              <w:rPr>
                <w:rFonts w:ascii="Times New Roman" w:eastAsia="Calibri" w:hAnsi="Times New Roman" w:cs="Times New Roman"/>
                <w:iCs/>
                <w:sz w:val="18"/>
                <w:szCs w:val="18"/>
                <w:lang w:val="en-US"/>
              </w:rPr>
            </w:pPr>
          </w:p>
          <w:p w14:paraId="1D870BB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where the option to use the stock-options has not been exercised, the amount of stock-based compensation cost or expense that has been deducted from the financial accounting net income or loss of the constituent entity for the computation of its qualifying income or loss for all previous fiscal years shall be included in the fiscal year in which that option has expired;</w:t>
            </w:r>
          </w:p>
          <w:p w14:paraId="60D88175" w14:textId="77777777" w:rsidR="00465215" w:rsidRPr="005E6D70" w:rsidRDefault="00465215" w:rsidP="009170D4">
            <w:pPr>
              <w:jc w:val="both"/>
              <w:rPr>
                <w:rFonts w:ascii="Times New Roman" w:eastAsia="Calibri" w:hAnsi="Times New Roman" w:cs="Times New Roman"/>
                <w:iCs/>
                <w:sz w:val="18"/>
                <w:szCs w:val="18"/>
                <w:lang w:val="en-US"/>
              </w:rPr>
            </w:pPr>
          </w:p>
          <w:p w14:paraId="6CEB3E84" w14:textId="77777777" w:rsidR="00465215" w:rsidRPr="005E6D70" w:rsidRDefault="00465215" w:rsidP="009170D4">
            <w:pPr>
              <w:jc w:val="both"/>
              <w:rPr>
                <w:rFonts w:ascii="Times New Roman" w:eastAsia="Calibri" w:hAnsi="Times New Roman" w:cs="Times New Roman"/>
                <w:iCs/>
                <w:sz w:val="18"/>
                <w:szCs w:val="18"/>
                <w:lang w:val="en-US"/>
              </w:rPr>
            </w:pPr>
          </w:p>
          <w:p w14:paraId="17CA461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where part of the amount of stock-based compensation cost or expense has been recorded in the financial accounts of the constituent entity in fiscal years prior to the fiscal year in which the election is made, an amount equal to the difference between the total amount of stock-based compensation cost or expense that has been deducted for the computation of its qualifying income or loss in those previous fiscal years and the total amount of stock-based compensation cost or expense that would have been deducted for the computation of its qualifying income or loss in those previous fiscal years if the election had been made in such fiscal years shall be included in the computation of the qualifying income or loss of the constituent entity for that fiscal year;</w:t>
            </w:r>
          </w:p>
          <w:p w14:paraId="45EEB43F" w14:textId="77777777" w:rsidR="00465215" w:rsidRPr="005E6D70" w:rsidRDefault="00465215" w:rsidP="009170D4">
            <w:pPr>
              <w:jc w:val="both"/>
              <w:rPr>
                <w:rFonts w:ascii="Times New Roman" w:eastAsia="Calibri" w:hAnsi="Times New Roman" w:cs="Times New Roman"/>
                <w:iCs/>
                <w:sz w:val="18"/>
                <w:szCs w:val="18"/>
                <w:lang w:val="en-US"/>
              </w:rPr>
            </w:pPr>
          </w:p>
          <w:p w14:paraId="7185A5F5" w14:textId="77777777" w:rsidR="00465215" w:rsidRPr="005E6D70" w:rsidRDefault="00465215" w:rsidP="009170D4">
            <w:pPr>
              <w:jc w:val="both"/>
              <w:rPr>
                <w:rFonts w:ascii="Times New Roman" w:eastAsia="Calibri" w:hAnsi="Times New Roman" w:cs="Times New Roman"/>
                <w:iCs/>
                <w:sz w:val="18"/>
                <w:szCs w:val="18"/>
                <w:lang w:val="en-US"/>
              </w:rPr>
            </w:pPr>
          </w:p>
          <w:p w14:paraId="2F3C966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the election shall be made in accordance with paragraph 1, of Article 55, of this Law, and shall apply consistently to all constituent entities located in the same jurisdiction for the year in which the election is made and all subsequent fiscal years;</w:t>
            </w:r>
          </w:p>
          <w:p w14:paraId="4261A9C8" w14:textId="77777777" w:rsidR="00465215" w:rsidRPr="005E6D70" w:rsidRDefault="00465215" w:rsidP="009170D4">
            <w:pPr>
              <w:jc w:val="both"/>
              <w:rPr>
                <w:rFonts w:ascii="Times New Roman" w:eastAsia="Calibri" w:hAnsi="Times New Roman" w:cs="Times New Roman"/>
                <w:iCs/>
                <w:sz w:val="18"/>
                <w:szCs w:val="18"/>
                <w:lang w:val="en-US"/>
              </w:rPr>
            </w:pPr>
          </w:p>
          <w:p w14:paraId="37BB2D61" w14:textId="77777777" w:rsidR="00465215" w:rsidRPr="005E6D70" w:rsidRDefault="00465215" w:rsidP="009170D4">
            <w:pPr>
              <w:jc w:val="both"/>
              <w:rPr>
                <w:rFonts w:ascii="Times New Roman" w:eastAsia="Calibri" w:hAnsi="Times New Roman" w:cs="Times New Roman"/>
                <w:iCs/>
                <w:sz w:val="18"/>
                <w:szCs w:val="18"/>
                <w:lang w:val="en-US"/>
              </w:rPr>
            </w:pPr>
          </w:p>
          <w:p w14:paraId="22C8C64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in the fiscal year in which the election is revoked, the amount of unpaid stock-based compensation cost or expense deducted pursuant to the election that exceeds the financial accounting expense accrued shall be included in the computation of the qualifying income or loss of the constituent entity.</w:t>
            </w:r>
          </w:p>
        </w:tc>
        <w:tc>
          <w:tcPr>
            <w:tcW w:w="1800" w:type="dxa"/>
            <w:gridSpan w:val="2"/>
          </w:tcPr>
          <w:p w14:paraId="0B6B0B5A"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249F3DB6"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consolidation for national legislative compliance. The unnumbered subparagraphs are organized into lettered sub-points. Cross-references adapted.</w:t>
            </w:r>
          </w:p>
        </w:tc>
      </w:tr>
      <w:tr w:rsidR="00465215" w:rsidRPr="005E6D70" w14:paraId="242022A9" w14:textId="77777777" w:rsidTr="009170D4">
        <w:trPr>
          <w:trHeight w:val="629"/>
        </w:trPr>
        <w:tc>
          <w:tcPr>
            <w:tcW w:w="810" w:type="dxa"/>
          </w:tcPr>
          <w:p w14:paraId="3BD4513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16(4)</w:t>
            </w:r>
          </w:p>
        </w:tc>
        <w:tc>
          <w:tcPr>
            <w:tcW w:w="5040" w:type="dxa"/>
            <w:gridSpan w:val="2"/>
          </w:tcPr>
          <w:p w14:paraId="5B3C4EC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Any transaction between constituent entities located in different jurisdictions that is not recorded in the same amount in the financial accounts of both constituent entities or that is not consistent with the arm’s length principle shall be adjusted so as to be in the same amount and consistent with the arm’s length principle.</w:t>
            </w:r>
          </w:p>
          <w:p w14:paraId="33A7BB35" w14:textId="77777777" w:rsidR="00465215" w:rsidRPr="005E6D70" w:rsidRDefault="00465215" w:rsidP="009170D4">
            <w:pPr>
              <w:jc w:val="both"/>
              <w:rPr>
                <w:rFonts w:ascii="Times New Roman" w:eastAsia="Calibri" w:hAnsi="Times New Roman" w:cs="Times New Roman"/>
                <w:iCs/>
                <w:sz w:val="18"/>
                <w:szCs w:val="18"/>
                <w:lang w:val="en-US"/>
              </w:rPr>
            </w:pPr>
          </w:p>
          <w:p w14:paraId="44C5A49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loss from a sale or other transfer of an asset between two constituent entities located in the same jurisdiction that is not recorded consistently with the arm’s length principle shall be adjusted based on the arm’s length principle if that loss is included in the computation of the qualifying income or loss.</w:t>
            </w:r>
          </w:p>
          <w:p w14:paraId="6D480181" w14:textId="77777777" w:rsidR="00465215" w:rsidRPr="005E6D70" w:rsidRDefault="00465215" w:rsidP="009170D4">
            <w:pPr>
              <w:jc w:val="both"/>
              <w:rPr>
                <w:rFonts w:ascii="Times New Roman" w:eastAsia="Calibri" w:hAnsi="Times New Roman" w:cs="Times New Roman"/>
                <w:iCs/>
                <w:sz w:val="18"/>
                <w:szCs w:val="18"/>
                <w:lang w:val="en-US"/>
              </w:rPr>
            </w:pPr>
          </w:p>
          <w:p w14:paraId="7E6EAB1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lastRenderedPageBreak/>
              <w:t>For the purposes of this paragraph, ‘arm’s length principle’ means the principle under which transactions between constituent entities are to be recorded by reference to the conditions that would have been obtained between independent enterprises in comparable transactions and under comparable circumstances.</w:t>
            </w:r>
          </w:p>
        </w:tc>
        <w:tc>
          <w:tcPr>
            <w:tcW w:w="810" w:type="dxa"/>
          </w:tcPr>
          <w:p w14:paraId="76A6B40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7455313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15(4)</w:t>
            </w:r>
          </w:p>
        </w:tc>
        <w:tc>
          <w:tcPr>
            <w:tcW w:w="4680" w:type="dxa"/>
            <w:gridSpan w:val="2"/>
          </w:tcPr>
          <w:p w14:paraId="034D8EC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For the purposes of this Chapter, the following rules on intra-group transactions shall apply:</w:t>
            </w:r>
          </w:p>
          <w:p w14:paraId="516C3280" w14:textId="77777777" w:rsidR="00465215" w:rsidRPr="005E6D70" w:rsidRDefault="00465215" w:rsidP="009170D4">
            <w:pPr>
              <w:jc w:val="both"/>
              <w:rPr>
                <w:rFonts w:ascii="Times New Roman" w:eastAsia="Calibri" w:hAnsi="Times New Roman" w:cs="Times New Roman"/>
                <w:iCs/>
                <w:sz w:val="18"/>
                <w:szCs w:val="18"/>
                <w:lang w:val="en-US"/>
              </w:rPr>
            </w:pPr>
          </w:p>
          <w:p w14:paraId="3EDA452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any transaction between constituent entities located in different jurisdictions that is not recorded in the same amount in the financial accounts of both constituent entities or that is not consistent with the arm’s length principle shall be adjusted so as to be in the same amount and consistent with the arm’s length principle;</w:t>
            </w:r>
          </w:p>
          <w:p w14:paraId="569B9BD2" w14:textId="77777777" w:rsidR="00465215" w:rsidRPr="005E6D70" w:rsidRDefault="00465215" w:rsidP="009170D4">
            <w:pPr>
              <w:jc w:val="both"/>
              <w:rPr>
                <w:rFonts w:ascii="Times New Roman" w:eastAsia="Calibri" w:hAnsi="Times New Roman" w:cs="Times New Roman"/>
                <w:iCs/>
                <w:sz w:val="18"/>
                <w:szCs w:val="18"/>
                <w:lang w:val="en-US"/>
              </w:rPr>
            </w:pPr>
          </w:p>
          <w:p w14:paraId="2AB5990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b) a loss from a sale or other transfer of an asset between two constituent entities located in the same jurisdiction that is not </w:t>
            </w:r>
            <w:r w:rsidRPr="005E6D70">
              <w:rPr>
                <w:rFonts w:ascii="Times New Roman" w:eastAsia="Calibri" w:hAnsi="Times New Roman" w:cs="Times New Roman"/>
                <w:iCs/>
                <w:sz w:val="18"/>
                <w:szCs w:val="18"/>
                <w:lang w:val="en-US"/>
              </w:rPr>
              <w:lastRenderedPageBreak/>
              <w:t>recorded consistently with the arm’s length principle shall be adjusted based on the arm’s length principle if that loss is included in the computation of the qualifying income or loss;</w:t>
            </w:r>
          </w:p>
          <w:p w14:paraId="13BCCEA1" w14:textId="77777777" w:rsidR="00465215" w:rsidRPr="005E6D70" w:rsidRDefault="00465215" w:rsidP="009170D4">
            <w:pPr>
              <w:jc w:val="both"/>
              <w:rPr>
                <w:rFonts w:ascii="Times New Roman" w:eastAsia="Calibri" w:hAnsi="Times New Roman" w:cs="Times New Roman"/>
                <w:iCs/>
                <w:sz w:val="18"/>
                <w:szCs w:val="18"/>
                <w:lang w:val="en-US"/>
              </w:rPr>
            </w:pPr>
          </w:p>
          <w:p w14:paraId="4D4FC09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for the purposes of this paragraph, “arm’s length principle” means the principle under which transactions between constituent entities are to be recorded by reference to the conditions that would have been obtained between independent enterprises in comparable transactions and under comparable circumstances.</w:t>
            </w:r>
          </w:p>
        </w:tc>
        <w:tc>
          <w:tcPr>
            <w:tcW w:w="1800" w:type="dxa"/>
            <w:gridSpan w:val="2"/>
          </w:tcPr>
          <w:p w14:paraId="079C535A"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133645CA"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consolidation for national legislative compliance.</w:t>
            </w:r>
          </w:p>
        </w:tc>
      </w:tr>
      <w:tr w:rsidR="00465215" w:rsidRPr="005E6D70" w14:paraId="401BCDDE" w14:textId="77777777" w:rsidTr="009170D4">
        <w:trPr>
          <w:trHeight w:val="629"/>
        </w:trPr>
        <w:tc>
          <w:tcPr>
            <w:tcW w:w="810" w:type="dxa"/>
          </w:tcPr>
          <w:p w14:paraId="7FDE83C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16(5)</w:t>
            </w:r>
          </w:p>
        </w:tc>
        <w:tc>
          <w:tcPr>
            <w:tcW w:w="5040" w:type="dxa"/>
            <w:gridSpan w:val="2"/>
          </w:tcPr>
          <w:p w14:paraId="1672A06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5. Qualified refundable tax credits referred to in Article 3, point (38), shall be treated as income for the computation of the qualifying income or loss of a constituent entity. Non-qualified refundable tax credits shall not be treated as income for the computation of the qualifying income or loss of a constituent entity.</w:t>
            </w:r>
          </w:p>
        </w:tc>
        <w:tc>
          <w:tcPr>
            <w:tcW w:w="810" w:type="dxa"/>
          </w:tcPr>
          <w:p w14:paraId="4681000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DEA567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15(5)</w:t>
            </w:r>
          </w:p>
        </w:tc>
        <w:tc>
          <w:tcPr>
            <w:tcW w:w="4680" w:type="dxa"/>
            <w:gridSpan w:val="2"/>
          </w:tcPr>
          <w:p w14:paraId="020327B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5. Qualified refundable tax credits referred to in paragraph 39, of Article 4, of this Law, shall be treated as income for the computation of the qualifying income or loss of a constituent entity. Non-qualified refundable tax credits shall not be treated as income for the computation of the qualifying income or loss of a constituent entity.</w:t>
            </w:r>
          </w:p>
        </w:tc>
        <w:tc>
          <w:tcPr>
            <w:tcW w:w="1800" w:type="dxa"/>
            <w:gridSpan w:val="2"/>
          </w:tcPr>
          <w:p w14:paraId="4E1731DB"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6AE07600"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 (updating the definitional cross-reference).</w:t>
            </w:r>
          </w:p>
        </w:tc>
      </w:tr>
      <w:tr w:rsidR="00465215" w:rsidRPr="005E6D70" w14:paraId="349468C2" w14:textId="77777777" w:rsidTr="009170D4">
        <w:trPr>
          <w:trHeight w:val="629"/>
        </w:trPr>
        <w:tc>
          <w:tcPr>
            <w:tcW w:w="810" w:type="dxa"/>
          </w:tcPr>
          <w:p w14:paraId="05B59ED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16(6)</w:t>
            </w:r>
          </w:p>
        </w:tc>
        <w:tc>
          <w:tcPr>
            <w:tcW w:w="5040" w:type="dxa"/>
            <w:gridSpan w:val="2"/>
          </w:tcPr>
          <w:p w14:paraId="239B1B6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 At the election of the filing constituent entity, gains and losses in respect of assets and liabilities that are subject to fair value or impairment accounting in the consolidated financial statements for a fiscal year may be determined on the basis of the realisation principle for the computation of the qualifying income or loss.</w:t>
            </w:r>
          </w:p>
          <w:p w14:paraId="1077504E" w14:textId="77777777" w:rsidR="00465215" w:rsidRPr="005E6D70" w:rsidRDefault="00465215" w:rsidP="009170D4">
            <w:pPr>
              <w:jc w:val="both"/>
              <w:rPr>
                <w:rFonts w:ascii="Times New Roman" w:eastAsia="Calibri" w:hAnsi="Times New Roman" w:cs="Times New Roman"/>
                <w:iCs/>
                <w:sz w:val="18"/>
                <w:szCs w:val="18"/>
                <w:lang w:val="en-US"/>
              </w:rPr>
            </w:pPr>
          </w:p>
          <w:p w14:paraId="4C508CE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Gains or losses which result from applying fair value or impairment accounting in respect of an asset or a liability shall be excluded from the computation of the qualifying income or loss of a constituent entity under the first subparagraph.</w:t>
            </w:r>
          </w:p>
          <w:p w14:paraId="493AB8E9" w14:textId="77777777" w:rsidR="00465215" w:rsidRPr="005E6D70" w:rsidRDefault="00465215" w:rsidP="009170D4">
            <w:pPr>
              <w:jc w:val="both"/>
              <w:rPr>
                <w:rFonts w:ascii="Times New Roman" w:eastAsia="Calibri" w:hAnsi="Times New Roman" w:cs="Times New Roman"/>
                <w:iCs/>
                <w:sz w:val="18"/>
                <w:szCs w:val="18"/>
                <w:lang w:val="en-US"/>
              </w:rPr>
            </w:pPr>
          </w:p>
          <w:p w14:paraId="6CD49C8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The carrying value of an asset or a liability for the purpose of determining a gain or a loss under the first subparagraph shall be the carrying value at the time the asset was acquired or the liability was incurred, or on the first day of the fiscal year in which the election is made, whichever date is the latest.</w:t>
            </w:r>
          </w:p>
          <w:p w14:paraId="3386F297" w14:textId="77777777" w:rsidR="00465215" w:rsidRPr="005E6D70" w:rsidRDefault="00465215" w:rsidP="009170D4">
            <w:pPr>
              <w:jc w:val="both"/>
              <w:rPr>
                <w:rFonts w:ascii="Times New Roman" w:eastAsia="Calibri" w:hAnsi="Times New Roman" w:cs="Times New Roman"/>
                <w:iCs/>
                <w:sz w:val="18"/>
                <w:szCs w:val="18"/>
                <w:lang w:val="en-US"/>
              </w:rPr>
            </w:pPr>
          </w:p>
          <w:p w14:paraId="5B15603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The election shall be made in accordance with Article 45(1) and shall apply to all constituent entities located in the jurisdiction to which the election is made, unless the filing constituent entity chooses to limit the election to the tangible assets of the constituent entities or to investment entities.</w:t>
            </w:r>
          </w:p>
          <w:p w14:paraId="5E185A18" w14:textId="77777777" w:rsidR="00465215" w:rsidRPr="005E6D70" w:rsidRDefault="00465215" w:rsidP="009170D4">
            <w:pPr>
              <w:jc w:val="both"/>
              <w:rPr>
                <w:rFonts w:ascii="Times New Roman" w:eastAsia="Calibri" w:hAnsi="Times New Roman" w:cs="Times New Roman"/>
                <w:iCs/>
                <w:sz w:val="18"/>
                <w:szCs w:val="18"/>
                <w:lang w:val="en-US"/>
              </w:rPr>
            </w:pPr>
          </w:p>
          <w:p w14:paraId="6745353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In the fiscal year in which the election is revoked, an amount equal to the difference between the fair value of the asset or liability and the carrying value of the asset or liability on the first day of the fiscal year in which the revocation is made, determined pursuant to the election, shall be included, if the fair value exceeds the carrying value, or deducted, if the carrying value exceeds the fair value, for the computation of the qualifying income or loss of the constituent entities.</w:t>
            </w:r>
          </w:p>
        </w:tc>
        <w:tc>
          <w:tcPr>
            <w:tcW w:w="810" w:type="dxa"/>
          </w:tcPr>
          <w:p w14:paraId="651676E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29DCA7E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15(6)</w:t>
            </w:r>
          </w:p>
        </w:tc>
        <w:tc>
          <w:tcPr>
            <w:tcW w:w="4680" w:type="dxa"/>
            <w:gridSpan w:val="2"/>
          </w:tcPr>
          <w:p w14:paraId="1121376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 At the election of the filing constituent entity, gains and losses in respect of assets and liabilities that are subject to fair value or impairment accounting in the consolidated financial statements for a fiscal year may be determined on the basis of the realisation principle for the computation of the qualifying income or loss, subject to the following rules:</w:t>
            </w:r>
          </w:p>
          <w:p w14:paraId="4257745C" w14:textId="77777777" w:rsidR="00465215" w:rsidRPr="005E6D70" w:rsidRDefault="00465215" w:rsidP="009170D4">
            <w:pPr>
              <w:jc w:val="both"/>
              <w:rPr>
                <w:rFonts w:ascii="Times New Roman" w:eastAsia="Calibri" w:hAnsi="Times New Roman" w:cs="Times New Roman"/>
                <w:iCs/>
                <w:sz w:val="18"/>
                <w:szCs w:val="18"/>
                <w:lang w:val="en-US"/>
              </w:rPr>
            </w:pPr>
          </w:p>
          <w:p w14:paraId="3017D69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gains or losses which result from applying fair value or impairment accounting in respect of an asset or a liability shall be excluded from the computation of the qualifying income or loss of a constituent entity under this paragraph;</w:t>
            </w:r>
          </w:p>
          <w:p w14:paraId="1D916C81" w14:textId="77777777" w:rsidR="00465215" w:rsidRPr="005E6D70" w:rsidRDefault="00465215" w:rsidP="009170D4">
            <w:pPr>
              <w:jc w:val="both"/>
              <w:rPr>
                <w:rFonts w:ascii="Times New Roman" w:eastAsia="Calibri" w:hAnsi="Times New Roman" w:cs="Times New Roman"/>
                <w:iCs/>
                <w:sz w:val="18"/>
                <w:szCs w:val="18"/>
                <w:lang w:val="en-US"/>
              </w:rPr>
            </w:pPr>
          </w:p>
          <w:p w14:paraId="6EFC431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the carrying value of an asset or a liability for the purpose of determining a gain or a loss under this paragraph shall be the carrying value at the time the asset was acquired or the liability was incurred, or on the first day of the fiscal year in which the election is made, whichever date is the latest;</w:t>
            </w:r>
          </w:p>
          <w:p w14:paraId="5EA5B179" w14:textId="77777777" w:rsidR="00465215" w:rsidRPr="005E6D70" w:rsidRDefault="00465215" w:rsidP="009170D4">
            <w:pPr>
              <w:jc w:val="both"/>
              <w:rPr>
                <w:rFonts w:ascii="Times New Roman" w:eastAsia="Calibri" w:hAnsi="Times New Roman" w:cs="Times New Roman"/>
                <w:iCs/>
                <w:sz w:val="18"/>
                <w:szCs w:val="18"/>
                <w:lang w:val="en-US"/>
              </w:rPr>
            </w:pPr>
          </w:p>
          <w:p w14:paraId="1596681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c) the election shall be made in accordance with paragraph 1, of Article 55, of this Law, and shall apply to all constituent entities located in the jurisdiction to which the election is made, unless the filing constituent entity chooses to limit the </w:t>
            </w:r>
            <w:r w:rsidRPr="005E6D70">
              <w:rPr>
                <w:rFonts w:ascii="Times New Roman" w:eastAsia="Calibri" w:hAnsi="Times New Roman" w:cs="Times New Roman"/>
                <w:iCs/>
                <w:sz w:val="18"/>
                <w:szCs w:val="18"/>
                <w:lang w:val="en-US"/>
              </w:rPr>
              <w:lastRenderedPageBreak/>
              <w:t>election to the tangible assets of the constituent entities or to investment entities;</w:t>
            </w:r>
          </w:p>
          <w:p w14:paraId="462515B9" w14:textId="77777777" w:rsidR="00465215" w:rsidRPr="005E6D70" w:rsidRDefault="00465215" w:rsidP="009170D4">
            <w:pPr>
              <w:jc w:val="both"/>
              <w:rPr>
                <w:rFonts w:ascii="Times New Roman" w:eastAsia="Calibri" w:hAnsi="Times New Roman" w:cs="Times New Roman"/>
                <w:iCs/>
                <w:sz w:val="18"/>
                <w:szCs w:val="18"/>
                <w:lang w:val="en-US"/>
              </w:rPr>
            </w:pPr>
          </w:p>
          <w:p w14:paraId="17BF375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in the fiscal year in which the election is revoked, an amount equal to the difference between the fair value of the asset or liability and the carrying value of the asset or liability on the first day of the fiscal year in which the revocation is made, determined pursuant to the election, shall be included, if the fair value exceeds the carrying value, or deducted, if the carrying value exceeds the fair value, for the computation of the qualifying income or loss of the constituent entities.</w:t>
            </w:r>
          </w:p>
        </w:tc>
        <w:tc>
          <w:tcPr>
            <w:tcW w:w="1800" w:type="dxa"/>
            <w:gridSpan w:val="2"/>
          </w:tcPr>
          <w:p w14:paraId="1DBAFC58"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296F797D"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consolidation for national legislative compliance.</w:t>
            </w:r>
          </w:p>
        </w:tc>
      </w:tr>
      <w:tr w:rsidR="00465215" w:rsidRPr="005E6D70" w14:paraId="2723B713" w14:textId="77777777" w:rsidTr="009170D4">
        <w:trPr>
          <w:trHeight w:val="629"/>
        </w:trPr>
        <w:tc>
          <w:tcPr>
            <w:tcW w:w="810" w:type="dxa"/>
          </w:tcPr>
          <w:p w14:paraId="3C83A4B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16(7)</w:t>
            </w:r>
          </w:p>
        </w:tc>
        <w:tc>
          <w:tcPr>
            <w:tcW w:w="5040" w:type="dxa"/>
            <w:gridSpan w:val="2"/>
          </w:tcPr>
          <w:p w14:paraId="2153740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7. At the election of the filing constituent entity, the qualifying income or loss of a constituent entity located in a jurisdiction arising from the disposal of local tangible assets located in that jurisdiction by such constituent entity to third parties, other than a member of the group, for a fiscal year may be adjusted as set out in this paragraph.For the purposes of this paragraph, the local tangible assets are immovable property located in the same jurisdiction as the constituent entity.</w:t>
            </w:r>
          </w:p>
          <w:p w14:paraId="1995E437" w14:textId="77777777" w:rsidR="00465215" w:rsidRPr="005E6D70" w:rsidRDefault="00465215" w:rsidP="009170D4">
            <w:pPr>
              <w:jc w:val="both"/>
              <w:rPr>
                <w:rFonts w:ascii="Times New Roman" w:eastAsia="Calibri" w:hAnsi="Times New Roman" w:cs="Times New Roman"/>
                <w:iCs/>
                <w:sz w:val="18"/>
                <w:szCs w:val="18"/>
                <w:lang w:val="en-US"/>
              </w:rPr>
            </w:pPr>
          </w:p>
          <w:p w14:paraId="2660DF0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The net gain arising from the disposal of local tangible assets as referred to in the first subparagraph in the fiscal year in which the election is made shall be offset against any net loss of a constituent entity located in that jurisdiction arising from the disposal of local tangible assets as referred to in the first subparagraph in the fiscal year in which the election is made and in the four fiscal years prior to that fiscal year (the ‘five-year period’). The net gain shall be offset first against the net loss, if any, that has arisen in the earliest fiscal year of the five-year period. Any residual amount of net gain shall be carried forward and offset against any net losses that have arisen in subsequent fiscal years of the five-year period.</w:t>
            </w:r>
          </w:p>
          <w:p w14:paraId="6D581F13" w14:textId="77777777" w:rsidR="00465215" w:rsidRPr="005E6D70" w:rsidRDefault="00465215" w:rsidP="009170D4">
            <w:pPr>
              <w:jc w:val="both"/>
              <w:rPr>
                <w:rFonts w:ascii="Times New Roman" w:eastAsia="Calibri" w:hAnsi="Times New Roman" w:cs="Times New Roman"/>
                <w:iCs/>
                <w:sz w:val="18"/>
                <w:szCs w:val="18"/>
                <w:lang w:val="en-US"/>
              </w:rPr>
            </w:pPr>
          </w:p>
          <w:p w14:paraId="68AD037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Any residual amount of net gain that remains after applying the second subparagraph shall be spread evenly over the five-year period for the computation of the qualifying income or loss of each constituent entity located in that jurisdiction that has made a net gain from the disposal of local tangible assets as referred to in the first subparagraph in the fiscal year in which the election is made. The residual amount of net gain allocated to a constituent entity shall be proportionate to the net gain of that constituent entity divided by the net gain of all constituent entities.</w:t>
            </w:r>
          </w:p>
          <w:p w14:paraId="506A542E" w14:textId="77777777" w:rsidR="00465215" w:rsidRPr="005E6D70" w:rsidRDefault="00465215" w:rsidP="009170D4">
            <w:pPr>
              <w:jc w:val="both"/>
              <w:rPr>
                <w:rFonts w:ascii="Times New Roman" w:eastAsia="Calibri" w:hAnsi="Times New Roman" w:cs="Times New Roman"/>
                <w:iCs/>
                <w:sz w:val="18"/>
                <w:szCs w:val="18"/>
                <w:lang w:val="en-US"/>
              </w:rPr>
            </w:pPr>
          </w:p>
          <w:p w14:paraId="1A2C36C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Where no constituent entity in a jurisdiction has made a net gain from the disposal of local tangible assets as referred to in the first subparagraph in the fiscal year in which the election is made, the residual amount of net gain as referred to in the third subparagraph shall be allocated equally to each constituent entity in that jurisdiction and spread evenly over the five-year period for the computation of the qualifying income or loss of each of those constituent entities.</w:t>
            </w:r>
          </w:p>
          <w:p w14:paraId="2D3EA133" w14:textId="77777777" w:rsidR="00465215" w:rsidRPr="005E6D70" w:rsidRDefault="00465215" w:rsidP="009170D4">
            <w:pPr>
              <w:jc w:val="both"/>
              <w:rPr>
                <w:rFonts w:ascii="Times New Roman" w:eastAsia="Calibri" w:hAnsi="Times New Roman" w:cs="Times New Roman"/>
                <w:iCs/>
                <w:sz w:val="18"/>
                <w:szCs w:val="18"/>
                <w:lang w:val="en-US"/>
              </w:rPr>
            </w:pPr>
          </w:p>
          <w:p w14:paraId="56BAF5B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Any adjustment under this paragraph for the fiscal years preceding the fiscal year in which the election is made shall be subject to adjustments in accordance with Article 29(1). The election shall be made annually in accordance with Article 45(2).</w:t>
            </w:r>
          </w:p>
        </w:tc>
        <w:tc>
          <w:tcPr>
            <w:tcW w:w="810" w:type="dxa"/>
          </w:tcPr>
          <w:p w14:paraId="5D72808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0CB949E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15(7)</w:t>
            </w:r>
          </w:p>
        </w:tc>
        <w:tc>
          <w:tcPr>
            <w:tcW w:w="4680" w:type="dxa"/>
            <w:gridSpan w:val="2"/>
          </w:tcPr>
          <w:p w14:paraId="3B54153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7. At the election of the filing constituent entity, the qualifying income or loss of a constituent entity located in a jurisdiction arising from the disposal of local tangible assets located in that jurisdiction by such constituent entity to third parties, other than a member of the group, for a fiscal year may be adjusted as set out in this paragraph. For the purposes of this paragraph, the local tangible assets are immovable property located in the same jurisdiction as the constituent entity. The adjustment shall be made subject to the following rules:</w:t>
            </w:r>
          </w:p>
          <w:p w14:paraId="23BF3FC4" w14:textId="77777777" w:rsidR="00465215" w:rsidRPr="005E6D70" w:rsidRDefault="00465215" w:rsidP="009170D4">
            <w:pPr>
              <w:jc w:val="both"/>
              <w:rPr>
                <w:rFonts w:ascii="Times New Roman" w:eastAsia="Calibri" w:hAnsi="Times New Roman" w:cs="Times New Roman"/>
                <w:iCs/>
                <w:sz w:val="18"/>
                <w:szCs w:val="18"/>
                <w:lang w:val="en-US"/>
              </w:rPr>
            </w:pPr>
          </w:p>
          <w:p w14:paraId="7AFE190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the net gain arising from the disposal of local tangible assets as referred to in this paragraph in the fiscal year in which the election is made shall be offset against any net loss of a constituent entity located in that jurisdiction arising from the disposal of local tangible assets as referred to in this paragraph in the fiscal year in which the election is made and in the four fiscal years prior to that fiscal year (the “five-year period”); the net gain shall be offset first against the net loss, if any, that has arisen in the earliest fiscal year of the five-year period; any residual amount of net gain shall be carried forward and offset against any net losses that have arisen in subsequent fiscal years of the five-year period;</w:t>
            </w:r>
          </w:p>
          <w:p w14:paraId="0113A8D8" w14:textId="77777777" w:rsidR="00465215" w:rsidRPr="005E6D70" w:rsidRDefault="00465215" w:rsidP="009170D4">
            <w:pPr>
              <w:jc w:val="both"/>
              <w:rPr>
                <w:rFonts w:ascii="Times New Roman" w:eastAsia="Calibri" w:hAnsi="Times New Roman" w:cs="Times New Roman"/>
                <w:iCs/>
                <w:sz w:val="18"/>
                <w:szCs w:val="18"/>
                <w:lang w:val="en-US"/>
              </w:rPr>
            </w:pPr>
          </w:p>
          <w:p w14:paraId="6A41250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b) any residual amount of net gain that remains after applying letter “a”, of this paragraph, shall be spread evenly over the five-year period for the computation of the qualifying income or loss of each constituent entity located in that jurisdiction that has made a net gain from the disposal of local tangible assets as referred to in this paragraph in the fiscal year in which the election is made; the residual amount of net gain allocated </w:t>
            </w:r>
            <w:r w:rsidRPr="005E6D70">
              <w:rPr>
                <w:rFonts w:ascii="Times New Roman" w:eastAsia="Calibri" w:hAnsi="Times New Roman" w:cs="Times New Roman"/>
                <w:iCs/>
                <w:sz w:val="18"/>
                <w:szCs w:val="18"/>
                <w:lang w:val="en-US"/>
              </w:rPr>
              <w:lastRenderedPageBreak/>
              <w:t>to a constituent entity shall be proportionate to the net gain of that constituent entity divided by the net gain of all constituent entities;</w:t>
            </w:r>
          </w:p>
          <w:p w14:paraId="60369772" w14:textId="77777777" w:rsidR="00465215" w:rsidRPr="005E6D70" w:rsidRDefault="00465215" w:rsidP="009170D4">
            <w:pPr>
              <w:jc w:val="both"/>
              <w:rPr>
                <w:rFonts w:ascii="Times New Roman" w:eastAsia="Calibri" w:hAnsi="Times New Roman" w:cs="Times New Roman"/>
                <w:iCs/>
                <w:sz w:val="18"/>
                <w:szCs w:val="18"/>
                <w:lang w:val="en-US"/>
              </w:rPr>
            </w:pPr>
          </w:p>
          <w:p w14:paraId="295CD92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where no constituent entity in a jurisdiction has made a net gain from the disposal of local tangible assets as referred to in this paragraph in the fiscal year in which the election is made, the residual amount of net gain as referred to in letter “b”, of this paragraph, shall be allocated equally to each constituent entity in that jurisdiction and spread evenly over the five-year period for the computation of the qualifying income or loss of each of those constituent entities;</w:t>
            </w:r>
          </w:p>
          <w:p w14:paraId="6A03F78C" w14:textId="77777777" w:rsidR="00465215" w:rsidRPr="005E6D70" w:rsidRDefault="00465215" w:rsidP="009170D4">
            <w:pPr>
              <w:jc w:val="both"/>
              <w:rPr>
                <w:rFonts w:ascii="Times New Roman" w:eastAsia="Calibri" w:hAnsi="Times New Roman" w:cs="Times New Roman"/>
                <w:iCs/>
                <w:sz w:val="18"/>
                <w:szCs w:val="18"/>
                <w:lang w:val="en-US"/>
              </w:rPr>
            </w:pPr>
          </w:p>
          <w:p w14:paraId="353CA727" w14:textId="77777777" w:rsidR="00465215" w:rsidRPr="005E6D70" w:rsidRDefault="00465215" w:rsidP="009170D4">
            <w:pPr>
              <w:jc w:val="both"/>
              <w:rPr>
                <w:rFonts w:ascii="Times New Roman" w:eastAsia="Calibri" w:hAnsi="Times New Roman" w:cs="Times New Roman"/>
                <w:iCs/>
                <w:sz w:val="18"/>
                <w:szCs w:val="18"/>
                <w:lang w:val="en-US"/>
              </w:rPr>
            </w:pPr>
          </w:p>
          <w:p w14:paraId="72E54F3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any adjustment under this paragraph for the fiscal years preceding the fiscal year in which the election is made shall be subject to adjustments in accordance with paragraph 1, of Article 32, of this Law; the election shall be made annually in accordance with paragraph 3, of Article 55, of this Law.</w:t>
            </w:r>
          </w:p>
        </w:tc>
        <w:tc>
          <w:tcPr>
            <w:tcW w:w="1800" w:type="dxa"/>
            <w:gridSpan w:val="2"/>
          </w:tcPr>
          <w:p w14:paraId="621CFF31"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0D76F1B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consolidation for national legislative compliance.</w:t>
            </w:r>
          </w:p>
        </w:tc>
      </w:tr>
      <w:tr w:rsidR="00465215" w:rsidRPr="005E6D70" w14:paraId="38D9DB1B" w14:textId="77777777" w:rsidTr="009170D4">
        <w:trPr>
          <w:trHeight w:val="629"/>
        </w:trPr>
        <w:tc>
          <w:tcPr>
            <w:tcW w:w="810" w:type="dxa"/>
          </w:tcPr>
          <w:p w14:paraId="2033133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16(8)</w:t>
            </w:r>
          </w:p>
        </w:tc>
        <w:tc>
          <w:tcPr>
            <w:tcW w:w="5040" w:type="dxa"/>
            <w:gridSpan w:val="2"/>
          </w:tcPr>
          <w:p w14:paraId="6275117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8. Any expense related to a financing arrangement whereby one or more constituent entities provides credit to or otherwise makes an investment in one or more other constituent entities of the same group (the ‘intra-group financing arrangement’) shall not be taken into consideration in the computation of the qualifying income or loss of a constituent entity if the following conditions are met:</w:t>
            </w:r>
          </w:p>
        </w:tc>
        <w:tc>
          <w:tcPr>
            <w:tcW w:w="810" w:type="dxa"/>
          </w:tcPr>
          <w:p w14:paraId="402C4FC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7EFCA88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15(8)</w:t>
            </w:r>
          </w:p>
        </w:tc>
        <w:tc>
          <w:tcPr>
            <w:tcW w:w="4680" w:type="dxa"/>
            <w:gridSpan w:val="2"/>
          </w:tcPr>
          <w:p w14:paraId="3DDA483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8. Any expense related to a financing arrangement whereby one or more constituent entities provides credit to or otherwise makes an investment in one or more other constituent entities of the same group (the “intra-group financing arrangement”) shall not be taken into consideration in the computation of the qualifying income or loss of a constituent entity if the following conditions are met:</w:t>
            </w:r>
          </w:p>
        </w:tc>
        <w:tc>
          <w:tcPr>
            <w:tcW w:w="1800" w:type="dxa"/>
            <w:gridSpan w:val="2"/>
          </w:tcPr>
          <w:p w14:paraId="7A105118"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5F0408FE"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4CB5B89E" w14:textId="77777777" w:rsidTr="009170D4">
        <w:trPr>
          <w:trHeight w:val="629"/>
        </w:trPr>
        <w:tc>
          <w:tcPr>
            <w:tcW w:w="810" w:type="dxa"/>
          </w:tcPr>
          <w:p w14:paraId="18B764B1"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16(8a)</w:t>
            </w:r>
          </w:p>
        </w:tc>
        <w:tc>
          <w:tcPr>
            <w:tcW w:w="5040" w:type="dxa"/>
            <w:gridSpan w:val="2"/>
          </w:tcPr>
          <w:p w14:paraId="4E9E918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the constituent entity is located in a low-tax jurisdiction or in a jurisdiction that would have been low-taxed if the expense had not been accrued by the constituent entity;</w:t>
            </w:r>
          </w:p>
        </w:tc>
        <w:tc>
          <w:tcPr>
            <w:tcW w:w="810" w:type="dxa"/>
          </w:tcPr>
          <w:p w14:paraId="3441968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33777A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15(8)(a)</w:t>
            </w:r>
          </w:p>
        </w:tc>
        <w:tc>
          <w:tcPr>
            <w:tcW w:w="4680" w:type="dxa"/>
            <w:gridSpan w:val="2"/>
          </w:tcPr>
          <w:p w14:paraId="11F622A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the constituent entity is located in a low-tax jurisdiction or in a jurisdiction that would have been low-taxed if the expense had not been accrued by the constituent entity;</w:t>
            </w:r>
          </w:p>
          <w:p w14:paraId="2A9B2F9D" w14:textId="77777777" w:rsidR="00465215" w:rsidRPr="005E6D70" w:rsidRDefault="00465215" w:rsidP="009170D4">
            <w:pPr>
              <w:jc w:val="both"/>
              <w:rPr>
                <w:rFonts w:ascii="Times New Roman" w:eastAsia="Calibri" w:hAnsi="Times New Roman" w:cs="Times New Roman"/>
                <w:iCs/>
                <w:sz w:val="18"/>
                <w:szCs w:val="18"/>
                <w:lang w:val="en-US"/>
              </w:rPr>
            </w:pPr>
          </w:p>
          <w:p w14:paraId="1E7E6B8F" w14:textId="77777777" w:rsidR="00465215" w:rsidRPr="005E6D70" w:rsidRDefault="00465215" w:rsidP="009170D4">
            <w:pPr>
              <w:jc w:val="both"/>
              <w:rPr>
                <w:rFonts w:ascii="Times New Roman" w:eastAsia="Calibri" w:hAnsi="Times New Roman" w:cs="Times New Roman"/>
                <w:iCs/>
                <w:sz w:val="18"/>
                <w:szCs w:val="18"/>
                <w:lang w:val="en-US"/>
              </w:rPr>
            </w:pPr>
          </w:p>
        </w:tc>
        <w:tc>
          <w:tcPr>
            <w:tcW w:w="1800" w:type="dxa"/>
            <w:gridSpan w:val="2"/>
          </w:tcPr>
          <w:p w14:paraId="72F11866"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2641FDE3"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3F709B8C" w14:textId="77777777" w:rsidTr="009170D4">
        <w:trPr>
          <w:trHeight w:val="629"/>
        </w:trPr>
        <w:tc>
          <w:tcPr>
            <w:tcW w:w="810" w:type="dxa"/>
          </w:tcPr>
          <w:p w14:paraId="7278665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16(8b)</w:t>
            </w:r>
          </w:p>
        </w:tc>
        <w:tc>
          <w:tcPr>
            <w:tcW w:w="5040" w:type="dxa"/>
            <w:gridSpan w:val="2"/>
          </w:tcPr>
          <w:p w14:paraId="0FFB8C8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it can reasonably be anticipated that, over the expected duration of the intra-group financing arrangement, the intra-group financing arrangement will increase the amount of expenses taken into account for the computation of the qualifying income or loss of that constituent entity, without resulting in a commensurate increase in the taxable income of the constituent entity providing the credit (the ‘counterparty’);</w:t>
            </w:r>
          </w:p>
        </w:tc>
        <w:tc>
          <w:tcPr>
            <w:tcW w:w="810" w:type="dxa"/>
          </w:tcPr>
          <w:p w14:paraId="404BA87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18A62E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15(8)(b)</w:t>
            </w:r>
          </w:p>
        </w:tc>
        <w:tc>
          <w:tcPr>
            <w:tcW w:w="4680" w:type="dxa"/>
            <w:gridSpan w:val="2"/>
          </w:tcPr>
          <w:p w14:paraId="2501F07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it can reasonably be anticipated that, over the expected duration of the intra-group financing arrangement, the intra-group financing arrangement will increase the amount of expenses taken into account for the computation of the qualifying income or loss of that constituent entity, without resulting in a commensurate increase in the taxable income of the constituent entity providing the credit (the “counterparty”);</w:t>
            </w:r>
          </w:p>
          <w:p w14:paraId="567210CA" w14:textId="77777777" w:rsidR="00465215" w:rsidRPr="005E6D70" w:rsidRDefault="00465215" w:rsidP="009170D4">
            <w:pPr>
              <w:jc w:val="both"/>
              <w:rPr>
                <w:rFonts w:ascii="Times New Roman" w:eastAsia="Calibri" w:hAnsi="Times New Roman" w:cs="Times New Roman"/>
                <w:iCs/>
                <w:sz w:val="18"/>
                <w:szCs w:val="18"/>
                <w:lang w:val="en-US"/>
              </w:rPr>
            </w:pPr>
          </w:p>
          <w:p w14:paraId="70FB0B3E" w14:textId="77777777" w:rsidR="00465215" w:rsidRPr="005E6D70" w:rsidRDefault="00465215" w:rsidP="009170D4">
            <w:pPr>
              <w:jc w:val="both"/>
              <w:rPr>
                <w:rFonts w:ascii="Times New Roman" w:eastAsia="Calibri" w:hAnsi="Times New Roman" w:cs="Times New Roman"/>
                <w:iCs/>
                <w:sz w:val="18"/>
                <w:szCs w:val="18"/>
                <w:lang w:val="en-US"/>
              </w:rPr>
            </w:pPr>
          </w:p>
        </w:tc>
        <w:tc>
          <w:tcPr>
            <w:tcW w:w="1800" w:type="dxa"/>
            <w:gridSpan w:val="2"/>
          </w:tcPr>
          <w:p w14:paraId="69EB3F02"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00DD28BD"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0B4835E2" w14:textId="77777777" w:rsidTr="009170D4">
        <w:trPr>
          <w:trHeight w:val="629"/>
        </w:trPr>
        <w:tc>
          <w:tcPr>
            <w:tcW w:w="810" w:type="dxa"/>
          </w:tcPr>
          <w:p w14:paraId="5E0C2F3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16(8c)</w:t>
            </w:r>
          </w:p>
        </w:tc>
        <w:tc>
          <w:tcPr>
            <w:tcW w:w="5040" w:type="dxa"/>
            <w:gridSpan w:val="2"/>
          </w:tcPr>
          <w:p w14:paraId="147D134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the counterparty is located in a jurisdiction that is not a low-tax jurisdiction or in a jurisdiction that would not have been low-taxed if the income related to the expense had not been accrued by the counterparty.</w:t>
            </w:r>
          </w:p>
        </w:tc>
        <w:tc>
          <w:tcPr>
            <w:tcW w:w="810" w:type="dxa"/>
          </w:tcPr>
          <w:p w14:paraId="1D583AC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CD44E9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15(8)(c)</w:t>
            </w:r>
          </w:p>
        </w:tc>
        <w:tc>
          <w:tcPr>
            <w:tcW w:w="4680" w:type="dxa"/>
            <w:gridSpan w:val="2"/>
          </w:tcPr>
          <w:p w14:paraId="57D7F6A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the counterparty is located in a jurisdiction that is not a low-tax jurisdiction or in a jurisdiction that would not have been low-taxed if the income related to the expense had not been accrued by the counterparty.</w:t>
            </w:r>
          </w:p>
        </w:tc>
        <w:tc>
          <w:tcPr>
            <w:tcW w:w="1800" w:type="dxa"/>
            <w:gridSpan w:val="2"/>
          </w:tcPr>
          <w:p w14:paraId="131F6CC5"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79C8933"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427A45D3" w14:textId="77777777" w:rsidTr="009170D4">
        <w:trPr>
          <w:trHeight w:val="629"/>
        </w:trPr>
        <w:tc>
          <w:tcPr>
            <w:tcW w:w="810" w:type="dxa"/>
          </w:tcPr>
          <w:p w14:paraId="6C47D61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16(9)</w:t>
            </w:r>
          </w:p>
        </w:tc>
        <w:tc>
          <w:tcPr>
            <w:tcW w:w="5040" w:type="dxa"/>
            <w:gridSpan w:val="2"/>
          </w:tcPr>
          <w:p w14:paraId="1AED635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9. An ultimate parent entity may elect to apply its consolidated accounting treatment to eliminate income, expense, gains and losses from transactions between constituent entities that are located in the same jurisdiction and included in a tax consolidation group for the purpose of computing the net qualifying income or loss of those constituent entities.</w:t>
            </w:r>
          </w:p>
          <w:p w14:paraId="20099804" w14:textId="77777777" w:rsidR="00465215" w:rsidRPr="005E6D70" w:rsidRDefault="00465215" w:rsidP="009170D4">
            <w:pPr>
              <w:jc w:val="both"/>
              <w:rPr>
                <w:rFonts w:ascii="Times New Roman" w:eastAsia="Calibri" w:hAnsi="Times New Roman" w:cs="Times New Roman"/>
                <w:iCs/>
                <w:sz w:val="18"/>
                <w:szCs w:val="18"/>
                <w:lang w:val="en-US"/>
              </w:rPr>
            </w:pPr>
          </w:p>
          <w:p w14:paraId="2B1991E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The election shall be made in accordance with Article 45(1).</w:t>
            </w:r>
          </w:p>
          <w:p w14:paraId="0EFEB9C3" w14:textId="77777777" w:rsidR="00465215" w:rsidRPr="005E6D70" w:rsidRDefault="00465215" w:rsidP="009170D4">
            <w:pPr>
              <w:jc w:val="both"/>
              <w:rPr>
                <w:rFonts w:ascii="Times New Roman" w:eastAsia="Calibri" w:hAnsi="Times New Roman" w:cs="Times New Roman"/>
                <w:iCs/>
                <w:sz w:val="18"/>
                <w:szCs w:val="18"/>
                <w:lang w:val="en-US"/>
              </w:rPr>
            </w:pPr>
          </w:p>
          <w:p w14:paraId="5D2930D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In the fiscal year in which the election is made or revoked, appropriate adjustments shall be made so that items of qualifying income or loss are not taken into consideration more than once or omitted as a result of such election or revocation.</w:t>
            </w:r>
          </w:p>
        </w:tc>
        <w:tc>
          <w:tcPr>
            <w:tcW w:w="810" w:type="dxa"/>
          </w:tcPr>
          <w:p w14:paraId="1042F75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741721D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15(9)</w:t>
            </w:r>
          </w:p>
        </w:tc>
        <w:tc>
          <w:tcPr>
            <w:tcW w:w="4680" w:type="dxa"/>
            <w:gridSpan w:val="2"/>
          </w:tcPr>
          <w:p w14:paraId="367A042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9. An ultimate parent entity may elect to apply its consolidated accounting treatment to eliminate income, expense, gains and losses from transactions between constituent entities that are located in the same jurisdiction and included in a tax consolidation group for the purpose of computing the net qualifying income or loss of those constituent entities. This election is subject to the following rules:</w:t>
            </w:r>
          </w:p>
          <w:p w14:paraId="01FE3E4A" w14:textId="77777777" w:rsidR="00465215" w:rsidRPr="005E6D70" w:rsidRDefault="00465215" w:rsidP="009170D4">
            <w:pPr>
              <w:jc w:val="both"/>
              <w:rPr>
                <w:rFonts w:ascii="Times New Roman" w:eastAsia="Calibri" w:hAnsi="Times New Roman" w:cs="Times New Roman"/>
                <w:iCs/>
                <w:sz w:val="18"/>
                <w:szCs w:val="18"/>
                <w:lang w:val="en-US"/>
              </w:rPr>
            </w:pPr>
          </w:p>
          <w:p w14:paraId="11A84280" w14:textId="77777777" w:rsidR="00465215" w:rsidRPr="005E6D70" w:rsidRDefault="00465215" w:rsidP="009170D4">
            <w:pPr>
              <w:jc w:val="both"/>
              <w:rPr>
                <w:rFonts w:ascii="Times New Roman" w:eastAsia="Calibri" w:hAnsi="Times New Roman" w:cs="Times New Roman"/>
                <w:iCs/>
                <w:sz w:val="18"/>
                <w:szCs w:val="18"/>
                <w:lang w:val="en-US"/>
              </w:rPr>
            </w:pPr>
          </w:p>
          <w:p w14:paraId="7F0BE30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the election shall be made in accordance with paragraph 1, of Article 55, of this Law;</w:t>
            </w:r>
          </w:p>
          <w:p w14:paraId="06112258" w14:textId="77777777" w:rsidR="00465215" w:rsidRPr="005E6D70" w:rsidRDefault="00465215" w:rsidP="009170D4">
            <w:pPr>
              <w:jc w:val="both"/>
              <w:rPr>
                <w:rFonts w:ascii="Times New Roman" w:eastAsia="Calibri" w:hAnsi="Times New Roman" w:cs="Times New Roman"/>
                <w:iCs/>
                <w:sz w:val="18"/>
                <w:szCs w:val="18"/>
                <w:lang w:val="en-US"/>
              </w:rPr>
            </w:pPr>
          </w:p>
          <w:p w14:paraId="5A5F3041" w14:textId="77777777" w:rsidR="00465215" w:rsidRPr="005E6D70" w:rsidRDefault="00465215" w:rsidP="009170D4">
            <w:pPr>
              <w:jc w:val="both"/>
              <w:rPr>
                <w:rFonts w:ascii="Times New Roman" w:eastAsia="Calibri" w:hAnsi="Times New Roman" w:cs="Times New Roman"/>
                <w:iCs/>
                <w:sz w:val="18"/>
                <w:szCs w:val="18"/>
                <w:lang w:val="en-US"/>
              </w:rPr>
            </w:pPr>
          </w:p>
          <w:p w14:paraId="10CB26D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in the fiscal year in which the election is made or revoked, appropriate adjustments shall be made so that items of qualifying income or loss are not taken into consideration more than once or omitted as a result of such election or revocation.</w:t>
            </w:r>
          </w:p>
        </w:tc>
        <w:tc>
          <w:tcPr>
            <w:tcW w:w="1800" w:type="dxa"/>
            <w:gridSpan w:val="2"/>
          </w:tcPr>
          <w:p w14:paraId="5C9E28A0"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A895B24"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consolidation for national legislative compliance.</w:t>
            </w:r>
          </w:p>
        </w:tc>
      </w:tr>
      <w:tr w:rsidR="00465215" w:rsidRPr="005E6D70" w14:paraId="33361B0E" w14:textId="77777777" w:rsidTr="009170D4">
        <w:trPr>
          <w:trHeight w:val="629"/>
        </w:trPr>
        <w:tc>
          <w:tcPr>
            <w:tcW w:w="810" w:type="dxa"/>
          </w:tcPr>
          <w:p w14:paraId="67D5900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16(10)</w:t>
            </w:r>
          </w:p>
        </w:tc>
        <w:tc>
          <w:tcPr>
            <w:tcW w:w="5040" w:type="dxa"/>
            <w:gridSpan w:val="2"/>
          </w:tcPr>
          <w:p w14:paraId="07028D3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10. An insurance company shall exclude from the computation of its qualifying income or loss any amount charged to policyholders for taxes paid by the insurance company in respect of returns to the policyholders. An insurance company shall include in the computation of its qualifying income or loss any returns to policyholders that are not reflected in its financial accounting net income or loss to the extent that the corresponding increase or decrease in liability to the policyholders is reflected in its financial accounting net income or loss.</w:t>
            </w:r>
          </w:p>
        </w:tc>
        <w:tc>
          <w:tcPr>
            <w:tcW w:w="810" w:type="dxa"/>
          </w:tcPr>
          <w:p w14:paraId="07EF834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0A8C9CB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16(1)</w:t>
            </w:r>
          </w:p>
        </w:tc>
        <w:tc>
          <w:tcPr>
            <w:tcW w:w="4680" w:type="dxa"/>
            <w:gridSpan w:val="2"/>
          </w:tcPr>
          <w:p w14:paraId="4F6471A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An insurance company shall exclude from the computation of its qualifying income or loss any amount charged to policyholders for taxes paid by the insurance company in respect of returns to the policyholders. An insurance company shall include in the computation of its qualifying income or loss any returns to policyholders that are not reflected in its financial accounting net income or loss to the extent that the corresponding increase or decrease in liability to the policyholders is reflected in its financial accounting net income or loss.</w:t>
            </w:r>
          </w:p>
        </w:tc>
        <w:tc>
          <w:tcPr>
            <w:tcW w:w="1800" w:type="dxa"/>
            <w:gridSpan w:val="2"/>
          </w:tcPr>
          <w:p w14:paraId="5B698383"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79E722FC"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Structurally transposed as paragraph 1 of Article 16 in the draft law.</w:t>
            </w:r>
          </w:p>
        </w:tc>
      </w:tr>
      <w:tr w:rsidR="00465215" w:rsidRPr="005E6D70" w14:paraId="16A49031" w14:textId="77777777" w:rsidTr="009170D4">
        <w:trPr>
          <w:trHeight w:val="629"/>
        </w:trPr>
        <w:tc>
          <w:tcPr>
            <w:tcW w:w="810" w:type="dxa"/>
          </w:tcPr>
          <w:p w14:paraId="3DB8A52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16(11)</w:t>
            </w:r>
          </w:p>
          <w:p w14:paraId="6FA4A46E" w14:textId="77777777" w:rsidR="00465215" w:rsidRPr="005E6D70" w:rsidRDefault="00465215" w:rsidP="009170D4">
            <w:pPr>
              <w:jc w:val="both"/>
              <w:rPr>
                <w:rFonts w:ascii="Times New Roman" w:eastAsia="Calibri" w:hAnsi="Times New Roman" w:cs="Times New Roman"/>
                <w:sz w:val="18"/>
                <w:szCs w:val="18"/>
                <w:lang w:val="en-US"/>
              </w:rPr>
            </w:pPr>
          </w:p>
          <w:p w14:paraId="1A44F2F2"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tcPr>
          <w:p w14:paraId="6228DF7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11. Any amount that is recognised as a decrease in the equity of a constituent entity and is the result of distributions made or due in respect of an instrument issued by that constituent entity pursuant to prudential regulatory requirements (the ‘additional tier one capital’) shall be treated as an expense in the computation of its qualifying income or loss.</w:t>
            </w:r>
          </w:p>
          <w:p w14:paraId="5510CE5D" w14:textId="77777777" w:rsidR="00465215" w:rsidRPr="005E6D70" w:rsidRDefault="00465215" w:rsidP="009170D4">
            <w:pPr>
              <w:jc w:val="both"/>
              <w:rPr>
                <w:rFonts w:ascii="Times New Roman" w:eastAsia="Calibri" w:hAnsi="Times New Roman" w:cs="Times New Roman"/>
                <w:iCs/>
                <w:sz w:val="18"/>
                <w:szCs w:val="18"/>
                <w:lang w:val="en-US"/>
              </w:rPr>
            </w:pPr>
          </w:p>
          <w:p w14:paraId="00C9973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Any amount that is recognised as an increase in the equity of a constituent entity and is the result of distributions received or due to be received in respect of an additional tier one capital held by the </w:t>
            </w:r>
            <w:r w:rsidRPr="005E6D70">
              <w:rPr>
                <w:rFonts w:ascii="Times New Roman" w:eastAsia="Calibri" w:hAnsi="Times New Roman" w:cs="Times New Roman"/>
                <w:iCs/>
                <w:sz w:val="18"/>
                <w:szCs w:val="18"/>
                <w:lang w:val="en-US"/>
              </w:rPr>
              <w:lastRenderedPageBreak/>
              <w:t>constituent entity shall be included in the computation of its qualifying income or loss.</w:t>
            </w:r>
          </w:p>
        </w:tc>
        <w:tc>
          <w:tcPr>
            <w:tcW w:w="810" w:type="dxa"/>
          </w:tcPr>
          <w:p w14:paraId="50BB9D4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488DADB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16(2) to 16(4)</w:t>
            </w:r>
          </w:p>
          <w:p w14:paraId="7E4F4E7A" w14:textId="77777777" w:rsidR="00465215" w:rsidRPr="005E6D70" w:rsidRDefault="00465215" w:rsidP="009170D4">
            <w:pPr>
              <w:rPr>
                <w:rFonts w:ascii="Times New Roman" w:eastAsia="Calibri" w:hAnsi="Times New Roman" w:cs="Times New Roman"/>
                <w:sz w:val="18"/>
                <w:szCs w:val="18"/>
                <w:lang w:val="en-US"/>
              </w:rPr>
            </w:pPr>
          </w:p>
        </w:tc>
        <w:tc>
          <w:tcPr>
            <w:tcW w:w="4680" w:type="dxa"/>
            <w:gridSpan w:val="2"/>
          </w:tcPr>
          <w:p w14:paraId="4382933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Any amount that is recognised as a decrease in the equity of a constituent entity and is the result of distributions made or due in respect of an Additional Tier One Capital issued by the constituent entity shall be treated as an expense in the computation of its qualifying income or loss.</w:t>
            </w:r>
          </w:p>
          <w:p w14:paraId="03563FE2" w14:textId="77777777" w:rsidR="00465215" w:rsidRPr="005E6D70" w:rsidRDefault="00465215" w:rsidP="009170D4">
            <w:pPr>
              <w:jc w:val="both"/>
              <w:rPr>
                <w:rFonts w:ascii="Times New Roman" w:eastAsia="Calibri" w:hAnsi="Times New Roman" w:cs="Times New Roman"/>
                <w:iCs/>
                <w:sz w:val="18"/>
                <w:szCs w:val="18"/>
                <w:lang w:val="en-US"/>
              </w:rPr>
            </w:pPr>
          </w:p>
          <w:p w14:paraId="1EDD7C99" w14:textId="77777777" w:rsidR="00465215" w:rsidRPr="005E6D70" w:rsidRDefault="00465215" w:rsidP="009170D4">
            <w:pPr>
              <w:jc w:val="both"/>
              <w:rPr>
                <w:rFonts w:ascii="Times New Roman" w:eastAsia="Calibri" w:hAnsi="Times New Roman" w:cs="Times New Roman"/>
                <w:iCs/>
                <w:sz w:val="18"/>
                <w:szCs w:val="18"/>
                <w:lang w:val="en-US"/>
              </w:rPr>
            </w:pPr>
          </w:p>
          <w:p w14:paraId="3201B59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3. Any amount that is recognised as an increase in the equity of a constituent entity and is the result of distributions received or due to be received in respect of an Additional Tier One </w:t>
            </w:r>
            <w:r w:rsidRPr="005E6D70">
              <w:rPr>
                <w:rFonts w:ascii="Times New Roman" w:eastAsia="Calibri" w:hAnsi="Times New Roman" w:cs="Times New Roman"/>
                <w:iCs/>
                <w:sz w:val="18"/>
                <w:szCs w:val="18"/>
                <w:lang w:val="en-US"/>
              </w:rPr>
              <w:lastRenderedPageBreak/>
              <w:t>Capital held by the constituent entity shall be included in the computation of its qualifying income or loss.</w:t>
            </w:r>
          </w:p>
          <w:p w14:paraId="06A09B62" w14:textId="77777777" w:rsidR="00465215" w:rsidRPr="005E6D70" w:rsidRDefault="00465215" w:rsidP="009170D4">
            <w:pPr>
              <w:jc w:val="both"/>
              <w:rPr>
                <w:rFonts w:ascii="Times New Roman" w:eastAsia="Calibri" w:hAnsi="Times New Roman" w:cs="Times New Roman"/>
                <w:iCs/>
                <w:sz w:val="18"/>
                <w:szCs w:val="18"/>
                <w:lang w:val="en-US"/>
              </w:rPr>
            </w:pPr>
          </w:p>
          <w:p w14:paraId="5A75A82F" w14:textId="77777777" w:rsidR="00465215" w:rsidRPr="005E6D70" w:rsidRDefault="00465215" w:rsidP="009170D4">
            <w:pPr>
              <w:jc w:val="both"/>
              <w:rPr>
                <w:rFonts w:ascii="Times New Roman" w:eastAsia="Calibri" w:hAnsi="Times New Roman" w:cs="Times New Roman"/>
                <w:iCs/>
                <w:sz w:val="18"/>
                <w:szCs w:val="18"/>
                <w:lang w:val="en-US"/>
              </w:rPr>
            </w:pPr>
          </w:p>
          <w:p w14:paraId="6EC20C0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For the purposes of this Article, an “Additional Tier One Capital” is an instrument issued by an entity pursuant to prudential regulatory requirements that is convertible into equity or written down if a pre-specified trigger event occurs, and that has other features which are designed to aid loss absorbency in the event of a financial crisis.</w:t>
            </w:r>
          </w:p>
        </w:tc>
        <w:tc>
          <w:tcPr>
            <w:tcW w:w="1800" w:type="dxa"/>
            <w:gridSpan w:val="2"/>
          </w:tcPr>
          <w:p w14:paraId="25538903"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10BBFB4E"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Structural consolidation for national legislative compliance. The definition of "Additional Tier One Capital" is separated into </w:t>
            </w:r>
            <w:r w:rsidRPr="005E6D70">
              <w:rPr>
                <w:rFonts w:ascii="Times New Roman" w:eastAsia="Calibri" w:hAnsi="Times New Roman" w:cs="Times New Roman"/>
                <w:iCs/>
                <w:sz w:val="18"/>
                <w:szCs w:val="18"/>
                <w:lang w:val="en-US"/>
              </w:rPr>
              <w:lastRenderedPageBreak/>
              <w:t>paragraph 4 for drafting clarity.</w:t>
            </w:r>
          </w:p>
        </w:tc>
      </w:tr>
      <w:tr w:rsidR="00465215" w:rsidRPr="005E6D70" w14:paraId="6D072E4F" w14:textId="77777777" w:rsidTr="009170D4">
        <w:trPr>
          <w:trHeight w:val="269"/>
        </w:trPr>
        <w:tc>
          <w:tcPr>
            <w:tcW w:w="810" w:type="dxa"/>
            <w:shd w:val="clear" w:color="auto" w:fill="D9D9D9" w:themeFill="background1" w:themeFillShade="D9"/>
          </w:tcPr>
          <w:p w14:paraId="423C6BC3" w14:textId="77777777" w:rsidR="00465215" w:rsidRPr="005E6D70" w:rsidRDefault="00465215" w:rsidP="009170D4">
            <w:pPr>
              <w:jc w:val="center"/>
              <w:rPr>
                <w:rFonts w:ascii="Times New Roman" w:eastAsia="Calibri" w:hAnsi="Times New Roman" w:cs="Times New Roman"/>
                <w:i/>
                <w:sz w:val="18"/>
                <w:szCs w:val="18"/>
                <w:lang w:val="en-US"/>
              </w:rPr>
            </w:pPr>
          </w:p>
        </w:tc>
        <w:tc>
          <w:tcPr>
            <w:tcW w:w="5040" w:type="dxa"/>
            <w:gridSpan w:val="2"/>
            <w:shd w:val="clear" w:color="auto" w:fill="D9D9D9" w:themeFill="background1" w:themeFillShade="D9"/>
          </w:tcPr>
          <w:p w14:paraId="22FEE804" w14:textId="77777777" w:rsidR="00465215" w:rsidRPr="005E6D70" w:rsidRDefault="00465215" w:rsidP="009170D4">
            <w:pPr>
              <w:jc w:val="both"/>
              <w:rPr>
                <w:rFonts w:ascii="Times New Roman" w:eastAsia="Calibri" w:hAnsi="Times New Roman" w:cs="Times New Roman"/>
                <w:b/>
                <w:i/>
                <w:sz w:val="18"/>
                <w:szCs w:val="18"/>
                <w:lang w:val="en-US"/>
              </w:rPr>
            </w:pPr>
            <w:bookmarkStart w:id="6" w:name="_Toc216435528"/>
            <w:r w:rsidRPr="005E6D70">
              <w:rPr>
                <w:rFonts w:ascii="Times New Roman" w:eastAsia="Calibri" w:hAnsi="Times New Roman" w:cs="Times New Roman"/>
                <w:b/>
                <w:bCs/>
                <w:iCs/>
                <w:sz w:val="18"/>
                <w:szCs w:val="18"/>
                <w:lang w:val="en-US"/>
              </w:rPr>
              <w:t xml:space="preserve">Article </w:t>
            </w:r>
            <w:bookmarkEnd w:id="6"/>
            <w:r w:rsidRPr="005E6D70">
              <w:rPr>
                <w:rFonts w:ascii="Times New Roman" w:eastAsia="Calibri" w:hAnsi="Times New Roman" w:cs="Times New Roman"/>
                <w:b/>
                <w:bCs/>
                <w:iCs/>
                <w:sz w:val="18"/>
                <w:szCs w:val="18"/>
                <w:lang w:val="en-US"/>
              </w:rPr>
              <w:t>17. International shipping income exclusion</w:t>
            </w:r>
          </w:p>
        </w:tc>
        <w:tc>
          <w:tcPr>
            <w:tcW w:w="810" w:type="dxa"/>
            <w:shd w:val="clear" w:color="auto" w:fill="D9D9D9" w:themeFill="background1" w:themeFillShade="D9"/>
          </w:tcPr>
          <w:p w14:paraId="2817A291" w14:textId="77777777" w:rsidR="00465215" w:rsidRPr="005E6D70" w:rsidRDefault="00465215" w:rsidP="009170D4">
            <w:pPr>
              <w:jc w:val="center"/>
              <w:rPr>
                <w:rFonts w:ascii="Times New Roman" w:eastAsia="Calibri" w:hAnsi="Times New Roman" w:cs="Times New Roman"/>
                <w:b/>
                <w:i/>
                <w:sz w:val="18"/>
                <w:szCs w:val="18"/>
                <w:lang w:val="en-US"/>
              </w:rPr>
            </w:pPr>
            <w:r w:rsidRPr="005E6D70">
              <w:rPr>
                <w:rFonts w:ascii="Times New Roman" w:eastAsia="Calibri" w:hAnsi="Times New Roman" w:cs="Times New Roman"/>
                <w:sz w:val="18"/>
                <w:szCs w:val="18"/>
                <w:lang w:val="en-US"/>
              </w:rPr>
              <w:t>1</w:t>
            </w:r>
          </w:p>
        </w:tc>
        <w:tc>
          <w:tcPr>
            <w:tcW w:w="990" w:type="dxa"/>
            <w:gridSpan w:val="2"/>
            <w:shd w:val="clear" w:color="auto" w:fill="D9D9D9" w:themeFill="background1" w:themeFillShade="D9"/>
          </w:tcPr>
          <w:p w14:paraId="2DC4689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17</w:t>
            </w:r>
          </w:p>
        </w:tc>
        <w:tc>
          <w:tcPr>
            <w:tcW w:w="4680" w:type="dxa"/>
            <w:gridSpan w:val="2"/>
            <w:shd w:val="clear" w:color="auto" w:fill="D9D9D9" w:themeFill="background1" w:themeFillShade="D9"/>
          </w:tcPr>
          <w:p w14:paraId="62ED79D7"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Article 17. Exclusion of International Shipping Income</w:t>
            </w:r>
          </w:p>
        </w:tc>
        <w:tc>
          <w:tcPr>
            <w:tcW w:w="1800" w:type="dxa"/>
            <w:gridSpan w:val="2"/>
            <w:shd w:val="clear" w:color="auto" w:fill="D9D9D9" w:themeFill="background1" w:themeFillShade="D9"/>
          </w:tcPr>
          <w:p w14:paraId="4B681927"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shd w:val="clear" w:color="auto" w:fill="D9D9D9" w:themeFill="background1" w:themeFillShade="D9"/>
          </w:tcPr>
          <w:p w14:paraId="7399C428"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Structurally transposed as Article 17 in the draft law. The title is adapted to align with national legislative drafting standards.</w:t>
            </w:r>
          </w:p>
        </w:tc>
      </w:tr>
      <w:tr w:rsidR="00465215" w:rsidRPr="005E6D70" w14:paraId="3391D1AA" w14:textId="77777777" w:rsidTr="009170D4">
        <w:trPr>
          <w:trHeight w:val="215"/>
        </w:trPr>
        <w:tc>
          <w:tcPr>
            <w:tcW w:w="810" w:type="dxa"/>
          </w:tcPr>
          <w:p w14:paraId="47888F9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17(1a)</w:t>
            </w:r>
          </w:p>
        </w:tc>
        <w:tc>
          <w:tcPr>
            <w:tcW w:w="5040" w:type="dxa"/>
            <w:gridSpan w:val="2"/>
          </w:tcPr>
          <w:p w14:paraId="5CF9C70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For the purposes of this Article, the following definitions apply:</w:t>
            </w:r>
          </w:p>
          <w:p w14:paraId="75547D2D" w14:textId="77777777" w:rsidR="00465215" w:rsidRPr="005E6D70" w:rsidRDefault="00465215" w:rsidP="009170D4">
            <w:pPr>
              <w:jc w:val="both"/>
              <w:rPr>
                <w:rFonts w:ascii="Times New Roman" w:eastAsia="Calibri" w:hAnsi="Times New Roman" w:cs="Times New Roman"/>
                <w:iCs/>
                <w:sz w:val="18"/>
                <w:szCs w:val="18"/>
                <w:lang w:val="en-US"/>
              </w:rPr>
            </w:pPr>
          </w:p>
          <w:p w14:paraId="4553254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‘international shipping income’ means net income obtained by a constituent entity from the following activities, provided that the transportation is not carried out via inland waterways within the same jurisdiction:</w:t>
            </w:r>
          </w:p>
          <w:p w14:paraId="21CAE1DA" w14:textId="77777777" w:rsidR="00465215" w:rsidRPr="005E6D70" w:rsidRDefault="00465215" w:rsidP="009170D4">
            <w:pPr>
              <w:jc w:val="both"/>
              <w:rPr>
                <w:rFonts w:ascii="Times New Roman" w:eastAsia="Calibri" w:hAnsi="Times New Roman" w:cs="Times New Roman"/>
                <w:iCs/>
                <w:sz w:val="18"/>
                <w:szCs w:val="18"/>
                <w:lang w:val="en-US"/>
              </w:rPr>
            </w:pPr>
          </w:p>
          <w:p w14:paraId="7F472AB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transportation of passengers or cargo by ship in international traffic, whether the ship is owned, leased or otherwise at the disposal of the constituent entity;</w:t>
            </w:r>
          </w:p>
          <w:p w14:paraId="683F2D29" w14:textId="77777777" w:rsidR="00465215" w:rsidRPr="005E6D70" w:rsidRDefault="00465215" w:rsidP="009170D4">
            <w:pPr>
              <w:jc w:val="both"/>
              <w:rPr>
                <w:rFonts w:ascii="Times New Roman" w:eastAsia="Calibri" w:hAnsi="Times New Roman" w:cs="Times New Roman"/>
                <w:iCs/>
                <w:sz w:val="18"/>
                <w:szCs w:val="18"/>
                <w:lang w:val="en-US"/>
              </w:rPr>
            </w:pPr>
          </w:p>
          <w:p w14:paraId="5AB4670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transportation of passengers or cargo by ship in international traffic under slot-chartering arrangements;</w:t>
            </w:r>
          </w:p>
          <w:p w14:paraId="55E0FE96" w14:textId="77777777" w:rsidR="00465215" w:rsidRPr="005E6D70" w:rsidRDefault="00465215" w:rsidP="009170D4">
            <w:pPr>
              <w:jc w:val="both"/>
              <w:rPr>
                <w:rFonts w:ascii="Times New Roman" w:eastAsia="Calibri" w:hAnsi="Times New Roman" w:cs="Times New Roman"/>
                <w:iCs/>
                <w:sz w:val="18"/>
                <w:szCs w:val="18"/>
                <w:lang w:val="en-US"/>
              </w:rPr>
            </w:pPr>
          </w:p>
          <w:p w14:paraId="33939D2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(iii) leasing of a ship to be used for the transportation of passengers or cargo in international traffic on charter fully equipped, crewed and supplied;</w:t>
            </w:r>
          </w:p>
          <w:p w14:paraId="4101BBA3" w14:textId="77777777" w:rsidR="00465215" w:rsidRPr="005E6D70" w:rsidRDefault="00465215" w:rsidP="009170D4">
            <w:pPr>
              <w:jc w:val="both"/>
              <w:rPr>
                <w:rFonts w:ascii="Times New Roman" w:eastAsia="Calibri" w:hAnsi="Times New Roman" w:cs="Times New Roman"/>
                <w:iCs/>
                <w:sz w:val="18"/>
                <w:szCs w:val="18"/>
                <w:lang w:val="en-US"/>
              </w:rPr>
            </w:pPr>
          </w:p>
          <w:p w14:paraId="7A88327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(iv) leasing of a ship used for the transportation of passengers or cargo in international traffic, on a bareboat charter basis, to another constituent entity;</w:t>
            </w:r>
          </w:p>
          <w:p w14:paraId="56048EF7" w14:textId="77777777" w:rsidR="00465215" w:rsidRPr="005E6D70" w:rsidRDefault="00465215" w:rsidP="009170D4">
            <w:pPr>
              <w:jc w:val="both"/>
              <w:rPr>
                <w:rFonts w:ascii="Times New Roman" w:eastAsia="Calibri" w:hAnsi="Times New Roman" w:cs="Times New Roman"/>
                <w:iCs/>
                <w:sz w:val="18"/>
                <w:szCs w:val="18"/>
                <w:lang w:val="en-US"/>
              </w:rPr>
            </w:pPr>
          </w:p>
          <w:p w14:paraId="07ED794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(v) participation in a pool, a joint business or an international operating agency for the transportation of passengers or cargo by ship in international traffic; and</w:t>
            </w:r>
          </w:p>
          <w:p w14:paraId="3C51EFE2" w14:textId="77777777" w:rsidR="00465215" w:rsidRPr="005E6D70" w:rsidRDefault="00465215" w:rsidP="009170D4">
            <w:pPr>
              <w:jc w:val="both"/>
              <w:rPr>
                <w:rFonts w:ascii="Times New Roman" w:eastAsia="Calibri" w:hAnsi="Times New Roman" w:cs="Times New Roman"/>
                <w:iCs/>
                <w:sz w:val="18"/>
                <w:szCs w:val="18"/>
                <w:lang w:val="en-US"/>
              </w:rPr>
            </w:pPr>
          </w:p>
          <w:p w14:paraId="2E6C843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(vi) sale of a ship used for the transportation of passengers or cargo in international traffic, provided that the ship has been held for use by the constituent entity for a minimum of one year;</w:t>
            </w:r>
          </w:p>
        </w:tc>
        <w:tc>
          <w:tcPr>
            <w:tcW w:w="810" w:type="dxa"/>
          </w:tcPr>
          <w:p w14:paraId="14185CD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05AF56F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17(1) intro</w:t>
            </w:r>
          </w:p>
          <w:p w14:paraId="32A7080F" w14:textId="77777777" w:rsidR="00465215" w:rsidRPr="005E6D70" w:rsidRDefault="00465215" w:rsidP="009170D4">
            <w:pPr>
              <w:jc w:val="center"/>
              <w:rPr>
                <w:rFonts w:ascii="Times New Roman" w:eastAsia="Calibri" w:hAnsi="Times New Roman" w:cs="Times New Roman"/>
                <w:sz w:val="18"/>
                <w:szCs w:val="18"/>
                <w:lang w:val="en-US"/>
              </w:rPr>
            </w:pPr>
          </w:p>
          <w:p w14:paraId="4CECFD3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17(1)(a)</w:t>
            </w:r>
          </w:p>
        </w:tc>
        <w:tc>
          <w:tcPr>
            <w:tcW w:w="4680" w:type="dxa"/>
            <w:gridSpan w:val="2"/>
          </w:tcPr>
          <w:p w14:paraId="3ABC0C8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For the purposes of this Article, the following definitions apply:</w:t>
            </w:r>
          </w:p>
          <w:p w14:paraId="5B39DBE1" w14:textId="77777777" w:rsidR="00465215" w:rsidRPr="005E6D70" w:rsidRDefault="00465215" w:rsidP="009170D4">
            <w:pPr>
              <w:jc w:val="both"/>
              <w:rPr>
                <w:rFonts w:ascii="Times New Roman" w:eastAsia="Calibri" w:hAnsi="Times New Roman" w:cs="Times New Roman"/>
                <w:iCs/>
                <w:sz w:val="18"/>
                <w:szCs w:val="18"/>
                <w:lang w:val="en-US"/>
              </w:rPr>
            </w:pPr>
          </w:p>
          <w:p w14:paraId="55B5271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“international shipping income” means net income obtained by a constituent entity from the following activities, provided that the transportation is not carried out via inland waterways within the same jurisdiction:</w:t>
            </w:r>
          </w:p>
          <w:p w14:paraId="21A9B430" w14:textId="77777777" w:rsidR="00465215" w:rsidRPr="005E6D70" w:rsidRDefault="00465215" w:rsidP="009170D4">
            <w:pPr>
              <w:jc w:val="both"/>
              <w:rPr>
                <w:rFonts w:ascii="Times New Roman" w:eastAsia="Calibri" w:hAnsi="Times New Roman" w:cs="Times New Roman"/>
                <w:iCs/>
                <w:sz w:val="18"/>
                <w:szCs w:val="18"/>
                <w:lang w:val="en-US"/>
              </w:rPr>
            </w:pPr>
          </w:p>
          <w:p w14:paraId="0672619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transportation of passengers or cargo by ship in international traffic, whether the ship is owned, leased or otherwise at the disposal of the constituent entity;</w:t>
            </w:r>
          </w:p>
          <w:p w14:paraId="6D15C021" w14:textId="77777777" w:rsidR="00465215" w:rsidRPr="005E6D70" w:rsidRDefault="00465215" w:rsidP="009170D4">
            <w:pPr>
              <w:jc w:val="both"/>
              <w:rPr>
                <w:rFonts w:ascii="Times New Roman" w:eastAsia="Calibri" w:hAnsi="Times New Roman" w:cs="Times New Roman"/>
                <w:iCs/>
                <w:sz w:val="18"/>
                <w:szCs w:val="18"/>
                <w:lang w:val="en-US"/>
              </w:rPr>
            </w:pPr>
          </w:p>
          <w:p w14:paraId="7678A4A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transportation of passengers or cargo by ship in international traffic under slot-chartering arrangements;</w:t>
            </w:r>
          </w:p>
          <w:p w14:paraId="0D508B09" w14:textId="77777777" w:rsidR="00465215" w:rsidRPr="005E6D70" w:rsidRDefault="00465215" w:rsidP="009170D4">
            <w:pPr>
              <w:jc w:val="both"/>
              <w:rPr>
                <w:rFonts w:ascii="Times New Roman" w:eastAsia="Calibri" w:hAnsi="Times New Roman" w:cs="Times New Roman"/>
                <w:iCs/>
                <w:sz w:val="18"/>
                <w:szCs w:val="18"/>
                <w:lang w:val="en-US"/>
              </w:rPr>
            </w:pPr>
          </w:p>
          <w:p w14:paraId="65F283F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(iii) leasing of a ship to be used for the transportation of passengers or cargo in international traffic on charter fully equipped, crewed and supplied;</w:t>
            </w:r>
          </w:p>
          <w:p w14:paraId="23BCFD83" w14:textId="77777777" w:rsidR="00465215" w:rsidRPr="005E6D70" w:rsidRDefault="00465215" w:rsidP="009170D4">
            <w:pPr>
              <w:jc w:val="both"/>
              <w:rPr>
                <w:rFonts w:ascii="Times New Roman" w:eastAsia="Calibri" w:hAnsi="Times New Roman" w:cs="Times New Roman"/>
                <w:iCs/>
                <w:sz w:val="18"/>
                <w:szCs w:val="18"/>
                <w:lang w:val="en-US"/>
              </w:rPr>
            </w:pPr>
          </w:p>
          <w:p w14:paraId="2456443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(iv) leasing of a ship used for the transportation of passengers or cargo in international traffic, on a bareboat charter basis, to another constituent entity;</w:t>
            </w:r>
          </w:p>
          <w:p w14:paraId="1C83993F" w14:textId="77777777" w:rsidR="00465215" w:rsidRPr="005E6D70" w:rsidRDefault="00465215" w:rsidP="009170D4">
            <w:pPr>
              <w:jc w:val="both"/>
              <w:rPr>
                <w:rFonts w:ascii="Times New Roman" w:eastAsia="Calibri" w:hAnsi="Times New Roman" w:cs="Times New Roman"/>
                <w:iCs/>
                <w:sz w:val="18"/>
                <w:szCs w:val="18"/>
                <w:lang w:val="en-US"/>
              </w:rPr>
            </w:pPr>
          </w:p>
          <w:p w14:paraId="7F9AC04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(v) participation in a pool, a joint business or an international operating agency for the transportation of passengers or cargo by ship in international traffic; and</w:t>
            </w:r>
          </w:p>
          <w:p w14:paraId="6ECE6A8E" w14:textId="77777777" w:rsidR="00465215" w:rsidRPr="005E6D70" w:rsidRDefault="00465215" w:rsidP="009170D4">
            <w:pPr>
              <w:jc w:val="both"/>
              <w:rPr>
                <w:rFonts w:ascii="Times New Roman" w:eastAsia="Calibri" w:hAnsi="Times New Roman" w:cs="Times New Roman"/>
                <w:iCs/>
                <w:sz w:val="18"/>
                <w:szCs w:val="18"/>
                <w:lang w:val="en-US"/>
              </w:rPr>
            </w:pPr>
          </w:p>
          <w:p w14:paraId="7FDACDF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(vi) sale of a ship used for the transportation of passengers or cargo in international traffic, provided that the ship has been held for use by the constituent entity for a minimum of one year;</w:t>
            </w:r>
          </w:p>
        </w:tc>
        <w:tc>
          <w:tcPr>
            <w:tcW w:w="1800" w:type="dxa"/>
            <w:gridSpan w:val="2"/>
          </w:tcPr>
          <w:p w14:paraId="081D14E4"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5EB7284C"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67C203DF" w14:textId="77777777" w:rsidTr="009170D4">
        <w:trPr>
          <w:trHeight w:val="215"/>
        </w:trPr>
        <w:tc>
          <w:tcPr>
            <w:tcW w:w="810" w:type="dxa"/>
          </w:tcPr>
          <w:p w14:paraId="7C25295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17(1b)</w:t>
            </w:r>
          </w:p>
        </w:tc>
        <w:tc>
          <w:tcPr>
            <w:tcW w:w="5040" w:type="dxa"/>
            <w:gridSpan w:val="2"/>
          </w:tcPr>
          <w:p w14:paraId="38B0E75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‘qualified ancillary international shipping income’ means net income obtained by a constituent entity from the following activities, provided that such activities are performed primarily in connection with the transportation of passengers or cargo by ships in international traffic:</w:t>
            </w:r>
          </w:p>
          <w:p w14:paraId="75A7FFE5" w14:textId="77777777" w:rsidR="00465215" w:rsidRPr="005E6D70" w:rsidRDefault="00465215" w:rsidP="009170D4">
            <w:pPr>
              <w:jc w:val="both"/>
              <w:rPr>
                <w:rFonts w:ascii="Times New Roman" w:eastAsia="Calibri" w:hAnsi="Times New Roman" w:cs="Times New Roman"/>
                <w:iCs/>
                <w:sz w:val="18"/>
                <w:szCs w:val="18"/>
                <w:lang w:val="en-US"/>
              </w:rPr>
            </w:pPr>
          </w:p>
          <w:p w14:paraId="4910E7B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leasing of a ship, on a bareboat charter basis, to another shipping enterprise that is not a constituent entity, provided that the duration of the charter does not exceed three years;</w:t>
            </w:r>
          </w:p>
          <w:p w14:paraId="2896CE5F" w14:textId="77777777" w:rsidR="00465215" w:rsidRPr="005E6D70" w:rsidRDefault="00465215" w:rsidP="009170D4">
            <w:pPr>
              <w:jc w:val="both"/>
              <w:rPr>
                <w:rFonts w:ascii="Times New Roman" w:eastAsia="Calibri" w:hAnsi="Times New Roman" w:cs="Times New Roman"/>
                <w:iCs/>
                <w:sz w:val="18"/>
                <w:szCs w:val="18"/>
                <w:lang w:val="en-US"/>
              </w:rPr>
            </w:pPr>
          </w:p>
          <w:p w14:paraId="3C77D96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sale of tickets issued by other shipping enterprises for the domestic leg of an international voyage;</w:t>
            </w:r>
          </w:p>
          <w:p w14:paraId="5CDBCB16" w14:textId="77777777" w:rsidR="00465215" w:rsidRPr="005E6D70" w:rsidRDefault="00465215" w:rsidP="009170D4">
            <w:pPr>
              <w:jc w:val="both"/>
              <w:rPr>
                <w:rFonts w:ascii="Times New Roman" w:eastAsia="Calibri" w:hAnsi="Times New Roman" w:cs="Times New Roman"/>
                <w:iCs/>
                <w:sz w:val="18"/>
                <w:szCs w:val="18"/>
                <w:lang w:val="en-US"/>
              </w:rPr>
            </w:pPr>
          </w:p>
          <w:p w14:paraId="770AEB3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(iii) leasing and short-term storage of containers or detention charges for the late return of containers;</w:t>
            </w:r>
          </w:p>
          <w:p w14:paraId="78EDE60E" w14:textId="77777777" w:rsidR="00465215" w:rsidRPr="005E6D70" w:rsidRDefault="00465215" w:rsidP="009170D4">
            <w:pPr>
              <w:jc w:val="both"/>
              <w:rPr>
                <w:rFonts w:ascii="Times New Roman" w:eastAsia="Calibri" w:hAnsi="Times New Roman" w:cs="Times New Roman"/>
                <w:iCs/>
                <w:sz w:val="18"/>
                <w:szCs w:val="18"/>
                <w:lang w:val="en-US"/>
              </w:rPr>
            </w:pPr>
          </w:p>
          <w:p w14:paraId="599FA1E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(iv) provision of services to other shipping enterprises by engineers, maintenance staff, cargo handlers, catering staff and customer services personnel; and</w:t>
            </w:r>
          </w:p>
          <w:p w14:paraId="5C129CF1"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(v) investment income, where the investment that generates the income is made as an integral part of the carrying on of the business of operating ships in international traffic.</w:t>
            </w:r>
          </w:p>
        </w:tc>
        <w:tc>
          <w:tcPr>
            <w:tcW w:w="810" w:type="dxa"/>
          </w:tcPr>
          <w:p w14:paraId="511B9FB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2BCB2B5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17(1)(b)</w:t>
            </w:r>
          </w:p>
          <w:p w14:paraId="2C4A65C0" w14:textId="77777777" w:rsidR="00465215" w:rsidRPr="005E6D70" w:rsidRDefault="00465215" w:rsidP="009170D4">
            <w:pPr>
              <w:jc w:val="center"/>
              <w:rPr>
                <w:rFonts w:ascii="Times New Roman" w:eastAsia="Calibri" w:hAnsi="Times New Roman" w:cs="Times New Roman"/>
                <w:sz w:val="18"/>
                <w:szCs w:val="18"/>
                <w:lang w:val="en-US"/>
              </w:rPr>
            </w:pPr>
          </w:p>
          <w:p w14:paraId="3D2E329E" w14:textId="77777777" w:rsidR="00465215" w:rsidRPr="005E6D70" w:rsidRDefault="00465215" w:rsidP="009170D4">
            <w:pPr>
              <w:jc w:val="center"/>
              <w:rPr>
                <w:rFonts w:ascii="Times New Roman" w:eastAsia="Calibri" w:hAnsi="Times New Roman" w:cs="Times New Roman"/>
                <w:sz w:val="18"/>
                <w:szCs w:val="18"/>
                <w:lang w:val="en-US"/>
              </w:rPr>
            </w:pPr>
          </w:p>
          <w:p w14:paraId="3058B642" w14:textId="77777777" w:rsidR="00465215" w:rsidRPr="005E6D70" w:rsidRDefault="00465215" w:rsidP="009170D4">
            <w:pPr>
              <w:jc w:val="center"/>
              <w:rPr>
                <w:rFonts w:ascii="Times New Roman" w:eastAsia="Calibri" w:hAnsi="Times New Roman" w:cs="Times New Roman"/>
                <w:sz w:val="18"/>
                <w:szCs w:val="18"/>
                <w:lang w:val="en-US"/>
              </w:rPr>
            </w:pPr>
          </w:p>
          <w:p w14:paraId="5654DA2B" w14:textId="77777777" w:rsidR="00465215" w:rsidRPr="005E6D70" w:rsidRDefault="00465215" w:rsidP="009170D4">
            <w:pPr>
              <w:rPr>
                <w:rFonts w:ascii="Times New Roman" w:eastAsia="Calibri" w:hAnsi="Times New Roman" w:cs="Times New Roman"/>
                <w:sz w:val="18"/>
                <w:szCs w:val="18"/>
                <w:lang w:val="en-US"/>
              </w:rPr>
            </w:pPr>
          </w:p>
        </w:tc>
        <w:tc>
          <w:tcPr>
            <w:tcW w:w="4680" w:type="dxa"/>
            <w:gridSpan w:val="2"/>
          </w:tcPr>
          <w:p w14:paraId="1042757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“qualified ancillary international shipping income” means net income obtained by a constituent entity from the following activities, provided that such activities are performed primarily in connection with the transportation of passengers or cargo by ships in international traffic:</w:t>
            </w:r>
          </w:p>
          <w:p w14:paraId="60A05760" w14:textId="77777777" w:rsidR="00465215" w:rsidRPr="005E6D70" w:rsidRDefault="00465215" w:rsidP="009170D4">
            <w:pPr>
              <w:jc w:val="both"/>
              <w:rPr>
                <w:rFonts w:ascii="Times New Roman" w:eastAsia="Calibri" w:hAnsi="Times New Roman" w:cs="Times New Roman"/>
                <w:iCs/>
                <w:sz w:val="18"/>
                <w:szCs w:val="18"/>
                <w:lang w:val="en-US"/>
              </w:rPr>
            </w:pPr>
          </w:p>
          <w:p w14:paraId="0244EA3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leasing of a ship, on a bareboat charter basis, to another shipping enterprise that is not a constituent entity, provided that the duration of the charter does not exceed three years;</w:t>
            </w:r>
          </w:p>
          <w:p w14:paraId="28DA5936" w14:textId="77777777" w:rsidR="00465215" w:rsidRPr="005E6D70" w:rsidRDefault="00465215" w:rsidP="009170D4">
            <w:pPr>
              <w:jc w:val="both"/>
              <w:rPr>
                <w:rFonts w:ascii="Times New Roman" w:eastAsia="Calibri" w:hAnsi="Times New Roman" w:cs="Times New Roman"/>
                <w:iCs/>
                <w:sz w:val="18"/>
                <w:szCs w:val="18"/>
                <w:lang w:val="en-US"/>
              </w:rPr>
            </w:pPr>
          </w:p>
          <w:p w14:paraId="5B9D318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sale of tickets issued by other shipping enterprises for the domestic leg of an international voyage;</w:t>
            </w:r>
          </w:p>
          <w:p w14:paraId="3882E343" w14:textId="77777777" w:rsidR="00465215" w:rsidRPr="005E6D70" w:rsidRDefault="00465215" w:rsidP="009170D4">
            <w:pPr>
              <w:jc w:val="both"/>
              <w:rPr>
                <w:rFonts w:ascii="Times New Roman" w:eastAsia="Calibri" w:hAnsi="Times New Roman" w:cs="Times New Roman"/>
                <w:iCs/>
                <w:sz w:val="18"/>
                <w:szCs w:val="18"/>
                <w:lang w:val="en-US"/>
              </w:rPr>
            </w:pPr>
          </w:p>
          <w:p w14:paraId="1055508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(iii) leasing and short-term storage of containers or detention charges for the late return of containers;</w:t>
            </w:r>
          </w:p>
          <w:p w14:paraId="33FF97C0" w14:textId="77777777" w:rsidR="00465215" w:rsidRPr="005E6D70" w:rsidRDefault="00465215" w:rsidP="009170D4">
            <w:pPr>
              <w:jc w:val="both"/>
              <w:rPr>
                <w:rFonts w:ascii="Times New Roman" w:eastAsia="Calibri" w:hAnsi="Times New Roman" w:cs="Times New Roman"/>
                <w:iCs/>
                <w:sz w:val="18"/>
                <w:szCs w:val="18"/>
                <w:lang w:val="en-US"/>
              </w:rPr>
            </w:pPr>
          </w:p>
          <w:p w14:paraId="6F6D5D8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(iv) provision of services to other shipping enterprises by engineers, maintenance staff, cargo handlers, catering staff and customer services personnel; and</w:t>
            </w:r>
          </w:p>
          <w:p w14:paraId="51A976B4" w14:textId="77777777" w:rsidR="00465215" w:rsidRPr="005E6D70" w:rsidRDefault="00465215" w:rsidP="009170D4">
            <w:pPr>
              <w:jc w:val="both"/>
              <w:rPr>
                <w:rFonts w:ascii="Times New Roman" w:eastAsia="Calibri" w:hAnsi="Times New Roman" w:cs="Times New Roman"/>
                <w:iCs/>
                <w:sz w:val="18"/>
                <w:szCs w:val="18"/>
                <w:lang w:val="en-US"/>
              </w:rPr>
            </w:pPr>
          </w:p>
          <w:p w14:paraId="6D3BCB0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(v) investment income, where the investment that generates the income is made as an integral part of the carrying on of the business of operating ships in international traffic.</w:t>
            </w:r>
          </w:p>
        </w:tc>
        <w:tc>
          <w:tcPr>
            <w:tcW w:w="1800" w:type="dxa"/>
            <w:gridSpan w:val="2"/>
          </w:tcPr>
          <w:p w14:paraId="29E7C99E"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C2E8DBD"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p w14:paraId="61004F3E" w14:textId="77777777" w:rsidR="00465215" w:rsidRPr="005E6D70" w:rsidRDefault="00465215" w:rsidP="009170D4">
            <w:pPr>
              <w:rPr>
                <w:rFonts w:ascii="Times New Roman" w:eastAsia="Calibri" w:hAnsi="Times New Roman" w:cs="Times New Roman"/>
                <w:iCs/>
                <w:sz w:val="18"/>
                <w:szCs w:val="18"/>
                <w:lang w:val="en-US"/>
              </w:rPr>
            </w:pPr>
          </w:p>
          <w:p w14:paraId="63ECF794" w14:textId="77777777" w:rsidR="00465215" w:rsidRPr="005E6D70" w:rsidRDefault="00465215" w:rsidP="009170D4">
            <w:pPr>
              <w:rPr>
                <w:rFonts w:ascii="Times New Roman" w:eastAsia="Calibri" w:hAnsi="Times New Roman" w:cs="Times New Roman"/>
                <w:iCs/>
                <w:sz w:val="18"/>
                <w:szCs w:val="18"/>
                <w:lang w:val="en-US"/>
              </w:rPr>
            </w:pPr>
          </w:p>
          <w:p w14:paraId="14E2E4DA" w14:textId="77777777" w:rsidR="00465215" w:rsidRPr="005E6D70" w:rsidRDefault="00465215" w:rsidP="009170D4">
            <w:pPr>
              <w:rPr>
                <w:rFonts w:ascii="Times New Roman" w:eastAsia="Calibri" w:hAnsi="Times New Roman" w:cs="Times New Roman"/>
                <w:iCs/>
                <w:sz w:val="18"/>
                <w:szCs w:val="18"/>
                <w:lang w:val="en-US"/>
              </w:rPr>
            </w:pPr>
          </w:p>
          <w:p w14:paraId="5F722AE0" w14:textId="77777777" w:rsidR="00465215" w:rsidRPr="005E6D70" w:rsidRDefault="00465215" w:rsidP="009170D4">
            <w:pPr>
              <w:rPr>
                <w:rFonts w:ascii="Times New Roman" w:eastAsia="Calibri" w:hAnsi="Times New Roman" w:cs="Times New Roman"/>
                <w:iCs/>
                <w:sz w:val="18"/>
                <w:szCs w:val="18"/>
                <w:lang w:val="en-US"/>
              </w:rPr>
            </w:pPr>
          </w:p>
          <w:p w14:paraId="39E3CF9B" w14:textId="77777777" w:rsidR="00465215" w:rsidRPr="005E6D70" w:rsidRDefault="00465215" w:rsidP="009170D4">
            <w:pPr>
              <w:rPr>
                <w:rFonts w:ascii="Times New Roman" w:eastAsia="Calibri" w:hAnsi="Times New Roman" w:cs="Times New Roman"/>
                <w:iCs/>
                <w:sz w:val="18"/>
                <w:szCs w:val="18"/>
                <w:lang w:val="en-US"/>
              </w:rPr>
            </w:pPr>
          </w:p>
          <w:p w14:paraId="73A04D4A" w14:textId="77777777" w:rsidR="00465215" w:rsidRPr="005E6D70" w:rsidRDefault="00465215" w:rsidP="009170D4">
            <w:pPr>
              <w:rPr>
                <w:rFonts w:ascii="Times New Roman" w:eastAsia="Calibri" w:hAnsi="Times New Roman" w:cs="Times New Roman"/>
                <w:iCs/>
                <w:sz w:val="18"/>
                <w:szCs w:val="18"/>
                <w:lang w:val="en-US"/>
              </w:rPr>
            </w:pPr>
          </w:p>
        </w:tc>
      </w:tr>
      <w:tr w:rsidR="00465215" w:rsidRPr="005E6D70" w14:paraId="2B292138" w14:textId="77777777" w:rsidTr="009170D4">
        <w:trPr>
          <w:trHeight w:val="215"/>
        </w:trPr>
        <w:tc>
          <w:tcPr>
            <w:tcW w:w="810" w:type="dxa"/>
          </w:tcPr>
          <w:p w14:paraId="191B62B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17(2)</w:t>
            </w:r>
          </w:p>
        </w:tc>
        <w:tc>
          <w:tcPr>
            <w:tcW w:w="5040" w:type="dxa"/>
            <w:gridSpan w:val="2"/>
          </w:tcPr>
          <w:p w14:paraId="4AA7FFF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 The international shipping income and the qualified ancillary international shipping income of a constituent entity shall be excluded from the computation of its qualifying income or loss, provided that the constituent entity demonstrates that the strategic or commercial management of all ships concerned is effectively </w:t>
            </w:r>
            <w:r w:rsidRPr="005E6D70">
              <w:rPr>
                <w:rFonts w:ascii="Times New Roman" w:eastAsia="Calibri" w:hAnsi="Times New Roman" w:cs="Times New Roman"/>
                <w:iCs/>
                <w:sz w:val="18"/>
                <w:szCs w:val="18"/>
                <w:lang w:val="en-US"/>
              </w:rPr>
              <w:lastRenderedPageBreak/>
              <w:t>carried on from within the jurisdiction where the constituent entity is located.</w:t>
            </w:r>
          </w:p>
        </w:tc>
        <w:tc>
          <w:tcPr>
            <w:tcW w:w="810" w:type="dxa"/>
          </w:tcPr>
          <w:p w14:paraId="2A13AAF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4F93298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17(2)</w:t>
            </w:r>
          </w:p>
        </w:tc>
        <w:tc>
          <w:tcPr>
            <w:tcW w:w="4680" w:type="dxa"/>
            <w:gridSpan w:val="2"/>
          </w:tcPr>
          <w:p w14:paraId="5BAC679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 International shipping income and qualified ancillary international shipping income of a constituent entity shall be excluded from the computation of its qualifying income or loss, provided that the constituent entity demonstrates that the strategic or commercial management of all ships concerned is </w:t>
            </w:r>
            <w:r w:rsidRPr="005E6D70">
              <w:rPr>
                <w:rFonts w:ascii="Times New Roman" w:eastAsia="Calibri" w:hAnsi="Times New Roman" w:cs="Times New Roman"/>
                <w:iCs/>
                <w:sz w:val="18"/>
                <w:szCs w:val="18"/>
                <w:lang w:val="en-US"/>
              </w:rPr>
              <w:lastRenderedPageBreak/>
              <w:t>effectively carried on from within the jurisdiction where the constituent entity is located.</w:t>
            </w:r>
          </w:p>
        </w:tc>
        <w:tc>
          <w:tcPr>
            <w:tcW w:w="1800" w:type="dxa"/>
            <w:gridSpan w:val="2"/>
          </w:tcPr>
          <w:p w14:paraId="00102139"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05D72EC0"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367DE5A5" w14:textId="77777777" w:rsidTr="009170D4">
        <w:trPr>
          <w:trHeight w:val="215"/>
        </w:trPr>
        <w:tc>
          <w:tcPr>
            <w:tcW w:w="810" w:type="dxa"/>
          </w:tcPr>
          <w:p w14:paraId="63EC1B9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17(3)</w:t>
            </w:r>
          </w:p>
        </w:tc>
        <w:tc>
          <w:tcPr>
            <w:tcW w:w="5040" w:type="dxa"/>
            <w:gridSpan w:val="2"/>
          </w:tcPr>
          <w:p w14:paraId="73EAFA4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Where the computation of a constituent entity’s international shipping income and qualified ancillary international shipping income results in a loss, such loss shall be excluded from the computation of the constituent entity’s qualifying income or loss.</w:t>
            </w:r>
          </w:p>
        </w:tc>
        <w:tc>
          <w:tcPr>
            <w:tcW w:w="810" w:type="dxa"/>
          </w:tcPr>
          <w:p w14:paraId="18900C6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69395FA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17(3)</w:t>
            </w:r>
          </w:p>
        </w:tc>
        <w:tc>
          <w:tcPr>
            <w:tcW w:w="4680" w:type="dxa"/>
            <w:gridSpan w:val="2"/>
          </w:tcPr>
          <w:p w14:paraId="591864E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Where the computation of a constituent entity’s international shipping income and qualified ancillary international shipping income results in a loss, such loss shall be excluded from the computation of its qualifying income or loss.</w:t>
            </w:r>
          </w:p>
        </w:tc>
        <w:tc>
          <w:tcPr>
            <w:tcW w:w="1800" w:type="dxa"/>
            <w:gridSpan w:val="2"/>
          </w:tcPr>
          <w:p w14:paraId="17E327AB"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00757E60"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42CE6F97" w14:textId="77777777" w:rsidTr="009170D4">
        <w:trPr>
          <w:trHeight w:val="215"/>
        </w:trPr>
        <w:tc>
          <w:tcPr>
            <w:tcW w:w="810" w:type="dxa"/>
          </w:tcPr>
          <w:p w14:paraId="16DFAA5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17(4)</w:t>
            </w:r>
          </w:p>
        </w:tc>
        <w:tc>
          <w:tcPr>
            <w:tcW w:w="5040" w:type="dxa"/>
            <w:gridSpan w:val="2"/>
          </w:tcPr>
          <w:p w14:paraId="1D96577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 The aggregated qualified ancillary international shipping income of all constituent entities located in a jurisdiction shall not exceed 50 % of those constituent entities’ international shipping income.</w:t>
            </w:r>
          </w:p>
        </w:tc>
        <w:tc>
          <w:tcPr>
            <w:tcW w:w="810" w:type="dxa"/>
          </w:tcPr>
          <w:p w14:paraId="2BA57EB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06FB053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17(4)</w:t>
            </w:r>
          </w:p>
        </w:tc>
        <w:tc>
          <w:tcPr>
            <w:tcW w:w="4680" w:type="dxa"/>
            <w:gridSpan w:val="2"/>
          </w:tcPr>
          <w:p w14:paraId="670363B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The aggregated qualified ancillary international shipping income of all constituent entities located in a jurisdiction shall not exceed 50% of those constituent entities’ aggregated international shipping income.</w:t>
            </w:r>
          </w:p>
        </w:tc>
        <w:tc>
          <w:tcPr>
            <w:tcW w:w="1800" w:type="dxa"/>
            <w:gridSpan w:val="2"/>
          </w:tcPr>
          <w:p w14:paraId="081677A6"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60F8C5F0"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 The term "aggregated" is added to the latter half of the sentence to align with national legislative drafting standards.</w:t>
            </w:r>
          </w:p>
        </w:tc>
      </w:tr>
      <w:tr w:rsidR="00465215" w:rsidRPr="005E6D70" w14:paraId="07346C0D" w14:textId="77777777" w:rsidTr="009170D4">
        <w:trPr>
          <w:trHeight w:val="215"/>
        </w:trPr>
        <w:tc>
          <w:tcPr>
            <w:tcW w:w="810" w:type="dxa"/>
          </w:tcPr>
          <w:p w14:paraId="049BC0D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17(5)</w:t>
            </w:r>
          </w:p>
        </w:tc>
        <w:tc>
          <w:tcPr>
            <w:tcW w:w="5040" w:type="dxa"/>
            <w:gridSpan w:val="2"/>
          </w:tcPr>
          <w:p w14:paraId="66408D9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5. The costs incurred by a constituent entity that are directly attributable to its international shipping activities listed in paragraph 1, point (a), and qualified ancillary international shipping activities listed in paragraph 1, point (b), shall be allocated to such activities for the purpose of computing the net international shipping income and the net qualified ancillary international shipping income of the constituent entity.</w:t>
            </w:r>
          </w:p>
          <w:p w14:paraId="55845270" w14:textId="77777777" w:rsidR="00465215" w:rsidRPr="005E6D70" w:rsidRDefault="00465215" w:rsidP="009170D4">
            <w:pPr>
              <w:jc w:val="both"/>
              <w:rPr>
                <w:rFonts w:ascii="Times New Roman" w:eastAsia="Calibri" w:hAnsi="Times New Roman" w:cs="Times New Roman"/>
                <w:iCs/>
                <w:sz w:val="18"/>
                <w:szCs w:val="18"/>
                <w:lang w:val="en-US"/>
              </w:rPr>
            </w:pPr>
          </w:p>
          <w:p w14:paraId="505B6D33" w14:textId="77777777" w:rsidR="00465215" w:rsidRPr="005E6D70" w:rsidRDefault="00465215" w:rsidP="009170D4">
            <w:pPr>
              <w:jc w:val="both"/>
              <w:rPr>
                <w:rFonts w:ascii="Times New Roman" w:eastAsia="Calibri" w:hAnsi="Times New Roman" w:cs="Times New Roman"/>
                <w:iCs/>
                <w:sz w:val="18"/>
                <w:szCs w:val="18"/>
                <w:lang w:val="en-US"/>
              </w:rPr>
            </w:pPr>
          </w:p>
          <w:p w14:paraId="5E79278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The costs incurred by a constituent entity that indirectly result from its international shipping activities and qualified ancillary international shipping activities shall be deducted from the constituent entity’s revenues from such activities to compute the international shipping income and qualified ancillary international shipping income of the constituent entity on the basis of its revenues from such activities in proportion to its total revenues.</w:t>
            </w:r>
          </w:p>
        </w:tc>
        <w:tc>
          <w:tcPr>
            <w:tcW w:w="810" w:type="dxa"/>
          </w:tcPr>
          <w:p w14:paraId="68EF26E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9B3A41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17(5)</w:t>
            </w:r>
          </w:p>
          <w:p w14:paraId="3BA9CC3C" w14:textId="77777777" w:rsidR="00465215" w:rsidRPr="005E6D70" w:rsidRDefault="00465215" w:rsidP="009170D4">
            <w:pPr>
              <w:jc w:val="center"/>
              <w:rPr>
                <w:rFonts w:ascii="Times New Roman" w:eastAsia="Calibri" w:hAnsi="Times New Roman" w:cs="Times New Roman"/>
                <w:sz w:val="18"/>
                <w:szCs w:val="18"/>
                <w:lang w:val="en-US"/>
              </w:rPr>
            </w:pPr>
          </w:p>
          <w:p w14:paraId="7C0CEC24" w14:textId="77777777" w:rsidR="00465215" w:rsidRPr="005E6D70" w:rsidRDefault="00465215" w:rsidP="009170D4">
            <w:pPr>
              <w:jc w:val="center"/>
              <w:rPr>
                <w:rFonts w:ascii="Times New Roman" w:eastAsia="Calibri" w:hAnsi="Times New Roman" w:cs="Times New Roman"/>
                <w:sz w:val="18"/>
                <w:szCs w:val="18"/>
                <w:lang w:val="en-US"/>
              </w:rPr>
            </w:pPr>
          </w:p>
          <w:p w14:paraId="16CC12D2" w14:textId="77777777" w:rsidR="00465215" w:rsidRPr="005E6D70" w:rsidRDefault="00465215" w:rsidP="009170D4">
            <w:pPr>
              <w:jc w:val="center"/>
              <w:rPr>
                <w:rFonts w:ascii="Times New Roman" w:eastAsia="Calibri" w:hAnsi="Times New Roman" w:cs="Times New Roman"/>
                <w:sz w:val="18"/>
                <w:szCs w:val="18"/>
                <w:lang w:val="en-US"/>
              </w:rPr>
            </w:pPr>
          </w:p>
          <w:p w14:paraId="2DFAD1F0" w14:textId="77777777" w:rsidR="00465215" w:rsidRPr="005E6D70" w:rsidRDefault="00465215" w:rsidP="009170D4">
            <w:pPr>
              <w:jc w:val="center"/>
              <w:rPr>
                <w:rFonts w:ascii="Times New Roman" w:eastAsia="Calibri" w:hAnsi="Times New Roman" w:cs="Times New Roman"/>
                <w:sz w:val="18"/>
                <w:szCs w:val="18"/>
                <w:lang w:val="en-US"/>
              </w:rPr>
            </w:pPr>
          </w:p>
          <w:p w14:paraId="0A54C141" w14:textId="77777777" w:rsidR="00465215" w:rsidRPr="005E6D70" w:rsidRDefault="00465215" w:rsidP="009170D4">
            <w:pPr>
              <w:jc w:val="center"/>
              <w:rPr>
                <w:rFonts w:ascii="Times New Roman" w:eastAsia="Calibri" w:hAnsi="Times New Roman" w:cs="Times New Roman"/>
                <w:sz w:val="18"/>
                <w:szCs w:val="18"/>
                <w:lang w:val="en-US"/>
              </w:rPr>
            </w:pPr>
          </w:p>
          <w:p w14:paraId="70867EA7" w14:textId="77777777" w:rsidR="00465215" w:rsidRPr="005E6D70" w:rsidRDefault="00465215" w:rsidP="009170D4">
            <w:pPr>
              <w:jc w:val="center"/>
              <w:rPr>
                <w:rFonts w:ascii="Times New Roman" w:eastAsia="Calibri" w:hAnsi="Times New Roman" w:cs="Times New Roman"/>
                <w:sz w:val="18"/>
                <w:szCs w:val="18"/>
                <w:lang w:val="en-US"/>
              </w:rPr>
            </w:pPr>
          </w:p>
          <w:p w14:paraId="72B5B4AA" w14:textId="77777777" w:rsidR="00465215" w:rsidRPr="005E6D70" w:rsidRDefault="00465215" w:rsidP="009170D4">
            <w:pPr>
              <w:jc w:val="center"/>
              <w:rPr>
                <w:rFonts w:ascii="Times New Roman" w:eastAsia="Calibri" w:hAnsi="Times New Roman" w:cs="Times New Roman"/>
                <w:sz w:val="18"/>
                <w:szCs w:val="18"/>
                <w:lang w:val="en-US"/>
              </w:rPr>
            </w:pPr>
          </w:p>
          <w:p w14:paraId="3FE0E275" w14:textId="77777777" w:rsidR="00465215" w:rsidRPr="005E6D70" w:rsidRDefault="00465215" w:rsidP="009170D4">
            <w:pPr>
              <w:jc w:val="center"/>
              <w:rPr>
                <w:rFonts w:ascii="Times New Roman" w:eastAsia="Calibri" w:hAnsi="Times New Roman" w:cs="Times New Roman"/>
                <w:sz w:val="18"/>
                <w:szCs w:val="18"/>
                <w:lang w:val="en-US"/>
              </w:rPr>
            </w:pPr>
          </w:p>
          <w:p w14:paraId="315C705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17(6)</w:t>
            </w:r>
          </w:p>
        </w:tc>
        <w:tc>
          <w:tcPr>
            <w:tcW w:w="4680" w:type="dxa"/>
            <w:gridSpan w:val="2"/>
          </w:tcPr>
          <w:p w14:paraId="424F225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5. The costs incurred by a constituent entity that are directly attributable to its international shipping activities listed in letter “a”, of paragraph 1, of this Article, and qualified ancillary international shipping activities listed in letter “b”, of paragraph 1, of this Article, shall be allocated to such activities for the purpose of computing the net international shipping income and the net qualified ancillary international shipping income of the constituent entity.</w:t>
            </w:r>
          </w:p>
          <w:p w14:paraId="70E4F775" w14:textId="77777777" w:rsidR="00465215" w:rsidRPr="005E6D70" w:rsidRDefault="00465215" w:rsidP="009170D4">
            <w:pPr>
              <w:jc w:val="both"/>
              <w:rPr>
                <w:rFonts w:ascii="Times New Roman" w:eastAsia="Calibri" w:hAnsi="Times New Roman" w:cs="Times New Roman"/>
                <w:iCs/>
                <w:sz w:val="18"/>
                <w:szCs w:val="18"/>
                <w:lang w:val="en-US"/>
              </w:rPr>
            </w:pPr>
          </w:p>
          <w:p w14:paraId="1AF648E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 The costs incurred by a constituent entity that indirectly result from its international shipping activities and qualified ancillary international shipping activities shall be deducted from the constituent entity’s revenues from such activities to compute the international shipping income and qualified ancillary international shipping income of the constituent entity on the basis of its revenues from such activities in proportion to its total revenues.</w:t>
            </w:r>
          </w:p>
        </w:tc>
        <w:tc>
          <w:tcPr>
            <w:tcW w:w="1800" w:type="dxa"/>
            <w:gridSpan w:val="2"/>
          </w:tcPr>
          <w:p w14:paraId="75569F80"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1731E172"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 (adapting cross-references).</w:t>
            </w:r>
          </w:p>
          <w:p w14:paraId="6FA29446" w14:textId="77777777" w:rsidR="00465215" w:rsidRPr="005E6D70" w:rsidRDefault="00465215" w:rsidP="009170D4">
            <w:pPr>
              <w:rPr>
                <w:rFonts w:ascii="Times New Roman" w:eastAsia="Calibri" w:hAnsi="Times New Roman" w:cs="Times New Roman"/>
                <w:iCs/>
                <w:sz w:val="18"/>
                <w:szCs w:val="18"/>
                <w:lang w:val="en-US"/>
              </w:rPr>
            </w:pPr>
          </w:p>
          <w:p w14:paraId="4B1F34AB"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Structural consolidation for national legislative compliance. The unnumbered EU subparagraph is transposed as </w:t>
            </w:r>
            <w:r w:rsidRPr="005E6D70">
              <w:rPr>
                <w:rFonts w:ascii="Times New Roman" w:eastAsia="Calibri" w:hAnsi="Times New Roman" w:cs="Times New Roman"/>
                <w:iCs/>
                <w:sz w:val="18"/>
                <w:szCs w:val="18"/>
                <w:lang w:val="en-US"/>
              </w:rPr>
              <w:lastRenderedPageBreak/>
              <w:t>a distinct numbered paragraph in the draft law.</w:t>
            </w:r>
          </w:p>
        </w:tc>
      </w:tr>
      <w:tr w:rsidR="00465215" w:rsidRPr="005E6D70" w14:paraId="391A593E" w14:textId="77777777" w:rsidTr="009170D4">
        <w:trPr>
          <w:trHeight w:val="215"/>
        </w:trPr>
        <w:tc>
          <w:tcPr>
            <w:tcW w:w="810" w:type="dxa"/>
          </w:tcPr>
          <w:p w14:paraId="0121DFB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17(6)</w:t>
            </w:r>
          </w:p>
        </w:tc>
        <w:tc>
          <w:tcPr>
            <w:tcW w:w="5040" w:type="dxa"/>
            <w:gridSpan w:val="2"/>
          </w:tcPr>
          <w:p w14:paraId="0B90B47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6. All direct and indirect costs attributed to a constituent entity’s international shipping income and qualified ancillary international shipping income in accordance with paragraph 5 shall be excluded from the computation of its qualifying income or loss.</w:t>
            </w:r>
          </w:p>
        </w:tc>
        <w:tc>
          <w:tcPr>
            <w:tcW w:w="810" w:type="dxa"/>
          </w:tcPr>
          <w:p w14:paraId="4968278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BC1336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17(7)</w:t>
            </w:r>
          </w:p>
        </w:tc>
        <w:tc>
          <w:tcPr>
            <w:tcW w:w="4680" w:type="dxa"/>
            <w:gridSpan w:val="2"/>
          </w:tcPr>
          <w:p w14:paraId="7DDDF85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7. All direct and indirect costs attributed to a constituent entity’s international shipping income and qualified ancillary international shipping income in accordance with paragraphs 5 and 6, of this Article, shall be excluded from the computation of its qualifying income or loss.</w:t>
            </w:r>
          </w:p>
        </w:tc>
        <w:tc>
          <w:tcPr>
            <w:tcW w:w="1800" w:type="dxa"/>
            <w:gridSpan w:val="2"/>
          </w:tcPr>
          <w:p w14:paraId="478D2075"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0C23164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 (updating cross-references to align with the structural split of the preceding provisions).</w:t>
            </w:r>
          </w:p>
        </w:tc>
      </w:tr>
      <w:tr w:rsidR="00465215" w:rsidRPr="005E6D70" w14:paraId="090B9A00" w14:textId="77777777" w:rsidTr="009170D4">
        <w:tc>
          <w:tcPr>
            <w:tcW w:w="810" w:type="dxa"/>
            <w:shd w:val="clear" w:color="auto" w:fill="D9D9D9" w:themeFill="background1" w:themeFillShade="D9"/>
          </w:tcPr>
          <w:p w14:paraId="42DE62E2" w14:textId="77777777" w:rsidR="00465215" w:rsidRPr="005E6D70" w:rsidRDefault="00465215" w:rsidP="009170D4">
            <w:pPr>
              <w:jc w:val="center"/>
              <w:rPr>
                <w:rFonts w:ascii="Times New Roman" w:eastAsia="Calibri" w:hAnsi="Times New Roman" w:cs="Times New Roman"/>
                <w:i/>
                <w:sz w:val="18"/>
                <w:szCs w:val="18"/>
                <w:lang w:val="en-US"/>
              </w:rPr>
            </w:pPr>
          </w:p>
        </w:tc>
        <w:tc>
          <w:tcPr>
            <w:tcW w:w="5040" w:type="dxa"/>
            <w:gridSpan w:val="2"/>
            <w:shd w:val="clear" w:color="auto" w:fill="D9D9D9" w:themeFill="background1" w:themeFillShade="D9"/>
          </w:tcPr>
          <w:p w14:paraId="68845D41" w14:textId="77777777" w:rsidR="00465215" w:rsidRPr="005E6D70" w:rsidRDefault="00465215" w:rsidP="009170D4">
            <w:pPr>
              <w:jc w:val="both"/>
              <w:rPr>
                <w:rFonts w:ascii="Times New Roman" w:eastAsia="Calibri" w:hAnsi="Times New Roman" w:cs="Times New Roman"/>
                <w:b/>
                <w:i/>
                <w:sz w:val="18"/>
                <w:szCs w:val="18"/>
                <w:lang w:val="en-US"/>
              </w:rPr>
            </w:pPr>
            <w:bookmarkStart w:id="7" w:name="_Toc216435529"/>
            <w:r w:rsidRPr="005E6D70">
              <w:rPr>
                <w:rFonts w:ascii="Times New Roman" w:eastAsia="Calibri" w:hAnsi="Times New Roman" w:cs="Times New Roman"/>
                <w:b/>
                <w:bCs/>
                <w:iCs/>
                <w:sz w:val="18"/>
                <w:szCs w:val="18"/>
                <w:lang w:val="en-US"/>
              </w:rPr>
              <w:t>Article 18</w:t>
            </w:r>
            <w:bookmarkEnd w:id="7"/>
            <w:r w:rsidRPr="005E6D70">
              <w:rPr>
                <w:rFonts w:ascii="Times New Roman" w:eastAsia="Calibri" w:hAnsi="Times New Roman" w:cs="Times New Roman"/>
                <w:b/>
                <w:bCs/>
                <w:iCs/>
                <w:sz w:val="18"/>
                <w:szCs w:val="18"/>
                <w:lang w:val="en-US"/>
              </w:rPr>
              <w:t>. Allocation of the qualifying income or loss between a main entity and a permanent establishment</w:t>
            </w:r>
          </w:p>
        </w:tc>
        <w:tc>
          <w:tcPr>
            <w:tcW w:w="810" w:type="dxa"/>
            <w:shd w:val="clear" w:color="auto" w:fill="D9D9D9" w:themeFill="background1" w:themeFillShade="D9"/>
          </w:tcPr>
          <w:p w14:paraId="38FA68B2" w14:textId="77777777" w:rsidR="00465215" w:rsidRPr="005E6D70" w:rsidRDefault="00465215" w:rsidP="009170D4">
            <w:pPr>
              <w:jc w:val="center"/>
              <w:rPr>
                <w:rFonts w:ascii="Times New Roman" w:eastAsia="Calibri" w:hAnsi="Times New Roman" w:cs="Times New Roman"/>
                <w:b/>
                <w:i/>
                <w:sz w:val="18"/>
                <w:szCs w:val="18"/>
                <w:lang w:val="en-US"/>
              </w:rPr>
            </w:pPr>
            <w:r w:rsidRPr="005E6D70">
              <w:rPr>
                <w:rFonts w:ascii="Times New Roman" w:eastAsia="Calibri" w:hAnsi="Times New Roman" w:cs="Times New Roman"/>
                <w:sz w:val="18"/>
                <w:szCs w:val="18"/>
                <w:lang w:val="en-US"/>
              </w:rPr>
              <w:t>1</w:t>
            </w:r>
          </w:p>
        </w:tc>
        <w:tc>
          <w:tcPr>
            <w:tcW w:w="990" w:type="dxa"/>
            <w:gridSpan w:val="2"/>
            <w:shd w:val="clear" w:color="auto" w:fill="D9D9D9" w:themeFill="background1" w:themeFillShade="D9"/>
          </w:tcPr>
          <w:p w14:paraId="798F459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18</w:t>
            </w:r>
          </w:p>
        </w:tc>
        <w:tc>
          <w:tcPr>
            <w:tcW w:w="4680" w:type="dxa"/>
            <w:gridSpan w:val="2"/>
            <w:shd w:val="clear" w:color="auto" w:fill="D9D9D9" w:themeFill="background1" w:themeFillShade="D9"/>
          </w:tcPr>
          <w:p w14:paraId="086D6BEE"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Article 18. Allocation Between Main Entity and the Permanent Establishment</w:t>
            </w:r>
          </w:p>
        </w:tc>
        <w:tc>
          <w:tcPr>
            <w:tcW w:w="1800" w:type="dxa"/>
            <w:gridSpan w:val="2"/>
            <w:shd w:val="clear" w:color="auto" w:fill="D9D9D9" w:themeFill="background1" w:themeFillShade="D9"/>
          </w:tcPr>
          <w:p w14:paraId="68D2343E"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shd w:val="clear" w:color="auto" w:fill="D9D9D9" w:themeFill="background1" w:themeFillShade="D9"/>
          </w:tcPr>
          <w:p w14:paraId="632B23DC"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Structurally transposed as Article 18 in the draft law. The title is adapted to align with national legislative drafting standards.</w:t>
            </w:r>
          </w:p>
        </w:tc>
      </w:tr>
      <w:tr w:rsidR="00465215" w:rsidRPr="005E6D70" w14:paraId="2FFF0FEA" w14:textId="77777777" w:rsidTr="009170D4">
        <w:tc>
          <w:tcPr>
            <w:tcW w:w="810" w:type="dxa"/>
          </w:tcPr>
          <w:p w14:paraId="1D1F94C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18(1)</w:t>
            </w:r>
          </w:p>
        </w:tc>
        <w:tc>
          <w:tcPr>
            <w:tcW w:w="5040" w:type="dxa"/>
            <w:gridSpan w:val="2"/>
          </w:tcPr>
          <w:p w14:paraId="5F9B07D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Where a constituent entity is a permanent establishment as defined in Article 3, point (13)(a), (b) or (c), its financial accounting net income or loss shall be the net income or loss reflected in the separate financial accounts of that permanent establishment.</w:t>
            </w:r>
          </w:p>
          <w:p w14:paraId="59884E0B" w14:textId="77777777" w:rsidR="00465215" w:rsidRPr="005E6D70" w:rsidRDefault="00465215" w:rsidP="009170D4">
            <w:pPr>
              <w:jc w:val="both"/>
              <w:rPr>
                <w:rFonts w:ascii="Times New Roman" w:eastAsia="Calibri" w:hAnsi="Times New Roman" w:cs="Times New Roman"/>
                <w:iCs/>
                <w:sz w:val="18"/>
                <w:szCs w:val="18"/>
                <w:lang w:val="en-US"/>
              </w:rPr>
            </w:pPr>
          </w:p>
          <w:p w14:paraId="5D26E9C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Where a permanent establishment does not have separate financial accounts, its financial accounting net income or loss shall be the amount that would have been reflected in its separate financial accounts if they had been prepared on a standalone basis and in accordance with the accounting standard used in the preparation of</w:t>
            </w:r>
          </w:p>
          <w:p w14:paraId="38E2E204" w14:textId="77777777" w:rsidR="00465215" w:rsidRPr="005E6D70" w:rsidRDefault="00465215" w:rsidP="009170D4">
            <w:pPr>
              <w:jc w:val="both"/>
              <w:rPr>
                <w:rFonts w:ascii="Times New Roman" w:eastAsia="Calibri" w:hAnsi="Times New Roman" w:cs="Times New Roman"/>
                <w:bCs/>
                <w:sz w:val="18"/>
                <w:szCs w:val="18"/>
                <w:lang w:val="en-US"/>
              </w:rPr>
            </w:pPr>
            <w:r w:rsidRPr="005E6D70">
              <w:rPr>
                <w:rFonts w:ascii="Times New Roman" w:eastAsia="Calibri" w:hAnsi="Times New Roman" w:cs="Times New Roman"/>
                <w:iCs/>
                <w:sz w:val="18"/>
                <w:szCs w:val="18"/>
                <w:lang w:val="en-US"/>
              </w:rPr>
              <w:t>the consolidated financial statements of the ultimate parent entity.</w:t>
            </w:r>
          </w:p>
        </w:tc>
        <w:tc>
          <w:tcPr>
            <w:tcW w:w="810" w:type="dxa"/>
          </w:tcPr>
          <w:p w14:paraId="730576D0" w14:textId="77777777" w:rsidR="00465215" w:rsidRPr="005E6D70" w:rsidRDefault="00465215" w:rsidP="009170D4">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3ABEEB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18(1)</w:t>
            </w:r>
          </w:p>
        </w:tc>
        <w:tc>
          <w:tcPr>
            <w:tcW w:w="4680" w:type="dxa"/>
            <w:gridSpan w:val="2"/>
          </w:tcPr>
          <w:p w14:paraId="65F1C4B6"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Where a constituent entity is a permanent establishment as defined in letters “a”, “b” or “c”, of paragraph 13, of Article 4, of this Law, its financial accounting net income or loss shall be the net income or loss reflected in its separate financial accounts.</w:t>
            </w:r>
            <w:r w:rsidRPr="005E6D70">
              <w:t xml:space="preserve"> </w:t>
            </w:r>
            <w:r w:rsidRPr="005E6D70">
              <w:rPr>
                <w:rFonts w:ascii="Times New Roman" w:eastAsia="Calibri" w:hAnsi="Times New Roman" w:cs="Times New Roman"/>
                <w:iCs/>
                <w:sz w:val="18"/>
                <w:szCs w:val="18"/>
                <w:lang w:val="en-US"/>
              </w:rPr>
              <w:t>Where a permanent establishment does not have separate financial accounts, its financial accounting net income or loss shall be the amount that would have been reflected in its separate financial accounts if they had been prepared on a standalone basis and in accordance with the accounting standard used in the preparation of the consolidated financial statements of the ultimate parent entity.</w:t>
            </w:r>
          </w:p>
        </w:tc>
        <w:tc>
          <w:tcPr>
            <w:tcW w:w="1800" w:type="dxa"/>
            <w:gridSpan w:val="2"/>
          </w:tcPr>
          <w:p w14:paraId="071458FB"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2A64703"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Structural consolidation for national legislative compliance. The unnumbered subparagraph of the Directive is integrated into the same numbered paragraph in </w:t>
            </w:r>
            <w:r w:rsidRPr="005E6D70">
              <w:rPr>
                <w:rFonts w:ascii="Times New Roman" w:eastAsia="Calibri" w:hAnsi="Times New Roman" w:cs="Times New Roman"/>
                <w:iCs/>
                <w:sz w:val="18"/>
                <w:szCs w:val="18"/>
                <w:lang w:val="en-US"/>
              </w:rPr>
              <w:lastRenderedPageBreak/>
              <w:t>the draft law. Direct transposition in substance.</w:t>
            </w:r>
          </w:p>
        </w:tc>
      </w:tr>
      <w:tr w:rsidR="00465215" w:rsidRPr="005E6D70" w14:paraId="2B75A92B" w14:textId="77777777" w:rsidTr="009170D4">
        <w:tc>
          <w:tcPr>
            <w:tcW w:w="810" w:type="dxa"/>
          </w:tcPr>
          <w:p w14:paraId="671244F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18(2)</w:t>
            </w:r>
          </w:p>
        </w:tc>
        <w:tc>
          <w:tcPr>
            <w:tcW w:w="5040" w:type="dxa"/>
            <w:gridSpan w:val="2"/>
          </w:tcPr>
          <w:p w14:paraId="42ECCA7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Where a constituent entity meets the definition of a permanent establishment in Article 3, point (13)(a) or (b), its financial accounting net income or loss shall be adjusted to reflect only the amounts and items of income and expense that are attributable to it in accordance with the applicable tax treaty or domestic law of the jurisdiction where it is located, regardless of the amount of income subject to tax and the amount of deductible expenses in that jurisdiction.</w:t>
            </w:r>
          </w:p>
          <w:p w14:paraId="111F1D8E" w14:textId="77777777" w:rsidR="00465215" w:rsidRPr="005E6D70" w:rsidRDefault="00465215" w:rsidP="009170D4">
            <w:pPr>
              <w:jc w:val="both"/>
              <w:rPr>
                <w:rFonts w:ascii="Times New Roman" w:eastAsia="Calibri" w:hAnsi="Times New Roman" w:cs="Times New Roman"/>
                <w:iCs/>
                <w:sz w:val="18"/>
                <w:szCs w:val="18"/>
                <w:lang w:val="en-US"/>
              </w:rPr>
            </w:pPr>
          </w:p>
          <w:p w14:paraId="71BD9584" w14:textId="77777777" w:rsidR="00465215" w:rsidRPr="005E6D70" w:rsidRDefault="00465215" w:rsidP="009170D4">
            <w:pPr>
              <w:jc w:val="both"/>
              <w:rPr>
                <w:rFonts w:ascii="Times New Roman" w:eastAsia="Calibri" w:hAnsi="Times New Roman" w:cs="Times New Roman"/>
                <w:bCs/>
                <w:sz w:val="18"/>
                <w:szCs w:val="18"/>
                <w:lang w:val="en-US"/>
              </w:rPr>
            </w:pPr>
            <w:r w:rsidRPr="005E6D70">
              <w:rPr>
                <w:rFonts w:ascii="Times New Roman" w:eastAsia="Calibri" w:hAnsi="Times New Roman" w:cs="Times New Roman"/>
                <w:iCs/>
                <w:sz w:val="18"/>
                <w:szCs w:val="18"/>
                <w:lang w:val="en-US"/>
              </w:rPr>
              <w:t>Where a constituent entity meets the definition of a permanent establishment in Article 3, point (13)(c), its financial accounting net income or loss shall be adjusted to reflect only the amounts and items of income and expense that would have been attributable to it in accordance with Article 7 of the OECD Model Tax Convention on Income and Capital, as amended.</w:t>
            </w:r>
          </w:p>
        </w:tc>
        <w:tc>
          <w:tcPr>
            <w:tcW w:w="810" w:type="dxa"/>
          </w:tcPr>
          <w:p w14:paraId="111DED5B" w14:textId="77777777" w:rsidR="00465215" w:rsidRPr="005E6D70" w:rsidRDefault="00465215" w:rsidP="009170D4">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44276E0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18(2)</w:t>
            </w:r>
          </w:p>
        </w:tc>
        <w:tc>
          <w:tcPr>
            <w:tcW w:w="4680" w:type="dxa"/>
            <w:gridSpan w:val="2"/>
          </w:tcPr>
          <w:p w14:paraId="37B52F0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Where a constituent entity meets the definition of a permanent establishment in letters “a” or “b”, of paragraph 13, of Article 4, of this Law, its financial accounting net income or loss shall be adjusted to reflect only the amounts and items of income and expense that are attributable to it in accordance with the applicable tax treaty or domestic law of the jurisdiction where it is located, regardless of the amount of income subject to tax and the amount of deductible expenses in that jurisdiction.</w:t>
            </w:r>
            <w:r w:rsidRPr="005E6D70">
              <w:t xml:space="preserve"> </w:t>
            </w:r>
            <w:r w:rsidRPr="005E6D70">
              <w:rPr>
                <w:rFonts w:ascii="Times New Roman" w:eastAsia="Calibri" w:hAnsi="Times New Roman" w:cs="Times New Roman"/>
                <w:iCs/>
                <w:sz w:val="18"/>
                <w:szCs w:val="18"/>
                <w:lang w:val="en-US"/>
              </w:rPr>
              <w:t>Where a constituent entity meets the definition of a permanent establishment in letter “c”, of paragraph 13, of Article 4, of this Law, its financial accounting net income or loss shall be adjusted to reflect only the amounts and items of income and expense that would have been attributable to it in accordance with Article 7 of the OECD Model Tax Convention on Income and Capital, as amended.</w:t>
            </w:r>
          </w:p>
        </w:tc>
        <w:tc>
          <w:tcPr>
            <w:tcW w:w="1800" w:type="dxa"/>
            <w:gridSpan w:val="2"/>
          </w:tcPr>
          <w:p w14:paraId="3CD9FEA1"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120A2D39"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consolidation for national legislative compliance. Direct transposition in substance with local drafting adaptations (adapting cross-references to national format).</w:t>
            </w:r>
          </w:p>
        </w:tc>
      </w:tr>
      <w:tr w:rsidR="00465215" w:rsidRPr="005E6D70" w14:paraId="154940AB" w14:textId="77777777" w:rsidTr="009170D4">
        <w:tc>
          <w:tcPr>
            <w:tcW w:w="810" w:type="dxa"/>
          </w:tcPr>
          <w:p w14:paraId="5BE798B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18(3)</w:t>
            </w:r>
          </w:p>
        </w:tc>
        <w:tc>
          <w:tcPr>
            <w:tcW w:w="5040" w:type="dxa"/>
            <w:gridSpan w:val="2"/>
          </w:tcPr>
          <w:p w14:paraId="5EDA398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3.Where a constituent entity meets the definition of a permanent establishment in Article 3, point (13)(d), its financial accounting net income or loss shall be computed based on the amounts and items of income that are exempt in the jurisdiction where the main entity is located and attributable to the operations conducted outside of that jurisdiction and the amounts and items of expense that are not deducted for tax purposes in the jurisdiction where the main entity is located and that are attributable to such operations.</w:t>
            </w:r>
          </w:p>
        </w:tc>
        <w:tc>
          <w:tcPr>
            <w:tcW w:w="810" w:type="dxa"/>
          </w:tcPr>
          <w:p w14:paraId="74DE182E" w14:textId="77777777" w:rsidR="00465215" w:rsidRPr="005E6D70" w:rsidRDefault="00465215" w:rsidP="009170D4">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07528DA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18(3)</w:t>
            </w:r>
          </w:p>
        </w:tc>
        <w:tc>
          <w:tcPr>
            <w:tcW w:w="4680" w:type="dxa"/>
            <w:gridSpan w:val="2"/>
          </w:tcPr>
          <w:p w14:paraId="05102924"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Where a constituent entity meets the definition of a permanent establishment in letter “d”, of paragraph 13, of Article 4, of this Law, its financial accounting net income or loss shall be computed based on the amounts and items of income that are exempt in the jurisdiction where the main entity is located and attributable to the operations conducted outside of that jurisdiction and the amounts and items of expense that are not deducted for tax purposes in the jurisdiction where the main entity is located and that are attributable to such operations.</w:t>
            </w:r>
          </w:p>
        </w:tc>
        <w:tc>
          <w:tcPr>
            <w:tcW w:w="1800" w:type="dxa"/>
            <w:gridSpan w:val="2"/>
          </w:tcPr>
          <w:p w14:paraId="580700C6"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1FB59CB3"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41917FA4" w14:textId="77777777" w:rsidTr="009170D4">
        <w:tc>
          <w:tcPr>
            <w:tcW w:w="810" w:type="dxa"/>
          </w:tcPr>
          <w:p w14:paraId="3642981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18(4)</w:t>
            </w:r>
          </w:p>
        </w:tc>
        <w:tc>
          <w:tcPr>
            <w:tcW w:w="5040" w:type="dxa"/>
            <w:gridSpan w:val="2"/>
          </w:tcPr>
          <w:p w14:paraId="33D19E7F" w14:textId="77777777" w:rsidR="00465215" w:rsidRPr="005E6D70" w:rsidRDefault="00465215" w:rsidP="009170D4">
            <w:pPr>
              <w:jc w:val="both"/>
              <w:rPr>
                <w:rFonts w:ascii="Times New Roman" w:eastAsia="Calibri" w:hAnsi="Times New Roman" w:cs="Times New Roman"/>
                <w:bCs/>
                <w:sz w:val="18"/>
                <w:szCs w:val="18"/>
                <w:lang w:val="en-US"/>
              </w:rPr>
            </w:pPr>
            <w:r w:rsidRPr="005E6D70">
              <w:rPr>
                <w:rFonts w:ascii="Times New Roman" w:eastAsia="Calibri" w:hAnsi="Times New Roman" w:cs="Times New Roman"/>
                <w:iCs/>
                <w:sz w:val="18"/>
                <w:szCs w:val="18"/>
                <w:lang w:val="en-US"/>
              </w:rPr>
              <w:t>4.The financial accounting net income or loss of a permanent establishment shall not be taken into account in determining the qualifying income or loss of the main entity, except as provided in paragraph 5.</w:t>
            </w:r>
          </w:p>
        </w:tc>
        <w:tc>
          <w:tcPr>
            <w:tcW w:w="810" w:type="dxa"/>
          </w:tcPr>
          <w:p w14:paraId="0BBA3672" w14:textId="77777777" w:rsidR="00465215" w:rsidRPr="005E6D70" w:rsidRDefault="00465215" w:rsidP="009170D4">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01C771C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18(4)</w:t>
            </w:r>
          </w:p>
        </w:tc>
        <w:tc>
          <w:tcPr>
            <w:tcW w:w="4680" w:type="dxa"/>
            <w:gridSpan w:val="2"/>
          </w:tcPr>
          <w:p w14:paraId="5B63D7BF"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The financial accounting net income or loss of a permanent establishment shall not be taken into account in determining the qualifying income or loss of the main entity, except as provided in paragraph 5, of this Article.</w:t>
            </w:r>
          </w:p>
        </w:tc>
        <w:tc>
          <w:tcPr>
            <w:tcW w:w="1800" w:type="dxa"/>
            <w:gridSpan w:val="2"/>
          </w:tcPr>
          <w:p w14:paraId="2058A40A"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0399E276"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245099BA" w14:textId="77777777" w:rsidTr="009170D4">
        <w:tc>
          <w:tcPr>
            <w:tcW w:w="810" w:type="dxa"/>
          </w:tcPr>
          <w:p w14:paraId="05DA87F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18(5)</w:t>
            </w:r>
          </w:p>
        </w:tc>
        <w:tc>
          <w:tcPr>
            <w:tcW w:w="5040" w:type="dxa"/>
            <w:gridSpan w:val="2"/>
          </w:tcPr>
          <w:p w14:paraId="2B9E592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5. A qualifying loss of a permanent establishment shall be treated as an expense of the main entity for the computation of its qualifying income or loss to the extent that the loss of the permanent establishment</w:t>
            </w:r>
          </w:p>
          <w:p w14:paraId="74CF323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is treated as an expense in the computation of domestic taxable income of such main entity and is not set off against an item of the </w:t>
            </w:r>
            <w:r w:rsidRPr="005E6D70">
              <w:rPr>
                <w:rFonts w:ascii="Times New Roman" w:eastAsia="Calibri" w:hAnsi="Times New Roman" w:cs="Times New Roman"/>
                <w:iCs/>
                <w:sz w:val="18"/>
                <w:szCs w:val="18"/>
                <w:lang w:val="en-US"/>
              </w:rPr>
              <w:lastRenderedPageBreak/>
              <w:t>domestic taxable income that is subject to tax under the laws of both the jurisdiction of the main entity and the jurisdiction of the permanent establishment.</w:t>
            </w:r>
          </w:p>
          <w:p w14:paraId="4BC73EC7" w14:textId="77777777" w:rsidR="00465215" w:rsidRPr="005E6D70" w:rsidRDefault="00465215" w:rsidP="009170D4">
            <w:pPr>
              <w:jc w:val="both"/>
              <w:rPr>
                <w:rFonts w:ascii="Times New Roman" w:eastAsia="Calibri" w:hAnsi="Times New Roman" w:cs="Times New Roman"/>
                <w:iCs/>
                <w:sz w:val="18"/>
                <w:szCs w:val="18"/>
                <w:lang w:val="en-US"/>
              </w:rPr>
            </w:pPr>
          </w:p>
          <w:p w14:paraId="35C0326F" w14:textId="77777777" w:rsidR="00465215" w:rsidRPr="005E6D70" w:rsidRDefault="00465215" w:rsidP="009170D4">
            <w:pPr>
              <w:jc w:val="both"/>
              <w:rPr>
                <w:rFonts w:ascii="Times New Roman" w:eastAsia="Calibri" w:hAnsi="Times New Roman" w:cs="Times New Roman"/>
                <w:bCs/>
                <w:sz w:val="18"/>
                <w:szCs w:val="18"/>
                <w:lang w:val="en-US"/>
              </w:rPr>
            </w:pPr>
            <w:r w:rsidRPr="005E6D70">
              <w:rPr>
                <w:rFonts w:ascii="Times New Roman" w:eastAsia="Calibri" w:hAnsi="Times New Roman" w:cs="Times New Roman"/>
                <w:iCs/>
                <w:sz w:val="18"/>
                <w:szCs w:val="18"/>
                <w:lang w:val="en-US"/>
              </w:rPr>
              <w:t>Qualifying income that is subsequently earned by the permanent establishment shall be treated as qualifying income of the main entity up to the amount of the qualifying loss that was previously treated as an expense of the main entity under the first subparagraph.</w:t>
            </w:r>
          </w:p>
        </w:tc>
        <w:tc>
          <w:tcPr>
            <w:tcW w:w="810" w:type="dxa"/>
          </w:tcPr>
          <w:p w14:paraId="295B9382" w14:textId="77777777" w:rsidR="00465215" w:rsidRPr="005E6D70" w:rsidRDefault="00465215" w:rsidP="009170D4">
            <w:pPr>
              <w:jc w:val="center"/>
              <w:rPr>
                <w:rFonts w:ascii="Times New Roman" w:eastAsia="Calibri" w:hAnsi="Times New Roman" w:cs="Times New Roman"/>
                <w:bCs/>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3936AB2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18(5)</w:t>
            </w:r>
          </w:p>
        </w:tc>
        <w:tc>
          <w:tcPr>
            <w:tcW w:w="4680" w:type="dxa"/>
            <w:gridSpan w:val="2"/>
          </w:tcPr>
          <w:p w14:paraId="01500714"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5. A qualifying loss of a permanent establishment shall be treated as an expense of the main entity for the computation of its qualifying income or loss to the extent that the loss of the permanent establishment is treated as an expense in the computation of domestic taxable income of such main entity and is not set off against an item of the domestic taxable </w:t>
            </w:r>
            <w:r w:rsidRPr="005E6D70">
              <w:rPr>
                <w:rFonts w:ascii="Times New Roman" w:eastAsia="Calibri" w:hAnsi="Times New Roman" w:cs="Times New Roman"/>
                <w:iCs/>
                <w:sz w:val="18"/>
                <w:szCs w:val="18"/>
                <w:lang w:val="en-US"/>
              </w:rPr>
              <w:lastRenderedPageBreak/>
              <w:t>income that is subject to tax under the laws of both the jurisdiction of the main entity and the jurisdiction of the permanent establishment.</w:t>
            </w:r>
            <w:r w:rsidRPr="005E6D70">
              <w:t xml:space="preserve"> </w:t>
            </w:r>
            <w:r w:rsidRPr="005E6D70">
              <w:rPr>
                <w:rFonts w:ascii="Times New Roman" w:eastAsia="Calibri" w:hAnsi="Times New Roman" w:cs="Times New Roman"/>
                <w:iCs/>
                <w:sz w:val="18"/>
                <w:szCs w:val="18"/>
                <w:lang w:val="en-US"/>
              </w:rPr>
              <w:t>Qualifying income that is subsequently earned by the permanent establishment shall be treated as qualifying income of the main entity up to the amount of the qualifying loss that was previously treated as an expense of the main entity under the first sentence of this paragraph.</w:t>
            </w:r>
          </w:p>
        </w:tc>
        <w:tc>
          <w:tcPr>
            <w:tcW w:w="1800" w:type="dxa"/>
            <w:gridSpan w:val="2"/>
          </w:tcPr>
          <w:p w14:paraId="762C47EE"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1BD0621C"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r w:rsidRPr="005E6D70">
              <w:t xml:space="preserve"> </w:t>
            </w:r>
            <w:r w:rsidRPr="005E6D70">
              <w:rPr>
                <w:rFonts w:ascii="Times New Roman" w:eastAsia="Calibri" w:hAnsi="Times New Roman" w:cs="Times New Roman"/>
                <w:iCs/>
                <w:sz w:val="18"/>
                <w:szCs w:val="18"/>
                <w:lang w:val="en-US"/>
              </w:rPr>
              <w:t xml:space="preserve">Structural consolidation for national </w:t>
            </w:r>
            <w:r w:rsidRPr="005E6D70">
              <w:rPr>
                <w:rFonts w:ascii="Times New Roman" w:eastAsia="Calibri" w:hAnsi="Times New Roman" w:cs="Times New Roman"/>
                <w:iCs/>
                <w:sz w:val="18"/>
                <w:szCs w:val="18"/>
                <w:lang w:val="en-US"/>
              </w:rPr>
              <w:lastRenderedPageBreak/>
              <w:t>legislative compliance. The reference "under the first subparagraph" is adapted to "under the first sentence of this paragraph".</w:t>
            </w:r>
          </w:p>
        </w:tc>
      </w:tr>
      <w:tr w:rsidR="00465215" w:rsidRPr="005E6D70" w14:paraId="49605D56" w14:textId="77777777" w:rsidTr="009170D4">
        <w:tc>
          <w:tcPr>
            <w:tcW w:w="810" w:type="dxa"/>
            <w:shd w:val="clear" w:color="auto" w:fill="D9D9D9" w:themeFill="background1" w:themeFillShade="D9"/>
          </w:tcPr>
          <w:p w14:paraId="432627F9" w14:textId="77777777" w:rsidR="00465215" w:rsidRPr="005E6D70" w:rsidRDefault="00465215" w:rsidP="009170D4">
            <w:pPr>
              <w:jc w:val="center"/>
              <w:rPr>
                <w:rFonts w:ascii="Times New Roman" w:eastAsia="Calibri" w:hAnsi="Times New Roman" w:cs="Times New Roman"/>
                <w:i/>
                <w:sz w:val="18"/>
                <w:szCs w:val="18"/>
                <w:lang w:val="en-US"/>
              </w:rPr>
            </w:pPr>
          </w:p>
        </w:tc>
        <w:tc>
          <w:tcPr>
            <w:tcW w:w="5040" w:type="dxa"/>
            <w:gridSpan w:val="2"/>
            <w:shd w:val="clear" w:color="auto" w:fill="D9D9D9" w:themeFill="background1" w:themeFillShade="D9"/>
          </w:tcPr>
          <w:p w14:paraId="29D8462A" w14:textId="77777777" w:rsidR="00465215" w:rsidRPr="005E6D70" w:rsidRDefault="00465215" w:rsidP="009170D4">
            <w:pPr>
              <w:jc w:val="both"/>
              <w:rPr>
                <w:rFonts w:ascii="Times New Roman" w:eastAsia="Calibri" w:hAnsi="Times New Roman" w:cs="Times New Roman"/>
                <w:b/>
                <w:i/>
                <w:sz w:val="18"/>
                <w:szCs w:val="18"/>
                <w:lang w:val="en-US"/>
              </w:rPr>
            </w:pPr>
            <w:bookmarkStart w:id="8" w:name="_Toc216435530"/>
            <w:r w:rsidRPr="005E6D70">
              <w:rPr>
                <w:rFonts w:ascii="Times New Roman" w:eastAsia="Calibri" w:hAnsi="Times New Roman" w:cs="Times New Roman"/>
                <w:b/>
                <w:bCs/>
                <w:iCs/>
                <w:sz w:val="18"/>
                <w:szCs w:val="18"/>
                <w:lang w:val="en-US"/>
              </w:rPr>
              <w:t>Article 1</w:t>
            </w:r>
            <w:bookmarkEnd w:id="8"/>
            <w:r w:rsidRPr="005E6D70">
              <w:rPr>
                <w:rFonts w:ascii="Times New Roman" w:eastAsia="Calibri" w:hAnsi="Times New Roman" w:cs="Times New Roman"/>
                <w:b/>
                <w:bCs/>
                <w:iCs/>
                <w:sz w:val="18"/>
                <w:szCs w:val="18"/>
                <w:lang w:val="en-US"/>
              </w:rPr>
              <w:t>9. Allocation of the qualifying income or loss of a flow-through entity</w:t>
            </w:r>
          </w:p>
        </w:tc>
        <w:tc>
          <w:tcPr>
            <w:tcW w:w="810" w:type="dxa"/>
            <w:shd w:val="clear" w:color="auto" w:fill="D9D9D9" w:themeFill="background1" w:themeFillShade="D9"/>
          </w:tcPr>
          <w:p w14:paraId="69087067" w14:textId="77777777" w:rsidR="00465215" w:rsidRPr="005E6D70" w:rsidRDefault="00465215" w:rsidP="009170D4">
            <w:pPr>
              <w:jc w:val="center"/>
              <w:rPr>
                <w:rFonts w:ascii="Times New Roman" w:eastAsia="Calibri" w:hAnsi="Times New Roman" w:cs="Times New Roman"/>
                <w:b/>
                <w:i/>
                <w:sz w:val="18"/>
                <w:szCs w:val="18"/>
                <w:lang w:val="en-US"/>
              </w:rPr>
            </w:pPr>
            <w:r w:rsidRPr="005E6D70">
              <w:rPr>
                <w:rFonts w:ascii="Times New Roman" w:eastAsia="Calibri" w:hAnsi="Times New Roman" w:cs="Times New Roman"/>
                <w:sz w:val="18"/>
                <w:szCs w:val="18"/>
                <w:lang w:val="en-US"/>
              </w:rPr>
              <w:t>1</w:t>
            </w:r>
          </w:p>
        </w:tc>
        <w:tc>
          <w:tcPr>
            <w:tcW w:w="990" w:type="dxa"/>
            <w:gridSpan w:val="2"/>
            <w:shd w:val="clear" w:color="auto" w:fill="D9D9D9" w:themeFill="background1" w:themeFillShade="D9"/>
          </w:tcPr>
          <w:p w14:paraId="03CD13A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19</w:t>
            </w:r>
          </w:p>
        </w:tc>
        <w:tc>
          <w:tcPr>
            <w:tcW w:w="4680" w:type="dxa"/>
            <w:gridSpan w:val="2"/>
            <w:shd w:val="clear" w:color="auto" w:fill="D9D9D9" w:themeFill="background1" w:themeFillShade="D9"/>
          </w:tcPr>
          <w:p w14:paraId="6D76FD20"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Article 19. Allocation of Flow-Through Entity Income or Loss</w:t>
            </w:r>
          </w:p>
        </w:tc>
        <w:tc>
          <w:tcPr>
            <w:tcW w:w="1800" w:type="dxa"/>
            <w:gridSpan w:val="2"/>
            <w:shd w:val="clear" w:color="auto" w:fill="D9D9D9" w:themeFill="background1" w:themeFillShade="D9"/>
          </w:tcPr>
          <w:p w14:paraId="08D99536"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shd w:val="clear" w:color="auto" w:fill="D9D9D9" w:themeFill="background1" w:themeFillShade="D9"/>
          </w:tcPr>
          <w:p w14:paraId="1E3DF15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Structurally transposed as Article 19 in the draft law. The title is adapted to align with national legislative drafting standards.</w:t>
            </w:r>
          </w:p>
        </w:tc>
      </w:tr>
      <w:tr w:rsidR="00465215" w:rsidRPr="005E6D70" w14:paraId="1A4B9D0B" w14:textId="77777777" w:rsidTr="009170D4">
        <w:tc>
          <w:tcPr>
            <w:tcW w:w="810" w:type="dxa"/>
          </w:tcPr>
          <w:p w14:paraId="10E9981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19(1)</w:t>
            </w:r>
          </w:p>
        </w:tc>
        <w:tc>
          <w:tcPr>
            <w:tcW w:w="5040" w:type="dxa"/>
            <w:gridSpan w:val="2"/>
          </w:tcPr>
          <w:p w14:paraId="6C7B864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The financial accounting net income or loss of a constituent entity that is a flow-through entity shall be reduced by the amount allocable to its owners that are not group entities and that hold their ownership interest in such flow-through entity directly or through a chain of tax transparent entities, unless:</w:t>
            </w:r>
          </w:p>
        </w:tc>
        <w:tc>
          <w:tcPr>
            <w:tcW w:w="810" w:type="dxa"/>
          </w:tcPr>
          <w:p w14:paraId="59DA9A1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25772C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19(1) intro</w:t>
            </w:r>
          </w:p>
        </w:tc>
        <w:tc>
          <w:tcPr>
            <w:tcW w:w="4680" w:type="dxa"/>
            <w:gridSpan w:val="2"/>
          </w:tcPr>
          <w:p w14:paraId="5FDA014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The financial accounting net income or loss of a constituent entity that is a flow-through entity shall be reduced by the amount allocable to its owners that are not group entities and that hold their ownership interest in such flow-through entity directly or through a chain of tax transparent entities, unless:</w:t>
            </w:r>
          </w:p>
        </w:tc>
        <w:tc>
          <w:tcPr>
            <w:tcW w:w="1800" w:type="dxa"/>
            <w:gridSpan w:val="2"/>
          </w:tcPr>
          <w:p w14:paraId="496FA5E2"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5B3BA591"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7906F8F4" w14:textId="77777777" w:rsidTr="009170D4">
        <w:tc>
          <w:tcPr>
            <w:tcW w:w="810" w:type="dxa"/>
          </w:tcPr>
          <w:p w14:paraId="61D4820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19(1a)</w:t>
            </w:r>
          </w:p>
        </w:tc>
        <w:tc>
          <w:tcPr>
            <w:tcW w:w="5040" w:type="dxa"/>
            <w:gridSpan w:val="2"/>
          </w:tcPr>
          <w:p w14:paraId="308CB72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the flow-through entity is an ultimate parent entity; or</w:t>
            </w:r>
          </w:p>
        </w:tc>
        <w:tc>
          <w:tcPr>
            <w:tcW w:w="810" w:type="dxa"/>
          </w:tcPr>
          <w:p w14:paraId="215C56D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6E7C955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19(1)(a)</w:t>
            </w:r>
          </w:p>
        </w:tc>
        <w:tc>
          <w:tcPr>
            <w:tcW w:w="4680" w:type="dxa"/>
            <w:gridSpan w:val="2"/>
          </w:tcPr>
          <w:p w14:paraId="3C7990D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the flow-through entity is an ultimate parent entity; or</w:t>
            </w:r>
          </w:p>
        </w:tc>
        <w:tc>
          <w:tcPr>
            <w:tcW w:w="1800" w:type="dxa"/>
            <w:gridSpan w:val="2"/>
          </w:tcPr>
          <w:p w14:paraId="1EB602A3"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478FF71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1AA00F87" w14:textId="77777777" w:rsidTr="009170D4">
        <w:tc>
          <w:tcPr>
            <w:tcW w:w="810" w:type="dxa"/>
          </w:tcPr>
          <w:p w14:paraId="1B89B36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19(1b)</w:t>
            </w:r>
          </w:p>
        </w:tc>
        <w:tc>
          <w:tcPr>
            <w:tcW w:w="5040" w:type="dxa"/>
            <w:gridSpan w:val="2"/>
          </w:tcPr>
          <w:p w14:paraId="0CB485E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the flow-through entity is held, directly or through a chain of tax transparent entities, by an ultimate parent entity referred to in point (a).</w:t>
            </w:r>
          </w:p>
        </w:tc>
        <w:tc>
          <w:tcPr>
            <w:tcW w:w="810" w:type="dxa"/>
          </w:tcPr>
          <w:p w14:paraId="0481E90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06D6746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19(1)(b)</w:t>
            </w:r>
          </w:p>
          <w:p w14:paraId="6C3CAE11" w14:textId="77777777" w:rsidR="00465215" w:rsidRPr="005E6D70" w:rsidRDefault="00465215" w:rsidP="009170D4">
            <w:pPr>
              <w:jc w:val="center"/>
              <w:rPr>
                <w:rFonts w:ascii="Times New Roman" w:eastAsia="Calibri" w:hAnsi="Times New Roman" w:cs="Times New Roman"/>
                <w:sz w:val="18"/>
                <w:szCs w:val="18"/>
                <w:lang w:val="en-US"/>
              </w:rPr>
            </w:pPr>
          </w:p>
        </w:tc>
        <w:tc>
          <w:tcPr>
            <w:tcW w:w="4680" w:type="dxa"/>
            <w:gridSpan w:val="2"/>
          </w:tcPr>
          <w:p w14:paraId="6EEEBEC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the flow-through entity is held, directly or through a chain of tax transparent entities, by an ultimate parent entity referred to in letter “a”, of this paragraph.</w:t>
            </w:r>
          </w:p>
        </w:tc>
        <w:tc>
          <w:tcPr>
            <w:tcW w:w="1800" w:type="dxa"/>
            <w:gridSpan w:val="2"/>
          </w:tcPr>
          <w:p w14:paraId="5819DB31"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72FACD3A"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19594E79" w14:textId="77777777" w:rsidTr="009170D4">
        <w:tc>
          <w:tcPr>
            <w:tcW w:w="810" w:type="dxa"/>
          </w:tcPr>
          <w:p w14:paraId="09805F6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19(2)</w:t>
            </w:r>
          </w:p>
        </w:tc>
        <w:tc>
          <w:tcPr>
            <w:tcW w:w="5040" w:type="dxa"/>
            <w:gridSpan w:val="2"/>
          </w:tcPr>
          <w:p w14:paraId="1CD9809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 The financial accounting net income or loss of a constituent entity that is a flow-through entity shall be reduced by the financial accounting net income or loss that is allocated to another constituent entity.</w:t>
            </w:r>
          </w:p>
        </w:tc>
        <w:tc>
          <w:tcPr>
            <w:tcW w:w="810" w:type="dxa"/>
          </w:tcPr>
          <w:p w14:paraId="5F27BA5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1225458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19(2)</w:t>
            </w:r>
          </w:p>
        </w:tc>
        <w:tc>
          <w:tcPr>
            <w:tcW w:w="4680" w:type="dxa"/>
            <w:gridSpan w:val="2"/>
          </w:tcPr>
          <w:p w14:paraId="3AE8E0F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The financial accounting net income or loss of a constituent entity that is a flow-through entity shall be reduced by the financial accounting net income or loss that is allocated to another constituent entity.</w:t>
            </w:r>
          </w:p>
        </w:tc>
        <w:tc>
          <w:tcPr>
            <w:tcW w:w="1800" w:type="dxa"/>
            <w:gridSpan w:val="2"/>
          </w:tcPr>
          <w:p w14:paraId="130A97C2"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186C99E9"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6580B720" w14:textId="77777777" w:rsidTr="009170D4">
        <w:tc>
          <w:tcPr>
            <w:tcW w:w="810" w:type="dxa"/>
          </w:tcPr>
          <w:p w14:paraId="12242EB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19(3)</w:t>
            </w:r>
          </w:p>
        </w:tc>
        <w:tc>
          <w:tcPr>
            <w:tcW w:w="5040" w:type="dxa"/>
            <w:gridSpan w:val="2"/>
          </w:tcPr>
          <w:p w14:paraId="11218D4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Where a flow-through entity wholly or partially carries out business through a permanent establishment, its financial accounting net income or loss which remains after applying paragraph 1 of this Article shall be allocated to that permanent establishment in accordance with Article 18.</w:t>
            </w:r>
          </w:p>
        </w:tc>
        <w:tc>
          <w:tcPr>
            <w:tcW w:w="810" w:type="dxa"/>
          </w:tcPr>
          <w:p w14:paraId="4F36CD3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046B95B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19(3)</w:t>
            </w:r>
          </w:p>
        </w:tc>
        <w:tc>
          <w:tcPr>
            <w:tcW w:w="4680" w:type="dxa"/>
            <w:gridSpan w:val="2"/>
          </w:tcPr>
          <w:p w14:paraId="2E5A718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3. Where a flow-through entity wholly or partially carries out business through a permanent establishment, its financial accounting net income or loss which remains after applying paragraph 1, of this Article, shall be allocated to that </w:t>
            </w:r>
            <w:r w:rsidRPr="005E6D70">
              <w:rPr>
                <w:rFonts w:ascii="Times New Roman" w:eastAsia="Calibri" w:hAnsi="Times New Roman" w:cs="Times New Roman"/>
                <w:iCs/>
                <w:sz w:val="18"/>
                <w:szCs w:val="18"/>
                <w:lang w:val="en-US"/>
              </w:rPr>
              <w:lastRenderedPageBreak/>
              <w:t>permanent establishment in accordance with Article 18, of this Law.</w:t>
            </w:r>
          </w:p>
        </w:tc>
        <w:tc>
          <w:tcPr>
            <w:tcW w:w="1800" w:type="dxa"/>
            <w:gridSpan w:val="2"/>
          </w:tcPr>
          <w:p w14:paraId="5EC32EA6"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00E17CE3"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007BAF33" w14:textId="77777777" w:rsidTr="009170D4">
        <w:tc>
          <w:tcPr>
            <w:tcW w:w="810" w:type="dxa"/>
          </w:tcPr>
          <w:p w14:paraId="15FE3C5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19(4)</w:t>
            </w:r>
          </w:p>
        </w:tc>
        <w:tc>
          <w:tcPr>
            <w:tcW w:w="5040" w:type="dxa"/>
            <w:gridSpan w:val="2"/>
          </w:tcPr>
          <w:p w14:paraId="555DA24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 Where a tax transparent entity is not the ultimate parent entity, the financial accounting net income or loss of the flow-through entity which remains after applying paragraphs 1 and 3 shall be allocated to its constituent entity-owners in accordance with their ownership interests in the flow-through entity.</w:t>
            </w:r>
          </w:p>
        </w:tc>
        <w:tc>
          <w:tcPr>
            <w:tcW w:w="810" w:type="dxa"/>
          </w:tcPr>
          <w:p w14:paraId="042690D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68FAAA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19(4)</w:t>
            </w:r>
          </w:p>
        </w:tc>
        <w:tc>
          <w:tcPr>
            <w:tcW w:w="4680" w:type="dxa"/>
            <w:gridSpan w:val="2"/>
          </w:tcPr>
          <w:p w14:paraId="6091952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Where a tax transparent entity is not the ultimate parent entity, the financial accounting net income or loss of the flow-through entity, which remains after applying paragraphs 1 and 3, of this Article, shall be allocated to its constituent entity-owners in accordance with their ownership interests in the flow-through entity.</w:t>
            </w:r>
          </w:p>
        </w:tc>
        <w:tc>
          <w:tcPr>
            <w:tcW w:w="1800" w:type="dxa"/>
            <w:gridSpan w:val="2"/>
          </w:tcPr>
          <w:p w14:paraId="4C1357D3"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1D1D1A03"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4180D904" w14:textId="77777777" w:rsidTr="009170D4">
        <w:tc>
          <w:tcPr>
            <w:tcW w:w="810" w:type="dxa"/>
          </w:tcPr>
          <w:p w14:paraId="23FCDD4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19(5)</w:t>
            </w:r>
          </w:p>
        </w:tc>
        <w:tc>
          <w:tcPr>
            <w:tcW w:w="5040" w:type="dxa"/>
            <w:gridSpan w:val="2"/>
          </w:tcPr>
          <w:p w14:paraId="36C24EB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5. Where a flow-through entity is a tax transparent entity that is the ultimate parent entity or a reverse hybrid entity, any financial accounting net income or loss of the flow-through entity which remains after applying paragraphs 1 and 3 shall be allocated to the ultimate parent entity or the reverse hybrid entity.</w:t>
            </w:r>
          </w:p>
        </w:tc>
        <w:tc>
          <w:tcPr>
            <w:tcW w:w="810" w:type="dxa"/>
          </w:tcPr>
          <w:p w14:paraId="5752272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05B581A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19(5)</w:t>
            </w:r>
          </w:p>
        </w:tc>
        <w:tc>
          <w:tcPr>
            <w:tcW w:w="4680" w:type="dxa"/>
            <w:gridSpan w:val="2"/>
          </w:tcPr>
          <w:p w14:paraId="1F3AAB4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5. Where a flow-through entity is a tax transparent entity that is the ultimate parent entity or a reverse hybrid entity, any financial accounting net income or loss of the flow-through entity which remains after applying paragraphs 1 and 3, of this Article, shall be allocated to the ultimate parent entity or the reverse hybrid entity.</w:t>
            </w:r>
          </w:p>
        </w:tc>
        <w:tc>
          <w:tcPr>
            <w:tcW w:w="1800" w:type="dxa"/>
            <w:gridSpan w:val="2"/>
          </w:tcPr>
          <w:p w14:paraId="28C94F3C"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4DF16A1E"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17002804" w14:textId="77777777" w:rsidTr="009170D4">
        <w:tc>
          <w:tcPr>
            <w:tcW w:w="810" w:type="dxa"/>
          </w:tcPr>
          <w:p w14:paraId="0712394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19(6)</w:t>
            </w:r>
          </w:p>
        </w:tc>
        <w:tc>
          <w:tcPr>
            <w:tcW w:w="5040" w:type="dxa"/>
            <w:gridSpan w:val="2"/>
          </w:tcPr>
          <w:p w14:paraId="612D50C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6. Paragraphs 3, 4 and 5 shall be applied separately with respect to each ownership interest in the flow-through entity.</w:t>
            </w:r>
          </w:p>
        </w:tc>
        <w:tc>
          <w:tcPr>
            <w:tcW w:w="810" w:type="dxa"/>
          </w:tcPr>
          <w:p w14:paraId="2280F4A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4835948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19(6)</w:t>
            </w:r>
          </w:p>
        </w:tc>
        <w:tc>
          <w:tcPr>
            <w:tcW w:w="4680" w:type="dxa"/>
            <w:gridSpan w:val="2"/>
          </w:tcPr>
          <w:p w14:paraId="4A8F3F2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 Paragraphs 3, 4 and 5, of this Article, shall be applied separately with respect to each ownership interest in the flow-through entity.</w:t>
            </w:r>
          </w:p>
        </w:tc>
        <w:tc>
          <w:tcPr>
            <w:tcW w:w="1800" w:type="dxa"/>
            <w:gridSpan w:val="2"/>
          </w:tcPr>
          <w:p w14:paraId="7475B126"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6219E8AD"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6A0D320C" w14:textId="77777777" w:rsidTr="009170D4">
        <w:tc>
          <w:tcPr>
            <w:tcW w:w="810" w:type="dxa"/>
            <w:shd w:val="clear" w:color="auto" w:fill="92D050"/>
          </w:tcPr>
          <w:p w14:paraId="7C0BDBE5"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92D050"/>
          </w:tcPr>
          <w:p w14:paraId="6DFFD41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CHAPTER IV</w:t>
            </w:r>
          </w:p>
          <w:p w14:paraId="0A78E9A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COMPUTATION OF ADJUSTED COVERED TAXES</w:t>
            </w:r>
          </w:p>
        </w:tc>
        <w:tc>
          <w:tcPr>
            <w:tcW w:w="810" w:type="dxa"/>
            <w:shd w:val="clear" w:color="auto" w:fill="92D050"/>
          </w:tcPr>
          <w:p w14:paraId="5BA8570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shd w:val="clear" w:color="auto" w:fill="92D050"/>
          </w:tcPr>
          <w:p w14:paraId="64206E14" w14:textId="77777777" w:rsidR="00465215" w:rsidRPr="005E6D70" w:rsidRDefault="00465215" w:rsidP="009170D4">
            <w:pPr>
              <w:jc w:val="center"/>
              <w:rPr>
                <w:rFonts w:ascii="Times New Roman" w:eastAsia="Calibri" w:hAnsi="Times New Roman" w:cs="Times New Roman"/>
                <w:sz w:val="18"/>
                <w:szCs w:val="18"/>
                <w:lang w:val="en-US"/>
              </w:rPr>
            </w:pPr>
          </w:p>
        </w:tc>
        <w:tc>
          <w:tcPr>
            <w:tcW w:w="4680" w:type="dxa"/>
            <w:gridSpan w:val="2"/>
            <w:shd w:val="clear" w:color="auto" w:fill="92D050"/>
          </w:tcPr>
          <w:p w14:paraId="4B2BE5B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CHAPTER IV</w:t>
            </w:r>
          </w:p>
          <w:p w14:paraId="6E19296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COMPUTATION OF ADJUSTED COVERED TAXES</w:t>
            </w:r>
          </w:p>
        </w:tc>
        <w:tc>
          <w:tcPr>
            <w:tcW w:w="1800" w:type="dxa"/>
            <w:gridSpan w:val="2"/>
            <w:shd w:val="clear" w:color="auto" w:fill="92D050"/>
          </w:tcPr>
          <w:p w14:paraId="5657030D"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shd w:val="clear" w:color="auto" w:fill="92D050"/>
          </w:tcPr>
          <w:p w14:paraId="631CFC70"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36CA9129" w14:textId="77777777" w:rsidTr="009170D4">
        <w:tc>
          <w:tcPr>
            <w:tcW w:w="810" w:type="dxa"/>
            <w:shd w:val="clear" w:color="auto" w:fill="D9D9D9" w:themeFill="background1" w:themeFillShade="D9"/>
          </w:tcPr>
          <w:p w14:paraId="1745DCA4"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6E2E30B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20. Covered taxes</w:t>
            </w:r>
          </w:p>
        </w:tc>
        <w:tc>
          <w:tcPr>
            <w:tcW w:w="810" w:type="dxa"/>
            <w:shd w:val="clear" w:color="auto" w:fill="D9D9D9" w:themeFill="background1" w:themeFillShade="D9"/>
          </w:tcPr>
          <w:p w14:paraId="7D1055C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shd w:val="clear" w:color="auto" w:fill="D9D9D9" w:themeFill="background1" w:themeFillShade="D9"/>
          </w:tcPr>
          <w:p w14:paraId="76B7265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w:t>
            </w:r>
          </w:p>
        </w:tc>
        <w:tc>
          <w:tcPr>
            <w:tcW w:w="4680" w:type="dxa"/>
            <w:gridSpan w:val="2"/>
            <w:shd w:val="clear" w:color="auto" w:fill="D9D9D9" w:themeFill="background1" w:themeFillShade="D9"/>
          </w:tcPr>
          <w:p w14:paraId="6B46548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Article 20. Covered Taxes</w:t>
            </w:r>
          </w:p>
        </w:tc>
        <w:tc>
          <w:tcPr>
            <w:tcW w:w="1800" w:type="dxa"/>
            <w:gridSpan w:val="2"/>
            <w:shd w:val="clear" w:color="auto" w:fill="D9D9D9" w:themeFill="background1" w:themeFillShade="D9"/>
          </w:tcPr>
          <w:p w14:paraId="0425D487"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shd w:val="clear" w:color="auto" w:fill="D9D9D9" w:themeFill="background1" w:themeFillShade="D9"/>
          </w:tcPr>
          <w:p w14:paraId="3A5700E8"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Structurally transposed as Article 20 in the draft law. </w:t>
            </w:r>
          </w:p>
        </w:tc>
      </w:tr>
      <w:tr w:rsidR="00465215" w:rsidRPr="005E6D70" w14:paraId="151E39D5" w14:textId="77777777" w:rsidTr="009170D4">
        <w:tc>
          <w:tcPr>
            <w:tcW w:w="810" w:type="dxa"/>
          </w:tcPr>
          <w:p w14:paraId="142F934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20(1)</w:t>
            </w:r>
          </w:p>
        </w:tc>
        <w:tc>
          <w:tcPr>
            <w:tcW w:w="5040" w:type="dxa"/>
            <w:gridSpan w:val="2"/>
          </w:tcPr>
          <w:p w14:paraId="0033072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The covered taxes of a constituent entity shall include:</w:t>
            </w:r>
          </w:p>
        </w:tc>
        <w:tc>
          <w:tcPr>
            <w:tcW w:w="810" w:type="dxa"/>
          </w:tcPr>
          <w:p w14:paraId="40A5572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220C542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20(1)</w:t>
            </w:r>
          </w:p>
        </w:tc>
        <w:tc>
          <w:tcPr>
            <w:tcW w:w="4680" w:type="dxa"/>
            <w:gridSpan w:val="2"/>
          </w:tcPr>
          <w:p w14:paraId="4E05F34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Covered taxes of a constituent entity shall include:</w:t>
            </w:r>
          </w:p>
        </w:tc>
        <w:tc>
          <w:tcPr>
            <w:tcW w:w="1800" w:type="dxa"/>
            <w:gridSpan w:val="2"/>
          </w:tcPr>
          <w:p w14:paraId="5552B5B8"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61124642"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01818724" w14:textId="77777777" w:rsidTr="009170D4">
        <w:tc>
          <w:tcPr>
            <w:tcW w:w="810" w:type="dxa"/>
          </w:tcPr>
          <w:p w14:paraId="439D4A6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20(1a)</w:t>
            </w:r>
          </w:p>
        </w:tc>
        <w:tc>
          <w:tcPr>
            <w:tcW w:w="5040" w:type="dxa"/>
            <w:gridSpan w:val="2"/>
          </w:tcPr>
          <w:p w14:paraId="043C9A8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taxes recorded in the financial accounts of a constituent entity with respect to its income or profits, or its share of the income or profits of a constituent entity in which it owns an ownership interest;</w:t>
            </w:r>
          </w:p>
        </w:tc>
        <w:tc>
          <w:tcPr>
            <w:tcW w:w="810" w:type="dxa"/>
          </w:tcPr>
          <w:p w14:paraId="2400F49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3B47D5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20(1)(a)</w:t>
            </w:r>
          </w:p>
        </w:tc>
        <w:tc>
          <w:tcPr>
            <w:tcW w:w="4680" w:type="dxa"/>
            <w:gridSpan w:val="2"/>
          </w:tcPr>
          <w:p w14:paraId="4E38E0F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taxes recorded in the financial accounts of a constituent entity with respect to its income or profits, or its share of the income or profits of a constituent entity in which it owns an ownership interest;</w:t>
            </w:r>
          </w:p>
        </w:tc>
        <w:tc>
          <w:tcPr>
            <w:tcW w:w="1800" w:type="dxa"/>
            <w:gridSpan w:val="2"/>
          </w:tcPr>
          <w:p w14:paraId="771C7C89"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1AE2952C"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3B00539C" w14:textId="77777777" w:rsidTr="009170D4">
        <w:tc>
          <w:tcPr>
            <w:tcW w:w="810" w:type="dxa"/>
          </w:tcPr>
          <w:p w14:paraId="612A0E7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20(1b)</w:t>
            </w:r>
          </w:p>
        </w:tc>
        <w:tc>
          <w:tcPr>
            <w:tcW w:w="5040" w:type="dxa"/>
            <w:gridSpan w:val="2"/>
          </w:tcPr>
          <w:p w14:paraId="257B149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taxes on distributed profits, deemed profit distributions, and non-business expenses imposed under an eligible distribution tax system;</w:t>
            </w:r>
          </w:p>
        </w:tc>
        <w:tc>
          <w:tcPr>
            <w:tcW w:w="810" w:type="dxa"/>
          </w:tcPr>
          <w:p w14:paraId="7DD21D8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00C4A09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20(1)(b)</w:t>
            </w:r>
          </w:p>
        </w:tc>
        <w:tc>
          <w:tcPr>
            <w:tcW w:w="4680" w:type="dxa"/>
            <w:gridSpan w:val="2"/>
          </w:tcPr>
          <w:p w14:paraId="12525A3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taxes on distributed profits, deemed profit distributions, and non-business expenses imposed under an eligible distribution tax system;</w:t>
            </w:r>
          </w:p>
        </w:tc>
        <w:tc>
          <w:tcPr>
            <w:tcW w:w="1800" w:type="dxa"/>
            <w:gridSpan w:val="2"/>
          </w:tcPr>
          <w:p w14:paraId="7C5BA5C7"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62F3B8AB"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2EE79FB0" w14:textId="77777777" w:rsidTr="009170D4">
        <w:tc>
          <w:tcPr>
            <w:tcW w:w="810" w:type="dxa"/>
          </w:tcPr>
          <w:p w14:paraId="1694593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20(1c)</w:t>
            </w:r>
          </w:p>
        </w:tc>
        <w:tc>
          <w:tcPr>
            <w:tcW w:w="5040" w:type="dxa"/>
            <w:gridSpan w:val="2"/>
          </w:tcPr>
          <w:p w14:paraId="542E9E9E"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taxes imposed in lieu of a generally applicable corporate income tax; and</w:t>
            </w:r>
          </w:p>
        </w:tc>
        <w:tc>
          <w:tcPr>
            <w:tcW w:w="810" w:type="dxa"/>
          </w:tcPr>
          <w:p w14:paraId="1B87E9D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4823B4A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20(1)(c)</w:t>
            </w:r>
          </w:p>
        </w:tc>
        <w:tc>
          <w:tcPr>
            <w:tcW w:w="4680" w:type="dxa"/>
            <w:gridSpan w:val="2"/>
          </w:tcPr>
          <w:p w14:paraId="1CD63DB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taxes imposed in lieu of a generally applicable corporate income tax; and</w:t>
            </w:r>
          </w:p>
        </w:tc>
        <w:tc>
          <w:tcPr>
            <w:tcW w:w="1800" w:type="dxa"/>
            <w:gridSpan w:val="2"/>
          </w:tcPr>
          <w:p w14:paraId="62096CAA"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1E9AACE5"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18E19846" w14:textId="77777777" w:rsidTr="009170D4">
        <w:tc>
          <w:tcPr>
            <w:tcW w:w="810" w:type="dxa"/>
          </w:tcPr>
          <w:p w14:paraId="06E5FC4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20(1d)</w:t>
            </w:r>
          </w:p>
        </w:tc>
        <w:tc>
          <w:tcPr>
            <w:tcW w:w="5040" w:type="dxa"/>
            <w:gridSpan w:val="2"/>
          </w:tcPr>
          <w:p w14:paraId="400B10D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(d) taxes levied by reference to retained earnings and corporate equity, including taxes on multiple components based on income and equity.</w:t>
            </w:r>
          </w:p>
        </w:tc>
        <w:tc>
          <w:tcPr>
            <w:tcW w:w="810" w:type="dxa"/>
          </w:tcPr>
          <w:p w14:paraId="03930AE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B15721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20(1)(d)</w:t>
            </w:r>
          </w:p>
        </w:tc>
        <w:tc>
          <w:tcPr>
            <w:tcW w:w="4680" w:type="dxa"/>
            <w:gridSpan w:val="2"/>
          </w:tcPr>
          <w:p w14:paraId="40C5DA9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taxes levied by reference to retained earnings and corporate equity, including taxes on multiple components based on income and equity.</w:t>
            </w:r>
          </w:p>
        </w:tc>
        <w:tc>
          <w:tcPr>
            <w:tcW w:w="1800" w:type="dxa"/>
            <w:gridSpan w:val="2"/>
          </w:tcPr>
          <w:p w14:paraId="015F48E5"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F7C2699"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6AB152E5" w14:textId="77777777" w:rsidTr="009170D4">
        <w:tc>
          <w:tcPr>
            <w:tcW w:w="810" w:type="dxa"/>
          </w:tcPr>
          <w:p w14:paraId="219B687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20(2)</w:t>
            </w:r>
          </w:p>
        </w:tc>
        <w:tc>
          <w:tcPr>
            <w:tcW w:w="5040" w:type="dxa"/>
            <w:gridSpan w:val="2"/>
          </w:tcPr>
          <w:p w14:paraId="62031EB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 The covered taxes of a constituent entity shall not include:</w:t>
            </w:r>
          </w:p>
        </w:tc>
        <w:tc>
          <w:tcPr>
            <w:tcW w:w="810" w:type="dxa"/>
          </w:tcPr>
          <w:p w14:paraId="2CBEB7B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2B99A6E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20(2)</w:t>
            </w:r>
          </w:p>
        </w:tc>
        <w:tc>
          <w:tcPr>
            <w:tcW w:w="4680" w:type="dxa"/>
            <w:gridSpan w:val="2"/>
          </w:tcPr>
          <w:p w14:paraId="40A53FE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The covered taxes of a constituent entity shall not include:</w:t>
            </w:r>
          </w:p>
        </w:tc>
        <w:tc>
          <w:tcPr>
            <w:tcW w:w="1800" w:type="dxa"/>
            <w:gridSpan w:val="2"/>
          </w:tcPr>
          <w:p w14:paraId="1E90E259"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74845FA"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5D43F189" w14:textId="77777777" w:rsidTr="009170D4">
        <w:tc>
          <w:tcPr>
            <w:tcW w:w="810" w:type="dxa"/>
          </w:tcPr>
          <w:p w14:paraId="2FC61B8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20(2a)</w:t>
            </w:r>
          </w:p>
        </w:tc>
        <w:tc>
          <w:tcPr>
            <w:tcW w:w="5040" w:type="dxa"/>
            <w:gridSpan w:val="2"/>
          </w:tcPr>
          <w:p w14:paraId="5E1B831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the top-up tax accrued by a parent entity under a qualified IIR;</w:t>
            </w:r>
          </w:p>
        </w:tc>
        <w:tc>
          <w:tcPr>
            <w:tcW w:w="810" w:type="dxa"/>
          </w:tcPr>
          <w:p w14:paraId="608173F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614A4CF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20(2)(a)</w:t>
            </w:r>
          </w:p>
        </w:tc>
        <w:tc>
          <w:tcPr>
            <w:tcW w:w="4680" w:type="dxa"/>
            <w:gridSpan w:val="2"/>
          </w:tcPr>
          <w:p w14:paraId="7A77FDE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the top-up tax accrued by a parent entity under a qualified IIR;</w:t>
            </w:r>
          </w:p>
        </w:tc>
        <w:tc>
          <w:tcPr>
            <w:tcW w:w="1800" w:type="dxa"/>
            <w:gridSpan w:val="2"/>
          </w:tcPr>
          <w:p w14:paraId="68540352"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7A10456A"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0347EB99" w14:textId="77777777" w:rsidTr="009170D4">
        <w:tc>
          <w:tcPr>
            <w:tcW w:w="810" w:type="dxa"/>
          </w:tcPr>
          <w:p w14:paraId="129602B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20(2b)</w:t>
            </w:r>
          </w:p>
        </w:tc>
        <w:tc>
          <w:tcPr>
            <w:tcW w:w="5040" w:type="dxa"/>
            <w:gridSpan w:val="2"/>
          </w:tcPr>
          <w:p w14:paraId="1FF205B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the top-up tax accrued by a constituent entity under a qualified domestic top-up tax;</w:t>
            </w:r>
          </w:p>
        </w:tc>
        <w:tc>
          <w:tcPr>
            <w:tcW w:w="810" w:type="dxa"/>
          </w:tcPr>
          <w:p w14:paraId="22D0EC0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43FCBAF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20(2)(b)</w:t>
            </w:r>
          </w:p>
        </w:tc>
        <w:tc>
          <w:tcPr>
            <w:tcW w:w="4680" w:type="dxa"/>
            <w:gridSpan w:val="2"/>
          </w:tcPr>
          <w:p w14:paraId="519E56F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the top-up tax accrued by a constituent entity under a qualified domestic top-up tax;</w:t>
            </w:r>
          </w:p>
        </w:tc>
        <w:tc>
          <w:tcPr>
            <w:tcW w:w="1800" w:type="dxa"/>
            <w:gridSpan w:val="2"/>
          </w:tcPr>
          <w:p w14:paraId="427A765A"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6F1B3EDF"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2EC00C5D" w14:textId="77777777" w:rsidTr="009170D4">
        <w:tc>
          <w:tcPr>
            <w:tcW w:w="810" w:type="dxa"/>
          </w:tcPr>
          <w:p w14:paraId="7926065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20(2c)</w:t>
            </w:r>
          </w:p>
        </w:tc>
        <w:tc>
          <w:tcPr>
            <w:tcW w:w="5040" w:type="dxa"/>
            <w:gridSpan w:val="2"/>
          </w:tcPr>
          <w:p w14:paraId="42CE864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taxes attributable to an adjustment made by a constituent entity as a result of the application of a qualified UTPR;</w:t>
            </w:r>
          </w:p>
        </w:tc>
        <w:tc>
          <w:tcPr>
            <w:tcW w:w="810" w:type="dxa"/>
          </w:tcPr>
          <w:p w14:paraId="0801818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CD39D1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20(2)(c)</w:t>
            </w:r>
          </w:p>
        </w:tc>
        <w:tc>
          <w:tcPr>
            <w:tcW w:w="4680" w:type="dxa"/>
            <w:gridSpan w:val="2"/>
          </w:tcPr>
          <w:p w14:paraId="1D3E754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taxes attributable to an adjustment made by a constituent entity as a result of the application of a qualified UTPR;</w:t>
            </w:r>
          </w:p>
        </w:tc>
        <w:tc>
          <w:tcPr>
            <w:tcW w:w="1800" w:type="dxa"/>
            <w:gridSpan w:val="2"/>
          </w:tcPr>
          <w:p w14:paraId="0025797D"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8B26456"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2B715E9B" w14:textId="77777777" w:rsidTr="009170D4">
        <w:tc>
          <w:tcPr>
            <w:tcW w:w="810" w:type="dxa"/>
          </w:tcPr>
          <w:p w14:paraId="18A71AD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20(2d)</w:t>
            </w:r>
          </w:p>
        </w:tc>
        <w:tc>
          <w:tcPr>
            <w:tcW w:w="5040" w:type="dxa"/>
            <w:gridSpan w:val="2"/>
          </w:tcPr>
          <w:p w14:paraId="5DBD4F6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(d) disqualified refundable imputation tax; and</w:t>
            </w:r>
          </w:p>
        </w:tc>
        <w:tc>
          <w:tcPr>
            <w:tcW w:w="810" w:type="dxa"/>
          </w:tcPr>
          <w:p w14:paraId="429CA73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0EC8DA8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20(2)(d)</w:t>
            </w:r>
          </w:p>
        </w:tc>
        <w:tc>
          <w:tcPr>
            <w:tcW w:w="4680" w:type="dxa"/>
            <w:gridSpan w:val="2"/>
          </w:tcPr>
          <w:p w14:paraId="4A74413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disqualified refundable imputation tax; and</w:t>
            </w:r>
          </w:p>
        </w:tc>
        <w:tc>
          <w:tcPr>
            <w:tcW w:w="1800" w:type="dxa"/>
            <w:gridSpan w:val="2"/>
          </w:tcPr>
          <w:p w14:paraId="68F5A79A"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32B9EA1"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627A93FA" w14:textId="77777777" w:rsidTr="009170D4">
        <w:tc>
          <w:tcPr>
            <w:tcW w:w="810" w:type="dxa"/>
          </w:tcPr>
          <w:p w14:paraId="37472B2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20(2e)</w:t>
            </w:r>
          </w:p>
        </w:tc>
        <w:tc>
          <w:tcPr>
            <w:tcW w:w="5040" w:type="dxa"/>
            <w:gridSpan w:val="2"/>
          </w:tcPr>
          <w:p w14:paraId="404FAF5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(e) taxes paid by an insurance company in respect of returns to policyholders.</w:t>
            </w:r>
          </w:p>
        </w:tc>
        <w:tc>
          <w:tcPr>
            <w:tcW w:w="810" w:type="dxa"/>
          </w:tcPr>
          <w:p w14:paraId="4C06889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1B265C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20(2)(e)</w:t>
            </w:r>
          </w:p>
        </w:tc>
        <w:tc>
          <w:tcPr>
            <w:tcW w:w="4680" w:type="dxa"/>
            <w:gridSpan w:val="2"/>
          </w:tcPr>
          <w:p w14:paraId="23F7CFE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e) taxes paid by an insurance company in respect of returns to policyholders.</w:t>
            </w:r>
          </w:p>
        </w:tc>
        <w:tc>
          <w:tcPr>
            <w:tcW w:w="1800" w:type="dxa"/>
            <w:gridSpan w:val="2"/>
          </w:tcPr>
          <w:p w14:paraId="74F06CE5"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468E7711"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4986E5DB" w14:textId="77777777" w:rsidTr="009170D4">
        <w:tc>
          <w:tcPr>
            <w:tcW w:w="810" w:type="dxa"/>
          </w:tcPr>
          <w:p w14:paraId="138BBEA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20(3)</w:t>
            </w:r>
          </w:p>
        </w:tc>
        <w:tc>
          <w:tcPr>
            <w:tcW w:w="5040" w:type="dxa"/>
            <w:gridSpan w:val="2"/>
          </w:tcPr>
          <w:p w14:paraId="731CF40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Covered taxes in respect of any net gain or loss arising from the disposal of local tangible assets as referred to in Article 16(7), first subparagraph, in the fiscal year in which the election referred to in that subparagraph is made shall be excluded from the computation of the covered taxes.</w:t>
            </w:r>
          </w:p>
        </w:tc>
        <w:tc>
          <w:tcPr>
            <w:tcW w:w="810" w:type="dxa"/>
          </w:tcPr>
          <w:p w14:paraId="38CAFD6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E67FCE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20(3)</w:t>
            </w:r>
          </w:p>
        </w:tc>
        <w:tc>
          <w:tcPr>
            <w:tcW w:w="4680" w:type="dxa"/>
            <w:gridSpan w:val="2"/>
          </w:tcPr>
          <w:p w14:paraId="565E3BB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Covered taxes in respect of any net gain or loss arising from the disposal of local tangible assets as referred to in the first subparagraph, of paragraph 7, of Article 15, of this Law, in the fiscal year in which the election referred to in that subparagraph is made shall be excluded from the computation of the covered taxes.</w:t>
            </w:r>
          </w:p>
        </w:tc>
        <w:tc>
          <w:tcPr>
            <w:tcW w:w="1800" w:type="dxa"/>
            <w:gridSpan w:val="2"/>
          </w:tcPr>
          <w:p w14:paraId="78263A8A"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6DA0B684"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 (updating cross-references).</w:t>
            </w:r>
          </w:p>
        </w:tc>
      </w:tr>
      <w:tr w:rsidR="00465215" w:rsidRPr="005E6D70" w14:paraId="4A3B108D" w14:textId="77777777" w:rsidTr="009170D4">
        <w:tc>
          <w:tcPr>
            <w:tcW w:w="810" w:type="dxa"/>
            <w:shd w:val="clear" w:color="auto" w:fill="D9D9D9" w:themeFill="background1" w:themeFillShade="D9"/>
          </w:tcPr>
          <w:p w14:paraId="572CDECB"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6F6C029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21. Adjusted covered taxes</w:t>
            </w:r>
          </w:p>
        </w:tc>
        <w:tc>
          <w:tcPr>
            <w:tcW w:w="810" w:type="dxa"/>
            <w:shd w:val="clear" w:color="auto" w:fill="D9D9D9" w:themeFill="background1" w:themeFillShade="D9"/>
          </w:tcPr>
          <w:p w14:paraId="1DAC237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shd w:val="clear" w:color="auto" w:fill="D9D9D9" w:themeFill="background1" w:themeFillShade="D9"/>
          </w:tcPr>
          <w:p w14:paraId="6FD9402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w:t>
            </w:r>
          </w:p>
        </w:tc>
        <w:tc>
          <w:tcPr>
            <w:tcW w:w="4680" w:type="dxa"/>
            <w:gridSpan w:val="2"/>
            <w:shd w:val="clear" w:color="auto" w:fill="D9D9D9" w:themeFill="background1" w:themeFillShade="D9"/>
          </w:tcPr>
          <w:p w14:paraId="7C7F13A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Article 21. Adjusted Covered Taxes</w:t>
            </w:r>
          </w:p>
        </w:tc>
        <w:tc>
          <w:tcPr>
            <w:tcW w:w="1800" w:type="dxa"/>
            <w:gridSpan w:val="2"/>
            <w:shd w:val="clear" w:color="auto" w:fill="D9D9D9" w:themeFill="background1" w:themeFillShade="D9"/>
          </w:tcPr>
          <w:p w14:paraId="3221AE55"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shd w:val="clear" w:color="auto" w:fill="D9D9D9" w:themeFill="background1" w:themeFillShade="D9"/>
          </w:tcPr>
          <w:p w14:paraId="5129C36D"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Structurally transposed as Article 21 in the draft law.</w:t>
            </w:r>
          </w:p>
        </w:tc>
      </w:tr>
      <w:tr w:rsidR="00465215" w:rsidRPr="005E6D70" w14:paraId="7ECEC954" w14:textId="77777777" w:rsidTr="009170D4">
        <w:tc>
          <w:tcPr>
            <w:tcW w:w="810" w:type="dxa"/>
          </w:tcPr>
          <w:p w14:paraId="56F6D6E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21(1)</w:t>
            </w:r>
          </w:p>
        </w:tc>
        <w:tc>
          <w:tcPr>
            <w:tcW w:w="5040" w:type="dxa"/>
            <w:gridSpan w:val="2"/>
          </w:tcPr>
          <w:p w14:paraId="569F220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The adjusted covered taxes of a constituent entity for a fiscal year shall be determined by adjusting the sum of the current tax expense accrued in its financial accounting net income or loss with respect to covered taxes for the fiscal year, by:</w:t>
            </w:r>
          </w:p>
        </w:tc>
        <w:tc>
          <w:tcPr>
            <w:tcW w:w="810" w:type="dxa"/>
          </w:tcPr>
          <w:p w14:paraId="31EA272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7EED32F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21(1)</w:t>
            </w:r>
          </w:p>
        </w:tc>
        <w:tc>
          <w:tcPr>
            <w:tcW w:w="4680" w:type="dxa"/>
            <w:gridSpan w:val="2"/>
          </w:tcPr>
          <w:p w14:paraId="6CC8730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The adjusted covered taxes of a constituent entity for a fiscal year shall be determined by adjusting the sum of the current tax expense accrued in its financial accounting net income or loss with respect to covered taxes for the fiscal year, by:</w:t>
            </w:r>
          </w:p>
        </w:tc>
        <w:tc>
          <w:tcPr>
            <w:tcW w:w="1800" w:type="dxa"/>
            <w:gridSpan w:val="2"/>
          </w:tcPr>
          <w:p w14:paraId="60F2FE1C"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650B5528"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5B2102DF" w14:textId="77777777" w:rsidTr="009170D4">
        <w:tc>
          <w:tcPr>
            <w:tcW w:w="810" w:type="dxa"/>
          </w:tcPr>
          <w:p w14:paraId="5E0E87A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21(1a)</w:t>
            </w:r>
          </w:p>
        </w:tc>
        <w:tc>
          <w:tcPr>
            <w:tcW w:w="5040" w:type="dxa"/>
            <w:gridSpan w:val="2"/>
          </w:tcPr>
          <w:p w14:paraId="6E76563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the net amount of its additions and reductions to covered taxes for the fiscal year as set out in paragraphs 2 and 3;</w:t>
            </w:r>
          </w:p>
        </w:tc>
        <w:tc>
          <w:tcPr>
            <w:tcW w:w="810" w:type="dxa"/>
          </w:tcPr>
          <w:p w14:paraId="4CD7AD8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092879E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21(1)(a)</w:t>
            </w:r>
          </w:p>
        </w:tc>
        <w:tc>
          <w:tcPr>
            <w:tcW w:w="4680" w:type="dxa"/>
            <w:gridSpan w:val="2"/>
          </w:tcPr>
          <w:p w14:paraId="70D910F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the net amount of its additions and reductions to covered taxes for the fiscal year as set out in paragraphs 2 and 3, of this Article;</w:t>
            </w:r>
          </w:p>
        </w:tc>
        <w:tc>
          <w:tcPr>
            <w:tcW w:w="1800" w:type="dxa"/>
            <w:gridSpan w:val="2"/>
          </w:tcPr>
          <w:p w14:paraId="526CDE92"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5A37735"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 (adapting cross-references to national format).</w:t>
            </w:r>
          </w:p>
        </w:tc>
      </w:tr>
      <w:tr w:rsidR="00465215" w:rsidRPr="005E6D70" w14:paraId="48223CA5" w14:textId="77777777" w:rsidTr="009170D4">
        <w:tc>
          <w:tcPr>
            <w:tcW w:w="810" w:type="dxa"/>
          </w:tcPr>
          <w:p w14:paraId="1C77FDF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21(1b)</w:t>
            </w:r>
          </w:p>
        </w:tc>
        <w:tc>
          <w:tcPr>
            <w:tcW w:w="5040" w:type="dxa"/>
            <w:gridSpan w:val="2"/>
          </w:tcPr>
          <w:p w14:paraId="4256446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the total deferred tax adjustment amount as set out in Article 22; and</w:t>
            </w:r>
          </w:p>
        </w:tc>
        <w:tc>
          <w:tcPr>
            <w:tcW w:w="810" w:type="dxa"/>
          </w:tcPr>
          <w:p w14:paraId="028BA15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41B9C36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21(1)(b)</w:t>
            </w:r>
          </w:p>
        </w:tc>
        <w:tc>
          <w:tcPr>
            <w:tcW w:w="4680" w:type="dxa"/>
            <w:gridSpan w:val="2"/>
          </w:tcPr>
          <w:p w14:paraId="0E8AFC4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the total deferred tax adjustment amount as set out in Article 22, of this Law; and</w:t>
            </w:r>
          </w:p>
        </w:tc>
        <w:tc>
          <w:tcPr>
            <w:tcW w:w="1800" w:type="dxa"/>
            <w:gridSpan w:val="2"/>
          </w:tcPr>
          <w:p w14:paraId="04FBF0F4"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505781FA"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01649B48" w14:textId="77777777" w:rsidTr="009170D4">
        <w:tc>
          <w:tcPr>
            <w:tcW w:w="810" w:type="dxa"/>
          </w:tcPr>
          <w:p w14:paraId="647D643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21(1c)</w:t>
            </w:r>
          </w:p>
        </w:tc>
        <w:tc>
          <w:tcPr>
            <w:tcW w:w="5040" w:type="dxa"/>
            <w:gridSpan w:val="2"/>
          </w:tcPr>
          <w:p w14:paraId="3979E5B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any increase or decrease in covered taxes recorded in equity or other comprehensive income relating to amounts included in the computation of qualifying income or loss that will be subject to tax under local tax rules.</w:t>
            </w:r>
          </w:p>
        </w:tc>
        <w:tc>
          <w:tcPr>
            <w:tcW w:w="810" w:type="dxa"/>
          </w:tcPr>
          <w:p w14:paraId="146DD07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3E2D67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21(1)(c)</w:t>
            </w:r>
          </w:p>
        </w:tc>
        <w:tc>
          <w:tcPr>
            <w:tcW w:w="4680" w:type="dxa"/>
            <w:gridSpan w:val="2"/>
          </w:tcPr>
          <w:p w14:paraId="404A9BC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any increase or decrease in covered taxes recorded in equity or other comprehensive income relating to amounts included in the computation of qualifying income or loss that will be subject to tax under local tax rules.</w:t>
            </w:r>
          </w:p>
        </w:tc>
        <w:tc>
          <w:tcPr>
            <w:tcW w:w="1800" w:type="dxa"/>
            <w:gridSpan w:val="2"/>
          </w:tcPr>
          <w:p w14:paraId="0945ECA5"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5A942BE3"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1B2A4BB7" w14:textId="77777777" w:rsidTr="009170D4">
        <w:tc>
          <w:tcPr>
            <w:tcW w:w="810" w:type="dxa"/>
          </w:tcPr>
          <w:p w14:paraId="0BA5B74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21(2)</w:t>
            </w:r>
          </w:p>
        </w:tc>
        <w:tc>
          <w:tcPr>
            <w:tcW w:w="5040" w:type="dxa"/>
            <w:gridSpan w:val="2"/>
          </w:tcPr>
          <w:p w14:paraId="6F74F961"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 The additions to the covered taxes of a constituent entity for the fiscal year shall include:</w:t>
            </w:r>
          </w:p>
        </w:tc>
        <w:tc>
          <w:tcPr>
            <w:tcW w:w="810" w:type="dxa"/>
          </w:tcPr>
          <w:p w14:paraId="758FFAB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2F92BD2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21(2)</w:t>
            </w:r>
          </w:p>
        </w:tc>
        <w:tc>
          <w:tcPr>
            <w:tcW w:w="4680" w:type="dxa"/>
            <w:gridSpan w:val="2"/>
          </w:tcPr>
          <w:p w14:paraId="2B6FB70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The additions to the covered taxes of a constituent entity for the fiscal year shall include:</w:t>
            </w:r>
          </w:p>
        </w:tc>
        <w:tc>
          <w:tcPr>
            <w:tcW w:w="1800" w:type="dxa"/>
            <w:gridSpan w:val="2"/>
          </w:tcPr>
          <w:p w14:paraId="77CD0E95"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10B56D2F"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447BA6C8" w14:textId="77777777" w:rsidTr="009170D4">
        <w:tc>
          <w:tcPr>
            <w:tcW w:w="810" w:type="dxa"/>
          </w:tcPr>
          <w:p w14:paraId="40A7625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21(2a)</w:t>
            </w:r>
          </w:p>
        </w:tc>
        <w:tc>
          <w:tcPr>
            <w:tcW w:w="5040" w:type="dxa"/>
            <w:gridSpan w:val="2"/>
          </w:tcPr>
          <w:p w14:paraId="707408D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any amount of covered taxes accrued as an expense in the profit before taxation in the financial accounts;</w:t>
            </w:r>
          </w:p>
        </w:tc>
        <w:tc>
          <w:tcPr>
            <w:tcW w:w="810" w:type="dxa"/>
          </w:tcPr>
          <w:p w14:paraId="2E84995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2FFA97A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21(2)(a)</w:t>
            </w:r>
          </w:p>
        </w:tc>
        <w:tc>
          <w:tcPr>
            <w:tcW w:w="4680" w:type="dxa"/>
            <w:gridSpan w:val="2"/>
          </w:tcPr>
          <w:p w14:paraId="3B99031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any amount of covered taxes accrued as an expense in the profit before taxation in the financial accounts;</w:t>
            </w:r>
          </w:p>
        </w:tc>
        <w:tc>
          <w:tcPr>
            <w:tcW w:w="1800" w:type="dxa"/>
            <w:gridSpan w:val="2"/>
          </w:tcPr>
          <w:p w14:paraId="78176064"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3D9C58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5E3E60E9" w14:textId="77777777" w:rsidTr="009170D4">
        <w:tc>
          <w:tcPr>
            <w:tcW w:w="810" w:type="dxa"/>
          </w:tcPr>
          <w:p w14:paraId="56BA1F3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21(2b)</w:t>
            </w:r>
          </w:p>
        </w:tc>
        <w:tc>
          <w:tcPr>
            <w:tcW w:w="5040" w:type="dxa"/>
            <w:gridSpan w:val="2"/>
          </w:tcPr>
          <w:p w14:paraId="3D4C9C0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any amount of qualifying loss deferred tax asset that has been used pursuant to Article 23(2);</w:t>
            </w:r>
          </w:p>
        </w:tc>
        <w:tc>
          <w:tcPr>
            <w:tcW w:w="810" w:type="dxa"/>
          </w:tcPr>
          <w:p w14:paraId="3F09CB7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75CEC2A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21(2)(b)</w:t>
            </w:r>
          </w:p>
        </w:tc>
        <w:tc>
          <w:tcPr>
            <w:tcW w:w="4680" w:type="dxa"/>
            <w:gridSpan w:val="2"/>
          </w:tcPr>
          <w:p w14:paraId="180DA21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any amount of qualifying loss deferred tax asset that has been used pursuant to paragraph 2, of Article 23, of this Law;</w:t>
            </w:r>
          </w:p>
        </w:tc>
        <w:tc>
          <w:tcPr>
            <w:tcW w:w="1800" w:type="dxa"/>
            <w:gridSpan w:val="2"/>
          </w:tcPr>
          <w:p w14:paraId="5E10DD51"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480761C3"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6F6A265A" w14:textId="77777777" w:rsidTr="009170D4">
        <w:tc>
          <w:tcPr>
            <w:tcW w:w="810" w:type="dxa"/>
          </w:tcPr>
          <w:p w14:paraId="1A18BA2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21(2c)</w:t>
            </w:r>
          </w:p>
        </w:tc>
        <w:tc>
          <w:tcPr>
            <w:tcW w:w="5040" w:type="dxa"/>
            <w:gridSpan w:val="2"/>
          </w:tcPr>
          <w:p w14:paraId="41A9B55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any amount of covered taxes relating to an uncertain tax position previously excluded under paragraph 3, point (d), that is paid in the fiscal year; and</w:t>
            </w:r>
          </w:p>
        </w:tc>
        <w:tc>
          <w:tcPr>
            <w:tcW w:w="810" w:type="dxa"/>
          </w:tcPr>
          <w:p w14:paraId="269EC8A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483DC9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21(2)(c)</w:t>
            </w:r>
          </w:p>
        </w:tc>
        <w:tc>
          <w:tcPr>
            <w:tcW w:w="4680" w:type="dxa"/>
            <w:gridSpan w:val="2"/>
          </w:tcPr>
          <w:p w14:paraId="41B39D9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any amount of covered taxes relating to an uncertain tax position previously excluded under letter “d”, of paragraph 3, of this Article, that is paid in the fiscal year; and</w:t>
            </w:r>
          </w:p>
        </w:tc>
        <w:tc>
          <w:tcPr>
            <w:tcW w:w="1800" w:type="dxa"/>
            <w:gridSpan w:val="2"/>
          </w:tcPr>
          <w:p w14:paraId="22B0D3C4"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74B8C4FD"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45A66772" w14:textId="77777777" w:rsidTr="009170D4">
        <w:tc>
          <w:tcPr>
            <w:tcW w:w="810" w:type="dxa"/>
          </w:tcPr>
          <w:p w14:paraId="564E420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21(2d)</w:t>
            </w:r>
          </w:p>
        </w:tc>
        <w:tc>
          <w:tcPr>
            <w:tcW w:w="5040" w:type="dxa"/>
            <w:gridSpan w:val="2"/>
          </w:tcPr>
          <w:p w14:paraId="1348FA91"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(d) any amount of credit or refund in respect of a qualified refundable tax credit that was accrued as a reduction to the current tax expense.</w:t>
            </w:r>
          </w:p>
        </w:tc>
        <w:tc>
          <w:tcPr>
            <w:tcW w:w="810" w:type="dxa"/>
          </w:tcPr>
          <w:p w14:paraId="71C13A3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1CE3D40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21(2)(d)</w:t>
            </w:r>
          </w:p>
        </w:tc>
        <w:tc>
          <w:tcPr>
            <w:tcW w:w="4680" w:type="dxa"/>
            <w:gridSpan w:val="2"/>
          </w:tcPr>
          <w:p w14:paraId="6B4B093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any amount of credit or refund in respect of a qualified refundable tax credit that was accrued as a reduction to the current tax expense.</w:t>
            </w:r>
          </w:p>
        </w:tc>
        <w:tc>
          <w:tcPr>
            <w:tcW w:w="1800" w:type="dxa"/>
            <w:gridSpan w:val="2"/>
          </w:tcPr>
          <w:p w14:paraId="38AD1437"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62ED536D"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4BE5650B" w14:textId="77777777" w:rsidTr="009170D4">
        <w:tc>
          <w:tcPr>
            <w:tcW w:w="810" w:type="dxa"/>
          </w:tcPr>
          <w:p w14:paraId="1BDB5B0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21(3)</w:t>
            </w:r>
          </w:p>
        </w:tc>
        <w:tc>
          <w:tcPr>
            <w:tcW w:w="5040" w:type="dxa"/>
            <w:gridSpan w:val="2"/>
          </w:tcPr>
          <w:p w14:paraId="493EFFFE"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The reductions to the covered taxes of a constituent entity for the fiscal year shall include:</w:t>
            </w:r>
          </w:p>
        </w:tc>
        <w:tc>
          <w:tcPr>
            <w:tcW w:w="810" w:type="dxa"/>
          </w:tcPr>
          <w:p w14:paraId="10EF89D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086E8E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21(3)</w:t>
            </w:r>
          </w:p>
        </w:tc>
        <w:tc>
          <w:tcPr>
            <w:tcW w:w="4680" w:type="dxa"/>
            <w:gridSpan w:val="2"/>
          </w:tcPr>
          <w:p w14:paraId="62A18E7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The reductions to the covered taxes of a constituent entity for the fiscal year shall include:</w:t>
            </w:r>
          </w:p>
        </w:tc>
        <w:tc>
          <w:tcPr>
            <w:tcW w:w="1800" w:type="dxa"/>
            <w:gridSpan w:val="2"/>
          </w:tcPr>
          <w:p w14:paraId="6AE2DC3E"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1C282A24"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2DDC336D" w14:textId="77777777" w:rsidTr="009170D4">
        <w:tc>
          <w:tcPr>
            <w:tcW w:w="810" w:type="dxa"/>
          </w:tcPr>
          <w:p w14:paraId="3A62392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21(3a)</w:t>
            </w:r>
          </w:p>
        </w:tc>
        <w:tc>
          <w:tcPr>
            <w:tcW w:w="5040" w:type="dxa"/>
            <w:gridSpan w:val="2"/>
          </w:tcPr>
          <w:p w14:paraId="6537650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the amount of current tax expense with respect to income excluded from the computation of qualifying income or loss under Chapter III;</w:t>
            </w:r>
          </w:p>
        </w:tc>
        <w:tc>
          <w:tcPr>
            <w:tcW w:w="810" w:type="dxa"/>
          </w:tcPr>
          <w:p w14:paraId="192CCCC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66B8264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21(3)(a)</w:t>
            </w:r>
          </w:p>
        </w:tc>
        <w:tc>
          <w:tcPr>
            <w:tcW w:w="4680" w:type="dxa"/>
            <w:gridSpan w:val="2"/>
          </w:tcPr>
          <w:p w14:paraId="41A1A95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the amount of current tax expense with respect to income excluded from the computation of qualifying income or loss under Chapter III, of this Law;</w:t>
            </w:r>
          </w:p>
        </w:tc>
        <w:tc>
          <w:tcPr>
            <w:tcW w:w="1800" w:type="dxa"/>
            <w:gridSpan w:val="2"/>
          </w:tcPr>
          <w:p w14:paraId="71EB55BC"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6C44FE49"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2CEAFA68" w14:textId="77777777" w:rsidTr="009170D4">
        <w:tc>
          <w:tcPr>
            <w:tcW w:w="810" w:type="dxa"/>
          </w:tcPr>
          <w:p w14:paraId="73ADAEA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21(3b)</w:t>
            </w:r>
          </w:p>
        </w:tc>
        <w:tc>
          <w:tcPr>
            <w:tcW w:w="5040" w:type="dxa"/>
            <w:gridSpan w:val="2"/>
          </w:tcPr>
          <w:p w14:paraId="6911C5C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any amount of credit or refund in respect of a non-qualified refundable tax credit that was not recorded as a reduction to the current tax expense;</w:t>
            </w:r>
          </w:p>
        </w:tc>
        <w:tc>
          <w:tcPr>
            <w:tcW w:w="810" w:type="dxa"/>
          </w:tcPr>
          <w:p w14:paraId="69DE765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166E767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21(3)(b)</w:t>
            </w:r>
          </w:p>
        </w:tc>
        <w:tc>
          <w:tcPr>
            <w:tcW w:w="4680" w:type="dxa"/>
            <w:gridSpan w:val="2"/>
          </w:tcPr>
          <w:p w14:paraId="26C2A58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any amount of credit or refund in respect of a non-qualified refundable tax credit that was not recorded as a reduction to the current tax expense;</w:t>
            </w:r>
          </w:p>
        </w:tc>
        <w:tc>
          <w:tcPr>
            <w:tcW w:w="1800" w:type="dxa"/>
            <w:gridSpan w:val="2"/>
          </w:tcPr>
          <w:p w14:paraId="14558CD5"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10877DC"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43291DD5" w14:textId="77777777" w:rsidTr="009170D4">
        <w:tc>
          <w:tcPr>
            <w:tcW w:w="810" w:type="dxa"/>
          </w:tcPr>
          <w:p w14:paraId="4D95263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21(3c)</w:t>
            </w:r>
          </w:p>
        </w:tc>
        <w:tc>
          <w:tcPr>
            <w:tcW w:w="5040" w:type="dxa"/>
            <w:gridSpan w:val="2"/>
          </w:tcPr>
          <w:p w14:paraId="6DE731C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(c) any amount of covered taxes refunded or credited to a constituent entity that was not treated as an adjustment to current </w:t>
            </w:r>
            <w:r w:rsidRPr="005E6D70">
              <w:rPr>
                <w:rFonts w:ascii="Times New Roman" w:eastAsia="Calibri" w:hAnsi="Times New Roman" w:cs="Times New Roman"/>
                <w:iCs/>
                <w:sz w:val="18"/>
                <w:szCs w:val="18"/>
                <w:lang w:val="en-US"/>
              </w:rPr>
              <w:lastRenderedPageBreak/>
              <w:t>tax expense in the financial accounts, unless it relates to a qualified refundable tax credit;</w:t>
            </w:r>
          </w:p>
        </w:tc>
        <w:tc>
          <w:tcPr>
            <w:tcW w:w="810" w:type="dxa"/>
          </w:tcPr>
          <w:p w14:paraId="596D11B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484E119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21(3)(c)</w:t>
            </w:r>
          </w:p>
        </w:tc>
        <w:tc>
          <w:tcPr>
            <w:tcW w:w="4680" w:type="dxa"/>
            <w:gridSpan w:val="2"/>
          </w:tcPr>
          <w:p w14:paraId="7604D15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c) any amount of covered taxes refunded or credited to a constituent entity that was not treated as an adjustment to </w:t>
            </w:r>
            <w:r w:rsidRPr="005E6D70">
              <w:rPr>
                <w:rFonts w:ascii="Times New Roman" w:eastAsia="Calibri" w:hAnsi="Times New Roman" w:cs="Times New Roman"/>
                <w:iCs/>
                <w:sz w:val="18"/>
                <w:szCs w:val="18"/>
                <w:lang w:val="en-US"/>
              </w:rPr>
              <w:lastRenderedPageBreak/>
              <w:t>current tax expense in the financial accounts, unless it relates to a qualified refundable tax credit;</w:t>
            </w:r>
          </w:p>
        </w:tc>
        <w:tc>
          <w:tcPr>
            <w:tcW w:w="1800" w:type="dxa"/>
            <w:gridSpan w:val="2"/>
          </w:tcPr>
          <w:p w14:paraId="31DF3B57"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5BF43885"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70B7A996" w14:textId="77777777" w:rsidTr="009170D4">
        <w:tc>
          <w:tcPr>
            <w:tcW w:w="810" w:type="dxa"/>
          </w:tcPr>
          <w:p w14:paraId="1B6A543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21(3d)</w:t>
            </w:r>
          </w:p>
        </w:tc>
        <w:tc>
          <w:tcPr>
            <w:tcW w:w="5040" w:type="dxa"/>
            <w:gridSpan w:val="2"/>
          </w:tcPr>
          <w:p w14:paraId="592D81A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(d) the amount of current tax expense that relates to an uncertain tax position; and</w:t>
            </w:r>
          </w:p>
        </w:tc>
        <w:tc>
          <w:tcPr>
            <w:tcW w:w="810" w:type="dxa"/>
          </w:tcPr>
          <w:p w14:paraId="41D4661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0C5D92E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21(3)(d)</w:t>
            </w:r>
          </w:p>
        </w:tc>
        <w:tc>
          <w:tcPr>
            <w:tcW w:w="4680" w:type="dxa"/>
            <w:gridSpan w:val="2"/>
          </w:tcPr>
          <w:p w14:paraId="7CD9FFE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the amount of current tax expense that relates to an uncertain tax position; and</w:t>
            </w:r>
          </w:p>
        </w:tc>
        <w:tc>
          <w:tcPr>
            <w:tcW w:w="1800" w:type="dxa"/>
            <w:gridSpan w:val="2"/>
          </w:tcPr>
          <w:p w14:paraId="523C675D"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72563838"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56BF77C5" w14:textId="77777777" w:rsidTr="009170D4">
        <w:tc>
          <w:tcPr>
            <w:tcW w:w="810" w:type="dxa"/>
          </w:tcPr>
          <w:p w14:paraId="50F1D96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21(3e)</w:t>
            </w:r>
          </w:p>
        </w:tc>
        <w:tc>
          <w:tcPr>
            <w:tcW w:w="5040" w:type="dxa"/>
            <w:gridSpan w:val="2"/>
          </w:tcPr>
          <w:p w14:paraId="692E0C4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(e) any amount of current tax expense that is not expected to be paid within three years after the end of the fiscal year.</w:t>
            </w:r>
          </w:p>
        </w:tc>
        <w:tc>
          <w:tcPr>
            <w:tcW w:w="810" w:type="dxa"/>
          </w:tcPr>
          <w:p w14:paraId="2699BAB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729BC2E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21(3)(e)</w:t>
            </w:r>
          </w:p>
        </w:tc>
        <w:tc>
          <w:tcPr>
            <w:tcW w:w="4680" w:type="dxa"/>
            <w:gridSpan w:val="2"/>
          </w:tcPr>
          <w:p w14:paraId="5C92323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e) any amount of current tax expense that is not expected to be paid within three years after the end of the fiscal year.</w:t>
            </w:r>
          </w:p>
        </w:tc>
        <w:tc>
          <w:tcPr>
            <w:tcW w:w="1800" w:type="dxa"/>
            <w:gridSpan w:val="2"/>
          </w:tcPr>
          <w:p w14:paraId="6F9DA805"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0E43B690"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2A9DA7F2" w14:textId="77777777" w:rsidTr="009170D4">
        <w:tc>
          <w:tcPr>
            <w:tcW w:w="810" w:type="dxa"/>
          </w:tcPr>
          <w:p w14:paraId="0A62A90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21(4)</w:t>
            </w:r>
          </w:p>
        </w:tc>
        <w:tc>
          <w:tcPr>
            <w:tcW w:w="5040" w:type="dxa"/>
            <w:gridSpan w:val="2"/>
          </w:tcPr>
          <w:p w14:paraId="05FAE03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 For the purpose of computing adjusted covered taxes, where an amount of covered tax is described in more than one point in paragraphs 1, 2 and 3, it shall only be taken into account once.</w:t>
            </w:r>
          </w:p>
        </w:tc>
        <w:tc>
          <w:tcPr>
            <w:tcW w:w="810" w:type="dxa"/>
          </w:tcPr>
          <w:p w14:paraId="0479393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994972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21(4)</w:t>
            </w:r>
          </w:p>
        </w:tc>
        <w:tc>
          <w:tcPr>
            <w:tcW w:w="4680" w:type="dxa"/>
            <w:gridSpan w:val="2"/>
          </w:tcPr>
          <w:p w14:paraId="1478429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For the purpose of computing adjusted covered taxes, where an amount of covered tax is described in more than one point in paragraphs 1, 2 and 3, of this Article, it shall only be taken into account once.</w:t>
            </w:r>
          </w:p>
        </w:tc>
        <w:tc>
          <w:tcPr>
            <w:tcW w:w="1800" w:type="dxa"/>
            <w:gridSpan w:val="2"/>
          </w:tcPr>
          <w:p w14:paraId="649E3E0A"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25BEFA86"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7053A507" w14:textId="77777777" w:rsidTr="009170D4">
        <w:tc>
          <w:tcPr>
            <w:tcW w:w="810" w:type="dxa"/>
          </w:tcPr>
          <w:p w14:paraId="7D40AA6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21(5)</w:t>
            </w:r>
          </w:p>
        </w:tc>
        <w:tc>
          <w:tcPr>
            <w:tcW w:w="5040" w:type="dxa"/>
            <w:gridSpan w:val="2"/>
          </w:tcPr>
          <w:p w14:paraId="34D63A2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5. Where, for a fiscal year, there is no net qualifying income in a jurisdiction and the amount of adjusted covered taxes for that jurisdiction is negative and less than an amount equal to the net qualifying loss multiplied by the minimum tax rate (the ‘expected adjusted covered taxes’), the amount equal to the difference between the amount of adjusted covered taxes and the amount of expected adjusted covered taxes shall be treated as an additional top-up tax for that fiscal year. The amount of additional top-up tax shall be allocated to each constituent entity in the jurisdiction in accordance with Article 29(3).</w:t>
            </w:r>
          </w:p>
        </w:tc>
        <w:tc>
          <w:tcPr>
            <w:tcW w:w="810" w:type="dxa"/>
          </w:tcPr>
          <w:p w14:paraId="198223C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0A2ED1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21(5)</w:t>
            </w:r>
          </w:p>
        </w:tc>
        <w:tc>
          <w:tcPr>
            <w:tcW w:w="4680" w:type="dxa"/>
            <w:gridSpan w:val="2"/>
          </w:tcPr>
          <w:p w14:paraId="756F8CB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5. Where, for a fiscal year, there is no net qualifying income in a jurisdiction and the amount of adjusted covered taxes for that jurisdiction is negative and less than an amount equal to the net qualifying loss multiplied by the minimum tax rate (the “expected adjusted covered taxes”), the amount equal to the difference between the amount of adjusted covered taxes and the amount of expected adjusted covered taxes shall be treated as an additional top-up tax for that fiscal year. The amount of additional top-up tax shall be allocated to each constituent entity in the jurisdiction in accordance with paragraph 3, of Article 32, of this Law.</w:t>
            </w:r>
          </w:p>
        </w:tc>
        <w:tc>
          <w:tcPr>
            <w:tcW w:w="1800" w:type="dxa"/>
            <w:gridSpan w:val="2"/>
          </w:tcPr>
          <w:p w14:paraId="537602C6"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71554C0E"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 Cross-reference mapped to the corresponding Article 32 of the draft law.</w:t>
            </w:r>
          </w:p>
        </w:tc>
      </w:tr>
      <w:tr w:rsidR="00465215" w:rsidRPr="005E6D70" w14:paraId="1AD587D6" w14:textId="77777777" w:rsidTr="009170D4">
        <w:tc>
          <w:tcPr>
            <w:tcW w:w="810" w:type="dxa"/>
            <w:shd w:val="clear" w:color="auto" w:fill="D9D9D9" w:themeFill="background1" w:themeFillShade="D9"/>
          </w:tcPr>
          <w:p w14:paraId="53EEE5C4"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0EF1838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22. Total deferred tax adjustment amount</w:t>
            </w:r>
          </w:p>
        </w:tc>
        <w:tc>
          <w:tcPr>
            <w:tcW w:w="810" w:type="dxa"/>
            <w:shd w:val="clear" w:color="auto" w:fill="D9D9D9" w:themeFill="background1" w:themeFillShade="D9"/>
          </w:tcPr>
          <w:p w14:paraId="624F4DB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shd w:val="clear" w:color="auto" w:fill="D9D9D9" w:themeFill="background1" w:themeFillShade="D9"/>
          </w:tcPr>
          <w:p w14:paraId="1764915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w:t>
            </w:r>
          </w:p>
        </w:tc>
        <w:tc>
          <w:tcPr>
            <w:tcW w:w="4680" w:type="dxa"/>
            <w:gridSpan w:val="2"/>
            <w:shd w:val="clear" w:color="auto" w:fill="D9D9D9" w:themeFill="background1" w:themeFillShade="D9"/>
          </w:tcPr>
          <w:p w14:paraId="08286AC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Article 22. Total Deferred Tax Adjustment Amount</w:t>
            </w:r>
          </w:p>
        </w:tc>
        <w:tc>
          <w:tcPr>
            <w:tcW w:w="1800" w:type="dxa"/>
            <w:gridSpan w:val="2"/>
            <w:shd w:val="clear" w:color="auto" w:fill="D9D9D9" w:themeFill="background1" w:themeFillShade="D9"/>
          </w:tcPr>
          <w:p w14:paraId="11945824"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shd w:val="clear" w:color="auto" w:fill="D9D9D9" w:themeFill="background1" w:themeFillShade="D9"/>
          </w:tcPr>
          <w:p w14:paraId="03061162"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Structurally transposed as Article 22 in the draft law.</w:t>
            </w:r>
          </w:p>
        </w:tc>
      </w:tr>
      <w:tr w:rsidR="00465215" w:rsidRPr="005E6D70" w14:paraId="24D6F2A9" w14:textId="77777777" w:rsidTr="009170D4">
        <w:tc>
          <w:tcPr>
            <w:tcW w:w="810" w:type="dxa"/>
          </w:tcPr>
          <w:p w14:paraId="0CC8EF2B" w14:textId="77777777" w:rsidR="00465215" w:rsidRPr="005E6D70" w:rsidRDefault="00465215" w:rsidP="009170D4">
            <w:pPr>
              <w:jc w:val="center"/>
              <w:rPr>
                <w:rFonts w:ascii="Times New Roman" w:eastAsia="Calibri" w:hAnsi="Times New Roman" w:cs="Times New Roman"/>
                <w:sz w:val="18"/>
                <w:szCs w:val="18"/>
                <w:highlight w:val="yellow"/>
                <w:lang w:val="en-US"/>
              </w:rPr>
            </w:pPr>
            <w:r w:rsidRPr="005E6D70">
              <w:rPr>
                <w:rFonts w:ascii="Times New Roman" w:eastAsia="Calibri" w:hAnsi="Times New Roman" w:cs="Times New Roman"/>
                <w:sz w:val="18"/>
                <w:szCs w:val="18"/>
                <w:lang w:val="en-US"/>
              </w:rPr>
              <w:t>22(1)</w:t>
            </w:r>
          </w:p>
        </w:tc>
        <w:tc>
          <w:tcPr>
            <w:tcW w:w="5040" w:type="dxa"/>
            <w:gridSpan w:val="2"/>
          </w:tcPr>
          <w:p w14:paraId="138C079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For the purposes of this Article, the following definitions apply:</w:t>
            </w:r>
          </w:p>
        </w:tc>
        <w:tc>
          <w:tcPr>
            <w:tcW w:w="810" w:type="dxa"/>
          </w:tcPr>
          <w:p w14:paraId="7E0CADF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477B6CD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22(1)</w:t>
            </w:r>
          </w:p>
        </w:tc>
        <w:tc>
          <w:tcPr>
            <w:tcW w:w="4680" w:type="dxa"/>
            <w:gridSpan w:val="2"/>
          </w:tcPr>
          <w:p w14:paraId="650C760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For the purposes of this Article, the following definitions apply:</w:t>
            </w:r>
          </w:p>
        </w:tc>
        <w:tc>
          <w:tcPr>
            <w:tcW w:w="1800" w:type="dxa"/>
            <w:gridSpan w:val="2"/>
          </w:tcPr>
          <w:p w14:paraId="2A1A0F7E"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44D119C8"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49A27D2C" w14:textId="77777777" w:rsidTr="009170D4">
        <w:tc>
          <w:tcPr>
            <w:tcW w:w="810" w:type="dxa"/>
          </w:tcPr>
          <w:p w14:paraId="6528118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22(1a)</w:t>
            </w:r>
          </w:p>
        </w:tc>
        <w:tc>
          <w:tcPr>
            <w:tcW w:w="5040" w:type="dxa"/>
            <w:gridSpan w:val="2"/>
          </w:tcPr>
          <w:p w14:paraId="4D35B44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‘disallowed accrual’ means:</w:t>
            </w:r>
          </w:p>
          <w:p w14:paraId="2052A74C" w14:textId="77777777" w:rsidR="00465215" w:rsidRPr="005E6D70" w:rsidRDefault="00465215" w:rsidP="009170D4">
            <w:pPr>
              <w:jc w:val="both"/>
              <w:rPr>
                <w:rFonts w:ascii="Times New Roman" w:eastAsia="Calibri" w:hAnsi="Times New Roman" w:cs="Times New Roman"/>
                <w:iCs/>
                <w:sz w:val="18"/>
                <w:szCs w:val="18"/>
                <w:lang w:val="en-US"/>
              </w:rPr>
            </w:pPr>
          </w:p>
          <w:p w14:paraId="1DE8C05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any movement in deferred tax expense accrued in the financial accounts of a constituent entity which relates to an uncertain tax position; and</w:t>
            </w:r>
          </w:p>
          <w:p w14:paraId="05287AA4" w14:textId="77777777" w:rsidR="00465215" w:rsidRPr="005E6D70" w:rsidRDefault="00465215" w:rsidP="009170D4">
            <w:pPr>
              <w:jc w:val="both"/>
              <w:rPr>
                <w:rFonts w:ascii="Times New Roman" w:eastAsia="Calibri" w:hAnsi="Times New Roman" w:cs="Times New Roman"/>
                <w:iCs/>
                <w:sz w:val="18"/>
                <w:szCs w:val="18"/>
                <w:lang w:val="en-US"/>
              </w:rPr>
            </w:pPr>
          </w:p>
          <w:p w14:paraId="7CF5AAA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 any movement in deferred tax expense accrued in the financial accounts of a constituent entity which relates to distributions from a constituent entity;</w:t>
            </w:r>
          </w:p>
        </w:tc>
        <w:tc>
          <w:tcPr>
            <w:tcW w:w="810" w:type="dxa"/>
          </w:tcPr>
          <w:p w14:paraId="77A1015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76BE433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22(1)(a)</w:t>
            </w:r>
          </w:p>
        </w:tc>
        <w:tc>
          <w:tcPr>
            <w:tcW w:w="4680" w:type="dxa"/>
            <w:gridSpan w:val="2"/>
          </w:tcPr>
          <w:p w14:paraId="7C26A877" w14:textId="77777777" w:rsidR="00465215" w:rsidRPr="005E6D70" w:rsidRDefault="00465215" w:rsidP="009170D4">
            <w:pPr>
              <w:jc w:val="both"/>
              <w:rPr>
                <w:rFonts w:ascii="Times New Roman" w:eastAsia="Calibri" w:hAnsi="Times New Roman" w:cs="Times New Roman"/>
                <w:iCs/>
                <w:sz w:val="18"/>
                <w:szCs w:val="18"/>
                <w:lang w:val="en-GB"/>
              </w:rPr>
            </w:pPr>
            <w:r w:rsidRPr="005E6D70">
              <w:rPr>
                <w:rFonts w:ascii="Times New Roman" w:eastAsia="Calibri" w:hAnsi="Times New Roman" w:cs="Times New Roman"/>
                <w:iCs/>
                <w:sz w:val="18"/>
                <w:szCs w:val="18"/>
                <w:lang w:val="en-GB"/>
              </w:rPr>
              <w:t>a) “disallowed accrual” means:</w:t>
            </w:r>
          </w:p>
          <w:p w14:paraId="7219E2AD" w14:textId="77777777" w:rsidR="00465215" w:rsidRPr="005E6D70" w:rsidRDefault="00465215" w:rsidP="009170D4">
            <w:pPr>
              <w:jc w:val="both"/>
              <w:rPr>
                <w:rFonts w:ascii="Times New Roman" w:eastAsia="Calibri" w:hAnsi="Times New Roman" w:cs="Times New Roman"/>
                <w:iCs/>
                <w:sz w:val="18"/>
                <w:szCs w:val="18"/>
                <w:lang w:val="en-GB"/>
              </w:rPr>
            </w:pPr>
          </w:p>
          <w:p w14:paraId="6619F404" w14:textId="77777777" w:rsidR="00465215" w:rsidRPr="005E6D70" w:rsidRDefault="00465215" w:rsidP="009170D4">
            <w:pPr>
              <w:jc w:val="both"/>
              <w:rPr>
                <w:rFonts w:ascii="Times New Roman" w:eastAsia="Calibri" w:hAnsi="Times New Roman" w:cs="Times New Roman"/>
                <w:iCs/>
                <w:sz w:val="18"/>
                <w:szCs w:val="18"/>
                <w:lang w:val="en-GB"/>
              </w:rPr>
            </w:pPr>
            <w:r w:rsidRPr="005E6D70">
              <w:rPr>
                <w:rFonts w:ascii="Times New Roman" w:eastAsia="Calibri" w:hAnsi="Times New Roman" w:cs="Times New Roman"/>
                <w:iCs/>
                <w:sz w:val="18"/>
                <w:szCs w:val="18"/>
                <w:lang w:val="en-GB"/>
              </w:rPr>
              <w:t>(i) any movement in deferred tax expense accrued in the financial accounts of a constituent entity which relates to an uncertain tax position; and</w:t>
            </w:r>
          </w:p>
          <w:p w14:paraId="0CB33052" w14:textId="77777777" w:rsidR="00465215" w:rsidRPr="005E6D70" w:rsidRDefault="00465215" w:rsidP="009170D4">
            <w:pPr>
              <w:jc w:val="both"/>
              <w:rPr>
                <w:rFonts w:ascii="Times New Roman" w:eastAsia="Calibri" w:hAnsi="Times New Roman" w:cs="Times New Roman"/>
                <w:iCs/>
                <w:sz w:val="18"/>
                <w:szCs w:val="18"/>
                <w:lang w:val="en-GB"/>
              </w:rPr>
            </w:pPr>
          </w:p>
          <w:p w14:paraId="51517EB9" w14:textId="77777777" w:rsidR="00465215" w:rsidRPr="005E6D70" w:rsidRDefault="00465215" w:rsidP="009170D4">
            <w:pPr>
              <w:jc w:val="both"/>
              <w:rPr>
                <w:rFonts w:ascii="Times New Roman" w:eastAsia="Calibri" w:hAnsi="Times New Roman" w:cs="Times New Roman"/>
                <w:iCs/>
                <w:sz w:val="18"/>
                <w:szCs w:val="18"/>
                <w:lang w:val="en-GB"/>
              </w:rPr>
            </w:pPr>
            <w:r w:rsidRPr="005E6D70">
              <w:rPr>
                <w:rFonts w:ascii="Times New Roman" w:eastAsia="Calibri" w:hAnsi="Times New Roman" w:cs="Times New Roman"/>
                <w:iCs/>
                <w:sz w:val="18"/>
                <w:szCs w:val="18"/>
                <w:lang w:val="en-GB"/>
              </w:rPr>
              <w:t>(ii) any movement in deferred tax expense accrued in the financial accounts of a constituent entity which relates to distributions from a constituent entity;</w:t>
            </w:r>
          </w:p>
        </w:tc>
        <w:tc>
          <w:tcPr>
            <w:tcW w:w="1800" w:type="dxa"/>
            <w:gridSpan w:val="2"/>
          </w:tcPr>
          <w:p w14:paraId="3E775D3E"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0440EBCB"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022559E7" w14:textId="77777777" w:rsidTr="009170D4">
        <w:tc>
          <w:tcPr>
            <w:tcW w:w="810" w:type="dxa"/>
          </w:tcPr>
          <w:p w14:paraId="79A8E43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22(1b)</w:t>
            </w:r>
          </w:p>
        </w:tc>
        <w:tc>
          <w:tcPr>
            <w:tcW w:w="5040" w:type="dxa"/>
            <w:gridSpan w:val="2"/>
          </w:tcPr>
          <w:p w14:paraId="5F46F22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(b) ‘unclaimed accrual’ means any increase in a deferred tax liability recorded in the financial accounts of a constituent entity for a fiscal year that is not expected to be paid within the time period </w:t>
            </w:r>
            <w:r w:rsidRPr="005E6D70">
              <w:rPr>
                <w:rFonts w:ascii="Times New Roman" w:eastAsia="Calibri" w:hAnsi="Times New Roman" w:cs="Times New Roman"/>
                <w:iCs/>
                <w:sz w:val="18"/>
                <w:szCs w:val="18"/>
                <w:lang w:val="en-US"/>
              </w:rPr>
              <w:lastRenderedPageBreak/>
              <w:t>set out in paragraph 7 of this Article and which the filing constituent entity annually elects, in accordance with Article 45(2), not to include in the total deferred tax adjustment amount for such fiscal year.</w:t>
            </w:r>
          </w:p>
        </w:tc>
        <w:tc>
          <w:tcPr>
            <w:tcW w:w="810" w:type="dxa"/>
          </w:tcPr>
          <w:p w14:paraId="3FC4D7F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7D9D62E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22(1)(b)</w:t>
            </w:r>
          </w:p>
        </w:tc>
        <w:tc>
          <w:tcPr>
            <w:tcW w:w="4680" w:type="dxa"/>
            <w:gridSpan w:val="2"/>
          </w:tcPr>
          <w:p w14:paraId="19E96CFA" w14:textId="77777777" w:rsidR="00465215" w:rsidRPr="005E6D70" w:rsidRDefault="00465215" w:rsidP="009170D4">
            <w:pPr>
              <w:spacing w:after="160" w:line="259" w:lineRule="auto"/>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rPr>
              <w:t xml:space="preserve">b) “unclaimed accrual” means any increase in a deferred tax liability recorded in the financial accounts of a constituent entity for a fiscal year that is not expected to be paid within </w:t>
            </w:r>
            <w:r w:rsidRPr="005E6D70">
              <w:rPr>
                <w:rFonts w:ascii="Times New Roman" w:eastAsia="Calibri" w:hAnsi="Times New Roman" w:cs="Times New Roman"/>
                <w:iCs/>
                <w:sz w:val="18"/>
                <w:szCs w:val="18"/>
              </w:rPr>
              <w:lastRenderedPageBreak/>
              <w:t>the time period set out in paragraph 7, of this Article, and for which the filing constituent entity annually elects, in accordance with paragraph 3, of Article 55, of this Law, not to include in the total deferred tax adjustment amount for such fiscal year.</w:t>
            </w:r>
          </w:p>
        </w:tc>
        <w:tc>
          <w:tcPr>
            <w:tcW w:w="1800" w:type="dxa"/>
            <w:gridSpan w:val="2"/>
          </w:tcPr>
          <w:p w14:paraId="2B0679EE"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32806166"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Direct transposition with local </w:t>
            </w:r>
            <w:r w:rsidRPr="005E6D70">
              <w:rPr>
                <w:rFonts w:ascii="Times New Roman" w:eastAsia="Calibri" w:hAnsi="Times New Roman" w:cs="Times New Roman"/>
                <w:iCs/>
                <w:sz w:val="18"/>
                <w:szCs w:val="18"/>
                <w:lang w:val="en-US"/>
              </w:rPr>
              <w:lastRenderedPageBreak/>
              <w:t>drafting adaptations (updating cross-references).</w:t>
            </w:r>
          </w:p>
        </w:tc>
      </w:tr>
      <w:tr w:rsidR="00465215" w:rsidRPr="005E6D70" w14:paraId="5070EF24" w14:textId="77777777" w:rsidTr="009170D4">
        <w:tc>
          <w:tcPr>
            <w:tcW w:w="810" w:type="dxa"/>
          </w:tcPr>
          <w:p w14:paraId="6DF6B03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22(2)</w:t>
            </w:r>
          </w:p>
        </w:tc>
        <w:tc>
          <w:tcPr>
            <w:tcW w:w="5040" w:type="dxa"/>
            <w:gridSpan w:val="2"/>
          </w:tcPr>
          <w:p w14:paraId="2BD2D16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Where the tax rate applied for the purpose of computing the deferred tax expense is equal or below the minimum tax rate, the total deferred tax adjustment amount to be added to the adjusted covered taxes of a constituent entity for a fiscal year pursuant to Article 21(1), point (b), shall be the deferred tax expense accrued in its financial accounts with respect to covered taxes, subject to the adjustments under paragraphs 3 to 6 of this Article.</w:t>
            </w:r>
          </w:p>
          <w:p w14:paraId="51B909DB" w14:textId="77777777" w:rsidR="00465215" w:rsidRPr="005E6D70" w:rsidRDefault="00465215" w:rsidP="009170D4">
            <w:pPr>
              <w:jc w:val="both"/>
              <w:rPr>
                <w:rFonts w:ascii="Times New Roman" w:eastAsia="Calibri" w:hAnsi="Times New Roman" w:cs="Times New Roman"/>
                <w:iCs/>
                <w:sz w:val="18"/>
                <w:szCs w:val="18"/>
                <w:lang w:val="en-US"/>
              </w:rPr>
            </w:pPr>
          </w:p>
          <w:p w14:paraId="42BBE66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Where the tax rate applied for the purpose of computing the deferred tax expense is above the minimum tax rate, the total deferred tax adjustment amount to be added to the adjusted covered taxes of a constituent entity</w:t>
            </w:r>
          </w:p>
          <w:p w14:paraId="3D83FBE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for a fiscal year pursuant to Article 21(1), point (b), shall be the deferred tax expense accrued in its financial accounts with respect to covered taxes recast at the minimum tax rate, subject to the adjustments under paragraphs 3 to 6 of this Article.</w:t>
            </w:r>
          </w:p>
        </w:tc>
        <w:tc>
          <w:tcPr>
            <w:tcW w:w="810" w:type="dxa"/>
          </w:tcPr>
          <w:p w14:paraId="0B64978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2D14F2A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22(2)</w:t>
            </w:r>
          </w:p>
        </w:tc>
        <w:tc>
          <w:tcPr>
            <w:tcW w:w="4680" w:type="dxa"/>
            <w:gridSpan w:val="2"/>
          </w:tcPr>
          <w:p w14:paraId="17ACB7E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For the computation of the total deferred tax adjustment amount to be added to the adjusted covered taxes of a constituent entity for a fiscal year pursuant to letter “b”, of paragraph 1, of Article 21, of this Law, the following rules shall apply:</w:t>
            </w:r>
          </w:p>
          <w:p w14:paraId="5817A8E0" w14:textId="77777777" w:rsidR="00465215" w:rsidRPr="005E6D70" w:rsidRDefault="00465215" w:rsidP="009170D4">
            <w:pPr>
              <w:jc w:val="both"/>
              <w:rPr>
                <w:rFonts w:ascii="Times New Roman" w:eastAsia="Calibri" w:hAnsi="Times New Roman" w:cs="Times New Roman"/>
                <w:iCs/>
                <w:sz w:val="18"/>
                <w:szCs w:val="18"/>
                <w:lang w:val="en-US"/>
              </w:rPr>
            </w:pPr>
          </w:p>
          <w:p w14:paraId="1EB68DA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where the tax rate applied for the purpose of computing the deferred tax expense is equal or below the minimum tax rate, the total deferred tax adjustment amount shall be the deferred tax expense accrued in its financial accounts with respect to covered taxes, subject to the adjustments under paragraphs 3 to 6, of this Article;</w:t>
            </w:r>
          </w:p>
          <w:p w14:paraId="5C658900" w14:textId="77777777" w:rsidR="00465215" w:rsidRPr="005E6D70" w:rsidRDefault="00465215" w:rsidP="009170D4">
            <w:pPr>
              <w:jc w:val="both"/>
              <w:rPr>
                <w:rFonts w:ascii="Times New Roman" w:eastAsia="Calibri" w:hAnsi="Times New Roman" w:cs="Times New Roman"/>
                <w:iCs/>
                <w:sz w:val="18"/>
                <w:szCs w:val="18"/>
                <w:lang w:val="en-US"/>
              </w:rPr>
            </w:pPr>
          </w:p>
          <w:p w14:paraId="3E45A17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where the tax rate applied for the purpose of computing the deferred tax expense is above the minimum tax rate, the total deferred tax adjustment amount shall be the deferred tax expense accrued in its financial accounts with respect to covered taxes recast at the minimum tax rate, subject to the adjustments under paragraphs 3 to 6, of this Article.</w:t>
            </w:r>
          </w:p>
          <w:p w14:paraId="10500B41" w14:textId="77777777" w:rsidR="00465215" w:rsidRPr="005E6D70" w:rsidRDefault="00465215" w:rsidP="009170D4">
            <w:pPr>
              <w:jc w:val="both"/>
              <w:rPr>
                <w:rFonts w:ascii="Times New Roman" w:eastAsia="Calibri" w:hAnsi="Times New Roman" w:cs="Times New Roman"/>
                <w:iCs/>
                <w:sz w:val="18"/>
                <w:szCs w:val="18"/>
                <w:lang w:val="en-US"/>
              </w:rPr>
            </w:pPr>
          </w:p>
        </w:tc>
        <w:tc>
          <w:tcPr>
            <w:tcW w:w="1800" w:type="dxa"/>
            <w:gridSpan w:val="2"/>
          </w:tcPr>
          <w:p w14:paraId="69CC78DA"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644544E5"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consolidation for national legislative compliance. The unnumbered subparagraphs are reformatted into an introductory sentence followed by a lettered list, maintaining direct transposition in substance.</w:t>
            </w:r>
          </w:p>
        </w:tc>
      </w:tr>
      <w:tr w:rsidR="00465215" w:rsidRPr="005E6D70" w14:paraId="1C307224" w14:textId="77777777" w:rsidTr="009170D4">
        <w:trPr>
          <w:trHeight w:val="323"/>
        </w:trPr>
        <w:tc>
          <w:tcPr>
            <w:tcW w:w="810" w:type="dxa"/>
          </w:tcPr>
          <w:p w14:paraId="17930BC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22(3)</w:t>
            </w:r>
          </w:p>
        </w:tc>
        <w:tc>
          <w:tcPr>
            <w:tcW w:w="5040" w:type="dxa"/>
            <w:gridSpan w:val="2"/>
          </w:tcPr>
          <w:p w14:paraId="7F3780A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The total deferred tax adjustment amount shall be increased by:</w:t>
            </w:r>
          </w:p>
        </w:tc>
        <w:tc>
          <w:tcPr>
            <w:tcW w:w="810" w:type="dxa"/>
          </w:tcPr>
          <w:p w14:paraId="0F4F325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6C4B7CA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22(3)</w:t>
            </w:r>
          </w:p>
        </w:tc>
        <w:tc>
          <w:tcPr>
            <w:tcW w:w="4680" w:type="dxa"/>
            <w:gridSpan w:val="2"/>
          </w:tcPr>
          <w:p w14:paraId="26F9602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The total deferred tax adjustment amount shall be increased by:</w:t>
            </w:r>
          </w:p>
        </w:tc>
        <w:tc>
          <w:tcPr>
            <w:tcW w:w="1800" w:type="dxa"/>
            <w:gridSpan w:val="2"/>
          </w:tcPr>
          <w:p w14:paraId="47EB1B47"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21823B7A"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2B16070F" w14:textId="77777777" w:rsidTr="009170D4">
        <w:tc>
          <w:tcPr>
            <w:tcW w:w="810" w:type="dxa"/>
          </w:tcPr>
          <w:p w14:paraId="0997991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22(3a)</w:t>
            </w:r>
          </w:p>
        </w:tc>
        <w:tc>
          <w:tcPr>
            <w:tcW w:w="5040" w:type="dxa"/>
            <w:gridSpan w:val="2"/>
          </w:tcPr>
          <w:p w14:paraId="17D98C5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any amount of disallowed accrual or unclaimed accrual paid during the fiscal year; and</w:t>
            </w:r>
          </w:p>
        </w:tc>
        <w:tc>
          <w:tcPr>
            <w:tcW w:w="810" w:type="dxa"/>
          </w:tcPr>
          <w:p w14:paraId="0FE9657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07E6056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22(3)(a)</w:t>
            </w:r>
          </w:p>
        </w:tc>
        <w:tc>
          <w:tcPr>
            <w:tcW w:w="4680" w:type="dxa"/>
            <w:gridSpan w:val="2"/>
          </w:tcPr>
          <w:p w14:paraId="1E6A40B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any amount of disallowed accrual or unclaimed accrual paid during the fiscal year; and</w:t>
            </w:r>
          </w:p>
        </w:tc>
        <w:tc>
          <w:tcPr>
            <w:tcW w:w="1800" w:type="dxa"/>
            <w:gridSpan w:val="2"/>
          </w:tcPr>
          <w:p w14:paraId="6D40C54D"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68DE169A"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79BD643E" w14:textId="77777777" w:rsidTr="009170D4">
        <w:tc>
          <w:tcPr>
            <w:tcW w:w="810" w:type="dxa"/>
          </w:tcPr>
          <w:p w14:paraId="0719A09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22(3b)</w:t>
            </w:r>
          </w:p>
        </w:tc>
        <w:tc>
          <w:tcPr>
            <w:tcW w:w="5040" w:type="dxa"/>
            <w:gridSpan w:val="2"/>
          </w:tcPr>
          <w:p w14:paraId="7D33A2E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any amount of recaptured deferred tax liability determined in a preceding fiscal year that has been paid during the fiscal year.</w:t>
            </w:r>
          </w:p>
        </w:tc>
        <w:tc>
          <w:tcPr>
            <w:tcW w:w="810" w:type="dxa"/>
          </w:tcPr>
          <w:p w14:paraId="40FCE85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4169E71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22(3)(b)</w:t>
            </w:r>
          </w:p>
        </w:tc>
        <w:tc>
          <w:tcPr>
            <w:tcW w:w="4680" w:type="dxa"/>
            <w:gridSpan w:val="2"/>
          </w:tcPr>
          <w:p w14:paraId="16D3FC0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any amount of recaptured deferred tax liability determined in a preceding fiscal year that has been paid during the fiscal year.</w:t>
            </w:r>
          </w:p>
        </w:tc>
        <w:tc>
          <w:tcPr>
            <w:tcW w:w="1800" w:type="dxa"/>
            <w:gridSpan w:val="2"/>
          </w:tcPr>
          <w:p w14:paraId="5D789718"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76496BE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1D38E882" w14:textId="77777777" w:rsidTr="009170D4">
        <w:tc>
          <w:tcPr>
            <w:tcW w:w="810" w:type="dxa"/>
          </w:tcPr>
          <w:p w14:paraId="71BB8AF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22(4)</w:t>
            </w:r>
          </w:p>
        </w:tc>
        <w:tc>
          <w:tcPr>
            <w:tcW w:w="5040" w:type="dxa"/>
            <w:gridSpan w:val="2"/>
          </w:tcPr>
          <w:p w14:paraId="42CE397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 Where, for a fiscal year, a loss deferred tax asset is not recognised in the financial accounts because the recognition criteria are not met, the total deferred tax adjustment amount shall be reduced by the amount that would have reduced the total deferred tax adjustment amount if a loss deferred tax asset for the fiscal year had been accrued.</w:t>
            </w:r>
          </w:p>
        </w:tc>
        <w:tc>
          <w:tcPr>
            <w:tcW w:w="810" w:type="dxa"/>
          </w:tcPr>
          <w:p w14:paraId="7C7F2BB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5BD397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22(4)</w:t>
            </w:r>
          </w:p>
        </w:tc>
        <w:tc>
          <w:tcPr>
            <w:tcW w:w="4680" w:type="dxa"/>
            <w:gridSpan w:val="2"/>
          </w:tcPr>
          <w:p w14:paraId="37525B6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Where, for a fiscal year, a loss deferred tax asset is not recognised in the financial accounts because the recognition criteria are not met, the total deferred tax adjustment amount shall be reduced by the amount that would have reduced the total deferred tax adjustment amount if a loss deferred tax asset for the fiscal year had been accrued.</w:t>
            </w:r>
          </w:p>
        </w:tc>
        <w:tc>
          <w:tcPr>
            <w:tcW w:w="1800" w:type="dxa"/>
            <w:gridSpan w:val="2"/>
          </w:tcPr>
          <w:p w14:paraId="6D886736"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24EC6DB1"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3A0D6CD1" w14:textId="77777777" w:rsidTr="009170D4">
        <w:tc>
          <w:tcPr>
            <w:tcW w:w="810" w:type="dxa"/>
          </w:tcPr>
          <w:p w14:paraId="2B3C887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22(5)</w:t>
            </w:r>
          </w:p>
        </w:tc>
        <w:tc>
          <w:tcPr>
            <w:tcW w:w="5040" w:type="dxa"/>
            <w:gridSpan w:val="2"/>
          </w:tcPr>
          <w:p w14:paraId="4C4BEA6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5. The total deferred tax adjustment amount shall not include:</w:t>
            </w:r>
          </w:p>
        </w:tc>
        <w:tc>
          <w:tcPr>
            <w:tcW w:w="810" w:type="dxa"/>
          </w:tcPr>
          <w:p w14:paraId="176CAC4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F1A6D2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22(5)</w:t>
            </w:r>
          </w:p>
        </w:tc>
        <w:tc>
          <w:tcPr>
            <w:tcW w:w="4680" w:type="dxa"/>
            <w:gridSpan w:val="2"/>
          </w:tcPr>
          <w:p w14:paraId="73DB061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5. The total deferred tax adjustment amount shall not include:</w:t>
            </w:r>
          </w:p>
        </w:tc>
        <w:tc>
          <w:tcPr>
            <w:tcW w:w="1800" w:type="dxa"/>
            <w:gridSpan w:val="2"/>
          </w:tcPr>
          <w:p w14:paraId="3485FA79"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12E6C482"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262DF0A2" w14:textId="77777777" w:rsidTr="009170D4">
        <w:tc>
          <w:tcPr>
            <w:tcW w:w="810" w:type="dxa"/>
          </w:tcPr>
          <w:p w14:paraId="3014739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22(5a)</w:t>
            </w:r>
          </w:p>
        </w:tc>
        <w:tc>
          <w:tcPr>
            <w:tcW w:w="5040" w:type="dxa"/>
            <w:gridSpan w:val="2"/>
          </w:tcPr>
          <w:p w14:paraId="1BA3C77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the amount of deferred tax expense with respect to items excluded from the computation of qualifying income or loss under Chapter III;</w:t>
            </w:r>
          </w:p>
        </w:tc>
        <w:tc>
          <w:tcPr>
            <w:tcW w:w="810" w:type="dxa"/>
          </w:tcPr>
          <w:p w14:paraId="7527147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7749E27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22(5)(a)</w:t>
            </w:r>
          </w:p>
        </w:tc>
        <w:tc>
          <w:tcPr>
            <w:tcW w:w="4680" w:type="dxa"/>
            <w:gridSpan w:val="2"/>
          </w:tcPr>
          <w:p w14:paraId="6881CE2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the amount of deferred tax expense with respect to items excluded from the computation of qualifying income or loss under Chapter III, of this Law;</w:t>
            </w:r>
          </w:p>
        </w:tc>
        <w:tc>
          <w:tcPr>
            <w:tcW w:w="1800" w:type="dxa"/>
            <w:gridSpan w:val="2"/>
          </w:tcPr>
          <w:p w14:paraId="56CF007E"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5E52B671"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796BD145" w14:textId="77777777" w:rsidTr="009170D4">
        <w:tc>
          <w:tcPr>
            <w:tcW w:w="810" w:type="dxa"/>
          </w:tcPr>
          <w:p w14:paraId="4B7539B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22(5b)</w:t>
            </w:r>
          </w:p>
        </w:tc>
        <w:tc>
          <w:tcPr>
            <w:tcW w:w="5040" w:type="dxa"/>
            <w:gridSpan w:val="2"/>
          </w:tcPr>
          <w:p w14:paraId="6B32EFA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the amount of deferred tax expense with respect to disallowed accruals and unclaimed accruals;</w:t>
            </w:r>
          </w:p>
        </w:tc>
        <w:tc>
          <w:tcPr>
            <w:tcW w:w="810" w:type="dxa"/>
          </w:tcPr>
          <w:p w14:paraId="1C21986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4FE0E8F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22(5)(b)</w:t>
            </w:r>
          </w:p>
        </w:tc>
        <w:tc>
          <w:tcPr>
            <w:tcW w:w="4680" w:type="dxa"/>
            <w:gridSpan w:val="2"/>
          </w:tcPr>
          <w:p w14:paraId="0255DFA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the amount of deferred tax expense with respect to disallowed accruals and unclaimed accruals;</w:t>
            </w:r>
          </w:p>
        </w:tc>
        <w:tc>
          <w:tcPr>
            <w:tcW w:w="1800" w:type="dxa"/>
            <w:gridSpan w:val="2"/>
          </w:tcPr>
          <w:p w14:paraId="33723C5F"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4082EA85"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62DCAE87" w14:textId="77777777" w:rsidTr="009170D4">
        <w:tc>
          <w:tcPr>
            <w:tcW w:w="810" w:type="dxa"/>
          </w:tcPr>
          <w:p w14:paraId="384845E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22(5c)</w:t>
            </w:r>
          </w:p>
        </w:tc>
        <w:tc>
          <w:tcPr>
            <w:tcW w:w="5040" w:type="dxa"/>
            <w:gridSpan w:val="2"/>
          </w:tcPr>
          <w:p w14:paraId="47AF19F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the impact of a valuation adjustment or accounting recognition adjustment with respect to a deferred tax asset;</w:t>
            </w:r>
          </w:p>
        </w:tc>
        <w:tc>
          <w:tcPr>
            <w:tcW w:w="810" w:type="dxa"/>
          </w:tcPr>
          <w:p w14:paraId="2384118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1CA0C74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22(5)(c)</w:t>
            </w:r>
          </w:p>
        </w:tc>
        <w:tc>
          <w:tcPr>
            <w:tcW w:w="4680" w:type="dxa"/>
            <w:gridSpan w:val="2"/>
          </w:tcPr>
          <w:p w14:paraId="5F0AA05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the impact of a valuation adjustment or accounting recognition adjustment with respect to a deferred tax asset;</w:t>
            </w:r>
          </w:p>
        </w:tc>
        <w:tc>
          <w:tcPr>
            <w:tcW w:w="1800" w:type="dxa"/>
            <w:gridSpan w:val="2"/>
          </w:tcPr>
          <w:p w14:paraId="35B66C32"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261894A"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45A7F92E" w14:textId="77777777" w:rsidTr="009170D4">
        <w:tc>
          <w:tcPr>
            <w:tcW w:w="810" w:type="dxa"/>
          </w:tcPr>
          <w:p w14:paraId="4720584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22(5d)</w:t>
            </w:r>
          </w:p>
        </w:tc>
        <w:tc>
          <w:tcPr>
            <w:tcW w:w="5040" w:type="dxa"/>
            <w:gridSpan w:val="2"/>
          </w:tcPr>
          <w:p w14:paraId="3EE81AA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(d) the amount of deferred tax expense arising from a re-measurement with respect to a change in the applicable domestic tax rate; and</w:t>
            </w:r>
          </w:p>
        </w:tc>
        <w:tc>
          <w:tcPr>
            <w:tcW w:w="810" w:type="dxa"/>
          </w:tcPr>
          <w:p w14:paraId="69523CB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12F1565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22(5)(d)</w:t>
            </w:r>
          </w:p>
        </w:tc>
        <w:tc>
          <w:tcPr>
            <w:tcW w:w="4680" w:type="dxa"/>
            <w:gridSpan w:val="2"/>
          </w:tcPr>
          <w:p w14:paraId="4F88F64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the amount of deferred tax expense arising from a re-measurement with respect to a change in the applicable domestic tax rate; and</w:t>
            </w:r>
          </w:p>
        </w:tc>
        <w:tc>
          <w:tcPr>
            <w:tcW w:w="1800" w:type="dxa"/>
            <w:gridSpan w:val="2"/>
          </w:tcPr>
          <w:p w14:paraId="545C087C"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69BE53F6"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4E2D42D8" w14:textId="77777777" w:rsidTr="009170D4">
        <w:tc>
          <w:tcPr>
            <w:tcW w:w="810" w:type="dxa"/>
          </w:tcPr>
          <w:p w14:paraId="580F3A5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22(5e)</w:t>
            </w:r>
          </w:p>
        </w:tc>
        <w:tc>
          <w:tcPr>
            <w:tcW w:w="5040" w:type="dxa"/>
            <w:gridSpan w:val="2"/>
          </w:tcPr>
          <w:p w14:paraId="5B3F0E2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(e) the amount of deferred tax expense with respect to the generation and use of tax credits.</w:t>
            </w:r>
          </w:p>
        </w:tc>
        <w:tc>
          <w:tcPr>
            <w:tcW w:w="810" w:type="dxa"/>
          </w:tcPr>
          <w:p w14:paraId="1D0DC3A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416E7C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22(5)(e)</w:t>
            </w:r>
          </w:p>
        </w:tc>
        <w:tc>
          <w:tcPr>
            <w:tcW w:w="4680" w:type="dxa"/>
            <w:gridSpan w:val="2"/>
          </w:tcPr>
          <w:p w14:paraId="6DC7AE6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e) the amount of deferred tax expense with respect to the generation and use of tax credits.</w:t>
            </w:r>
          </w:p>
        </w:tc>
        <w:tc>
          <w:tcPr>
            <w:tcW w:w="1800" w:type="dxa"/>
            <w:gridSpan w:val="2"/>
          </w:tcPr>
          <w:p w14:paraId="207A0307"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03D2EF26"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242DF750" w14:textId="77777777" w:rsidTr="009170D4">
        <w:tc>
          <w:tcPr>
            <w:tcW w:w="810" w:type="dxa"/>
          </w:tcPr>
          <w:p w14:paraId="396A419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22(6)</w:t>
            </w:r>
          </w:p>
        </w:tc>
        <w:tc>
          <w:tcPr>
            <w:tcW w:w="5040" w:type="dxa"/>
            <w:gridSpan w:val="2"/>
          </w:tcPr>
          <w:p w14:paraId="3C6337F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 Where a deferred tax asset that is attributable to a qualifying loss of a constituent entity has been recorded for a fiscal year at a rate lower than the minimum tax rate, it may be recast at the minimum tax rate in the same fiscal year, provided that the taxpayer is able to demonstrate that the deferred tax asset is attributable to a qualifying loss.</w:t>
            </w:r>
          </w:p>
          <w:p w14:paraId="4567C199" w14:textId="77777777" w:rsidR="00465215" w:rsidRPr="005E6D70" w:rsidRDefault="00465215" w:rsidP="009170D4">
            <w:pPr>
              <w:jc w:val="both"/>
              <w:rPr>
                <w:rFonts w:ascii="Times New Roman" w:eastAsia="Calibri" w:hAnsi="Times New Roman" w:cs="Times New Roman"/>
                <w:iCs/>
                <w:sz w:val="18"/>
                <w:szCs w:val="18"/>
                <w:lang w:val="en-US"/>
              </w:rPr>
            </w:pPr>
          </w:p>
          <w:p w14:paraId="387AD88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Where a deferred tax asset is increased pursuant to the first subparagraph, the total deferred tax adjustment amount shall be reduced accordingly.</w:t>
            </w:r>
          </w:p>
        </w:tc>
        <w:tc>
          <w:tcPr>
            <w:tcW w:w="810" w:type="dxa"/>
          </w:tcPr>
          <w:p w14:paraId="5BD0C97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73CDDD0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22(6)</w:t>
            </w:r>
          </w:p>
        </w:tc>
        <w:tc>
          <w:tcPr>
            <w:tcW w:w="4680" w:type="dxa"/>
            <w:gridSpan w:val="2"/>
          </w:tcPr>
          <w:p w14:paraId="3BA6417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 The deferred tax asset attributable to a qualifying loss shall be subject to the following rules:</w:t>
            </w:r>
          </w:p>
          <w:p w14:paraId="742A7B45" w14:textId="77777777" w:rsidR="00465215" w:rsidRPr="005E6D70" w:rsidRDefault="00465215" w:rsidP="009170D4">
            <w:pPr>
              <w:jc w:val="both"/>
              <w:rPr>
                <w:rFonts w:ascii="Times New Roman" w:eastAsia="Calibri" w:hAnsi="Times New Roman" w:cs="Times New Roman"/>
                <w:iCs/>
                <w:sz w:val="18"/>
                <w:szCs w:val="18"/>
                <w:lang w:val="en-US"/>
              </w:rPr>
            </w:pPr>
          </w:p>
          <w:p w14:paraId="1CC80EB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where a deferred tax asset that is attributable to a qualifying loss of a constituent entity has been recorded for a fiscal year at a rate lower than the minimum tax rate, it may be recast at the minimum tax rate in the same fiscal year, provided that the taxpayer is able to demonstrate that the deferred tax asset is attributable to a qualifying loss;</w:t>
            </w:r>
          </w:p>
          <w:p w14:paraId="41EA2820" w14:textId="77777777" w:rsidR="00465215" w:rsidRPr="005E6D70" w:rsidRDefault="00465215" w:rsidP="009170D4">
            <w:pPr>
              <w:jc w:val="both"/>
              <w:rPr>
                <w:rFonts w:ascii="Times New Roman" w:eastAsia="Calibri" w:hAnsi="Times New Roman" w:cs="Times New Roman"/>
                <w:iCs/>
                <w:sz w:val="18"/>
                <w:szCs w:val="18"/>
                <w:lang w:val="en-US"/>
              </w:rPr>
            </w:pPr>
          </w:p>
          <w:p w14:paraId="4F1227B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where a deferred tax asset is increased pursuant to letter “a”, of this paragraph, the total deferred tax adjustment amount shall be reduced accordingly.</w:t>
            </w:r>
          </w:p>
        </w:tc>
        <w:tc>
          <w:tcPr>
            <w:tcW w:w="1800" w:type="dxa"/>
            <w:gridSpan w:val="2"/>
          </w:tcPr>
          <w:p w14:paraId="0689A9DD"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6A4640B9"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consolidation for national legislative compliance. The unnumbered subparagraphs are reformatted into an introductory sentence followed by a lettered list.</w:t>
            </w:r>
          </w:p>
        </w:tc>
      </w:tr>
      <w:tr w:rsidR="00465215" w:rsidRPr="005E6D70" w14:paraId="34247955" w14:textId="77777777" w:rsidTr="009170D4">
        <w:tc>
          <w:tcPr>
            <w:tcW w:w="810" w:type="dxa"/>
          </w:tcPr>
          <w:p w14:paraId="1275867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22(7)</w:t>
            </w:r>
          </w:p>
        </w:tc>
        <w:tc>
          <w:tcPr>
            <w:tcW w:w="5040" w:type="dxa"/>
            <w:gridSpan w:val="2"/>
          </w:tcPr>
          <w:p w14:paraId="41B3506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7. A deferred tax liability that is not reversed and whose amount is not paid within the five subsequent fiscal years shall be recaptured to the extent it was taken into account in the total deferred tax adjustment amount of a constituent entity.</w:t>
            </w:r>
          </w:p>
          <w:p w14:paraId="171F5CFA" w14:textId="77777777" w:rsidR="00465215" w:rsidRPr="005E6D70" w:rsidRDefault="00465215" w:rsidP="009170D4">
            <w:pPr>
              <w:jc w:val="both"/>
              <w:rPr>
                <w:rFonts w:ascii="Times New Roman" w:eastAsia="Calibri" w:hAnsi="Times New Roman" w:cs="Times New Roman"/>
                <w:iCs/>
                <w:sz w:val="18"/>
                <w:szCs w:val="18"/>
                <w:lang w:val="en-US"/>
              </w:rPr>
            </w:pPr>
          </w:p>
          <w:p w14:paraId="293E9E1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The amount of the recaptured deferred tax liability determined for the current fiscal year shall be treated as a reduction to the covered taxes in the fifth fiscal year preceding the current fiscal year, and the effective tax rate and top-up tax of that fiscal year shall be recomputed in accordance with Article 29(1). The recaptured </w:t>
            </w:r>
            <w:r w:rsidRPr="005E6D70">
              <w:rPr>
                <w:rFonts w:ascii="Times New Roman" w:eastAsia="Calibri" w:hAnsi="Times New Roman" w:cs="Times New Roman"/>
                <w:iCs/>
                <w:sz w:val="18"/>
                <w:szCs w:val="18"/>
                <w:lang w:val="en-US"/>
              </w:rPr>
              <w:lastRenderedPageBreak/>
              <w:t>deferred tax liability for the current fiscal year shall be the amount of the increase in the category of deferred tax liability that was included in the total deferred tax adjustment amount in the fifth fiscal year preceding the current fiscal year that has not reversed by the end of the last day of the current fiscal year.</w:t>
            </w:r>
          </w:p>
        </w:tc>
        <w:tc>
          <w:tcPr>
            <w:tcW w:w="810" w:type="dxa"/>
          </w:tcPr>
          <w:p w14:paraId="6243A5D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583DAF2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22(7)</w:t>
            </w:r>
          </w:p>
        </w:tc>
        <w:tc>
          <w:tcPr>
            <w:tcW w:w="4680" w:type="dxa"/>
            <w:gridSpan w:val="2"/>
          </w:tcPr>
          <w:p w14:paraId="5176202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7. The recapture of a deferred tax liability shall be subject to the following rules:</w:t>
            </w:r>
          </w:p>
          <w:p w14:paraId="3BBD151F" w14:textId="77777777" w:rsidR="00465215" w:rsidRPr="005E6D70" w:rsidRDefault="00465215" w:rsidP="009170D4">
            <w:pPr>
              <w:jc w:val="both"/>
              <w:rPr>
                <w:rFonts w:ascii="Times New Roman" w:eastAsia="Calibri" w:hAnsi="Times New Roman" w:cs="Times New Roman"/>
                <w:iCs/>
                <w:sz w:val="18"/>
                <w:szCs w:val="18"/>
                <w:lang w:val="en-US"/>
              </w:rPr>
            </w:pPr>
          </w:p>
          <w:p w14:paraId="5FE017A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a deferred tax liability that is not reversed and whose amount is not paid within the five subsequent fiscal years shall be recaptured to the extent it was taken into account in the total deferred tax adjustment amount of a constituent entity;</w:t>
            </w:r>
          </w:p>
          <w:p w14:paraId="32F785BB" w14:textId="77777777" w:rsidR="00465215" w:rsidRPr="005E6D70" w:rsidRDefault="00465215" w:rsidP="009170D4">
            <w:pPr>
              <w:jc w:val="both"/>
              <w:rPr>
                <w:rFonts w:ascii="Times New Roman" w:eastAsia="Calibri" w:hAnsi="Times New Roman" w:cs="Times New Roman"/>
                <w:iCs/>
                <w:sz w:val="18"/>
                <w:szCs w:val="18"/>
                <w:lang w:val="en-US"/>
              </w:rPr>
            </w:pPr>
          </w:p>
          <w:p w14:paraId="5CD235A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b) the amount of the recaptured deferred tax liability determined for the current fiscal year shall be treated as a </w:t>
            </w:r>
            <w:r w:rsidRPr="005E6D70">
              <w:rPr>
                <w:rFonts w:ascii="Times New Roman" w:eastAsia="Calibri" w:hAnsi="Times New Roman" w:cs="Times New Roman"/>
                <w:iCs/>
                <w:sz w:val="18"/>
                <w:szCs w:val="18"/>
                <w:lang w:val="en-US"/>
              </w:rPr>
              <w:lastRenderedPageBreak/>
              <w:t>reduction to the covered taxes in the fifth fiscal year preceding the current fiscal year, and the effective tax rate and top-up tax of that fiscal year shall be recomputed in accordance with paragraph 1, of Article 32, of this Law;</w:t>
            </w:r>
          </w:p>
          <w:p w14:paraId="0760C53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the recaptured deferred tax liability for the current fiscal year shall be the amount of the increase in the category of deferred tax liability that was included in the total deferred tax adjustment amount in the fifth fiscal year preceding the current fiscal year that has not reversed by the end of the last day of the current fiscal year.</w:t>
            </w:r>
          </w:p>
        </w:tc>
        <w:tc>
          <w:tcPr>
            <w:tcW w:w="1800" w:type="dxa"/>
            <w:gridSpan w:val="2"/>
          </w:tcPr>
          <w:p w14:paraId="2679E93B"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2DF53CA6"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Structural consolidation for national legislative compliance. The unnumbered subparagraphs are reformatted into an </w:t>
            </w:r>
            <w:r w:rsidRPr="005E6D70">
              <w:rPr>
                <w:rFonts w:ascii="Times New Roman" w:eastAsia="Calibri" w:hAnsi="Times New Roman" w:cs="Times New Roman"/>
                <w:iCs/>
                <w:sz w:val="18"/>
                <w:szCs w:val="18"/>
                <w:lang w:val="en-US"/>
              </w:rPr>
              <w:lastRenderedPageBreak/>
              <w:t>introductory sentence followed by a lettered list. Cross-references updated.</w:t>
            </w:r>
          </w:p>
        </w:tc>
      </w:tr>
      <w:tr w:rsidR="00465215" w:rsidRPr="005E6D70" w14:paraId="7967008E" w14:textId="77777777" w:rsidTr="009170D4">
        <w:tc>
          <w:tcPr>
            <w:tcW w:w="810" w:type="dxa"/>
          </w:tcPr>
          <w:p w14:paraId="764F813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22(8)</w:t>
            </w:r>
          </w:p>
        </w:tc>
        <w:tc>
          <w:tcPr>
            <w:tcW w:w="5040" w:type="dxa"/>
            <w:gridSpan w:val="2"/>
          </w:tcPr>
          <w:p w14:paraId="631D759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8. By way of derogation from paragraph 7, where a deferred tax liability is a recapture exception accrual, it shall not be recaptured even if it is not reversed or paid within the five subsequent years. A recapture exception accrual shall be the amount of tax expense accrued that is attributable to changes in associated deferred tax liabilities, in respect of the following items:</w:t>
            </w:r>
          </w:p>
        </w:tc>
        <w:tc>
          <w:tcPr>
            <w:tcW w:w="810" w:type="dxa"/>
          </w:tcPr>
          <w:p w14:paraId="7C362FC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45D4998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w:t>
            </w:r>
          </w:p>
        </w:tc>
        <w:tc>
          <w:tcPr>
            <w:tcW w:w="4680" w:type="dxa"/>
            <w:gridSpan w:val="2"/>
          </w:tcPr>
          <w:p w14:paraId="0813743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8. By way of derogation from paragraph 7, of this Article, where a deferred tax liability is a recapture exception accrual, it shall not be recaptured even if it is not reversed or paid within the five subsequent years. A recapture exception accrual shall be the amount of tax expense accrued that is attributable to changes in associated deferred tax liabilities, in respect of the following items:</w:t>
            </w:r>
          </w:p>
        </w:tc>
        <w:tc>
          <w:tcPr>
            <w:tcW w:w="1800" w:type="dxa"/>
            <w:gridSpan w:val="2"/>
          </w:tcPr>
          <w:p w14:paraId="6D5D3797"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2C2A9A1C"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5EEAD46B" w14:textId="77777777" w:rsidTr="009170D4">
        <w:tc>
          <w:tcPr>
            <w:tcW w:w="810" w:type="dxa"/>
          </w:tcPr>
          <w:p w14:paraId="7F8D465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22(8a)</w:t>
            </w:r>
          </w:p>
        </w:tc>
        <w:tc>
          <w:tcPr>
            <w:tcW w:w="5040" w:type="dxa"/>
            <w:gridSpan w:val="2"/>
          </w:tcPr>
          <w:p w14:paraId="69D1448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cost recovery allowances on tangible assets;</w:t>
            </w:r>
          </w:p>
        </w:tc>
        <w:tc>
          <w:tcPr>
            <w:tcW w:w="810" w:type="dxa"/>
          </w:tcPr>
          <w:p w14:paraId="1C3E30A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18DC5E9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22(8)(a)</w:t>
            </w:r>
          </w:p>
        </w:tc>
        <w:tc>
          <w:tcPr>
            <w:tcW w:w="4680" w:type="dxa"/>
            <w:gridSpan w:val="2"/>
          </w:tcPr>
          <w:p w14:paraId="59249E7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cost recovery allowances on tangible assets;</w:t>
            </w:r>
          </w:p>
        </w:tc>
        <w:tc>
          <w:tcPr>
            <w:tcW w:w="1800" w:type="dxa"/>
            <w:gridSpan w:val="2"/>
          </w:tcPr>
          <w:p w14:paraId="6CE11BFE"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12FBBF69"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34EA599E" w14:textId="77777777" w:rsidTr="009170D4">
        <w:tc>
          <w:tcPr>
            <w:tcW w:w="810" w:type="dxa"/>
          </w:tcPr>
          <w:p w14:paraId="71E3EC5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22(8b)</w:t>
            </w:r>
          </w:p>
        </w:tc>
        <w:tc>
          <w:tcPr>
            <w:tcW w:w="5040" w:type="dxa"/>
            <w:gridSpan w:val="2"/>
          </w:tcPr>
          <w:p w14:paraId="4FEE3C1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cost of a licence or similar arrangement from a government for the use of immovable property or exploitation of natural resources which entails significant investment in tangible assets;</w:t>
            </w:r>
          </w:p>
        </w:tc>
        <w:tc>
          <w:tcPr>
            <w:tcW w:w="810" w:type="dxa"/>
          </w:tcPr>
          <w:p w14:paraId="018415A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433F4C3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22(8)(b)</w:t>
            </w:r>
          </w:p>
        </w:tc>
        <w:tc>
          <w:tcPr>
            <w:tcW w:w="4680" w:type="dxa"/>
            <w:gridSpan w:val="2"/>
          </w:tcPr>
          <w:p w14:paraId="6E5C65D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the cost of a licence or similar arrangement from a government for the use of immovable property or exploitation of natural resources which entails significant investment in tangible assets;</w:t>
            </w:r>
          </w:p>
        </w:tc>
        <w:tc>
          <w:tcPr>
            <w:tcW w:w="1800" w:type="dxa"/>
            <w:gridSpan w:val="2"/>
          </w:tcPr>
          <w:p w14:paraId="69BC2925"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72835F42"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49F358CB" w14:textId="77777777" w:rsidTr="009170D4">
        <w:tc>
          <w:tcPr>
            <w:tcW w:w="810" w:type="dxa"/>
          </w:tcPr>
          <w:p w14:paraId="1D7CD8F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22(8c)</w:t>
            </w:r>
          </w:p>
        </w:tc>
        <w:tc>
          <w:tcPr>
            <w:tcW w:w="5040" w:type="dxa"/>
            <w:gridSpan w:val="2"/>
          </w:tcPr>
          <w:p w14:paraId="599B678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research and development expenses;</w:t>
            </w:r>
          </w:p>
        </w:tc>
        <w:tc>
          <w:tcPr>
            <w:tcW w:w="810" w:type="dxa"/>
          </w:tcPr>
          <w:p w14:paraId="39DF4E9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46D667D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22(8)(c)</w:t>
            </w:r>
          </w:p>
        </w:tc>
        <w:tc>
          <w:tcPr>
            <w:tcW w:w="4680" w:type="dxa"/>
            <w:gridSpan w:val="2"/>
          </w:tcPr>
          <w:p w14:paraId="2A5BA34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research and development expenses;</w:t>
            </w:r>
          </w:p>
        </w:tc>
        <w:tc>
          <w:tcPr>
            <w:tcW w:w="1800" w:type="dxa"/>
            <w:gridSpan w:val="2"/>
          </w:tcPr>
          <w:p w14:paraId="18932599"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60161368"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61FD2E4C" w14:textId="77777777" w:rsidTr="009170D4">
        <w:tc>
          <w:tcPr>
            <w:tcW w:w="810" w:type="dxa"/>
          </w:tcPr>
          <w:p w14:paraId="17A23FB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22(8d)</w:t>
            </w:r>
          </w:p>
        </w:tc>
        <w:tc>
          <w:tcPr>
            <w:tcW w:w="5040" w:type="dxa"/>
            <w:gridSpan w:val="2"/>
          </w:tcPr>
          <w:p w14:paraId="4671F18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(d) de-commissioning and remediation expenses;</w:t>
            </w:r>
          </w:p>
        </w:tc>
        <w:tc>
          <w:tcPr>
            <w:tcW w:w="810" w:type="dxa"/>
          </w:tcPr>
          <w:p w14:paraId="1C4C3A9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370653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22(8)(d)</w:t>
            </w:r>
          </w:p>
        </w:tc>
        <w:tc>
          <w:tcPr>
            <w:tcW w:w="4680" w:type="dxa"/>
            <w:gridSpan w:val="2"/>
          </w:tcPr>
          <w:p w14:paraId="79E77E7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de-commissioning and remediation expenses;</w:t>
            </w:r>
          </w:p>
        </w:tc>
        <w:tc>
          <w:tcPr>
            <w:tcW w:w="1800" w:type="dxa"/>
            <w:gridSpan w:val="2"/>
          </w:tcPr>
          <w:p w14:paraId="40EC7241"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49E7F05E"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107DCE00" w14:textId="77777777" w:rsidTr="009170D4">
        <w:tc>
          <w:tcPr>
            <w:tcW w:w="810" w:type="dxa"/>
          </w:tcPr>
          <w:p w14:paraId="48E605E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22(8e)</w:t>
            </w:r>
          </w:p>
        </w:tc>
        <w:tc>
          <w:tcPr>
            <w:tcW w:w="5040" w:type="dxa"/>
            <w:gridSpan w:val="2"/>
          </w:tcPr>
          <w:p w14:paraId="3B7C74A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(e) fair value accounting on unrealised net gains;</w:t>
            </w:r>
          </w:p>
        </w:tc>
        <w:tc>
          <w:tcPr>
            <w:tcW w:w="810" w:type="dxa"/>
          </w:tcPr>
          <w:p w14:paraId="30935A4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1FFAE6B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22(8)(e)</w:t>
            </w:r>
          </w:p>
        </w:tc>
        <w:tc>
          <w:tcPr>
            <w:tcW w:w="4680" w:type="dxa"/>
            <w:gridSpan w:val="2"/>
          </w:tcPr>
          <w:p w14:paraId="7772495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e) fair value accounting on unrealised net gains;</w:t>
            </w:r>
          </w:p>
        </w:tc>
        <w:tc>
          <w:tcPr>
            <w:tcW w:w="1800" w:type="dxa"/>
            <w:gridSpan w:val="2"/>
          </w:tcPr>
          <w:p w14:paraId="76751573"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04C4E47A"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210158DA" w14:textId="77777777" w:rsidTr="009170D4">
        <w:tc>
          <w:tcPr>
            <w:tcW w:w="810" w:type="dxa"/>
          </w:tcPr>
          <w:p w14:paraId="455499E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22(8f)</w:t>
            </w:r>
          </w:p>
        </w:tc>
        <w:tc>
          <w:tcPr>
            <w:tcW w:w="5040" w:type="dxa"/>
            <w:gridSpan w:val="2"/>
          </w:tcPr>
          <w:p w14:paraId="59A062A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(f) foreign currency exchange net gains;</w:t>
            </w:r>
          </w:p>
        </w:tc>
        <w:tc>
          <w:tcPr>
            <w:tcW w:w="810" w:type="dxa"/>
          </w:tcPr>
          <w:p w14:paraId="78F625B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1611D76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22(8)(f)</w:t>
            </w:r>
          </w:p>
        </w:tc>
        <w:tc>
          <w:tcPr>
            <w:tcW w:w="4680" w:type="dxa"/>
            <w:gridSpan w:val="2"/>
          </w:tcPr>
          <w:p w14:paraId="4580DF2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 foreign currency exchange net gains;</w:t>
            </w:r>
          </w:p>
        </w:tc>
        <w:tc>
          <w:tcPr>
            <w:tcW w:w="1800" w:type="dxa"/>
            <w:gridSpan w:val="2"/>
          </w:tcPr>
          <w:p w14:paraId="7BFEEF54"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7E3060DF"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21D4CFE8" w14:textId="77777777" w:rsidTr="009170D4">
        <w:tc>
          <w:tcPr>
            <w:tcW w:w="810" w:type="dxa"/>
          </w:tcPr>
          <w:p w14:paraId="4BBA773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22(8g)</w:t>
            </w:r>
          </w:p>
        </w:tc>
        <w:tc>
          <w:tcPr>
            <w:tcW w:w="5040" w:type="dxa"/>
            <w:gridSpan w:val="2"/>
          </w:tcPr>
          <w:p w14:paraId="4B7B5E0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(g) insurance reserves and insurance policy deferred acquisition costs;</w:t>
            </w:r>
          </w:p>
        </w:tc>
        <w:tc>
          <w:tcPr>
            <w:tcW w:w="810" w:type="dxa"/>
          </w:tcPr>
          <w:p w14:paraId="56D31A7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7BAB44F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22(8)(g)</w:t>
            </w:r>
          </w:p>
        </w:tc>
        <w:tc>
          <w:tcPr>
            <w:tcW w:w="4680" w:type="dxa"/>
            <w:gridSpan w:val="2"/>
          </w:tcPr>
          <w:p w14:paraId="7481634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g) insurance reserves and insurance policy deferred acquisition costs;</w:t>
            </w:r>
          </w:p>
        </w:tc>
        <w:tc>
          <w:tcPr>
            <w:tcW w:w="1800" w:type="dxa"/>
            <w:gridSpan w:val="2"/>
          </w:tcPr>
          <w:p w14:paraId="22C9EFB6"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7FDE206"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72011114" w14:textId="77777777" w:rsidTr="009170D4">
        <w:tc>
          <w:tcPr>
            <w:tcW w:w="810" w:type="dxa"/>
          </w:tcPr>
          <w:p w14:paraId="7C38B4F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22(8h)</w:t>
            </w:r>
          </w:p>
        </w:tc>
        <w:tc>
          <w:tcPr>
            <w:tcW w:w="5040" w:type="dxa"/>
            <w:gridSpan w:val="2"/>
          </w:tcPr>
          <w:p w14:paraId="2682949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(h) gains from the sale of tangible property located in the same jurisdiction as the constituent entity that are reinvested in tangible property in the same jurisdiction; and</w:t>
            </w:r>
          </w:p>
        </w:tc>
        <w:tc>
          <w:tcPr>
            <w:tcW w:w="810" w:type="dxa"/>
          </w:tcPr>
          <w:p w14:paraId="7A8A1A7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1F267CB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22(8)(h)</w:t>
            </w:r>
          </w:p>
        </w:tc>
        <w:tc>
          <w:tcPr>
            <w:tcW w:w="4680" w:type="dxa"/>
            <w:gridSpan w:val="2"/>
          </w:tcPr>
          <w:p w14:paraId="228B033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h) gains from the sale of tangible property located in the same jurisdiction as the constituent entity that are reinvested in tangible property in the same jurisdiction; and</w:t>
            </w:r>
          </w:p>
        </w:tc>
        <w:tc>
          <w:tcPr>
            <w:tcW w:w="1800" w:type="dxa"/>
            <w:gridSpan w:val="2"/>
          </w:tcPr>
          <w:p w14:paraId="4A066E07"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73B7ECB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71B60052" w14:textId="77777777" w:rsidTr="009170D4">
        <w:tc>
          <w:tcPr>
            <w:tcW w:w="810" w:type="dxa"/>
          </w:tcPr>
          <w:p w14:paraId="2DF91BF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22(8i)</w:t>
            </w:r>
          </w:p>
        </w:tc>
        <w:tc>
          <w:tcPr>
            <w:tcW w:w="5040" w:type="dxa"/>
            <w:gridSpan w:val="2"/>
          </w:tcPr>
          <w:p w14:paraId="48B365C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 additional amounts accrued as a result of accounting principle changes with respect to items listed in points (a) to (h).</w:t>
            </w:r>
          </w:p>
        </w:tc>
        <w:tc>
          <w:tcPr>
            <w:tcW w:w="810" w:type="dxa"/>
          </w:tcPr>
          <w:p w14:paraId="2554EF0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4662573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22(8)(i)</w:t>
            </w:r>
          </w:p>
        </w:tc>
        <w:tc>
          <w:tcPr>
            <w:tcW w:w="4680" w:type="dxa"/>
            <w:gridSpan w:val="2"/>
          </w:tcPr>
          <w:p w14:paraId="45B91FB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additional amounts accrued as a result of accounting principle changes with respect to items listed in letters “a” to “h”, of this paragraph.</w:t>
            </w:r>
          </w:p>
        </w:tc>
        <w:tc>
          <w:tcPr>
            <w:tcW w:w="1800" w:type="dxa"/>
            <w:gridSpan w:val="2"/>
          </w:tcPr>
          <w:p w14:paraId="6A01980C"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5A3300E4"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Direct transposition with local </w:t>
            </w:r>
            <w:r w:rsidRPr="005E6D70">
              <w:rPr>
                <w:rFonts w:ascii="Times New Roman" w:eastAsia="Calibri" w:hAnsi="Times New Roman" w:cs="Times New Roman"/>
                <w:iCs/>
                <w:sz w:val="18"/>
                <w:szCs w:val="18"/>
                <w:lang w:val="en-US"/>
              </w:rPr>
              <w:lastRenderedPageBreak/>
              <w:t>drafting adaptations.</w:t>
            </w:r>
          </w:p>
        </w:tc>
      </w:tr>
      <w:tr w:rsidR="00465215" w:rsidRPr="005E6D70" w14:paraId="1D412EAD" w14:textId="77777777" w:rsidTr="009170D4">
        <w:tc>
          <w:tcPr>
            <w:tcW w:w="810" w:type="dxa"/>
            <w:shd w:val="clear" w:color="auto" w:fill="D9D9D9" w:themeFill="background1" w:themeFillShade="D9"/>
          </w:tcPr>
          <w:p w14:paraId="6E372D4B"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55D1787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23. Qualifying loss election</w:t>
            </w:r>
          </w:p>
        </w:tc>
        <w:tc>
          <w:tcPr>
            <w:tcW w:w="810" w:type="dxa"/>
            <w:shd w:val="clear" w:color="auto" w:fill="D9D9D9" w:themeFill="background1" w:themeFillShade="D9"/>
          </w:tcPr>
          <w:p w14:paraId="6007BF4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shd w:val="clear" w:color="auto" w:fill="D9D9D9" w:themeFill="background1" w:themeFillShade="D9"/>
          </w:tcPr>
          <w:p w14:paraId="2440FFC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w:t>
            </w:r>
          </w:p>
        </w:tc>
        <w:tc>
          <w:tcPr>
            <w:tcW w:w="4680" w:type="dxa"/>
            <w:gridSpan w:val="2"/>
            <w:shd w:val="clear" w:color="auto" w:fill="D9D9D9" w:themeFill="background1" w:themeFillShade="D9"/>
          </w:tcPr>
          <w:p w14:paraId="6CA11CA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Article 23. Qualifying Loss Election</w:t>
            </w:r>
          </w:p>
        </w:tc>
        <w:tc>
          <w:tcPr>
            <w:tcW w:w="1800" w:type="dxa"/>
            <w:gridSpan w:val="2"/>
            <w:shd w:val="clear" w:color="auto" w:fill="D9D9D9" w:themeFill="background1" w:themeFillShade="D9"/>
          </w:tcPr>
          <w:p w14:paraId="7BD43430"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shd w:val="clear" w:color="auto" w:fill="D9D9D9" w:themeFill="background1" w:themeFillShade="D9"/>
          </w:tcPr>
          <w:p w14:paraId="16E2FE44"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Structurally transposed as Article 23 in the draft law.</w:t>
            </w:r>
          </w:p>
        </w:tc>
      </w:tr>
      <w:tr w:rsidR="00465215" w:rsidRPr="005E6D70" w14:paraId="4E461BAB" w14:textId="77777777" w:rsidTr="009170D4">
        <w:tc>
          <w:tcPr>
            <w:tcW w:w="810" w:type="dxa"/>
          </w:tcPr>
          <w:p w14:paraId="68A8709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23(1)</w:t>
            </w:r>
          </w:p>
        </w:tc>
        <w:tc>
          <w:tcPr>
            <w:tcW w:w="5040" w:type="dxa"/>
            <w:gridSpan w:val="2"/>
          </w:tcPr>
          <w:p w14:paraId="20F5726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By way of derogation from Article 22, a filing constituent entity may make a qualifying loss election for a jurisdiction according to which a qualifying loss deferred tax asset shall be determined for each fiscal year in which there is a net qualifying loss in that jurisdiction. For that purpose, the qualifying loss deferred tax asset shall be equal to the net qualifying loss for a fiscal year for the jurisdiction multiplied by the minimum tax rate.</w:t>
            </w:r>
          </w:p>
          <w:p w14:paraId="0333CAAB" w14:textId="77777777" w:rsidR="00465215" w:rsidRPr="005E6D70" w:rsidRDefault="00465215" w:rsidP="009170D4">
            <w:pPr>
              <w:jc w:val="both"/>
              <w:rPr>
                <w:rFonts w:ascii="Times New Roman" w:eastAsia="Calibri" w:hAnsi="Times New Roman" w:cs="Times New Roman"/>
                <w:iCs/>
                <w:sz w:val="18"/>
                <w:szCs w:val="18"/>
                <w:lang w:val="en-US"/>
              </w:rPr>
            </w:pPr>
          </w:p>
          <w:p w14:paraId="74F2BA6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qualifying loss election shall not be made for a jurisdiction with an eligible distribution tax system under Article 40.</w:t>
            </w:r>
          </w:p>
        </w:tc>
        <w:tc>
          <w:tcPr>
            <w:tcW w:w="810" w:type="dxa"/>
          </w:tcPr>
          <w:p w14:paraId="1EE577F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6438A71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23(1)</w:t>
            </w:r>
          </w:p>
        </w:tc>
        <w:tc>
          <w:tcPr>
            <w:tcW w:w="4680" w:type="dxa"/>
            <w:gridSpan w:val="2"/>
          </w:tcPr>
          <w:p w14:paraId="6C6EB4B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By way of derogation from Article 22, of this Law, a filing constituent entity may make a qualifying loss election for a jurisdiction according to which a qualifying loss deferred tax asset shall be determined for each fiscal year in which there is a net qualifying loss in that jurisdiction. For that purpose, the qualifying loss deferred tax asset shall be equal to the net qualifying loss for a fiscal year for the jurisdiction multiplied by the minimum tax rate. A qualifying loss election shall not be made for a jurisdiction with an eligible distribution tax system under Article 43, of this Law.</w:t>
            </w:r>
          </w:p>
        </w:tc>
        <w:tc>
          <w:tcPr>
            <w:tcW w:w="1800" w:type="dxa"/>
            <w:gridSpan w:val="2"/>
          </w:tcPr>
          <w:p w14:paraId="6E185D8C"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7C9A830"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consolidation for national legislative compliance. The unnumbered subparagraph is integrated into the numbered paragraph. Cross-references updated.</w:t>
            </w:r>
          </w:p>
        </w:tc>
      </w:tr>
      <w:tr w:rsidR="00465215" w:rsidRPr="005E6D70" w14:paraId="061A9858" w14:textId="77777777" w:rsidTr="009170D4">
        <w:tc>
          <w:tcPr>
            <w:tcW w:w="810" w:type="dxa"/>
          </w:tcPr>
          <w:p w14:paraId="72A04DF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23(2)</w:t>
            </w:r>
          </w:p>
        </w:tc>
        <w:tc>
          <w:tcPr>
            <w:tcW w:w="5040" w:type="dxa"/>
            <w:gridSpan w:val="2"/>
          </w:tcPr>
          <w:p w14:paraId="0ADC6E6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The qualifying loss deferred tax asset determined pursuant to paragraph 1 shall be used in any subsequent fiscal year in which there is net qualifying income for the jurisdiction in an amount equal to the net qualifying income multiplied by the minimum tax rate or, if lower, the amount of qualifying loss deferred tax asset that is available.</w:t>
            </w:r>
          </w:p>
        </w:tc>
        <w:tc>
          <w:tcPr>
            <w:tcW w:w="810" w:type="dxa"/>
          </w:tcPr>
          <w:p w14:paraId="45832AC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40CB5D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23(2)</w:t>
            </w:r>
          </w:p>
        </w:tc>
        <w:tc>
          <w:tcPr>
            <w:tcW w:w="4680" w:type="dxa"/>
            <w:gridSpan w:val="2"/>
          </w:tcPr>
          <w:p w14:paraId="06A9A12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The qualifying loss deferred tax asset determined pursuant to paragraph 1, of this Article, shall be used in any subsequent fiscal year in which there is net qualifying income for the jurisdiction in an amount equal to the net qualifying income multiplied by the minimum tax rate or, if lower, the amount of qualifying loss deferred tax asset that is available.</w:t>
            </w:r>
          </w:p>
        </w:tc>
        <w:tc>
          <w:tcPr>
            <w:tcW w:w="1800" w:type="dxa"/>
            <w:gridSpan w:val="2"/>
          </w:tcPr>
          <w:p w14:paraId="3497FBAF"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459F29FD"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56784F73" w14:textId="77777777" w:rsidTr="009170D4">
        <w:tc>
          <w:tcPr>
            <w:tcW w:w="810" w:type="dxa"/>
          </w:tcPr>
          <w:p w14:paraId="45531BB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23(3)</w:t>
            </w:r>
          </w:p>
        </w:tc>
        <w:tc>
          <w:tcPr>
            <w:tcW w:w="5040" w:type="dxa"/>
            <w:gridSpan w:val="2"/>
          </w:tcPr>
          <w:p w14:paraId="205C359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The qualifying loss deferred tax asset determined pursuant to paragraph 1 shall be reduced by the amount that is used for a fiscal year and the balance shall be carried forward to subsequent fiscal years.</w:t>
            </w:r>
          </w:p>
        </w:tc>
        <w:tc>
          <w:tcPr>
            <w:tcW w:w="810" w:type="dxa"/>
          </w:tcPr>
          <w:p w14:paraId="0C7FEAF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226515A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23(3)</w:t>
            </w:r>
          </w:p>
        </w:tc>
        <w:tc>
          <w:tcPr>
            <w:tcW w:w="4680" w:type="dxa"/>
            <w:gridSpan w:val="2"/>
          </w:tcPr>
          <w:p w14:paraId="1AFBF23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The qualifying loss deferred tax asset determined pursuant to paragraph 1, of this Article, shall be reduced by the amount that is used for a fiscal year and the balance shall be carried forward to subsequent fiscal years.</w:t>
            </w:r>
          </w:p>
        </w:tc>
        <w:tc>
          <w:tcPr>
            <w:tcW w:w="1800" w:type="dxa"/>
            <w:gridSpan w:val="2"/>
          </w:tcPr>
          <w:p w14:paraId="4E89212B"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7DCA56FE"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0B53246B" w14:textId="77777777" w:rsidTr="009170D4">
        <w:tc>
          <w:tcPr>
            <w:tcW w:w="810" w:type="dxa"/>
          </w:tcPr>
          <w:p w14:paraId="608CCE4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23(4)</w:t>
            </w:r>
          </w:p>
        </w:tc>
        <w:tc>
          <w:tcPr>
            <w:tcW w:w="5040" w:type="dxa"/>
            <w:gridSpan w:val="2"/>
          </w:tcPr>
          <w:p w14:paraId="14D39D3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 Where a qualifying loss election is revoked, any remaining qualifying loss deferred tax asset determined pursuant to paragraph 1 shall be reduced to zero as of the first day of the first fiscal year in which the qualifying loss election is no longer applicable.</w:t>
            </w:r>
          </w:p>
        </w:tc>
        <w:tc>
          <w:tcPr>
            <w:tcW w:w="810" w:type="dxa"/>
          </w:tcPr>
          <w:p w14:paraId="1544269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728A661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23(4)</w:t>
            </w:r>
          </w:p>
        </w:tc>
        <w:tc>
          <w:tcPr>
            <w:tcW w:w="4680" w:type="dxa"/>
            <w:gridSpan w:val="2"/>
          </w:tcPr>
          <w:p w14:paraId="427B99B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Where a qualifying loss election is revoked, any remaining qualifying loss deferred tax asset determined pursuant to paragraph 1, of this Article, shall be reduced to zero as of the first day of the first fiscal year in which the qualifying loss election is no longer applicable.</w:t>
            </w:r>
          </w:p>
        </w:tc>
        <w:tc>
          <w:tcPr>
            <w:tcW w:w="1800" w:type="dxa"/>
            <w:gridSpan w:val="2"/>
          </w:tcPr>
          <w:p w14:paraId="1AC5943F"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28D4EB49"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1F916F39" w14:textId="77777777" w:rsidTr="009170D4">
        <w:tc>
          <w:tcPr>
            <w:tcW w:w="810" w:type="dxa"/>
          </w:tcPr>
          <w:p w14:paraId="0FA8C8A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23(5)</w:t>
            </w:r>
          </w:p>
        </w:tc>
        <w:tc>
          <w:tcPr>
            <w:tcW w:w="5040" w:type="dxa"/>
            <w:gridSpan w:val="2"/>
          </w:tcPr>
          <w:p w14:paraId="5925A55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5. The qualifying loss election shall be filed with the first top-up tax information return referred to in Article 44 of the MNE group or</w:t>
            </w:r>
          </w:p>
          <w:p w14:paraId="14443D0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large-scale domestic group that includes the jurisdiction for which the election is made.</w:t>
            </w:r>
          </w:p>
        </w:tc>
        <w:tc>
          <w:tcPr>
            <w:tcW w:w="810" w:type="dxa"/>
          </w:tcPr>
          <w:p w14:paraId="18E5907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9E38F5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23(5)</w:t>
            </w:r>
          </w:p>
        </w:tc>
        <w:tc>
          <w:tcPr>
            <w:tcW w:w="4680" w:type="dxa"/>
            <w:gridSpan w:val="2"/>
          </w:tcPr>
          <w:p w14:paraId="69FF480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5. The qualifying loss election shall be filed with the first top-up tax information return referred to in Article 54, of this Law, of the multinational enterprise group or large-scale domestic </w:t>
            </w:r>
            <w:r w:rsidRPr="005E6D70">
              <w:rPr>
                <w:rFonts w:ascii="Times New Roman" w:eastAsia="Calibri" w:hAnsi="Times New Roman" w:cs="Times New Roman"/>
                <w:iCs/>
                <w:sz w:val="18"/>
                <w:szCs w:val="18"/>
                <w:lang w:val="en-US"/>
              </w:rPr>
              <w:lastRenderedPageBreak/>
              <w:t>group that includes the jurisdiction for which the election is made.</w:t>
            </w:r>
          </w:p>
        </w:tc>
        <w:tc>
          <w:tcPr>
            <w:tcW w:w="1800" w:type="dxa"/>
            <w:gridSpan w:val="2"/>
          </w:tcPr>
          <w:p w14:paraId="017B6108"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754628A0"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Direct transposition with local drafting </w:t>
            </w:r>
            <w:r w:rsidRPr="005E6D70">
              <w:rPr>
                <w:rFonts w:ascii="Times New Roman" w:eastAsia="Calibri" w:hAnsi="Times New Roman" w:cs="Times New Roman"/>
                <w:iCs/>
                <w:sz w:val="18"/>
                <w:szCs w:val="18"/>
                <w:lang w:val="en-US"/>
              </w:rPr>
              <w:lastRenderedPageBreak/>
              <w:t>adaptations. Acronym "MNE" expanded for terminology consistency. Cross-reference updated to Article 54.</w:t>
            </w:r>
          </w:p>
        </w:tc>
      </w:tr>
      <w:tr w:rsidR="00465215" w:rsidRPr="005E6D70" w14:paraId="6C9DBAF6" w14:textId="77777777" w:rsidTr="009170D4">
        <w:tc>
          <w:tcPr>
            <w:tcW w:w="810" w:type="dxa"/>
          </w:tcPr>
          <w:p w14:paraId="2964AEB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23(6)</w:t>
            </w:r>
          </w:p>
        </w:tc>
        <w:tc>
          <w:tcPr>
            <w:tcW w:w="5040" w:type="dxa"/>
            <w:gridSpan w:val="2"/>
          </w:tcPr>
          <w:p w14:paraId="168F16C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 Where a flow-through entity which is the ultimate parent entity of an MNE group or of a large-scale domestic group makes a qualifying loss election under this Article, the qualifying loss deferred tax asset shall be computed by reference to the qualifying loss of the flow-through entity after reduction pursuant to Article 38(3).</w:t>
            </w:r>
          </w:p>
        </w:tc>
        <w:tc>
          <w:tcPr>
            <w:tcW w:w="810" w:type="dxa"/>
          </w:tcPr>
          <w:p w14:paraId="0A6A36B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27C1396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23(6)</w:t>
            </w:r>
          </w:p>
        </w:tc>
        <w:tc>
          <w:tcPr>
            <w:tcW w:w="4680" w:type="dxa"/>
            <w:gridSpan w:val="2"/>
          </w:tcPr>
          <w:p w14:paraId="3AC4367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 Where a flow-through entity which is the ultimate parent entity of a multinational enterprise group or of a large-scale domestic group makes a qualifying loss election under this Article, the qualifying loss deferred tax asset shall be computed by reference to the qualifying loss of the flow-through entity after reduction pursuant to paragraph 3, of Article 41, of this Law.</w:t>
            </w:r>
          </w:p>
        </w:tc>
        <w:tc>
          <w:tcPr>
            <w:tcW w:w="1800" w:type="dxa"/>
            <w:gridSpan w:val="2"/>
          </w:tcPr>
          <w:p w14:paraId="1469DAA8"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BF622B1"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 Cross-reference updated to paragraph 3, of Article 41.</w:t>
            </w:r>
          </w:p>
        </w:tc>
      </w:tr>
      <w:tr w:rsidR="00465215" w:rsidRPr="005E6D70" w14:paraId="344DD7A5" w14:textId="77777777" w:rsidTr="009170D4">
        <w:tc>
          <w:tcPr>
            <w:tcW w:w="810" w:type="dxa"/>
            <w:shd w:val="clear" w:color="auto" w:fill="D9D9D9" w:themeFill="background1" w:themeFillShade="D9"/>
          </w:tcPr>
          <w:p w14:paraId="7A1A6753"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61FAD40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24. Specific allocation of covered taxes incurred by certain types of constituent entities</w:t>
            </w:r>
          </w:p>
        </w:tc>
        <w:tc>
          <w:tcPr>
            <w:tcW w:w="810" w:type="dxa"/>
            <w:shd w:val="clear" w:color="auto" w:fill="D9D9D9" w:themeFill="background1" w:themeFillShade="D9"/>
          </w:tcPr>
          <w:p w14:paraId="6EA4507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shd w:val="clear" w:color="auto" w:fill="D9D9D9" w:themeFill="background1" w:themeFillShade="D9"/>
          </w:tcPr>
          <w:p w14:paraId="30B04CE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w:t>
            </w:r>
          </w:p>
        </w:tc>
        <w:tc>
          <w:tcPr>
            <w:tcW w:w="4680" w:type="dxa"/>
            <w:gridSpan w:val="2"/>
            <w:shd w:val="clear" w:color="auto" w:fill="D9D9D9" w:themeFill="background1" w:themeFillShade="D9"/>
          </w:tcPr>
          <w:p w14:paraId="7683526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Article 24. Allocation of Covered Taxes to certain types of constituent entities</w:t>
            </w:r>
          </w:p>
        </w:tc>
        <w:tc>
          <w:tcPr>
            <w:tcW w:w="1800" w:type="dxa"/>
            <w:gridSpan w:val="2"/>
            <w:shd w:val="clear" w:color="auto" w:fill="D9D9D9" w:themeFill="background1" w:themeFillShade="D9"/>
          </w:tcPr>
          <w:p w14:paraId="26FCDF09"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shd w:val="clear" w:color="auto" w:fill="D9D9D9" w:themeFill="background1" w:themeFillShade="D9"/>
          </w:tcPr>
          <w:p w14:paraId="4E0516F0"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Structurally transposed as Article 24 in the draft law. The title is adapted to align with national legislative drafting standards.</w:t>
            </w:r>
          </w:p>
        </w:tc>
      </w:tr>
      <w:tr w:rsidR="00465215" w:rsidRPr="005E6D70" w14:paraId="4475D1D1" w14:textId="77777777" w:rsidTr="009170D4">
        <w:tc>
          <w:tcPr>
            <w:tcW w:w="810" w:type="dxa"/>
          </w:tcPr>
          <w:p w14:paraId="2956A25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24(1)</w:t>
            </w:r>
          </w:p>
        </w:tc>
        <w:tc>
          <w:tcPr>
            <w:tcW w:w="5040" w:type="dxa"/>
            <w:gridSpan w:val="2"/>
          </w:tcPr>
          <w:p w14:paraId="7B9ED5C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A permanent establishment shall be allocated the amount of any covered taxes that are included in the financial accounts of a constituent entity and that relate to qualifying income or loss of that permanent establishment.</w:t>
            </w:r>
          </w:p>
        </w:tc>
        <w:tc>
          <w:tcPr>
            <w:tcW w:w="810" w:type="dxa"/>
          </w:tcPr>
          <w:p w14:paraId="177CC60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28C6E3E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24(1)</w:t>
            </w:r>
          </w:p>
        </w:tc>
        <w:tc>
          <w:tcPr>
            <w:tcW w:w="4680" w:type="dxa"/>
            <w:gridSpan w:val="2"/>
          </w:tcPr>
          <w:p w14:paraId="7122B09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A permanent establishment shall be allocated the amount of any covered taxes that are included in the financial accounts of a constituent entity and that relate to qualifying income or loss of that permanent establishment.</w:t>
            </w:r>
          </w:p>
        </w:tc>
        <w:tc>
          <w:tcPr>
            <w:tcW w:w="1800" w:type="dxa"/>
            <w:gridSpan w:val="2"/>
          </w:tcPr>
          <w:p w14:paraId="5ADDAB95"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050C506B"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35C66D74" w14:textId="77777777" w:rsidTr="009170D4">
        <w:tc>
          <w:tcPr>
            <w:tcW w:w="810" w:type="dxa"/>
          </w:tcPr>
          <w:p w14:paraId="76FF1A8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24(2)</w:t>
            </w:r>
          </w:p>
        </w:tc>
        <w:tc>
          <w:tcPr>
            <w:tcW w:w="5040" w:type="dxa"/>
            <w:gridSpan w:val="2"/>
          </w:tcPr>
          <w:p w14:paraId="33AAE5C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 A constituent entity-owner shall be allocated the amount of any covered taxes that are included in the financial accounts of a tax transparent entity and that relate to qualifying income or loss allocated to that constituent entity-owner in accordance with Article 19(4).</w:t>
            </w:r>
          </w:p>
        </w:tc>
        <w:tc>
          <w:tcPr>
            <w:tcW w:w="810" w:type="dxa"/>
          </w:tcPr>
          <w:p w14:paraId="3E3DA04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D3B1C0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24(2)</w:t>
            </w:r>
          </w:p>
        </w:tc>
        <w:tc>
          <w:tcPr>
            <w:tcW w:w="4680" w:type="dxa"/>
            <w:gridSpan w:val="2"/>
          </w:tcPr>
          <w:p w14:paraId="3FAF675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A constituent entity-owner shall be allocated the amount of any covered taxes that are included in the financial accounts of a tax transparent entity and that relate to qualifying income or loss allocated to that constituent entity-owner in accordance with paragraph 4, of Article 19, of this Law.</w:t>
            </w:r>
          </w:p>
        </w:tc>
        <w:tc>
          <w:tcPr>
            <w:tcW w:w="1800" w:type="dxa"/>
            <w:gridSpan w:val="2"/>
          </w:tcPr>
          <w:p w14:paraId="471CB89E"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3E365D5"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Direct transposition with local drafting adaptations (adapting </w:t>
            </w:r>
            <w:r w:rsidRPr="005E6D70">
              <w:rPr>
                <w:rFonts w:ascii="Times New Roman" w:eastAsia="Calibri" w:hAnsi="Times New Roman" w:cs="Times New Roman"/>
                <w:iCs/>
                <w:sz w:val="18"/>
                <w:szCs w:val="18"/>
                <w:lang w:val="en-US"/>
              </w:rPr>
              <w:lastRenderedPageBreak/>
              <w:t>cross-reference to national format).</w:t>
            </w:r>
          </w:p>
        </w:tc>
      </w:tr>
      <w:tr w:rsidR="00465215" w:rsidRPr="005E6D70" w14:paraId="6AD0E8C2" w14:textId="77777777" w:rsidTr="009170D4">
        <w:tc>
          <w:tcPr>
            <w:tcW w:w="810" w:type="dxa"/>
          </w:tcPr>
          <w:p w14:paraId="1861C32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24(3)</w:t>
            </w:r>
          </w:p>
        </w:tc>
        <w:tc>
          <w:tcPr>
            <w:tcW w:w="5040" w:type="dxa"/>
            <w:gridSpan w:val="2"/>
          </w:tcPr>
          <w:p w14:paraId="798851A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A constituent entity shall be allocated the amount of any covered taxes included in the financial accounts of its direct or indirect constituent entity-owners under a controlled foreign company tax regime, on their share of the controlled foreign company’s income.</w:t>
            </w:r>
          </w:p>
        </w:tc>
        <w:tc>
          <w:tcPr>
            <w:tcW w:w="810" w:type="dxa"/>
          </w:tcPr>
          <w:p w14:paraId="7DB0A2F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7C68EC5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24(3)</w:t>
            </w:r>
          </w:p>
        </w:tc>
        <w:tc>
          <w:tcPr>
            <w:tcW w:w="4680" w:type="dxa"/>
            <w:gridSpan w:val="2"/>
          </w:tcPr>
          <w:p w14:paraId="603ED2B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A constituent entity shall be allocated the amount of any covered taxes included in the financial accounts of its direct or indirect constituent entity-owners under a controlled foreign company tax regime, on their share of the controlled foreign company’s income.</w:t>
            </w:r>
          </w:p>
        </w:tc>
        <w:tc>
          <w:tcPr>
            <w:tcW w:w="1800" w:type="dxa"/>
            <w:gridSpan w:val="2"/>
          </w:tcPr>
          <w:p w14:paraId="65278B7A"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91EB9F6"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5ED82A37" w14:textId="77777777" w:rsidTr="009170D4">
        <w:tc>
          <w:tcPr>
            <w:tcW w:w="810" w:type="dxa"/>
          </w:tcPr>
          <w:p w14:paraId="6B7E44D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24(4)</w:t>
            </w:r>
          </w:p>
        </w:tc>
        <w:tc>
          <w:tcPr>
            <w:tcW w:w="5040" w:type="dxa"/>
            <w:gridSpan w:val="2"/>
          </w:tcPr>
          <w:p w14:paraId="66251C8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A constituent entity that is a hybrid entity shall be allocated the amount of any covered taxes included in the financial accounts of its constituent entity-owner and which relate to qualifying income of the hybrid entity.</w:t>
            </w:r>
          </w:p>
          <w:p w14:paraId="38C3D762" w14:textId="77777777" w:rsidR="00465215" w:rsidRPr="005E6D70" w:rsidRDefault="00465215" w:rsidP="009170D4">
            <w:pPr>
              <w:jc w:val="both"/>
              <w:rPr>
                <w:rFonts w:ascii="Times New Roman" w:eastAsia="Calibri" w:hAnsi="Times New Roman" w:cs="Times New Roman"/>
                <w:iCs/>
                <w:sz w:val="18"/>
                <w:szCs w:val="18"/>
                <w:lang w:val="en-US"/>
              </w:rPr>
            </w:pPr>
          </w:p>
          <w:p w14:paraId="4C2AA5D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‘hybrid entity’ means an entity treated as a separate person for income tax purposes in the jurisdiction where it is located but as fiscally transparent in the jurisdiction in which its owner is located.</w:t>
            </w:r>
          </w:p>
        </w:tc>
        <w:tc>
          <w:tcPr>
            <w:tcW w:w="810" w:type="dxa"/>
          </w:tcPr>
          <w:p w14:paraId="1B29F24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33FF28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24(4)</w:t>
            </w:r>
          </w:p>
        </w:tc>
        <w:tc>
          <w:tcPr>
            <w:tcW w:w="4680" w:type="dxa"/>
            <w:gridSpan w:val="2"/>
          </w:tcPr>
          <w:p w14:paraId="3747ADA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A constituent entity that is a hybrid entity shall be allocated the amount of any covered taxes included in the financial accounts of its constituent entity-owner and which relate to qualifying income of the hybrid entity. For the purposes of this paragraph, a “hybrid entity” means an entity treated as a separate person for income tax purposes in the jurisdiction where it is located but as fiscally transparent in the jurisdiction in which its owner is located.</w:t>
            </w:r>
          </w:p>
        </w:tc>
        <w:tc>
          <w:tcPr>
            <w:tcW w:w="1800" w:type="dxa"/>
            <w:gridSpan w:val="2"/>
          </w:tcPr>
          <w:p w14:paraId="53DE01F6"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06FE24D8"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consolidation for national legislative compliance. The unnumbered subparagraph of the Directive is integrated into the numbered paragraph using an introductory transitional phrase.</w:t>
            </w:r>
          </w:p>
        </w:tc>
      </w:tr>
      <w:tr w:rsidR="00465215" w:rsidRPr="005E6D70" w14:paraId="6670D39D" w14:textId="77777777" w:rsidTr="009170D4">
        <w:tc>
          <w:tcPr>
            <w:tcW w:w="810" w:type="dxa"/>
          </w:tcPr>
          <w:p w14:paraId="25D85F3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24(5)</w:t>
            </w:r>
          </w:p>
        </w:tc>
        <w:tc>
          <w:tcPr>
            <w:tcW w:w="5040" w:type="dxa"/>
            <w:gridSpan w:val="2"/>
          </w:tcPr>
          <w:p w14:paraId="78C995A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5. A constituent entity that made a distribution during the fiscal year shall be allocated the amount of any covered taxes accrued in the financial accounts of its direct constituent entity-owners on such distribution.</w:t>
            </w:r>
          </w:p>
        </w:tc>
        <w:tc>
          <w:tcPr>
            <w:tcW w:w="810" w:type="dxa"/>
          </w:tcPr>
          <w:p w14:paraId="687EE4E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671F9B6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24(5)</w:t>
            </w:r>
          </w:p>
        </w:tc>
        <w:tc>
          <w:tcPr>
            <w:tcW w:w="4680" w:type="dxa"/>
            <w:gridSpan w:val="2"/>
          </w:tcPr>
          <w:p w14:paraId="4298939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5. A constituent entity that made a distribution during the fiscal year shall be allocated the amount of any covered taxes accrued in the financial accounts of its direct constituent entity-owners on such distribution.</w:t>
            </w:r>
          </w:p>
        </w:tc>
        <w:tc>
          <w:tcPr>
            <w:tcW w:w="1800" w:type="dxa"/>
            <w:gridSpan w:val="2"/>
          </w:tcPr>
          <w:p w14:paraId="72628F92"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4A2AC914"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6BD7B57E" w14:textId="77777777" w:rsidTr="009170D4">
        <w:tc>
          <w:tcPr>
            <w:tcW w:w="810" w:type="dxa"/>
          </w:tcPr>
          <w:p w14:paraId="1173159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24(6)</w:t>
            </w:r>
          </w:p>
        </w:tc>
        <w:tc>
          <w:tcPr>
            <w:tcW w:w="5040" w:type="dxa"/>
            <w:gridSpan w:val="2"/>
          </w:tcPr>
          <w:p w14:paraId="070FF66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 A constituent entity that was allocated covered taxes pursuant to paragraphs 3 and 4 in respect of passive income shall include such covered taxes in its adjusted covered taxes in an amount equal to the covered taxes allocated in respect of such passive income.</w:t>
            </w:r>
          </w:p>
          <w:p w14:paraId="0A6BCDBE" w14:textId="77777777" w:rsidR="00465215" w:rsidRPr="005E6D70" w:rsidRDefault="00465215" w:rsidP="009170D4">
            <w:pPr>
              <w:jc w:val="both"/>
              <w:rPr>
                <w:rFonts w:ascii="Times New Roman" w:eastAsia="Calibri" w:hAnsi="Times New Roman" w:cs="Times New Roman"/>
                <w:iCs/>
                <w:sz w:val="18"/>
                <w:szCs w:val="18"/>
                <w:lang w:val="en-US"/>
              </w:rPr>
            </w:pPr>
          </w:p>
          <w:p w14:paraId="64C0B81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By way of derogation from the first subparagraph, the constituent entity referred to in the first subparagraph shall include in its adjusted covered taxes the amount resulting from the multiplication of the top-up tax percentage for the jurisdiction by the amount of the constituent entity’s passive income that is included under a controlled foreign company tax regime or a fiscal transparency rule where the result is lower than the amount determined under the first </w:t>
            </w:r>
            <w:r w:rsidRPr="005E6D70">
              <w:rPr>
                <w:rFonts w:ascii="Times New Roman" w:eastAsia="Calibri" w:hAnsi="Times New Roman" w:cs="Times New Roman"/>
                <w:iCs/>
                <w:sz w:val="18"/>
                <w:szCs w:val="18"/>
                <w:lang w:val="en-US"/>
              </w:rPr>
              <w:lastRenderedPageBreak/>
              <w:t>subparagraph. For the purposes of this subparagraph, the top-up tax percentage for the jurisdiction shall be determined without regard to covered taxes incurred with respect to such passive income by the constituent entity-owner.</w:t>
            </w:r>
          </w:p>
          <w:p w14:paraId="5062D119" w14:textId="77777777" w:rsidR="00465215" w:rsidRPr="005E6D70" w:rsidRDefault="00465215" w:rsidP="009170D4">
            <w:pPr>
              <w:jc w:val="both"/>
              <w:rPr>
                <w:rFonts w:ascii="Times New Roman" w:eastAsia="Calibri" w:hAnsi="Times New Roman" w:cs="Times New Roman"/>
                <w:iCs/>
                <w:sz w:val="18"/>
                <w:szCs w:val="18"/>
                <w:lang w:val="en-US"/>
              </w:rPr>
            </w:pPr>
          </w:p>
          <w:p w14:paraId="79FC934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Any covered taxes of the constituent entity-owner incurred with respect to such passive income that remains after the application of this paragraph shall not be allocated under paragraphs 3 and 4.</w:t>
            </w:r>
          </w:p>
          <w:p w14:paraId="69AA2962" w14:textId="77777777" w:rsidR="00465215" w:rsidRPr="005E6D70" w:rsidRDefault="00465215" w:rsidP="009170D4">
            <w:pPr>
              <w:jc w:val="both"/>
              <w:rPr>
                <w:rFonts w:ascii="Times New Roman" w:eastAsia="Calibri" w:hAnsi="Times New Roman" w:cs="Times New Roman"/>
                <w:iCs/>
                <w:sz w:val="18"/>
                <w:szCs w:val="18"/>
                <w:lang w:val="en-US"/>
              </w:rPr>
            </w:pPr>
          </w:p>
          <w:p w14:paraId="40028FB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For the purposes of this paragraph, ‘passive income’ means the following items of income included in qualifying income to the extent a constituent entity-owner has been subject to tax under a controlled foreign company tax regime or as a result of an ownership interest in a hybrid entity:</w:t>
            </w:r>
          </w:p>
        </w:tc>
        <w:tc>
          <w:tcPr>
            <w:tcW w:w="810" w:type="dxa"/>
          </w:tcPr>
          <w:p w14:paraId="3D4FFD4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40B5580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24(6)</w:t>
            </w:r>
          </w:p>
        </w:tc>
        <w:tc>
          <w:tcPr>
            <w:tcW w:w="4680" w:type="dxa"/>
            <w:gridSpan w:val="2"/>
          </w:tcPr>
          <w:p w14:paraId="07FFC5D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 The allocation of covered taxes in respect of passive income shall be subject to the following rules:</w:t>
            </w:r>
          </w:p>
          <w:p w14:paraId="7A5577C8" w14:textId="77777777" w:rsidR="00465215" w:rsidRPr="005E6D70" w:rsidRDefault="00465215" w:rsidP="009170D4">
            <w:pPr>
              <w:jc w:val="both"/>
              <w:rPr>
                <w:rFonts w:ascii="Times New Roman" w:eastAsia="Calibri" w:hAnsi="Times New Roman" w:cs="Times New Roman"/>
                <w:iCs/>
                <w:sz w:val="18"/>
                <w:szCs w:val="18"/>
                <w:lang w:val="en-US"/>
              </w:rPr>
            </w:pPr>
          </w:p>
          <w:p w14:paraId="3BE13A1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a constituent entity that was allocated covered taxes pursuant to paragraphs 3 and 4, of this Article, in respect of passive income shall include such covered taxes in its adjusted covered taxes in an amount equal to the covered taxes allocated in respect of such passive income;</w:t>
            </w:r>
          </w:p>
          <w:p w14:paraId="4A7DE602" w14:textId="77777777" w:rsidR="00465215" w:rsidRPr="005E6D70" w:rsidRDefault="00465215" w:rsidP="009170D4">
            <w:pPr>
              <w:jc w:val="both"/>
              <w:rPr>
                <w:rFonts w:ascii="Times New Roman" w:eastAsia="Calibri" w:hAnsi="Times New Roman" w:cs="Times New Roman"/>
                <w:iCs/>
                <w:sz w:val="18"/>
                <w:szCs w:val="18"/>
                <w:lang w:val="en-US"/>
              </w:rPr>
            </w:pPr>
          </w:p>
          <w:p w14:paraId="5AEDC54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b) by way of derogation from letter “a”, of this paragraph, the constituent entity referred to in letter “a”, of this paragraph, shall include in its adjusted covered taxes the amount resulting </w:t>
            </w:r>
            <w:r w:rsidRPr="005E6D70">
              <w:rPr>
                <w:rFonts w:ascii="Times New Roman" w:eastAsia="Calibri" w:hAnsi="Times New Roman" w:cs="Times New Roman"/>
                <w:iCs/>
                <w:sz w:val="18"/>
                <w:szCs w:val="18"/>
                <w:lang w:val="en-US"/>
              </w:rPr>
              <w:lastRenderedPageBreak/>
              <w:t>from the multiplication of the top-up tax percentage for the jurisdiction by the amount of the constituent entity’s passive income that is included under a controlled foreign company tax regime or a fiscal transparency rule where the result is lower than the amount determined under letter “a”, of this paragraph;</w:t>
            </w:r>
          </w:p>
          <w:p w14:paraId="6EB5F381" w14:textId="77777777" w:rsidR="00465215" w:rsidRPr="005E6D70" w:rsidRDefault="00465215" w:rsidP="009170D4">
            <w:pPr>
              <w:jc w:val="both"/>
              <w:rPr>
                <w:rFonts w:ascii="Times New Roman" w:eastAsia="Calibri" w:hAnsi="Times New Roman" w:cs="Times New Roman"/>
                <w:iCs/>
                <w:sz w:val="18"/>
                <w:szCs w:val="18"/>
                <w:lang w:val="en-US"/>
              </w:rPr>
            </w:pPr>
          </w:p>
          <w:p w14:paraId="554B9D5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for the purposes of letter “b”, of this paragraph, the top-up tax percentage for the jurisdiction shall be determined without regard to covered taxes incurred with respect to such passive income by the constituent entity-owner;</w:t>
            </w:r>
          </w:p>
          <w:p w14:paraId="50DFE7A6" w14:textId="77777777" w:rsidR="00465215" w:rsidRPr="005E6D70" w:rsidRDefault="00465215" w:rsidP="009170D4">
            <w:pPr>
              <w:jc w:val="both"/>
              <w:rPr>
                <w:rFonts w:ascii="Times New Roman" w:eastAsia="Calibri" w:hAnsi="Times New Roman" w:cs="Times New Roman"/>
                <w:iCs/>
                <w:sz w:val="18"/>
                <w:szCs w:val="18"/>
                <w:lang w:val="en-US"/>
              </w:rPr>
            </w:pPr>
          </w:p>
          <w:p w14:paraId="38C6AB5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any covered taxes of the constituent entity-owner incurred with respect to such passive income that remains after the application of this paragraph shall not be allocated under paragraphs 3 and 4, of this Article;</w:t>
            </w:r>
          </w:p>
          <w:p w14:paraId="38A8E361" w14:textId="77777777" w:rsidR="00465215" w:rsidRPr="005E6D70" w:rsidRDefault="00465215" w:rsidP="009170D4">
            <w:pPr>
              <w:jc w:val="both"/>
              <w:rPr>
                <w:rFonts w:ascii="Times New Roman" w:eastAsia="Calibri" w:hAnsi="Times New Roman" w:cs="Times New Roman"/>
                <w:iCs/>
                <w:sz w:val="18"/>
                <w:szCs w:val="18"/>
                <w:lang w:val="en-US"/>
              </w:rPr>
            </w:pPr>
          </w:p>
          <w:p w14:paraId="4227DCD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e) for the purposes of this paragraph, “passive income” means the following items of income included in qualifying income to the extent a constituent entity-owner has been subject to tax under a controlled foreign company tax regime or as a result of an ownership interest in a hybrid entity:</w:t>
            </w:r>
          </w:p>
        </w:tc>
        <w:tc>
          <w:tcPr>
            <w:tcW w:w="1800" w:type="dxa"/>
            <w:gridSpan w:val="2"/>
          </w:tcPr>
          <w:p w14:paraId="0E505E28"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3C38D888"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Structural consolidation for national legislative compliance. The unnumbered subparagraphs of the EU provision are systematically structured into </w:t>
            </w:r>
            <w:r w:rsidRPr="005E6D70">
              <w:rPr>
                <w:rFonts w:ascii="Times New Roman" w:eastAsia="Calibri" w:hAnsi="Times New Roman" w:cs="Times New Roman"/>
                <w:iCs/>
                <w:sz w:val="18"/>
                <w:szCs w:val="18"/>
                <w:lang w:val="en-US"/>
              </w:rPr>
              <w:lastRenderedPageBreak/>
              <w:t>a lettered list (a-e).</w:t>
            </w:r>
          </w:p>
        </w:tc>
      </w:tr>
      <w:tr w:rsidR="00465215" w:rsidRPr="005E6D70" w14:paraId="0CBC74DB" w14:textId="77777777" w:rsidTr="009170D4">
        <w:tc>
          <w:tcPr>
            <w:tcW w:w="810" w:type="dxa"/>
          </w:tcPr>
          <w:p w14:paraId="4D5A85A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24(6a)</w:t>
            </w:r>
          </w:p>
        </w:tc>
        <w:tc>
          <w:tcPr>
            <w:tcW w:w="5040" w:type="dxa"/>
            <w:gridSpan w:val="2"/>
          </w:tcPr>
          <w:p w14:paraId="24C7351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a dividend or dividend equivalents;</w:t>
            </w:r>
          </w:p>
        </w:tc>
        <w:tc>
          <w:tcPr>
            <w:tcW w:w="810" w:type="dxa"/>
          </w:tcPr>
          <w:p w14:paraId="094B59E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2AC53B3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24(6)(e)(i)</w:t>
            </w:r>
          </w:p>
        </w:tc>
        <w:tc>
          <w:tcPr>
            <w:tcW w:w="4680" w:type="dxa"/>
            <w:gridSpan w:val="2"/>
          </w:tcPr>
          <w:p w14:paraId="6B7D018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a dividend or dividend equivalents;</w:t>
            </w:r>
          </w:p>
        </w:tc>
        <w:tc>
          <w:tcPr>
            <w:tcW w:w="1800" w:type="dxa"/>
            <w:gridSpan w:val="2"/>
          </w:tcPr>
          <w:p w14:paraId="35B03E08"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45489658"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EU letter formatting adapted to Roman numerals in the draft law.</w:t>
            </w:r>
          </w:p>
        </w:tc>
      </w:tr>
      <w:tr w:rsidR="00465215" w:rsidRPr="005E6D70" w14:paraId="375ABAD5" w14:textId="77777777" w:rsidTr="009170D4">
        <w:tc>
          <w:tcPr>
            <w:tcW w:w="810" w:type="dxa"/>
          </w:tcPr>
          <w:p w14:paraId="34DBA29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24(6b)</w:t>
            </w:r>
          </w:p>
        </w:tc>
        <w:tc>
          <w:tcPr>
            <w:tcW w:w="5040" w:type="dxa"/>
            <w:gridSpan w:val="2"/>
          </w:tcPr>
          <w:p w14:paraId="68F95B1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interest or interest equivalents;</w:t>
            </w:r>
          </w:p>
        </w:tc>
        <w:tc>
          <w:tcPr>
            <w:tcW w:w="810" w:type="dxa"/>
          </w:tcPr>
          <w:p w14:paraId="4127575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1D4E9F5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24(6)(e)(ii)</w:t>
            </w:r>
          </w:p>
        </w:tc>
        <w:tc>
          <w:tcPr>
            <w:tcW w:w="4680" w:type="dxa"/>
            <w:gridSpan w:val="2"/>
          </w:tcPr>
          <w:p w14:paraId="6C43944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interest or interest equivalents;</w:t>
            </w:r>
          </w:p>
        </w:tc>
        <w:tc>
          <w:tcPr>
            <w:tcW w:w="1800" w:type="dxa"/>
            <w:gridSpan w:val="2"/>
          </w:tcPr>
          <w:p w14:paraId="779D9461"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73524CD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31726BD8" w14:textId="77777777" w:rsidTr="009170D4">
        <w:tc>
          <w:tcPr>
            <w:tcW w:w="810" w:type="dxa"/>
          </w:tcPr>
          <w:p w14:paraId="2EBE586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24(6c)</w:t>
            </w:r>
          </w:p>
        </w:tc>
        <w:tc>
          <w:tcPr>
            <w:tcW w:w="5040" w:type="dxa"/>
            <w:gridSpan w:val="2"/>
          </w:tcPr>
          <w:p w14:paraId="5752CEF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rent;</w:t>
            </w:r>
          </w:p>
        </w:tc>
        <w:tc>
          <w:tcPr>
            <w:tcW w:w="810" w:type="dxa"/>
          </w:tcPr>
          <w:p w14:paraId="1ED9FE1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2BF5B2F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24(6)(e)(iii)</w:t>
            </w:r>
          </w:p>
        </w:tc>
        <w:tc>
          <w:tcPr>
            <w:tcW w:w="4680" w:type="dxa"/>
            <w:gridSpan w:val="2"/>
          </w:tcPr>
          <w:p w14:paraId="0BDE815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(iii) rent;</w:t>
            </w:r>
          </w:p>
        </w:tc>
        <w:tc>
          <w:tcPr>
            <w:tcW w:w="1800" w:type="dxa"/>
            <w:gridSpan w:val="2"/>
          </w:tcPr>
          <w:p w14:paraId="72140259"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04AB0F31"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3B4EAC04" w14:textId="77777777" w:rsidTr="009170D4">
        <w:tc>
          <w:tcPr>
            <w:tcW w:w="810" w:type="dxa"/>
          </w:tcPr>
          <w:p w14:paraId="0DA01B4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24(6d)</w:t>
            </w:r>
          </w:p>
        </w:tc>
        <w:tc>
          <w:tcPr>
            <w:tcW w:w="5040" w:type="dxa"/>
            <w:gridSpan w:val="2"/>
          </w:tcPr>
          <w:p w14:paraId="52435C8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(d) royalty;</w:t>
            </w:r>
          </w:p>
        </w:tc>
        <w:tc>
          <w:tcPr>
            <w:tcW w:w="810" w:type="dxa"/>
          </w:tcPr>
          <w:p w14:paraId="7D41191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456D02E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24(6)(e)(iv)</w:t>
            </w:r>
          </w:p>
        </w:tc>
        <w:tc>
          <w:tcPr>
            <w:tcW w:w="4680" w:type="dxa"/>
            <w:gridSpan w:val="2"/>
          </w:tcPr>
          <w:p w14:paraId="0214B5D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(iv) royalty;</w:t>
            </w:r>
          </w:p>
        </w:tc>
        <w:tc>
          <w:tcPr>
            <w:tcW w:w="1800" w:type="dxa"/>
            <w:gridSpan w:val="2"/>
          </w:tcPr>
          <w:p w14:paraId="6F90470D"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0D02B10B"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28E2FB90" w14:textId="77777777" w:rsidTr="009170D4">
        <w:tc>
          <w:tcPr>
            <w:tcW w:w="810" w:type="dxa"/>
          </w:tcPr>
          <w:p w14:paraId="5429F80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24(6e)</w:t>
            </w:r>
          </w:p>
        </w:tc>
        <w:tc>
          <w:tcPr>
            <w:tcW w:w="5040" w:type="dxa"/>
            <w:gridSpan w:val="2"/>
          </w:tcPr>
          <w:p w14:paraId="691E32C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(e) annuity; or</w:t>
            </w:r>
          </w:p>
        </w:tc>
        <w:tc>
          <w:tcPr>
            <w:tcW w:w="810" w:type="dxa"/>
          </w:tcPr>
          <w:p w14:paraId="468F32F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7EA327C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24(6)(e)(v)</w:t>
            </w:r>
          </w:p>
        </w:tc>
        <w:tc>
          <w:tcPr>
            <w:tcW w:w="4680" w:type="dxa"/>
            <w:gridSpan w:val="2"/>
          </w:tcPr>
          <w:p w14:paraId="543A461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(v) annuity; or</w:t>
            </w:r>
          </w:p>
        </w:tc>
        <w:tc>
          <w:tcPr>
            <w:tcW w:w="1800" w:type="dxa"/>
            <w:gridSpan w:val="2"/>
          </w:tcPr>
          <w:p w14:paraId="5AA0257E"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4CCB28A4"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38CE0024" w14:textId="77777777" w:rsidTr="009170D4">
        <w:tc>
          <w:tcPr>
            <w:tcW w:w="810" w:type="dxa"/>
          </w:tcPr>
          <w:p w14:paraId="26D990F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24(6f)</w:t>
            </w:r>
          </w:p>
        </w:tc>
        <w:tc>
          <w:tcPr>
            <w:tcW w:w="5040" w:type="dxa"/>
            <w:gridSpan w:val="2"/>
          </w:tcPr>
          <w:p w14:paraId="039A27E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(f) net gains from property of a type that produces income described in points (a) to (e).</w:t>
            </w:r>
          </w:p>
        </w:tc>
        <w:tc>
          <w:tcPr>
            <w:tcW w:w="810" w:type="dxa"/>
          </w:tcPr>
          <w:p w14:paraId="4BFA4F5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CC1B44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24(6)(e)(vi)</w:t>
            </w:r>
          </w:p>
        </w:tc>
        <w:tc>
          <w:tcPr>
            <w:tcW w:w="4680" w:type="dxa"/>
            <w:gridSpan w:val="2"/>
          </w:tcPr>
          <w:p w14:paraId="0E2F2B6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(vi) net gains from property of a type that produces income described in points (i) to (v), of this letter.</w:t>
            </w:r>
          </w:p>
        </w:tc>
        <w:tc>
          <w:tcPr>
            <w:tcW w:w="1800" w:type="dxa"/>
            <w:gridSpan w:val="2"/>
          </w:tcPr>
          <w:p w14:paraId="42A07C5C"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21CFB7E1"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w:t>
            </w:r>
          </w:p>
        </w:tc>
      </w:tr>
      <w:tr w:rsidR="00465215" w:rsidRPr="005E6D70" w14:paraId="01776AF0" w14:textId="77777777" w:rsidTr="009170D4">
        <w:tc>
          <w:tcPr>
            <w:tcW w:w="810" w:type="dxa"/>
          </w:tcPr>
          <w:p w14:paraId="51E830E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24(7)</w:t>
            </w:r>
          </w:p>
        </w:tc>
        <w:tc>
          <w:tcPr>
            <w:tcW w:w="5040" w:type="dxa"/>
            <w:gridSpan w:val="2"/>
          </w:tcPr>
          <w:p w14:paraId="53A9073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7. Where the qualifying income of a permanent establishment is treated as qualifying income of the main entity in accordance with Article 18(5), any covered taxes arising in the jurisdiction where the permanent establishment is located and associated with such income shall be treated as covered taxes of the main entity for an amount not exceeding such income multiplied by the highest tax rate on ordinary income in the jurisdiction where the main entity is located.</w:t>
            </w:r>
          </w:p>
        </w:tc>
        <w:tc>
          <w:tcPr>
            <w:tcW w:w="810" w:type="dxa"/>
          </w:tcPr>
          <w:p w14:paraId="168718D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7D0784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24(7)</w:t>
            </w:r>
          </w:p>
        </w:tc>
        <w:tc>
          <w:tcPr>
            <w:tcW w:w="4680" w:type="dxa"/>
            <w:gridSpan w:val="2"/>
          </w:tcPr>
          <w:p w14:paraId="73A2E78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7. Where the qualifying income of a permanent establishment is treated as qualifying income of the main entity in accordance with paragraph 5, of Article 18, of this Law, any covered taxes arising in the jurisdiction where the permanent establishment is located and associated with such income shall be treated as covered taxes of the main entity for an amount not exceeding such income multiplied by the highest tax rate on ordinary income in the jurisdiction where the main entity is located.</w:t>
            </w:r>
          </w:p>
        </w:tc>
        <w:tc>
          <w:tcPr>
            <w:tcW w:w="1800" w:type="dxa"/>
            <w:gridSpan w:val="2"/>
          </w:tcPr>
          <w:p w14:paraId="4B99E90F"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6A8EC062"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 (adapting cross-reference to national format).</w:t>
            </w:r>
          </w:p>
        </w:tc>
      </w:tr>
      <w:tr w:rsidR="00465215" w:rsidRPr="005E6D70" w14:paraId="06A388CF" w14:textId="77777777" w:rsidTr="009170D4">
        <w:tc>
          <w:tcPr>
            <w:tcW w:w="810" w:type="dxa"/>
            <w:shd w:val="clear" w:color="auto" w:fill="D9D9D9" w:themeFill="background1" w:themeFillShade="D9"/>
          </w:tcPr>
          <w:p w14:paraId="5D4E2BEA"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1AF788B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25. Post-filing adjustments and tax rate changes</w:t>
            </w:r>
          </w:p>
        </w:tc>
        <w:tc>
          <w:tcPr>
            <w:tcW w:w="810" w:type="dxa"/>
            <w:shd w:val="clear" w:color="auto" w:fill="D9D9D9" w:themeFill="background1" w:themeFillShade="D9"/>
          </w:tcPr>
          <w:p w14:paraId="254508E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shd w:val="clear" w:color="auto" w:fill="D9D9D9" w:themeFill="background1" w:themeFillShade="D9"/>
          </w:tcPr>
          <w:p w14:paraId="6473951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25</w:t>
            </w:r>
          </w:p>
        </w:tc>
        <w:tc>
          <w:tcPr>
            <w:tcW w:w="4680" w:type="dxa"/>
            <w:gridSpan w:val="2"/>
            <w:shd w:val="clear" w:color="auto" w:fill="D9D9D9" w:themeFill="background1" w:themeFillShade="D9"/>
          </w:tcPr>
          <w:p w14:paraId="412C0B1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Article 25. Post-Filing Adjustments and Tax Rate Changes</w:t>
            </w:r>
          </w:p>
        </w:tc>
        <w:tc>
          <w:tcPr>
            <w:tcW w:w="1800" w:type="dxa"/>
            <w:gridSpan w:val="2"/>
            <w:shd w:val="clear" w:color="auto" w:fill="D9D9D9" w:themeFill="background1" w:themeFillShade="D9"/>
          </w:tcPr>
          <w:p w14:paraId="51B17858"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shd w:val="clear" w:color="auto" w:fill="D9D9D9" w:themeFill="background1" w:themeFillShade="D9"/>
          </w:tcPr>
          <w:p w14:paraId="2062BAC3"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Transposed as Article 25 in the draft law.</w:t>
            </w:r>
          </w:p>
        </w:tc>
      </w:tr>
      <w:tr w:rsidR="00465215" w:rsidRPr="005E6D70" w14:paraId="228A8589" w14:textId="77777777" w:rsidTr="009170D4">
        <w:tc>
          <w:tcPr>
            <w:tcW w:w="810" w:type="dxa"/>
          </w:tcPr>
          <w:p w14:paraId="4AC428F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25(1)</w:t>
            </w:r>
          </w:p>
        </w:tc>
        <w:tc>
          <w:tcPr>
            <w:tcW w:w="5040" w:type="dxa"/>
            <w:gridSpan w:val="2"/>
          </w:tcPr>
          <w:p w14:paraId="6265702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Where a constituent entity records an adjustment to its covered taxes for a previous fiscal year in its financial accounts, such adjustment shall be treated as an adjustment to covered taxes in the fiscal year in which the adjustment is made, unless the adjustment relates to a fiscal year in which there is a decrease in covered taxes for the jurisdiction.</w:t>
            </w:r>
          </w:p>
          <w:p w14:paraId="688CD791" w14:textId="77777777" w:rsidR="00465215" w:rsidRPr="005E6D70" w:rsidRDefault="00465215" w:rsidP="009170D4">
            <w:pPr>
              <w:jc w:val="both"/>
              <w:rPr>
                <w:rFonts w:ascii="Times New Roman" w:eastAsia="Calibri" w:hAnsi="Times New Roman" w:cs="Times New Roman"/>
                <w:iCs/>
                <w:sz w:val="18"/>
                <w:szCs w:val="18"/>
                <w:lang w:val="en-US"/>
              </w:rPr>
            </w:pPr>
          </w:p>
          <w:p w14:paraId="7E36CD7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Where there is a decrease in covered taxes that were included in the constituent entity’s adjusted covered taxes for a previous fiscal year, the effective tax rate and top-up tax for such fiscal year shall be recomputed in accordance with Article 29(1) by reducing adjusted covered taxes by the amount of the decrease in covered taxes. The qualifying income for the fiscal year and any previous fiscal years shall be adjusted accordingly.</w:t>
            </w:r>
          </w:p>
          <w:p w14:paraId="1775F8E6" w14:textId="77777777" w:rsidR="00465215" w:rsidRPr="005E6D70" w:rsidRDefault="00465215" w:rsidP="009170D4">
            <w:pPr>
              <w:jc w:val="both"/>
              <w:rPr>
                <w:rFonts w:ascii="Times New Roman" w:eastAsia="Calibri" w:hAnsi="Times New Roman" w:cs="Times New Roman"/>
                <w:iCs/>
                <w:sz w:val="18"/>
                <w:szCs w:val="18"/>
                <w:lang w:val="en-US"/>
              </w:rPr>
            </w:pPr>
          </w:p>
          <w:p w14:paraId="23DA43EE"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At the annual election of the filing constituent entity, made in accordance with Article 45(2), an immaterial decrease in covered taxes may be treated as an adjustment to covered taxes in the fiscal year in which the adjustment is made. An immaterial decrease in covered taxes shall be an aggregate decrease of less than EUR 1 000 000 in the adjusted covered taxes determined for the jurisdiction for the fiscal year.</w:t>
            </w:r>
          </w:p>
        </w:tc>
        <w:tc>
          <w:tcPr>
            <w:tcW w:w="810" w:type="dxa"/>
          </w:tcPr>
          <w:p w14:paraId="076CDA0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75F50CD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25(1)</w:t>
            </w:r>
          </w:p>
        </w:tc>
        <w:tc>
          <w:tcPr>
            <w:tcW w:w="4680" w:type="dxa"/>
            <w:gridSpan w:val="2"/>
          </w:tcPr>
          <w:p w14:paraId="54FA8D3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Post-filing adjustments to covered taxes shall be subject to the following rules:</w:t>
            </w:r>
          </w:p>
          <w:p w14:paraId="2B0758A9" w14:textId="77777777" w:rsidR="00465215" w:rsidRPr="005E6D70" w:rsidRDefault="00465215" w:rsidP="009170D4">
            <w:pPr>
              <w:jc w:val="both"/>
              <w:rPr>
                <w:rFonts w:ascii="Times New Roman" w:eastAsia="Calibri" w:hAnsi="Times New Roman" w:cs="Times New Roman"/>
                <w:iCs/>
                <w:sz w:val="18"/>
                <w:szCs w:val="18"/>
                <w:lang w:val="en-US"/>
              </w:rPr>
            </w:pPr>
          </w:p>
          <w:p w14:paraId="53E1064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where a constituent entity records an adjustment to its covered taxes for a previous fiscal year in its financial accounts, such adjustment shall be treated as an adjustment to covered taxes in the fiscal year in which the adjustment is made, unless the adjustment relates to a fiscal year in which there is a decrease in covered taxes for the jurisdiction;</w:t>
            </w:r>
          </w:p>
          <w:p w14:paraId="7ABB15E1" w14:textId="77777777" w:rsidR="00465215" w:rsidRPr="005E6D70" w:rsidRDefault="00465215" w:rsidP="009170D4">
            <w:pPr>
              <w:jc w:val="both"/>
              <w:rPr>
                <w:rFonts w:ascii="Times New Roman" w:eastAsia="Calibri" w:hAnsi="Times New Roman" w:cs="Times New Roman"/>
                <w:iCs/>
                <w:sz w:val="18"/>
                <w:szCs w:val="18"/>
                <w:lang w:val="en-US"/>
              </w:rPr>
            </w:pPr>
          </w:p>
          <w:p w14:paraId="7643402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b) where there is a decrease in covered taxes that were included in the constituent entity’s adjusted covered taxes for a previous fiscal year, the effective tax rate and top-up tax for such fiscal year shall be recomputed in accordance with paragraph 1, of </w:t>
            </w:r>
            <w:r w:rsidRPr="005E6D70">
              <w:rPr>
                <w:rFonts w:ascii="Times New Roman" w:eastAsia="Calibri" w:hAnsi="Times New Roman" w:cs="Times New Roman"/>
                <w:iCs/>
                <w:sz w:val="18"/>
                <w:szCs w:val="18"/>
                <w:lang w:val="en-US"/>
              </w:rPr>
              <w:lastRenderedPageBreak/>
              <w:t>Article 32, of this Law, by reducing adjusted covered taxes by the amount of the decrease in covered taxes;</w:t>
            </w:r>
          </w:p>
          <w:p w14:paraId="0D007208" w14:textId="77777777" w:rsidR="00465215" w:rsidRPr="005E6D70" w:rsidRDefault="00465215" w:rsidP="009170D4">
            <w:pPr>
              <w:jc w:val="both"/>
              <w:rPr>
                <w:rFonts w:ascii="Times New Roman" w:eastAsia="Calibri" w:hAnsi="Times New Roman" w:cs="Times New Roman"/>
                <w:iCs/>
                <w:sz w:val="18"/>
                <w:szCs w:val="18"/>
                <w:lang w:val="en-US"/>
              </w:rPr>
            </w:pPr>
          </w:p>
          <w:p w14:paraId="6523655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the qualifying income for the fiscal year and any previous fiscal years shall be adjusted accordingly;</w:t>
            </w:r>
          </w:p>
          <w:p w14:paraId="19F46D11" w14:textId="77777777" w:rsidR="00465215" w:rsidRPr="005E6D70" w:rsidRDefault="00465215" w:rsidP="009170D4">
            <w:pPr>
              <w:jc w:val="both"/>
              <w:rPr>
                <w:rFonts w:ascii="Times New Roman" w:eastAsia="Calibri" w:hAnsi="Times New Roman" w:cs="Times New Roman"/>
                <w:iCs/>
                <w:sz w:val="18"/>
                <w:szCs w:val="18"/>
                <w:lang w:val="en-US"/>
              </w:rPr>
            </w:pPr>
          </w:p>
          <w:p w14:paraId="5108D53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at the annual election of the filing constituent entity, made in accordance with paragraph 3, of Article 55, of this Law, an immaterial decrease in covered taxes may be treated as an adjustment to covered taxes in the fiscal year in which the adjustment is made; an immaterial decrease in covered taxes shall be an aggregate decrease of less than EUR 1 000 000 in the adjusted covered taxes determined for the jurisdiction for the fiscal year.</w:t>
            </w:r>
          </w:p>
        </w:tc>
        <w:tc>
          <w:tcPr>
            <w:tcW w:w="1800" w:type="dxa"/>
            <w:gridSpan w:val="2"/>
          </w:tcPr>
          <w:p w14:paraId="5AE8164A"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14ABEC0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consolidation. The EU paragraph is systemized into a lettered list (a-d) for legislative clarity. Cross-references updated.</w:t>
            </w:r>
          </w:p>
        </w:tc>
      </w:tr>
      <w:tr w:rsidR="00465215" w:rsidRPr="005E6D70" w14:paraId="4E99FBE4" w14:textId="77777777" w:rsidTr="009170D4">
        <w:tc>
          <w:tcPr>
            <w:tcW w:w="810" w:type="dxa"/>
          </w:tcPr>
          <w:p w14:paraId="3731AD1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25(2)</w:t>
            </w:r>
          </w:p>
        </w:tc>
        <w:tc>
          <w:tcPr>
            <w:tcW w:w="5040" w:type="dxa"/>
            <w:gridSpan w:val="2"/>
          </w:tcPr>
          <w:p w14:paraId="07C925E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 Where the applicable domestic tax rate is reduced below the minimum tax rate and such reduction results in a deferred tax expense, the amount of the resulting deferred tax expense shall be treated as an adjustment to the constituent entity’s liability for covered taxes that are taken into consideration pursuant to Article 21 for a previous fiscal year.</w:t>
            </w:r>
          </w:p>
        </w:tc>
        <w:tc>
          <w:tcPr>
            <w:tcW w:w="810" w:type="dxa"/>
          </w:tcPr>
          <w:p w14:paraId="4AC0597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03469A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25(2)</w:t>
            </w:r>
          </w:p>
        </w:tc>
        <w:tc>
          <w:tcPr>
            <w:tcW w:w="4680" w:type="dxa"/>
            <w:gridSpan w:val="2"/>
          </w:tcPr>
          <w:p w14:paraId="05C5A2C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Where the applicable domestic tax rate is reduced below the minimum tax rate and such reduction results in a deferred tax expense, the amount of the resulting deferred tax expense shall be treated as an adjustment to the constituent entity’s liability for covered taxes that are taken into consideration pursuant to Article 21, of this Law, for a previous fiscal year.</w:t>
            </w:r>
          </w:p>
        </w:tc>
        <w:tc>
          <w:tcPr>
            <w:tcW w:w="1800" w:type="dxa"/>
            <w:gridSpan w:val="2"/>
          </w:tcPr>
          <w:p w14:paraId="0A01885A"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77D8AE0C"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w:t>
            </w:r>
          </w:p>
        </w:tc>
      </w:tr>
      <w:tr w:rsidR="00465215" w:rsidRPr="005E6D70" w14:paraId="7B2632D6" w14:textId="77777777" w:rsidTr="009170D4">
        <w:tc>
          <w:tcPr>
            <w:tcW w:w="810" w:type="dxa"/>
          </w:tcPr>
          <w:p w14:paraId="04614BA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25(3)</w:t>
            </w:r>
          </w:p>
        </w:tc>
        <w:tc>
          <w:tcPr>
            <w:tcW w:w="5040" w:type="dxa"/>
            <w:gridSpan w:val="2"/>
          </w:tcPr>
          <w:p w14:paraId="239FCF6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Where a deferred tax expense was taken into account at a rate lower than the minimum tax rate and the applicable tax rate is later increased, the amount of deferred tax expense that results from such increase shall be treated upon payment as an adjustment to a constituent entity’s liability for covered taxes claimed for a previous fiscal year in accordance with Article 21.</w:t>
            </w:r>
          </w:p>
          <w:p w14:paraId="44E4BA26" w14:textId="77777777" w:rsidR="00465215" w:rsidRPr="005E6D70" w:rsidRDefault="00465215" w:rsidP="009170D4">
            <w:pPr>
              <w:jc w:val="both"/>
              <w:rPr>
                <w:rFonts w:ascii="Times New Roman" w:eastAsia="Calibri" w:hAnsi="Times New Roman" w:cs="Times New Roman"/>
                <w:iCs/>
                <w:sz w:val="18"/>
                <w:szCs w:val="18"/>
                <w:lang w:val="en-US"/>
              </w:rPr>
            </w:pPr>
          </w:p>
          <w:p w14:paraId="15C616D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The adjustment under the first subparagraph shall not exceed an amount equal to the deferred tax expense recast at the minimum tax rate.</w:t>
            </w:r>
          </w:p>
        </w:tc>
        <w:tc>
          <w:tcPr>
            <w:tcW w:w="810" w:type="dxa"/>
          </w:tcPr>
          <w:p w14:paraId="6B66806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658006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25(3)</w:t>
            </w:r>
          </w:p>
        </w:tc>
        <w:tc>
          <w:tcPr>
            <w:tcW w:w="4680" w:type="dxa"/>
            <w:gridSpan w:val="2"/>
          </w:tcPr>
          <w:p w14:paraId="0913358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Where a deferred tax expense was taken into account at a rate lower than the minimum tax rate and the applicable tax rate is later increased, the following rules shall apply:</w:t>
            </w:r>
          </w:p>
          <w:p w14:paraId="40F91691" w14:textId="77777777" w:rsidR="00465215" w:rsidRPr="005E6D70" w:rsidRDefault="00465215" w:rsidP="009170D4">
            <w:pPr>
              <w:jc w:val="both"/>
              <w:rPr>
                <w:rFonts w:ascii="Times New Roman" w:eastAsia="Calibri" w:hAnsi="Times New Roman" w:cs="Times New Roman"/>
                <w:iCs/>
                <w:sz w:val="18"/>
                <w:szCs w:val="18"/>
                <w:lang w:val="en-US"/>
              </w:rPr>
            </w:pPr>
          </w:p>
          <w:p w14:paraId="2EE39E0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the amount of deferred tax expense that results from such increase shall be treated upon payment as an adjustment to a constituent entity’s liability for covered taxes claimed for a previous fiscal year in accordance with Article 21, of this Law;</w:t>
            </w:r>
          </w:p>
          <w:p w14:paraId="6D334FB5" w14:textId="77777777" w:rsidR="00465215" w:rsidRPr="005E6D70" w:rsidRDefault="00465215" w:rsidP="009170D4">
            <w:pPr>
              <w:jc w:val="both"/>
              <w:rPr>
                <w:rFonts w:ascii="Times New Roman" w:eastAsia="Calibri" w:hAnsi="Times New Roman" w:cs="Times New Roman"/>
                <w:iCs/>
                <w:sz w:val="18"/>
                <w:szCs w:val="18"/>
                <w:lang w:val="en-US"/>
              </w:rPr>
            </w:pPr>
          </w:p>
          <w:p w14:paraId="6485BDA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the adjustment under letter “a”, of this paragraph, shall not exceed an amount equal to the deferred tax expense recast at the minimum tax rate.</w:t>
            </w:r>
          </w:p>
        </w:tc>
        <w:tc>
          <w:tcPr>
            <w:tcW w:w="1800" w:type="dxa"/>
            <w:gridSpan w:val="2"/>
          </w:tcPr>
          <w:p w14:paraId="79CA777A"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67567728"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consolidation. The EU paragraph is systemized into a lettered list (a-b). Cross-references updated.</w:t>
            </w:r>
          </w:p>
        </w:tc>
      </w:tr>
      <w:tr w:rsidR="00465215" w:rsidRPr="005E6D70" w14:paraId="2CF17E71" w14:textId="77777777" w:rsidTr="009170D4">
        <w:tc>
          <w:tcPr>
            <w:tcW w:w="810" w:type="dxa"/>
          </w:tcPr>
          <w:p w14:paraId="03793ED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25(4)</w:t>
            </w:r>
          </w:p>
        </w:tc>
        <w:tc>
          <w:tcPr>
            <w:tcW w:w="5040" w:type="dxa"/>
            <w:gridSpan w:val="2"/>
          </w:tcPr>
          <w:p w14:paraId="5D6D9FB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Where more than EUR 1 000 000 of the amount accrued by a constituent entity as current tax expense and included in adjusted covered taxes for a fiscal year is not paid within three years after the end of that fiscal year, the effective tax rate and top-up tax for the fiscal year in which the unpaid amount was claimed as a covered tax shall be recomputed in accordance with Article 29(1) by excluding such unpaid amount from the adjusted covered taxes.</w:t>
            </w:r>
          </w:p>
        </w:tc>
        <w:tc>
          <w:tcPr>
            <w:tcW w:w="810" w:type="dxa"/>
          </w:tcPr>
          <w:p w14:paraId="5194295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3C03830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25(4)</w:t>
            </w:r>
          </w:p>
        </w:tc>
        <w:tc>
          <w:tcPr>
            <w:tcW w:w="4680" w:type="dxa"/>
            <w:gridSpan w:val="2"/>
          </w:tcPr>
          <w:p w14:paraId="6DC60D1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Where more than EUR 1 000 000 of the amount accrued by a constituent entity as current tax expense and included in adjusted covered taxes for a fiscal year is not paid within three years after the end of that fiscal year, the effective tax rate and top-up tax for the fiscal year in which the unpaid amount was claimed as a covered tax shall be recomputed in accordance with paragraph 1, of Article 32, of this Law, by excluding such unpaid amount from the adjusted covered taxes.</w:t>
            </w:r>
          </w:p>
        </w:tc>
        <w:tc>
          <w:tcPr>
            <w:tcW w:w="1800" w:type="dxa"/>
            <w:gridSpan w:val="2"/>
          </w:tcPr>
          <w:p w14:paraId="61F00C22"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510E4ECA"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update to cross-reference (Article 32(1)).</w:t>
            </w:r>
          </w:p>
        </w:tc>
      </w:tr>
      <w:tr w:rsidR="00465215" w:rsidRPr="005E6D70" w14:paraId="2789FE21" w14:textId="77777777" w:rsidTr="009170D4">
        <w:tc>
          <w:tcPr>
            <w:tcW w:w="810" w:type="dxa"/>
            <w:shd w:val="clear" w:color="auto" w:fill="92D050"/>
          </w:tcPr>
          <w:p w14:paraId="478C6D79" w14:textId="77777777" w:rsidR="00465215" w:rsidRPr="005E6D70" w:rsidRDefault="00465215" w:rsidP="009170D4">
            <w:pPr>
              <w:jc w:val="both"/>
              <w:rPr>
                <w:rFonts w:ascii="Times New Roman" w:eastAsia="Calibri" w:hAnsi="Times New Roman" w:cs="Times New Roman"/>
                <w:sz w:val="18"/>
                <w:szCs w:val="18"/>
                <w:highlight w:val="lightGray"/>
                <w:lang w:val="en-US"/>
              </w:rPr>
            </w:pPr>
          </w:p>
        </w:tc>
        <w:tc>
          <w:tcPr>
            <w:tcW w:w="5040" w:type="dxa"/>
            <w:gridSpan w:val="2"/>
            <w:shd w:val="clear" w:color="auto" w:fill="92D050"/>
          </w:tcPr>
          <w:p w14:paraId="71508C2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CHAPTER V</w:t>
            </w:r>
          </w:p>
          <w:p w14:paraId="3A1E96A8"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lastRenderedPageBreak/>
              <w:t>COMPUTATION OF THE EFFECTIVE TAX RATE AND THE TOP-UP TAX</w:t>
            </w:r>
          </w:p>
        </w:tc>
        <w:tc>
          <w:tcPr>
            <w:tcW w:w="810" w:type="dxa"/>
            <w:shd w:val="clear" w:color="auto" w:fill="92D050"/>
          </w:tcPr>
          <w:p w14:paraId="42866BB2"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lastRenderedPageBreak/>
              <w:t>1</w:t>
            </w:r>
          </w:p>
        </w:tc>
        <w:tc>
          <w:tcPr>
            <w:tcW w:w="990" w:type="dxa"/>
            <w:gridSpan w:val="2"/>
            <w:shd w:val="clear" w:color="auto" w:fill="92D050"/>
          </w:tcPr>
          <w:p w14:paraId="39DE5C23" w14:textId="77777777" w:rsidR="00465215" w:rsidRPr="005E6D70" w:rsidRDefault="00465215" w:rsidP="009170D4">
            <w:pPr>
              <w:jc w:val="center"/>
              <w:rPr>
                <w:rFonts w:ascii="Times New Roman" w:eastAsia="Calibri" w:hAnsi="Times New Roman" w:cs="Times New Roman"/>
                <w:sz w:val="18"/>
                <w:szCs w:val="18"/>
                <w:highlight w:val="lightGray"/>
                <w:lang w:val="en-US"/>
              </w:rPr>
            </w:pPr>
          </w:p>
        </w:tc>
        <w:tc>
          <w:tcPr>
            <w:tcW w:w="4680" w:type="dxa"/>
            <w:gridSpan w:val="2"/>
            <w:shd w:val="clear" w:color="auto" w:fill="92D050"/>
          </w:tcPr>
          <w:p w14:paraId="228187B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CHAPTER V</w:t>
            </w:r>
          </w:p>
          <w:p w14:paraId="5E3FC7D3"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lastRenderedPageBreak/>
              <w:t>COMPUTATION OF THE EFFECTIVE TAX RATE AND THE TOP-UP TAX</w:t>
            </w:r>
          </w:p>
        </w:tc>
        <w:tc>
          <w:tcPr>
            <w:tcW w:w="1800" w:type="dxa"/>
            <w:gridSpan w:val="2"/>
            <w:shd w:val="clear" w:color="auto" w:fill="92D050"/>
          </w:tcPr>
          <w:p w14:paraId="4FE1D5C6"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lastRenderedPageBreak/>
              <w:t>F</w:t>
            </w:r>
          </w:p>
        </w:tc>
        <w:tc>
          <w:tcPr>
            <w:tcW w:w="1350" w:type="dxa"/>
            <w:shd w:val="clear" w:color="auto" w:fill="92D050"/>
          </w:tcPr>
          <w:p w14:paraId="25D2EAE4" w14:textId="77777777" w:rsidR="00465215" w:rsidRPr="005E6D70" w:rsidRDefault="00465215" w:rsidP="009170D4">
            <w:pPr>
              <w:rPr>
                <w:rFonts w:ascii="Times New Roman" w:eastAsia="Calibri" w:hAnsi="Times New Roman" w:cs="Times New Roman"/>
                <w:iCs/>
                <w:sz w:val="18"/>
                <w:szCs w:val="18"/>
                <w:highlight w:val="lightGray"/>
                <w:lang w:val="en-US"/>
              </w:rPr>
            </w:pPr>
          </w:p>
        </w:tc>
      </w:tr>
      <w:tr w:rsidR="00465215" w:rsidRPr="005E6D70" w14:paraId="40E7133C" w14:textId="77777777" w:rsidTr="009170D4">
        <w:tc>
          <w:tcPr>
            <w:tcW w:w="810" w:type="dxa"/>
            <w:shd w:val="clear" w:color="auto" w:fill="D9D9D9" w:themeFill="background1" w:themeFillShade="D9"/>
          </w:tcPr>
          <w:p w14:paraId="73E6EE89" w14:textId="77777777" w:rsidR="00465215" w:rsidRPr="005E6D70" w:rsidRDefault="00465215" w:rsidP="009170D4">
            <w:pPr>
              <w:jc w:val="both"/>
              <w:rPr>
                <w:rFonts w:ascii="Times New Roman" w:eastAsia="Calibri" w:hAnsi="Times New Roman" w:cs="Times New Roman"/>
                <w:sz w:val="18"/>
                <w:szCs w:val="18"/>
                <w:highlight w:val="lightGray"/>
                <w:lang w:val="en-US"/>
              </w:rPr>
            </w:pPr>
          </w:p>
        </w:tc>
        <w:tc>
          <w:tcPr>
            <w:tcW w:w="5040" w:type="dxa"/>
            <w:gridSpan w:val="2"/>
            <w:shd w:val="clear" w:color="auto" w:fill="D9D9D9" w:themeFill="background1" w:themeFillShade="D9"/>
          </w:tcPr>
          <w:p w14:paraId="7D59E099"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b/>
                <w:bCs/>
                <w:iCs/>
                <w:sz w:val="18"/>
                <w:szCs w:val="18"/>
                <w:lang w:val="en-US"/>
              </w:rPr>
              <w:t>Article 26. Determination of the effective tax rate</w:t>
            </w:r>
          </w:p>
        </w:tc>
        <w:tc>
          <w:tcPr>
            <w:tcW w:w="810" w:type="dxa"/>
            <w:shd w:val="clear" w:color="auto" w:fill="D9D9D9" w:themeFill="background1" w:themeFillShade="D9"/>
          </w:tcPr>
          <w:p w14:paraId="7C0A3DE5"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shd w:val="clear" w:color="auto" w:fill="D9D9D9" w:themeFill="background1" w:themeFillShade="D9"/>
          </w:tcPr>
          <w:p w14:paraId="2FF5852F"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26</w:t>
            </w:r>
          </w:p>
        </w:tc>
        <w:tc>
          <w:tcPr>
            <w:tcW w:w="4680" w:type="dxa"/>
            <w:gridSpan w:val="2"/>
            <w:shd w:val="clear" w:color="auto" w:fill="D9D9D9" w:themeFill="background1" w:themeFillShade="D9"/>
          </w:tcPr>
          <w:p w14:paraId="790333D0"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Article 26. Determination of the Effective Tax Rate</w:t>
            </w:r>
          </w:p>
        </w:tc>
        <w:tc>
          <w:tcPr>
            <w:tcW w:w="1800" w:type="dxa"/>
            <w:gridSpan w:val="2"/>
            <w:shd w:val="clear" w:color="auto" w:fill="D9D9D9" w:themeFill="background1" w:themeFillShade="D9"/>
          </w:tcPr>
          <w:p w14:paraId="0AE7A74E"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shd w:val="clear" w:color="auto" w:fill="D9D9D9" w:themeFill="background1" w:themeFillShade="D9"/>
          </w:tcPr>
          <w:p w14:paraId="740A0ECF"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Transposed as Article 26 in the draft law.</w:t>
            </w:r>
          </w:p>
        </w:tc>
      </w:tr>
      <w:tr w:rsidR="00465215" w:rsidRPr="005E6D70" w14:paraId="441F391A" w14:textId="77777777" w:rsidTr="009170D4">
        <w:tc>
          <w:tcPr>
            <w:tcW w:w="810" w:type="dxa"/>
          </w:tcPr>
          <w:p w14:paraId="7BD9BE55"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26(1)</w:t>
            </w:r>
          </w:p>
        </w:tc>
        <w:tc>
          <w:tcPr>
            <w:tcW w:w="5040" w:type="dxa"/>
            <w:gridSpan w:val="2"/>
          </w:tcPr>
          <w:p w14:paraId="6B67C56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The effective tax rate of an MNE group or of a large-scale domestic group shall be computed, for each fiscal year and for each jurisdiction provided that there is net qualifying income in the jurisdiction, in accordance with the following formula:</w:t>
            </w:r>
          </w:p>
          <w:p w14:paraId="070CEA72" w14:textId="77777777" w:rsidR="00465215" w:rsidRPr="005E6D70" w:rsidRDefault="00465215" w:rsidP="009170D4">
            <w:pPr>
              <w:jc w:val="both"/>
              <w:rPr>
                <w:rFonts w:ascii="Times New Roman" w:eastAsia="Calibri" w:hAnsi="Times New Roman" w:cs="Times New Roman"/>
                <w:iCs/>
                <w:sz w:val="18"/>
                <w:szCs w:val="18"/>
                <w:lang w:val="en-US"/>
              </w:rPr>
            </w:pPr>
          </w:p>
          <w:p w14:paraId="158ACBCB" w14:textId="77777777" w:rsidR="00465215" w:rsidRPr="005E6D70" w:rsidRDefault="00465215" w:rsidP="009170D4">
            <w:pPr>
              <w:jc w:val="both"/>
              <w:rPr>
                <w:rFonts w:ascii="Times New Roman" w:eastAsia="Calibri" w:hAnsi="Times New Roman" w:cs="Times New Roman"/>
                <w:i/>
                <w:sz w:val="18"/>
                <w:szCs w:val="18"/>
                <w:lang w:val="en-US"/>
              </w:rPr>
            </w:pPr>
            <w:r w:rsidRPr="005E6D70">
              <w:rPr>
                <w:rFonts w:ascii="Times New Roman" w:eastAsia="Calibri" w:hAnsi="Times New Roman" w:cs="Times New Roman"/>
                <w:i/>
                <w:sz w:val="18"/>
                <w:szCs w:val="18"/>
                <w:lang w:val="en-US"/>
              </w:rPr>
              <w:t>Effective Tax Rate = Adjusted covered taxes of the constituent entities in the jurisdiction ÷ Net qualifying income of the constituent entities in the jurisdiction.</w:t>
            </w:r>
          </w:p>
          <w:p w14:paraId="08B8DCF4" w14:textId="77777777" w:rsidR="00465215" w:rsidRPr="005E6D70" w:rsidRDefault="00465215" w:rsidP="009170D4">
            <w:pPr>
              <w:jc w:val="both"/>
              <w:rPr>
                <w:rFonts w:ascii="Times New Roman" w:eastAsia="Calibri" w:hAnsi="Times New Roman" w:cs="Times New Roman"/>
                <w:iCs/>
                <w:sz w:val="18"/>
                <w:szCs w:val="18"/>
                <w:lang w:val="en-US"/>
              </w:rPr>
            </w:pPr>
          </w:p>
          <w:p w14:paraId="37012494"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where the adjusted covered taxes of the constituent entities are the sum of the adjusted covered taxes of all the constituent entities located in the jurisdiction determined in accordance with Chapter IV.</w:t>
            </w:r>
          </w:p>
        </w:tc>
        <w:tc>
          <w:tcPr>
            <w:tcW w:w="810" w:type="dxa"/>
          </w:tcPr>
          <w:p w14:paraId="41E5147D"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0C4FC745"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26(1)</w:t>
            </w:r>
          </w:p>
        </w:tc>
        <w:tc>
          <w:tcPr>
            <w:tcW w:w="4680" w:type="dxa"/>
            <w:gridSpan w:val="2"/>
          </w:tcPr>
          <w:p w14:paraId="6B9C5CF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The effective tax rate of a multinational enterprise group or of a large-scale domestic group shall be computed, for each fiscal year and for each jurisdiction provided that there is net qualifying income in the jurisdiction, in accordance with the following formula:</w:t>
            </w:r>
          </w:p>
          <w:p w14:paraId="68A71A5D" w14:textId="77777777" w:rsidR="00465215" w:rsidRPr="005E6D70" w:rsidRDefault="00465215" w:rsidP="009170D4">
            <w:pPr>
              <w:jc w:val="both"/>
              <w:rPr>
                <w:rFonts w:ascii="Times New Roman" w:eastAsia="Calibri" w:hAnsi="Times New Roman" w:cs="Times New Roman"/>
                <w:iCs/>
                <w:sz w:val="18"/>
                <w:szCs w:val="18"/>
                <w:lang w:val="en-US"/>
              </w:rPr>
            </w:pPr>
          </w:p>
          <w:p w14:paraId="6DAB4942" w14:textId="77777777" w:rsidR="00465215" w:rsidRPr="005E6D70" w:rsidRDefault="00465215" w:rsidP="009170D4">
            <w:pPr>
              <w:jc w:val="both"/>
              <w:rPr>
                <w:rFonts w:ascii="Times New Roman" w:eastAsia="Calibri" w:hAnsi="Times New Roman" w:cs="Times New Roman"/>
                <w:i/>
                <w:sz w:val="18"/>
                <w:szCs w:val="18"/>
                <w:lang w:val="en-US"/>
              </w:rPr>
            </w:pPr>
            <w:r w:rsidRPr="005E6D70">
              <w:rPr>
                <w:rFonts w:ascii="Times New Roman" w:eastAsia="Calibri" w:hAnsi="Times New Roman" w:cs="Times New Roman"/>
                <w:i/>
                <w:sz w:val="18"/>
                <w:szCs w:val="18"/>
                <w:lang w:val="en-US"/>
              </w:rPr>
              <w:t>Effective tax rate = (Adjusted covered taxes of the constituent entities in the jurisdiction) / (Net qualifying income of the constituent entities in the jurisdiction)</w:t>
            </w:r>
          </w:p>
          <w:p w14:paraId="5F266342" w14:textId="77777777" w:rsidR="00465215" w:rsidRPr="005E6D70" w:rsidRDefault="00465215" w:rsidP="009170D4">
            <w:pPr>
              <w:jc w:val="both"/>
              <w:rPr>
                <w:rFonts w:ascii="Times New Roman" w:eastAsia="Calibri" w:hAnsi="Times New Roman" w:cs="Times New Roman"/>
                <w:iCs/>
                <w:sz w:val="18"/>
                <w:szCs w:val="18"/>
                <w:lang w:val="en-US"/>
              </w:rPr>
            </w:pPr>
          </w:p>
          <w:p w14:paraId="5EBAC599"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where the adjusted covered taxes of the constituent entities are the sum of the adjusted covered taxes of all the constituent entities located in the jurisdiction determined in accordance with Chapter IV, of this Law.</w:t>
            </w:r>
          </w:p>
        </w:tc>
        <w:tc>
          <w:tcPr>
            <w:tcW w:w="1800" w:type="dxa"/>
            <w:gridSpan w:val="2"/>
          </w:tcPr>
          <w:p w14:paraId="3E3B6AA1"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0876797C"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 expanded "MNE group" and updated reference to "Chapter IV, of this Law".</w:t>
            </w:r>
          </w:p>
        </w:tc>
      </w:tr>
      <w:tr w:rsidR="00465215" w:rsidRPr="005E6D70" w14:paraId="4747436D" w14:textId="77777777" w:rsidTr="009170D4">
        <w:tc>
          <w:tcPr>
            <w:tcW w:w="810" w:type="dxa"/>
          </w:tcPr>
          <w:p w14:paraId="7CDE76FA"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26(2)</w:t>
            </w:r>
          </w:p>
        </w:tc>
        <w:tc>
          <w:tcPr>
            <w:tcW w:w="5040" w:type="dxa"/>
            <w:gridSpan w:val="2"/>
          </w:tcPr>
          <w:p w14:paraId="7D87618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The net qualifying income or loss of the constituent entities in the jurisdiction for a fiscal year shall be determined in accordance with the following formula:</w:t>
            </w:r>
          </w:p>
          <w:p w14:paraId="4DB5A367" w14:textId="77777777" w:rsidR="00465215" w:rsidRPr="005E6D70" w:rsidRDefault="00465215" w:rsidP="009170D4">
            <w:pPr>
              <w:jc w:val="both"/>
              <w:rPr>
                <w:rFonts w:ascii="Times New Roman" w:eastAsia="Calibri" w:hAnsi="Times New Roman" w:cs="Times New Roman"/>
                <w:iCs/>
                <w:sz w:val="18"/>
                <w:szCs w:val="18"/>
                <w:lang w:val="en-US"/>
              </w:rPr>
            </w:pPr>
          </w:p>
          <w:p w14:paraId="4C4A9024" w14:textId="77777777" w:rsidR="00465215" w:rsidRPr="005E6D70" w:rsidRDefault="00465215" w:rsidP="009170D4">
            <w:pPr>
              <w:jc w:val="both"/>
              <w:rPr>
                <w:rFonts w:ascii="Times New Roman" w:eastAsia="Calibri" w:hAnsi="Times New Roman" w:cs="Times New Roman"/>
                <w:i/>
                <w:sz w:val="18"/>
                <w:szCs w:val="18"/>
                <w:lang w:val="en-US"/>
              </w:rPr>
            </w:pPr>
            <w:r w:rsidRPr="005E6D70">
              <w:rPr>
                <w:rFonts w:ascii="Times New Roman" w:eastAsia="Calibri" w:hAnsi="Times New Roman" w:cs="Times New Roman"/>
                <w:i/>
                <w:sz w:val="18"/>
                <w:szCs w:val="18"/>
                <w:lang w:val="en-US"/>
              </w:rPr>
              <w:t>Net qualifying income or loss = qualifying income of the constituent entities - qualifying losses of the constituent entities.</w:t>
            </w:r>
          </w:p>
          <w:p w14:paraId="63889A3B" w14:textId="77777777" w:rsidR="00465215" w:rsidRPr="005E6D70" w:rsidRDefault="00465215" w:rsidP="009170D4">
            <w:pPr>
              <w:jc w:val="both"/>
              <w:rPr>
                <w:rFonts w:ascii="Times New Roman" w:eastAsia="Calibri" w:hAnsi="Times New Roman" w:cs="Times New Roman"/>
                <w:iCs/>
                <w:sz w:val="18"/>
                <w:szCs w:val="18"/>
                <w:lang w:val="en-US"/>
              </w:rPr>
            </w:pPr>
          </w:p>
          <w:p w14:paraId="0A91AB8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where:</w:t>
            </w:r>
          </w:p>
        </w:tc>
        <w:tc>
          <w:tcPr>
            <w:tcW w:w="810" w:type="dxa"/>
          </w:tcPr>
          <w:p w14:paraId="116DB7E1"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3933ECCF"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26(2)</w:t>
            </w:r>
          </w:p>
        </w:tc>
        <w:tc>
          <w:tcPr>
            <w:tcW w:w="4680" w:type="dxa"/>
            <w:gridSpan w:val="2"/>
          </w:tcPr>
          <w:p w14:paraId="1810924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The net qualifying income or loss of the constituent entities in the jurisdiction for a fiscal year shall be determined in accordance with the following formula:</w:t>
            </w:r>
          </w:p>
          <w:p w14:paraId="4EC84F6F" w14:textId="77777777" w:rsidR="00465215" w:rsidRPr="005E6D70" w:rsidRDefault="00465215" w:rsidP="009170D4">
            <w:pPr>
              <w:jc w:val="both"/>
              <w:rPr>
                <w:rFonts w:ascii="Times New Roman" w:eastAsia="Calibri" w:hAnsi="Times New Roman" w:cs="Times New Roman"/>
                <w:iCs/>
                <w:sz w:val="18"/>
                <w:szCs w:val="18"/>
                <w:lang w:val="en-US"/>
              </w:rPr>
            </w:pPr>
          </w:p>
          <w:p w14:paraId="759C4484" w14:textId="77777777" w:rsidR="00465215" w:rsidRPr="005E6D70" w:rsidRDefault="00465215" w:rsidP="009170D4">
            <w:pPr>
              <w:jc w:val="both"/>
              <w:rPr>
                <w:rFonts w:ascii="Times New Roman" w:eastAsia="Calibri" w:hAnsi="Times New Roman" w:cs="Times New Roman"/>
                <w:i/>
                <w:sz w:val="18"/>
                <w:szCs w:val="18"/>
                <w:lang w:val="en-US"/>
              </w:rPr>
            </w:pPr>
            <w:r w:rsidRPr="005E6D70">
              <w:rPr>
                <w:rFonts w:ascii="Times New Roman" w:eastAsia="Calibri" w:hAnsi="Times New Roman" w:cs="Times New Roman"/>
                <w:i/>
                <w:sz w:val="18"/>
                <w:szCs w:val="18"/>
                <w:lang w:val="en-US"/>
              </w:rPr>
              <w:t>Net qualifying income or loss = (Qualifying income of the constituent entities) - (Qualifying losses of the constituent entities)</w:t>
            </w:r>
          </w:p>
          <w:p w14:paraId="06FD6B13" w14:textId="77777777" w:rsidR="00465215" w:rsidRPr="005E6D70" w:rsidRDefault="00465215" w:rsidP="009170D4">
            <w:pPr>
              <w:jc w:val="both"/>
              <w:rPr>
                <w:rFonts w:ascii="Times New Roman" w:eastAsia="Calibri" w:hAnsi="Times New Roman" w:cs="Times New Roman"/>
                <w:iCs/>
                <w:sz w:val="18"/>
                <w:szCs w:val="18"/>
                <w:lang w:val="en-US"/>
              </w:rPr>
            </w:pPr>
          </w:p>
          <w:p w14:paraId="430179C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where:</w:t>
            </w:r>
          </w:p>
        </w:tc>
        <w:tc>
          <w:tcPr>
            <w:tcW w:w="1800" w:type="dxa"/>
            <w:gridSpan w:val="2"/>
          </w:tcPr>
          <w:p w14:paraId="2AA92115"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3566E40B"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w:t>
            </w:r>
          </w:p>
        </w:tc>
      </w:tr>
      <w:tr w:rsidR="00465215" w:rsidRPr="005E6D70" w14:paraId="2890784A" w14:textId="77777777" w:rsidTr="009170D4">
        <w:tc>
          <w:tcPr>
            <w:tcW w:w="810" w:type="dxa"/>
          </w:tcPr>
          <w:p w14:paraId="13F286B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26(2a)</w:t>
            </w:r>
          </w:p>
        </w:tc>
        <w:tc>
          <w:tcPr>
            <w:tcW w:w="5040" w:type="dxa"/>
            <w:gridSpan w:val="2"/>
          </w:tcPr>
          <w:p w14:paraId="5A27C7D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the qualifying income of the constituent entities is the positive sum, if any, of the qualifying income of all constituent entities located in the jurisdiction determined in accordance with Chapter III;</w:t>
            </w:r>
          </w:p>
        </w:tc>
        <w:tc>
          <w:tcPr>
            <w:tcW w:w="810" w:type="dxa"/>
          </w:tcPr>
          <w:p w14:paraId="432A7260"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4E729C99"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26(2)(a)</w:t>
            </w:r>
          </w:p>
        </w:tc>
        <w:tc>
          <w:tcPr>
            <w:tcW w:w="4680" w:type="dxa"/>
            <w:gridSpan w:val="2"/>
          </w:tcPr>
          <w:p w14:paraId="1DEE7D9D"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a) the qualifying income of the constituent entities is the positive sum, if any, of the qualifying income of all constituent entities located in the jurisdiction determined in accordance with Chapter III, of this Law;</w:t>
            </w:r>
          </w:p>
        </w:tc>
        <w:tc>
          <w:tcPr>
            <w:tcW w:w="1800" w:type="dxa"/>
            <w:gridSpan w:val="2"/>
          </w:tcPr>
          <w:p w14:paraId="6155B651"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304029CD"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 with local drafting adaptation.</w:t>
            </w:r>
          </w:p>
        </w:tc>
      </w:tr>
      <w:tr w:rsidR="00465215" w:rsidRPr="005E6D70" w14:paraId="3D18F92F" w14:textId="77777777" w:rsidTr="009170D4">
        <w:tc>
          <w:tcPr>
            <w:tcW w:w="810" w:type="dxa"/>
          </w:tcPr>
          <w:p w14:paraId="4963680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26(2b)</w:t>
            </w:r>
          </w:p>
        </w:tc>
        <w:tc>
          <w:tcPr>
            <w:tcW w:w="5040" w:type="dxa"/>
            <w:gridSpan w:val="2"/>
          </w:tcPr>
          <w:p w14:paraId="059BAB4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the qualifying losses of the constituent entities are the sum of the qualifying losses of all constituent entities located in the jurisdiction determined in accordance with Chapter III.</w:t>
            </w:r>
          </w:p>
        </w:tc>
        <w:tc>
          <w:tcPr>
            <w:tcW w:w="810" w:type="dxa"/>
          </w:tcPr>
          <w:p w14:paraId="400622CD"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4671D6CF"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26(2)(b)</w:t>
            </w:r>
          </w:p>
        </w:tc>
        <w:tc>
          <w:tcPr>
            <w:tcW w:w="4680" w:type="dxa"/>
            <w:gridSpan w:val="2"/>
          </w:tcPr>
          <w:p w14:paraId="184A8FDB"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b) the qualifying losses of the constituent entities are the sum of the qualifying losses of all constituent entities located in the jurisdiction determined in accordance with Chapter III, of this Law.</w:t>
            </w:r>
          </w:p>
        </w:tc>
        <w:tc>
          <w:tcPr>
            <w:tcW w:w="1800" w:type="dxa"/>
            <w:gridSpan w:val="2"/>
          </w:tcPr>
          <w:p w14:paraId="7F7D7110"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0A676EF9"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 with local drafting adaptation.</w:t>
            </w:r>
          </w:p>
        </w:tc>
      </w:tr>
      <w:tr w:rsidR="00465215" w:rsidRPr="005E6D70" w14:paraId="41F9E809" w14:textId="77777777" w:rsidTr="009170D4">
        <w:tc>
          <w:tcPr>
            <w:tcW w:w="810" w:type="dxa"/>
          </w:tcPr>
          <w:p w14:paraId="021C58CB"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26(3)</w:t>
            </w:r>
          </w:p>
        </w:tc>
        <w:tc>
          <w:tcPr>
            <w:tcW w:w="5040" w:type="dxa"/>
            <w:gridSpan w:val="2"/>
          </w:tcPr>
          <w:p w14:paraId="1487199F"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 xml:space="preserve">3. Adjusted covered taxes and qualifying income or loss of constituent entities that are investment entities shall be excluded from the computation of the effective tax rate in accordance with </w:t>
            </w:r>
            <w:r w:rsidRPr="005E6D70">
              <w:rPr>
                <w:rFonts w:ascii="Times New Roman" w:eastAsia="Calibri" w:hAnsi="Times New Roman" w:cs="Times New Roman"/>
                <w:iCs/>
                <w:sz w:val="18"/>
                <w:szCs w:val="18"/>
                <w:lang w:val="en-US"/>
              </w:rPr>
              <w:lastRenderedPageBreak/>
              <w:t>paragraph 1 and the computation of the net qualifying income in accordance with paragraph 2.</w:t>
            </w:r>
          </w:p>
        </w:tc>
        <w:tc>
          <w:tcPr>
            <w:tcW w:w="810" w:type="dxa"/>
          </w:tcPr>
          <w:p w14:paraId="1DEEB33F"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695F3121"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26(3)</w:t>
            </w:r>
          </w:p>
        </w:tc>
        <w:tc>
          <w:tcPr>
            <w:tcW w:w="4680" w:type="dxa"/>
            <w:gridSpan w:val="2"/>
          </w:tcPr>
          <w:p w14:paraId="03ECB681"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 xml:space="preserve">3. Adjusted covered taxes and qualifying income or loss of constituent entities that are investment entities shall be excluded from the computation of the effective tax rate in </w:t>
            </w:r>
            <w:r w:rsidRPr="005E6D70">
              <w:rPr>
                <w:rFonts w:ascii="Times New Roman" w:eastAsia="Calibri" w:hAnsi="Times New Roman" w:cs="Times New Roman"/>
                <w:iCs/>
                <w:sz w:val="18"/>
                <w:szCs w:val="18"/>
                <w:lang w:val="en-US"/>
              </w:rPr>
              <w:lastRenderedPageBreak/>
              <w:t>accordance with paragraph 1, of this Article, and the computation of the net qualifying income in accordance with paragraph 2, of this Article.</w:t>
            </w:r>
          </w:p>
        </w:tc>
        <w:tc>
          <w:tcPr>
            <w:tcW w:w="1800" w:type="dxa"/>
            <w:gridSpan w:val="2"/>
          </w:tcPr>
          <w:p w14:paraId="2B221B7A"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lastRenderedPageBreak/>
              <w:t>F</w:t>
            </w:r>
          </w:p>
        </w:tc>
        <w:tc>
          <w:tcPr>
            <w:tcW w:w="1350" w:type="dxa"/>
          </w:tcPr>
          <w:p w14:paraId="5684DC07"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 xml:space="preserve">Direct transposition with local </w:t>
            </w:r>
            <w:r w:rsidRPr="005E6D70">
              <w:rPr>
                <w:rFonts w:ascii="Times New Roman" w:eastAsia="Calibri" w:hAnsi="Times New Roman" w:cs="Times New Roman"/>
                <w:iCs/>
                <w:sz w:val="18"/>
                <w:szCs w:val="18"/>
                <w:lang w:val="en-US"/>
              </w:rPr>
              <w:lastRenderedPageBreak/>
              <w:t>drafting adaptations.</w:t>
            </w:r>
          </w:p>
        </w:tc>
      </w:tr>
      <w:tr w:rsidR="00465215" w:rsidRPr="005E6D70" w14:paraId="3F3D0700" w14:textId="77777777" w:rsidTr="009170D4">
        <w:tc>
          <w:tcPr>
            <w:tcW w:w="810" w:type="dxa"/>
          </w:tcPr>
          <w:p w14:paraId="2B4785E6"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lastRenderedPageBreak/>
              <w:t>26(4)</w:t>
            </w:r>
          </w:p>
        </w:tc>
        <w:tc>
          <w:tcPr>
            <w:tcW w:w="5040" w:type="dxa"/>
            <w:gridSpan w:val="2"/>
          </w:tcPr>
          <w:p w14:paraId="71E8A038"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4. The effective tax rate of each stateless constituent entity shall be computed, for each fiscal year, separately from the effective tax rate of all other constituent entities.</w:t>
            </w:r>
          </w:p>
        </w:tc>
        <w:tc>
          <w:tcPr>
            <w:tcW w:w="810" w:type="dxa"/>
          </w:tcPr>
          <w:p w14:paraId="0457721E"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29C1A06C"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26(4)</w:t>
            </w:r>
          </w:p>
        </w:tc>
        <w:tc>
          <w:tcPr>
            <w:tcW w:w="4680" w:type="dxa"/>
            <w:gridSpan w:val="2"/>
          </w:tcPr>
          <w:p w14:paraId="04341991"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4. The effective tax rate of each stateless constituent entity shall be computed, for each fiscal year, separately from the effective tax rate of all other constituent entities.</w:t>
            </w:r>
          </w:p>
        </w:tc>
        <w:tc>
          <w:tcPr>
            <w:tcW w:w="1800" w:type="dxa"/>
            <w:gridSpan w:val="2"/>
          </w:tcPr>
          <w:p w14:paraId="5DC58A58"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7E59346C"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w:t>
            </w:r>
          </w:p>
        </w:tc>
      </w:tr>
      <w:tr w:rsidR="00465215" w:rsidRPr="005E6D70" w14:paraId="0C9D2859" w14:textId="77777777" w:rsidTr="009170D4">
        <w:tc>
          <w:tcPr>
            <w:tcW w:w="810" w:type="dxa"/>
            <w:shd w:val="clear" w:color="auto" w:fill="D9D9D9" w:themeFill="background1" w:themeFillShade="D9"/>
          </w:tcPr>
          <w:p w14:paraId="234256E8" w14:textId="77777777" w:rsidR="00465215" w:rsidRPr="005E6D70" w:rsidRDefault="00465215" w:rsidP="009170D4">
            <w:pPr>
              <w:jc w:val="both"/>
              <w:rPr>
                <w:rFonts w:ascii="Times New Roman" w:eastAsia="Calibri" w:hAnsi="Times New Roman" w:cs="Times New Roman"/>
                <w:sz w:val="18"/>
                <w:szCs w:val="18"/>
                <w:highlight w:val="lightGray"/>
                <w:lang w:val="en-US"/>
              </w:rPr>
            </w:pPr>
          </w:p>
        </w:tc>
        <w:tc>
          <w:tcPr>
            <w:tcW w:w="5040" w:type="dxa"/>
            <w:gridSpan w:val="2"/>
            <w:shd w:val="clear" w:color="auto" w:fill="D9D9D9" w:themeFill="background1" w:themeFillShade="D9"/>
          </w:tcPr>
          <w:p w14:paraId="430CB5D5"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b/>
                <w:bCs/>
                <w:iCs/>
                <w:sz w:val="18"/>
                <w:szCs w:val="18"/>
                <w:lang w:val="en-US"/>
              </w:rPr>
              <w:t>Article 27. Computation of the top-up tax</w:t>
            </w:r>
          </w:p>
        </w:tc>
        <w:tc>
          <w:tcPr>
            <w:tcW w:w="810" w:type="dxa"/>
            <w:shd w:val="clear" w:color="auto" w:fill="D9D9D9" w:themeFill="background1" w:themeFillShade="D9"/>
          </w:tcPr>
          <w:p w14:paraId="59A88505"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shd w:val="clear" w:color="auto" w:fill="D9D9D9" w:themeFill="background1" w:themeFillShade="D9"/>
          </w:tcPr>
          <w:p w14:paraId="3103E616"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w:t>
            </w:r>
          </w:p>
        </w:tc>
        <w:tc>
          <w:tcPr>
            <w:tcW w:w="4680" w:type="dxa"/>
            <w:gridSpan w:val="2"/>
            <w:shd w:val="clear" w:color="auto" w:fill="D9D9D9" w:themeFill="background1" w:themeFillShade="D9"/>
          </w:tcPr>
          <w:p w14:paraId="7D9EA897"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Article 27. Computation of the Top-Up Tax</w:t>
            </w:r>
          </w:p>
        </w:tc>
        <w:tc>
          <w:tcPr>
            <w:tcW w:w="1800" w:type="dxa"/>
            <w:gridSpan w:val="2"/>
            <w:shd w:val="clear" w:color="auto" w:fill="D9D9D9" w:themeFill="background1" w:themeFillShade="D9"/>
          </w:tcPr>
          <w:p w14:paraId="4AB69773"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shd w:val="clear" w:color="auto" w:fill="D9D9D9" w:themeFill="background1" w:themeFillShade="D9"/>
          </w:tcPr>
          <w:p w14:paraId="59DCF483"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Structurally transposed as Article 27 in the draft law.</w:t>
            </w:r>
          </w:p>
        </w:tc>
      </w:tr>
      <w:tr w:rsidR="00465215" w:rsidRPr="005E6D70" w14:paraId="0865CAF4" w14:textId="77777777" w:rsidTr="009170D4">
        <w:tc>
          <w:tcPr>
            <w:tcW w:w="810" w:type="dxa"/>
          </w:tcPr>
          <w:p w14:paraId="0421A13F"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27(1)</w:t>
            </w:r>
          </w:p>
        </w:tc>
        <w:tc>
          <w:tcPr>
            <w:tcW w:w="5040" w:type="dxa"/>
            <w:gridSpan w:val="2"/>
          </w:tcPr>
          <w:p w14:paraId="1933A93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Where the effective tax rate of a jurisdiction in which constituent entities are located is below the minimum tax rate for a fiscal year, the MNE group or a large-scale domestic group shall compute the top-up tax separately for each of its constituent entities that have qualifying income included in the computation of net qualifying income of that jurisdiction. The top-up tax shall be computed on a jurisdictional basis</w:t>
            </w:r>
            <w:r w:rsidRPr="005E6D70">
              <w:rPr>
                <w:rFonts w:ascii="Times New Roman" w:eastAsia="Calibri" w:hAnsi="Times New Roman" w:cs="Times New Roman"/>
                <w:b/>
                <w:bCs/>
                <w:iCs/>
                <w:sz w:val="18"/>
                <w:szCs w:val="18"/>
                <w:lang w:val="en-US"/>
              </w:rPr>
              <w:t>.</w:t>
            </w:r>
          </w:p>
        </w:tc>
        <w:tc>
          <w:tcPr>
            <w:tcW w:w="810" w:type="dxa"/>
          </w:tcPr>
          <w:p w14:paraId="6DF010E0"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2DC4566A"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27(1)</w:t>
            </w:r>
          </w:p>
        </w:tc>
        <w:tc>
          <w:tcPr>
            <w:tcW w:w="4680" w:type="dxa"/>
            <w:gridSpan w:val="2"/>
          </w:tcPr>
          <w:p w14:paraId="6033EFDB"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1. Where the effective tax rate of a jurisdiction in which constituent entities are located is below the minimum tax rate for a fiscal year, the multinational enterprise group or a large-scale domestic group shall compute the top-up tax separately for each of its constituent entities that have qualifying income included in the computation of net qualifying income of that jurisdiction. The top-up tax shall be computed on a jurisdictional basis.</w:t>
            </w:r>
          </w:p>
        </w:tc>
        <w:tc>
          <w:tcPr>
            <w:tcW w:w="1800" w:type="dxa"/>
            <w:gridSpan w:val="2"/>
          </w:tcPr>
          <w:p w14:paraId="43858C1C"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755CE90F"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 in substance. Acronym "MNE" expanded to "multinational enterprise" for terminological consistency throughout the domestic legal framework.</w:t>
            </w:r>
          </w:p>
        </w:tc>
      </w:tr>
      <w:tr w:rsidR="00465215" w:rsidRPr="005E6D70" w14:paraId="443A2788" w14:textId="77777777" w:rsidTr="009170D4">
        <w:tc>
          <w:tcPr>
            <w:tcW w:w="810" w:type="dxa"/>
          </w:tcPr>
          <w:p w14:paraId="4427B8B3"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27(2)</w:t>
            </w:r>
          </w:p>
        </w:tc>
        <w:tc>
          <w:tcPr>
            <w:tcW w:w="5040" w:type="dxa"/>
            <w:gridSpan w:val="2"/>
          </w:tcPr>
          <w:p w14:paraId="42E57E7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The top-up tax percentage for a jurisdiction for a fiscal year shall be the positive percentage point difference, if any, computed in accordance with the following formula:</w:t>
            </w:r>
          </w:p>
          <w:p w14:paraId="7932B54F" w14:textId="77777777" w:rsidR="00465215" w:rsidRPr="005E6D70" w:rsidRDefault="00465215" w:rsidP="009170D4">
            <w:pPr>
              <w:jc w:val="both"/>
              <w:rPr>
                <w:rFonts w:ascii="Times New Roman" w:eastAsia="Calibri" w:hAnsi="Times New Roman" w:cs="Times New Roman"/>
                <w:iCs/>
                <w:sz w:val="18"/>
                <w:szCs w:val="18"/>
                <w:lang w:val="en-US"/>
              </w:rPr>
            </w:pPr>
          </w:p>
          <w:p w14:paraId="29629C79" w14:textId="77777777" w:rsidR="00465215" w:rsidRPr="005E6D70" w:rsidRDefault="00465215" w:rsidP="009170D4">
            <w:pPr>
              <w:jc w:val="both"/>
              <w:rPr>
                <w:rFonts w:ascii="Times New Roman" w:eastAsia="Calibri" w:hAnsi="Times New Roman" w:cs="Times New Roman"/>
                <w:i/>
                <w:sz w:val="18"/>
                <w:szCs w:val="18"/>
                <w:lang w:val="en-US"/>
              </w:rPr>
            </w:pPr>
            <w:r w:rsidRPr="005E6D70">
              <w:rPr>
                <w:rFonts w:ascii="Times New Roman" w:eastAsia="Calibri" w:hAnsi="Times New Roman" w:cs="Times New Roman"/>
                <w:i/>
                <w:sz w:val="18"/>
                <w:szCs w:val="18"/>
                <w:lang w:val="en-US"/>
              </w:rPr>
              <w:t>Top–up tax percentage = minimum tax rate - effective tax rate</w:t>
            </w:r>
          </w:p>
          <w:p w14:paraId="4719A2B3" w14:textId="77777777" w:rsidR="00465215" w:rsidRPr="005E6D70" w:rsidRDefault="00465215" w:rsidP="009170D4">
            <w:pPr>
              <w:jc w:val="both"/>
              <w:rPr>
                <w:rFonts w:ascii="Times New Roman" w:eastAsia="Calibri" w:hAnsi="Times New Roman" w:cs="Times New Roman"/>
                <w:iCs/>
                <w:sz w:val="18"/>
                <w:szCs w:val="18"/>
                <w:lang w:val="en-US"/>
              </w:rPr>
            </w:pPr>
          </w:p>
          <w:p w14:paraId="3D839793"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where the effective tax rate is the rate computed in accordance with Article 26.</w:t>
            </w:r>
          </w:p>
        </w:tc>
        <w:tc>
          <w:tcPr>
            <w:tcW w:w="810" w:type="dxa"/>
          </w:tcPr>
          <w:p w14:paraId="7C5AC77A"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41A394CC"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27(2)</w:t>
            </w:r>
          </w:p>
        </w:tc>
        <w:tc>
          <w:tcPr>
            <w:tcW w:w="4680" w:type="dxa"/>
            <w:gridSpan w:val="2"/>
          </w:tcPr>
          <w:p w14:paraId="3B902B2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The top-up tax percentage for a jurisdiction for a fiscal year shall be the positive percentage point difference, if any, computed in accordance with the following formula:</w:t>
            </w:r>
          </w:p>
          <w:p w14:paraId="24D4573A" w14:textId="77777777" w:rsidR="00465215" w:rsidRPr="005E6D70" w:rsidRDefault="00465215" w:rsidP="009170D4">
            <w:pPr>
              <w:jc w:val="both"/>
              <w:rPr>
                <w:rFonts w:ascii="Times New Roman" w:eastAsia="Calibri" w:hAnsi="Times New Roman" w:cs="Times New Roman"/>
                <w:iCs/>
                <w:sz w:val="18"/>
                <w:szCs w:val="18"/>
                <w:lang w:val="en-US"/>
              </w:rPr>
            </w:pPr>
          </w:p>
          <w:p w14:paraId="012320A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Top-up tax percentage = minimum tax rate – effective tax rate</w:t>
            </w:r>
          </w:p>
          <w:p w14:paraId="3BA8F65F" w14:textId="77777777" w:rsidR="00465215" w:rsidRPr="005E6D70" w:rsidRDefault="00465215" w:rsidP="009170D4">
            <w:pPr>
              <w:jc w:val="both"/>
              <w:rPr>
                <w:rFonts w:ascii="Times New Roman" w:eastAsia="Calibri" w:hAnsi="Times New Roman" w:cs="Times New Roman"/>
                <w:iCs/>
                <w:sz w:val="18"/>
                <w:szCs w:val="18"/>
                <w:lang w:val="en-US"/>
              </w:rPr>
            </w:pPr>
          </w:p>
          <w:p w14:paraId="5C006178"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where the effective tax rate is the rate computed in accordance with Article 26, of this Law.</w:t>
            </w:r>
          </w:p>
        </w:tc>
        <w:tc>
          <w:tcPr>
            <w:tcW w:w="1800" w:type="dxa"/>
            <w:gridSpan w:val="2"/>
          </w:tcPr>
          <w:p w14:paraId="15A81E6D"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6DA3E94D"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 of formula definitions. Addition of the specific legal reference "of this Law" to conform to domestic drafting standards.</w:t>
            </w:r>
          </w:p>
        </w:tc>
      </w:tr>
      <w:tr w:rsidR="00465215" w:rsidRPr="005E6D70" w14:paraId="14267915" w14:textId="77777777" w:rsidTr="009170D4">
        <w:tc>
          <w:tcPr>
            <w:tcW w:w="810" w:type="dxa"/>
          </w:tcPr>
          <w:p w14:paraId="060B704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27(3)</w:t>
            </w:r>
          </w:p>
        </w:tc>
        <w:tc>
          <w:tcPr>
            <w:tcW w:w="5040" w:type="dxa"/>
            <w:gridSpan w:val="2"/>
          </w:tcPr>
          <w:p w14:paraId="7FDF7F3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The jurisdictional top-up tax for a fiscal year shall be the positive amount, if any, computed in accordance with the following formula:</w:t>
            </w:r>
          </w:p>
          <w:p w14:paraId="3C20C4B0" w14:textId="77777777" w:rsidR="00465215" w:rsidRPr="005E6D70" w:rsidRDefault="00465215" w:rsidP="009170D4">
            <w:pPr>
              <w:jc w:val="both"/>
              <w:rPr>
                <w:rFonts w:ascii="Times New Roman" w:eastAsia="Calibri" w:hAnsi="Times New Roman" w:cs="Times New Roman"/>
                <w:iCs/>
                <w:sz w:val="18"/>
                <w:szCs w:val="18"/>
                <w:lang w:val="en-US"/>
              </w:rPr>
            </w:pPr>
          </w:p>
          <w:p w14:paraId="50266E13" w14:textId="77777777" w:rsidR="00465215" w:rsidRPr="005E6D70" w:rsidRDefault="00465215" w:rsidP="009170D4">
            <w:pPr>
              <w:jc w:val="both"/>
              <w:rPr>
                <w:rFonts w:ascii="Times New Roman" w:eastAsia="Calibri" w:hAnsi="Times New Roman" w:cs="Times New Roman"/>
                <w:i/>
                <w:sz w:val="18"/>
                <w:szCs w:val="18"/>
                <w:lang w:val="en-US"/>
              </w:rPr>
            </w:pPr>
            <w:r w:rsidRPr="005E6D70">
              <w:rPr>
                <w:rFonts w:ascii="Times New Roman" w:eastAsia="Calibri" w:hAnsi="Times New Roman" w:cs="Times New Roman"/>
                <w:i/>
                <w:sz w:val="18"/>
                <w:szCs w:val="18"/>
                <w:lang w:val="en-US"/>
              </w:rPr>
              <w:t>Jurisdictional top–up tax = (top–up tax percentage x excess profit)+ additional top–up tax - domestic top –up tax</w:t>
            </w:r>
          </w:p>
          <w:p w14:paraId="6D59BC72" w14:textId="77777777" w:rsidR="00465215" w:rsidRPr="005E6D70" w:rsidRDefault="00465215" w:rsidP="009170D4">
            <w:pPr>
              <w:jc w:val="both"/>
              <w:rPr>
                <w:rFonts w:ascii="Times New Roman" w:eastAsia="Calibri" w:hAnsi="Times New Roman" w:cs="Times New Roman"/>
                <w:iCs/>
                <w:sz w:val="18"/>
                <w:szCs w:val="18"/>
                <w:lang w:val="en-US"/>
              </w:rPr>
            </w:pPr>
          </w:p>
          <w:p w14:paraId="269F50AF"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lastRenderedPageBreak/>
              <w:t>where:</w:t>
            </w:r>
          </w:p>
        </w:tc>
        <w:tc>
          <w:tcPr>
            <w:tcW w:w="810" w:type="dxa"/>
          </w:tcPr>
          <w:p w14:paraId="48E7195F"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64C53C82"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27(3)</w:t>
            </w:r>
          </w:p>
          <w:p w14:paraId="7DAF2FC0" w14:textId="77777777" w:rsidR="00465215" w:rsidRPr="005E6D70" w:rsidRDefault="00465215" w:rsidP="009170D4">
            <w:pPr>
              <w:rPr>
                <w:rFonts w:ascii="Times New Roman" w:eastAsia="Calibri" w:hAnsi="Times New Roman" w:cs="Times New Roman"/>
                <w:sz w:val="18"/>
                <w:szCs w:val="18"/>
                <w:highlight w:val="lightGray"/>
                <w:lang w:val="en-US"/>
              </w:rPr>
            </w:pPr>
          </w:p>
          <w:p w14:paraId="44C7C180" w14:textId="77777777" w:rsidR="00465215" w:rsidRPr="005E6D70" w:rsidRDefault="00465215" w:rsidP="009170D4">
            <w:pPr>
              <w:rPr>
                <w:rFonts w:ascii="Times New Roman" w:eastAsia="Calibri" w:hAnsi="Times New Roman" w:cs="Times New Roman"/>
                <w:sz w:val="18"/>
                <w:szCs w:val="18"/>
                <w:highlight w:val="lightGray"/>
                <w:lang w:val="en-US"/>
              </w:rPr>
            </w:pPr>
          </w:p>
        </w:tc>
        <w:tc>
          <w:tcPr>
            <w:tcW w:w="4680" w:type="dxa"/>
            <w:gridSpan w:val="2"/>
          </w:tcPr>
          <w:p w14:paraId="3E5722F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The jurisdictional top-up tax for a fiscal year shall be the positive amount, if any, computed in accordance with the following formula:</w:t>
            </w:r>
          </w:p>
          <w:p w14:paraId="2FE4506B" w14:textId="77777777" w:rsidR="00465215" w:rsidRPr="005E6D70" w:rsidRDefault="00465215" w:rsidP="009170D4">
            <w:pPr>
              <w:jc w:val="both"/>
              <w:rPr>
                <w:rFonts w:ascii="Times New Roman" w:eastAsia="Calibri" w:hAnsi="Times New Roman" w:cs="Times New Roman"/>
                <w:iCs/>
                <w:sz w:val="18"/>
                <w:szCs w:val="18"/>
                <w:lang w:val="en-US"/>
              </w:rPr>
            </w:pPr>
          </w:p>
          <w:p w14:paraId="64EDDCAE" w14:textId="77777777" w:rsidR="00465215" w:rsidRPr="005E6D70" w:rsidRDefault="00465215" w:rsidP="009170D4">
            <w:pPr>
              <w:jc w:val="both"/>
              <w:rPr>
                <w:rFonts w:ascii="Times New Roman" w:eastAsia="Calibri" w:hAnsi="Times New Roman" w:cs="Times New Roman"/>
                <w:i/>
                <w:sz w:val="18"/>
                <w:szCs w:val="18"/>
                <w:lang w:val="en-US"/>
              </w:rPr>
            </w:pPr>
            <w:r w:rsidRPr="005E6D70">
              <w:rPr>
                <w:rFonts w:ascii="Times New Roman" w:eastAsia="Calibri" w:hAnsi="Times New Roman" w:cs="Times New Roman"/>
                <w:i/>
                <w:sz w:val="18"/>
                <w:szCs w:val="18"/>
                <w:lang w:val="en-US"/>
              </w:rPr>
              <w:t>Jurisdictional top-up tax = (top-up tax percentage × excess profit) + additional top-up tax – domestic top-up tax</w:t>
            </w:r>
          </w:p>
          <w:p w14:paraId="1437E7D0" w14:textId="77777777" w:rsidR="00465215" w:rsidRPr="005E6D70" w:rsidRDefault="00465215" w:rsidP="009170D4">
            <w:pPr>
              <w:jc w:val="both"/>
              <w:rPr>
                <w:rFonts w:ascii="Times New Roman" w:eastAsia="Calibri" w:hAnsi="Times New Roman" w:cs="Times New Roman"/>
                <w:iCs/>
                <w:sz w:val="18"/>
                <w:szCs w:val="18"/>
                <w:lang w:val="en-US"/>
              </w:rPr>
            </w:pPr>
          </w:p>
          <w:p w14:paraId="3FC4DFEB"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where:</w:t>
            </w:r>
          </w:p>
        </w:tc>
        <w:tc>
          <w:tcPr>
            <w:tcW w:w="1800" w:type="dxa"/>
            <w:gridSpan w:val="2"/>
          </w:tcPr>
          <w:p w14:paraId="7ECF0D8A"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lastRenderedPageBreak/>
              <w:t>F</w:t>
            </w:r>
          </w:p>
        </w:tc>
        <w:tc>
          <w:tcPr>
            <w:tcW w:w="1350" w:type="dxa"/>
          </w:tcPr>
          <w:p w14:paraId="684758CC"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 of computational logic and formula structure.</w:t>
            </w:r>
          </w:p>
        </w:tc>
      </w:tr>
      <w:tr w:rsidR="00465215" w:rsidRPr="005E6D70" w14:paraId="0154CB64" w14:textId="77777777" w:rsidTr="009170D4">
        <w:tc>
          <w:tcPr>
            <w:tcW w:w="810" w:type="dxa"/>
          </w:tcPr>
          <w:p w14:paraId="22FFCE7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27(3a)</w:t>
            </w:r>
          </w:p>
        </w:tc>
        <w:tc>
          <w:tcPr>
            <w:tcW w:w="5040" w:type="dxa"/>
            <w:gridSpan w:val="2"/>
          </w:tcPr>
          <w:p w14:paraId="4AA112D5"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(a) the additional top-up tax is the amount of tax as determined in accordance with Article 29 for the fiscal year;</w:t>
            </w:r>
          </w:p>
        </w:tc>
        <w:tc>
          <w:tcPr>
            <w:tcW w:w="810" w:type="dxa"/>
          </w:tcPr>
          <w:p w14:paraId="205C6087"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12EFEB25"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27(3)(a)</w:t>
            </w:r>
          </w:p>
        </w:tc>
        <w:tc>
          <w:tcPr>
            <w:tcW w:w="4680" w:type="dxa"/>
            <w:gridSpan w:val="2"/>
          </w:tcPr>
          <w:p w14:paraId="191CA497"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a) the additional top-up tax is the amount of tax as determined in accordance with Article 32, of this Law, for the fiscal year;</w:t>
            </w:r>
          </w:p>
        </w:tc>
        <w:tc>
          <w:tcPr>
            <w:tcW w:w="1800" w:type="dxa"/>
            <w:gridSpan w:val="2"/>
          </w:tcPr>
          <w:p w14:paraId="7AE2E688"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6DB2D9A7"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 Cross-reference updated to Article 32 of the domestic draft law to ensure legal continuity.</w:t>
            </w:r>
          </w:p>
        </w:tc>
      </w:tr>
      <w:tr w:rsidR="00465215" w:rsidRPr="005E6D70" w14:paraId="575D7786" w14:textId="77777777" w:rsidTr="009170D4">
        <w:tc>
          <w:tcPr>
            <w:tcW w:w="810" w:type="dxa"/>
          </w:tcPr>
          <w:p w14:paraId="2D0B6836"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27(3b)</w:t>
            </w:r>
          </w:p>
        </w:tc>
        <w:tc>
          <w:tcPr>
            <w:tcW w:w="5040" w:type="dxa"/>
            <w:gridSpan w:val="2"/>
          </w:tcPr>
          <w:p w14:paraId="29A9B1E4"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(b) the domestic top-up tax is the amount of tax for the fiscal year as determined in accordance with Article 11 or under a qualified domestic top-up tax of a third-country jurisdiction.</w:t>
            </w:r>
          </w:p>
        </w:tc>
        <w:tc>
          <w:tcPr>
            <w:tcW w:w="810" w:type="dxa"/>
          </w:tcPr>
          <w:p w14:paraId="6E1A47BD"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013EFFEF"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27(3)(b)</w:t>
            </w:r>
          </w:p>
        </w:tc>
        <w:tc>
          <w:tcPr>
            <w:tcW w:w="4680" w:type="dxa"/>
            <w:gridSpan w:val="2"/>
          </w:tcPr>
          <w:p w14:paraId="68ED1CA8"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b) the domestic top-up tax is the amount of tax for the fiscal year as determined in accordance with Chapter VIII, of this Law, or under a qualified domestic top-up tax of a third-country jurisdiction.</w:t>
            </w:r>
          </w:p>
        </w:tc>
        <w:tc>
          <w:tcPr>
            <w:tcW w:w="1800" w:type="dxa"/>
            <w:gridSpan w:val="2"/>
          </w:tcPr>
          <w:p w14:paraId="6B715902"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76709051"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 Cross-reference updated to Chapter VIII of the domestic draft law.</w:t>
            </w:r>
          </w:p>
        </w:tc>
      </w:tr>
      <w:tr w:rsidR="00465215" w:rsidRPr="005E6D70" w14:paraId="1F756B37" w14:textId="77777777" w:rsidTr="009170D4">
        <w:tc>
          <w:tcPr>
            <w:tcW w:w="810" w:type="dxa"/>
          </w:tcPr>
          <w:p w14:paraId="37BF328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27(4)</w:t>
            </w:r>
          </w:p>
        </w:tc>
        <w:tc>
          <w:tcPr>
            <w:tcW w:w="5040" w:type="dxa"/>
            <w:gridSpan w:val="2"/>
          </w:tcPr>
          <w:p w14:paraId="3D01957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The excess profit for the jurisdiction for the fiscal year referred to in paragraph 3 shall be the positive amount, if any, computed in accordance with the following formula:</w:t>
            </w:r>
          </w:p>
          <w:p w14:paraId="00CFFA2F" w14:textId="77777777" w:rsidR="00465215" w:rsidRPr="005E6D70" w:rsidRDefault="00465215" w:rsidP="009170D4">
            <w:pPr>
              <w:jc w:val="both"/>
              <w:rPr>
                <w:rFonts w:ascii="Times New Roman" w:eastAsia="Calibri" w:hAnsi="Times New Roman" w:cs="Times New Roman"/>
                <w:iCs/>
                <w:sz w:val="18"/>
                <w:szCs w:val="18"/>
                <w:lang w:val="en-US"/>
              </w:rPr>
            </w:pPr>
          </w:p>
          <w:p w14:paraId="45BD8B88" w14:textId="77777777" w:rsidR="00465215" w:rsidRPr="005E6D70" w:rsidRDefault="00465215" w:rsidP="009170D4">
            <w:pPr>
              <w:jc w:val="both"/>
              <w:rPr>
                <w:rFonts w:ascii="Times New Roman" w:eastAsia="Calibri" w:hAnsi="Times New Roman" w:cs="Times New Roman"/>
                <w:i/>
                <w:sz w:val="18"/>
                <w:szCs w:val="18"/>
                <w:lang w:val="en-US"/>
              </w:rPr>
            </w:pPr>
            <w:r w:rsidRPr="005E6D70">
              <w:rPr>
                <w:rFonts w:ascii="Times New Roman" w:eastAsia="Calibri" w:hAnsi="Times New Roman" w:cs="Times New Roman"/>
                <w:i/>
                <w:sz w:val="18"/>
                <w:szCs w:val="18"/>
                <w:lang w:val="en-US"/>
              </w:rPr>
              <w:t>Excess profit = net qualifying income - substance–based income exclusion</w:t>
            </w:r>
          </w:p>
          <w:p w14:paraId="139EAB90" w14:textId="77777777" w:rsidR="00465215" w:rsidRPr="005E6D70" w:rsidRDefault="00465215" w:rsidP="009170D4">
            <w:pPr>
              <w:jc w:val="both"/>
              <w:rPr>
                <w:rFonts w:ascii="Times New Roman" w:eastAsia="Calibri" w:hAnsi="Times New Roman" w:cs="Times New Roman"/>
                <w:iCs/>
                <w:sz w:val="18"/>
                <w:szCs w:val="18"/>
                <w:lang w:val="en-US"/>
              </w:rPr>
            </w:pPr>
          </w:p>
          <w:p w14:paraId="4928795F"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where:</w:t>
            </w:r>
          </w:p>
        </w:tc>
        <w:tc>
          <w:tcPr>
            <w:tcW w:w="810" w:type="dxa"/>
          </w:tcPr>
          <w:p w14:paraId="30C504FC"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115CF85D"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27(4)</w:t>
            </w:r>
          </w:p>
        </w:tc>
        <w:tc>
          <w:tcPr>
            <w:tcW w:w="4680" w:type="dxa"/>
            <w:gridSpan w:val="2"/>
          </w:tcPr>
          <w:p w14:paraId="36B0BFD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The excess profit for the jurisdiction for the fiscal year referred to in paragraph 3, of this Article, shall be the positive amount, if any, computed in accordance with the following formula:</w:t>
            </w:r>
          </w:p>
          <w:p w14:paraId="35BC2320" w14:textId="77777777" w:rsidR="00465215" w:rsidRPr="005E6D70" w:rsidRDefault="00465215" w:rsidP="009170D4">
            <w:pPr>
              <w:jc w:val="both"/>
              <w:rPr>
                <w:rFonts w:ascii="Times New Roman" w:eastAsia="Calibri" w:hAnsi="Times New Roman" w:cs="Times New Roman"/>
                <w:iCs/>
                <w:sz w:val="18"/>
                <w:szCs w:val="18"/>
                <w:lang w:val="en-US"/>
              </w:rPr>
            </w:pPr>
          </w:p>
          <w:p w14:paraId="0D9C46D0" w14:textId="77777777" w:rsidR="00465215" w:rsidRPr="005E6D70" w:rsidRDefault="00465215" w:rsidP="009170D4">
            <w:pPr>
              <w:jc w:val="both"/>
              <w:rPr>
                <w:rFonts w:ascii="Times New Roman" w:eastAsia="Calibri" w:hAnsi="Times New Roman" w:cs="Times New Roman"/>
                <w:i/>
                <w:sz w:val="18"/>
                <w:szCs w:val="18"/>
                <w:lang w:val="en-US"/>
              </w:rPr>
            </w:pPr>
            <w:r w:rsidRPr="005E6D70">
              <w:rPr>
                <w:rFonts w:ascii="Times New Roman" w:eastAsia="Calibri" w:hAnsi="Times New Roman" w:cs="Times New Roman"/>
                <w:i/>
                <w:sz w:val="18"/>
                <w:szCs w:val="18"/>
                <w:lang w:val="en-US"/>
              </w:rPr>
              <w:t xml:space="preserve">Excess profit = net qualifying income – substance-based income exclusion </w:t>
            </w:r>
          </w:p>
          <w:p w14:paraId="3F555847" w14:textId="77777777" w:rsidR="00465215" w:rsidRPr="005E6D70" w:rsidRDefault="00465215" w:rsidP="009170D4">
            <w:pPr>
              <w:jc w:val="both"/>
              <w:rPr>
                <w:rFonts w:ascii="Times New Roman" w:eastAsia="Calibri" w:hAnsi="Times New Roman" w:cs="Times New Roman"/>
                <w:iCs/>
                <w:sz w:val="18"/>
                <w:szCs w:val="18"/>
                <w:lang w:val="en-US"/>
              </w:rPr>
            </w:pPr>
          </w:p>
          <w:p w14:paraId="482876E8"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where:</w:t>
            </w:r>
          </w:p>
        </w:tc>
        <w:tc>
          <w:tcPr>
            <w:tcW w:w="1800" w:type="dxa"/>
            <w:gridSpan w:val="2"/>
          </w:tcPr>
          <w:p w14:paraId="53667753"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1CFC8B36"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 Internal reference formally adapted to national drafting standards.</w:t>
            </w:r>
          </w:p>
        </w:tc>
      </w:tr>
      <w:tr w:rsidR="00465215" w:rsidRPr="005E6D70" w14:paraId="38C7689E" w14:textId="77777777" w:rsidTr="009170D4">
        <w:tc>
          <w:tcPr>
            <w:tcW w:w="810" w:type="dxa"/>
          </w:tcPr>
          <w:p w14:paraId="769ED33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27(4a)</w:t>
            </w:r>
          </w:p>
        </w:tc>
        <w:tc>
          <w:tcPr>
            <w:tcW w:w="5040" w:type="dxa"/>
            <w:gridSpan w:val="2"/>
          </w:tcPr>
          <w:p w14:paraId="461A4564"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(a) the net qualifying income is the income determined in accordance with Article 26(2) for the jurisdiction;</w:t>
            </w:r>
          </w:p>
        </w:tc>
        <w:tc>
          <w:tcPr>
            <w:tcW w:w="810" w:type="dxa"/>
          </w:tcPr>
          <w:p w14:paraId="78E4E7C3"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009C2D43"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27(4)(a)</w:t>
            </w:r>
          </w:p>
        </w:tc>
        <w:tc>
          <w:tcPr>
            <w:tcW w:w="4680" w:type="dxa"/>
            <w:gridSpan w:val="2"/>
          </w:tcPr>
          <w:p w14:paraId="02811BEA"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a) the net qualifying income is the income determined in accordance with paragraph 2, of Article 26, of this Law, for the jurisdiction;</w:t>
            </w:r>
          </w:p>
        </w:tc>
        <w:tc>
          <w:tcPr>
            <w:tcW w:w="1800" w:type="dxa"/>
            <w:gridSpan w:val="2"/>
          </w:tcPr>
          <w:p w14:paraId="2E1898CE"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00AAF00A"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Formal update of internal reference format to align with national legislative standards.</w:t>
            </w:r>
          </w:p>
        </w:tc>
      </w:tr>
      <w:tr w:rsidR="00465215" w:rsidRPr="005E6D70" w14:paraId="0A018B4B" w14:textId="77777777" w:rsidTr="009170D4">
        <w:tc>
          <w:tcPr>
            <w:tcW w:w="810" w:type="dxa"/>
          </w:tcPr>
          <w:p w14:paraId="55054157"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27(4b)</w:t>
            </w:r>
          </w:p>
        </w:tc>
        <w:tc>
          <w:tcPr>
            <w:tcW w:w="5040" w:type="dxa"/>
            <w:gridSpan w:val="2"/>
          </w:tcPr>
          <w:p w14:paraId="45A87C53"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(b) the substance-based income exclusion is the amount determined in accordance with Article 28 for the jurisdiction.</w:t>
            </w:r>
          </w:p>
        </w:tc>
        <w:tc>
          <w:tcPr>
            <w:tcW w:w="810" w:type="dxa"/>
          </w:tcPr>
          <w:p w14:paraId="6BB64E32"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4BE2D065"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27(4)(b)</w:t>
            </w:r>
          </w:p>
        </w:tc>
        <w:tc>
          <w:tcPr>
            <w:tcW w:w="4680" w:type="dxa"/>
            <w:gridSpan w:val="2"/>
          </w:tcPr>
          <w:p w14:paraId="576192D3"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b) the substance-based income exclusion is the amount determined in accordance with Article 28, of this Law, for the jurisdiction.</w:t>
            </w:r>
          </w:p>
        </w:tc>
        <w:tc>
          <w:tcPr>
            <w:tcW w:w="1800" w:type="dxa"/>
            <w:gridSpan w:val="2"/>
          </w:tcPr>
          <w:p w14:paraId="554A8437"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26BF0A79"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 Formal update of internal reference.</w:t>
            </w:r>
          </w:p>
        </w:tc>
      </w:tr>
      <w:tr w:rsidR="00465215" w:rsidRPr="005E6D70" w14:paraId="24D8195D" w14:textId="77777777" w:rsidTr="009170D4">
        <w:tc>
          <w:tcPr>
            <w:tcW w:w="810" w:type="dxa"/>
          </w:tcPr>
          <w:p w14:paraId="78496CB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27(5)</w:t>
            </w:r>
          </w:p>
        </w:tc>
        <w:tc>
          <w:tcPr>
            <w:tcW w:w="5040" w:type="dxa"/>
            <w:gridSpan w:val="2"/>
          </w:tcPr>
          <w:p w14:paraId="33DCE30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5. The top-up tax of a constituent entity for the current fiscal year shall be computed in accordance with the following formula:</w:t>
            </w:r>
          </w:p>
          <w:p w14:paraId="3BFF4EA7" w14:textId="77777777" w:rsidR="00465215" w:rsidRPr="005E6D70" w:rsidRDefault="00465215" w:rsidP="009170D4">
            <w:pPr>
              <w:jc w:val="both"/>
              <w:rPr>
                <w:rFonts w:ascii="Times New Roman" w:eastAsia="Calibri" w:hAnsi="Times New Roman" w:cs="Times New Roman"/>
                <w:iCs/>
                <w:sz w:val="18"/>
                <w:szCs w:val="18"/>
                <w:lang w:val="en-US"/>
              </w:rPr>
            </w:pPr>
          </w:p>
          <w:p w14:paraId="4C7929D8" w14:textId="77777777" w:rsidR="00465215" w:rsidRPr="005E6D70" w:rsidRDefault="00465215" w:rsidP="009170D4">
            <w:pPr>
              <w:jc w:val="both"/>
              <w:rPr>
                <w:rFonts w:ascii="Times New Roman" w:eastAsia="Calibri" w:hAnsi="Times New Roman" w:cs="Times New Roman"/>
                <w:i/>
                <w:sz w:val="18"/>
                <w:szCs w:val="18"/>
                <w:lang w:val="en-US"/>
              </w:rPr>
            </w:pPr>
            <w:r w:rsidRPr="005E6D70">
              <w:rPr>
                <w:rFonts w:ascii="Times New Roman" w:eastAsia="Calibri" w:hAnsi="Times New Roman" w:cs="Times New Roman"/>
                <w:i/>
                <w:sz w:val="18"/>
                <w:szCs w:val="18"/>
                <w:lang w:val="en-US"/>
              </w:rPr>
              <w:t>Top-up tax of a constituent entity = jurisdictional top-up tax x (qualifying income of the constituent entity / aggregate qualifying income of all constituent entities)</w:t>
            </w:r>
          </w:p>
          <w:p w14:paraId="5F4720C1" w14:textId="77777777" w:rsidR="00465215" w:rsidRPr="005E6D70" w:rsidRDefault="00465215" w:rsidP="009170D4">
            <w:pPr>
              <w:jc w:val="both"/>
              <w:rPr>
                <w:rFonts w:ascii="Times New Roman" w:eastAsia="Calibri" w:hAnsi="Times New Roman" w:cs="Times New Roman"/>
                <w:iCs/>
                <w:sz w:val="18"/>
                <w:szCs w:val="18"/>
                <w:lang w:val="en-US"/>
              </w:rPr>
            </w:pPr>
          </w:p>
          <w:p w14:paraId="46C06B6C"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where:</w:t>
            </w:r>
          </w:p>
        </w:tc>
        <w:tc>
          <w:tcPr>
            <w:tcW w:w="810" w:type="dxa"/>
          </w:tcPr>
          <w:p w14:paraId="5EE5E9DF"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3549EF79"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27(5)</w:t>
            </w:r>
          </w:p>
        </w:tc>
        <w:tc>
          <w:tcPr>
            <w:tcW w:w="4680" w:type="dxa"/>
            <w:gridSpan w:val="2"/>
          </w:tcPr>
          <w:p w14:paraId="7074B82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5. The top-up tax of a constituent entity for the current fiscal year shall be computed in accordance with the following formula:</w:t>
            </w:r>
          </w:p>
          <w:p w14:paraId="48CA20D6" w14:textId="77777777" w:rsidR="00465215" w:rsidRPr="005E6D70" w:rsidRDefault="00465215" w:rsidP="009170D4">
            <w:pPr>
              <w:jc w:val="both"/>
              <w:rPr>
                <w:rFonts w:ascii="Times New Roman" w:eastAsia="Calibri" w:hAnsi="Times New Roman" w:cs="Times New Roman"/>
                <w:iCs/>
                <w:sz w:val="18"/>
                <w:szCs w:val="18"/>
                <w:lang w:val="en-US"/>
              </w:rPr>
            </w:pPr>
          </w:p>
          <w:p w14:paraId="0D5A9C12" w14:textId="77777777" w:rsidR="00465215" w:rsidRPr="005E6D70" w:rsidRDefault="00465215" w:rsidP="009170D4">
            <w:pPr>
              <w:jc w:val="both"/>
              <w:rPr>
                <w:rFonts w:ascii="Times New Roman" w:eastAsia="Calibri" w:hAnsi="Times New Roman" w:cs="Times New Roman"/>
                <w:i/>
                <w:sz w:val="18"/>
                <w:szCs w:val="18"/>
                <w:lang w:val="en-US"/>
              </w:rPr>
            </w:pPr>
            <w:r w:rsidRPr="005E6D70">
              <w:rPr>
                <w:rFonts w:ascii="Times New Roman" w:eastAsia="Calibri" w:hAnsi="Times New Roman" w:cs="Times New Roman"/>
                <w:i/>
                <w:sz w:val="18"/>
                <w:szCs w:val="18"/>
                <w:lang w:val="en-US"/>
              </w:rPr>
              <w:t>Top-up tax of a constituent entity = Jurisdictional top-up tax x (Qualifying income of the constituent entity / Aggregate qualifying income of all constituent entities)</w:t>
            </w:r>
          </w:p>
          <w:p w14:paraId="68220859" w14:textId="77777777" w:rsidR="00465215" w:rsidRPr="005E6D70" w:rsidRDefault="00465215" w:rsidP="009170D4">
            <w:pPr>
              <w:jc w:val="both"/>
              <w:rPr>
                <w:rFonts w:ascii="Times New Roman" w:eastAsia="Calibri" w:hAnsi="Times New Roman" w:cs="Times New Roman"/>
                <w:iCs/>
                <w:sz w:val="18"/>
                <w:szCs w:val="18"/>
                <w:lang w:val="en-US"/>
              </w:rPr>
            </w:pPr>
          </w:p>
          <w:p w14:paraId="7CA725CE"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where:</w:t>
            </w:r>
          </w:p>
        </w:tc>
        <w:tc>
          <w:tcPr>
            <w:tcW w:w="1800" w:type="dxa"/>
            <w:gridSpan w:val="2"/>
          </w:tcPr>
          <w:p w14:paraId="33624A1F"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5CC24B85"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The complete equation is reflected in the domestic draft law.</w:t>
            </w:r>
          </w:p>
        </w:tc>
      </w:tr>
      <w:tr w:rsidR="00465215" w:rsidRPr="005E6D70" w14:paraId="55072574" w14:textId="77777777" w:rsidTr="009170D4">
        <w:tc>
          <w:tcPr>
            <w:tcW w:w="810" w:type="dxa"/>
          </w:tcPr>
          <w:p w14:paraId="1151DBC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27(5a)</w:t>
            </w:r>
          </w:p>
        </w:tc>
        <w:tc>
          <w:tcPr>
            <w:tcW w:w="5040" w:type="dxa"/>
            <w:gridSpan w:val="2"/>
          </w:tcPr>
          <w:p w14:paraId="0C6936B7"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(a) the qualifying income of the constituent entity for a jurisdiction for a fiscal year is the income determined in accordance with Chapter III;</w:t>
            </w:r>
          </w:p>
        </w:tc>
        <w:tc>
          <w:tcPr>
            <w:tcW w:w="810" w:type="dxa"/>
          </w:tcPr>
          <w:p w14:paraId="3B64C0A7"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233FAD06"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27(5)(a)</w:t>
            </w:r>
          </w:p>
        </w:tc>
        <w:tc>
          <w:tcPr>
            <w:tcW w:w="4680" w:type="dxa"/>
            <w:gridSpan w:val="2"/>
          </w:tcPr>
          <w:p w14:paraId="5CDD774D"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a) the qualifying income of the constituent entity for a jurisdiction for a fiscal year is the income determined in accordance with Chapter III, of this Law;</w:t>
            </w:r>
          </w:p>
        </w:tc>
        <w:tc>
          <w:tcPr>
            <w:tcW w:w="1800" w:type="dxa"/>
            <w:gridSpan w:val="2"/>
          </w:tcPr>
          <w:p w14:paraId="3736A0B0"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45BF4000"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w:t>
            </w:r>
          </w:p>
        </w:tc>
      </w:tr>
      <w:tr w:rsidR="00465215" w:rsidRPr="005E6D70" w14:paraId="30E62FB6" w14:textId="77777777" w:rsidTr="009170D4">
        <w:tc>
          <w:tcPr>
            <w:tcW w:w="810" w:type="dxa"/>
          </w:tcPr>
          <w:p w14:paraId="0E34AABC"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27(5b)</w:t>
            </w:r>
          </w:p>
        </w:tc>
        <w:tc>
          <w:tcPr>
            <w:tcW w:w="5040" w:type="dxa"/>
            <w:gridSpan w:val="2"/>
          </w:tcPr>
          <w:p w14:paraId="1586AEBD"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(b) the aggregate qualifying income of all constituent entities for a jurisdiction for a fiscal year is the sum of the qualifying income of all the constituent entities located in the jurisdiction for the fiscal year</w:t>
            </w:r>
          </w:p>
        </w:tc>
        <w:tc>
          <w:tcPr>
            <w:tcW w:w="810" w:type="dxa"/>
          </w:tcPr>
          <w:p w14:paraId="6AEA443A"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38484E6C"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27(5)(b)</w:t>
            </w:r>
          </w:p>
        </w:tc>
        <w:tc>
          <w:tcPr>
            <w:tcW w:w="4680" w:type="dxa"/>
            <w:gridSpan w:val="2"/>
          </w:tcPr>
          <w:p w14:paraId="48F547B2"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b) the aggregate qualifying income of all constituent entities for a jurisdiction for a fiscal year is the sum of the qualifying income of all the constituent entities located in the jurisdiction for the fiscal year.</w:t>
            </w:r>
          </w:p>
        </w:tc>
        <w:tc>
          <w:tcPr>
            <w:tcW w:w="1800" w:type="dxa"/>
            <w:gridSpan w:val="2"/>
          </w:tcPr>
          <w:p w14:paraId="04CC55EE"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2E092BE8"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w:t>
            </w:r>
          </w:p>
        </w:tc>
      </w:tr>
      <w:tr w:rsidR="00465215" w:rsidRPr="005E6D70" w14:paraId="6A3BC61C" w14:textId="77777777" w:rsidTr="009170D4">
        <w:tc>
          <w:tcPr>
            <w:tcW w:w="810" w:type="dxa"/>
          </w:tcPr>
          <w:p w14:paraId="09C11716"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27(6)</w:t>
            </w:r>
          </w:p>
        </w:tc>
        <w:tc>
          <w:tcPr>
            <w:tcW w:w="5040" w:type="dxa"/>
            <w:gridSpan w:val="2"/>
          </w:tcPr>
          <w:p w14:paraId="4F9F62C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 If the jurisdictional top-up tax results from a recomputation pursuant to Article 29(1) and there is no net qualifying income in the jurisdiction for the fiscal year, the top-up tax shall be allocated to each constituent entity using the formula set out in paragraph 5 of this Article, based on the qualifying income of the constituent entities in the fiscal years for which the recomputations pursuant to Article 29(1) are performed.</w:t>
            </w:r>
          </w:p>
        </w:tc>
        <w:tc>
          <w:tcPr>
            <w:tcW w:w="810" w:type="dxa"/>
          </w:tcPr>
          <w:p w14:paraId="309D90E9"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27CD16F5"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27(6)</w:t>
            </w:r>
          </w:p>
        </w:tc>
        <w:tc>
          <w:tcPr>
            <w:tcW w:w="4680" w:type="dxa"/>
            <w:gridSpan w:val="2"/>
          </w:tcPr>
          <w:p w14:paraId="01F68674"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6. If the jurisdictional top-up tax results from a recomputation pursuant to paragraph 1, of Article 32, of this Law, and there is no net qualifying income in the jurisdiction for the fiscal year, the top-up tax shall be allocated to each constituent entity using the formula set out in paragraph 5, of this Article, based on the qualifying income of the constituent entities in the fiscal years for which the recomputations pursuant to paragraph 1, of Article 32, of this Law, are performed.</w:t>
            </w:r>
          </w:p>
        </w:tc>
        <w:tc>
          <w:tcPr>
            <w:tcW w:w="1800" w:type="dxa"/>
            <w:gridSpan w:val="2"/>
          </w:tcPr>
          <w:p w14:paraId="6990D49F"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7439D8B6"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Cross-references accurately updated to Article 32(1) of the domestic framework.</w:t>
            </w:r>
          </w:p>
        </w:tc>
      </w:tr>
      <w:tr w:rsidR="00465215" w:rsidRPr="005E6D70" w14:paraId="6F81ADE4" w14:textId="77777777" w:rsidTr="009170D4">
        <w:tc>
          <w:tcPr>
            <w:tcW w:w="810" w:type="dxa"/>
          </w:tcPr>
          <w:p w14:paraId="122C1417"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27(7)</w:t>
            </w:r>
          </w:p>
        </w:tc>
        <w:tc>
          <w:tcPr>
            <w:tcW w:w="5040" w:type="dxa"/>
            <w:gridSpan w:val="2"/>
          </w:tcPr>
          <w:p w14:paraId="400B69C2"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7. The top-up tax of each stateless constituent entity shall be computed, for each fiscal year, separately from the top-up tax of all other constituent entities.</w:t>
            </w:r>
          </w:p>
        </w:tc>
        <w:tc>
          <w:tcPr>
            <w:tcW w:w="810" w:type="dxa"/>
          </w:tcPr>
          <w:p w14:paraId="10E5022F"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3C917C39"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27(7)</w:t>
            </w:r>
          </w:p>
        </w:tc>
        <w:tc>
          <w:tcPr>
            <w:tcW w:w="4680" w:type="dxa"/>
            <w:gridSpan w:val="2"/>
          </w:tcPr>
          <w:p w14:paraId="3457648F"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7. The top-up tax of each stateless constituent entity shall be computed, for each fiscal year, separately from the top-up tax of all other constituent entities.</w:t>
            </w:r>
          </w:p>
        </w:tc>
        <w:tc>
          <w:tcPr>
            <w:tcW w:w="1800" w:type="dxa"/>
            <w:gridSpan w:val="2"/>
          </w:tcPr>
          <w:p w14:paraId="17B9913A"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4505184A"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w:t>
            </w:r>
          </w:p>
        </w:tc>
      </w:tr>
      <w:tr w:rsidR="00465215" w:rsidRPr="005E6D70" w14:paraId="13BE9C6F" w14:textId="77777777" w:rsidTr="009170D4">
        <w:tc>
          <w:tcPr>
            <w:tcW w:w="810" w:type="dxa"/>
            <w:shd w:val="clear" w:color="auto" w:fill="D9D9D9" w:themeFill="background1" w:themeFillShade="D9"/>
          </w:tcPr>
          <w:p w14:paraId="5CF8E9F4" w14:textId="77777777" w:rsidR="00465215" w:rsidRPr="005E6D70" w:rsidRDefault="00465215" w:rsidP="009170D4">
            <w:pPr>
              <w:jc w:val="both"/>
              <w:rPr>
                <w:rFonts w:ascii="Times New Roman" w:eastAsia="Calibri" w:hAnsi="Times New Roman" w:cs="Times New Roman"/>
                <w:sz w:val="18"/>
                <w:szCs w:val="18"/>
                <w:highlight w:val="lightGray"/>
                <w:lang w:val="en-US"/>
              </w:rPr>
            </w:pPr>
          </w:p>
        </w:tc>
        <w:tc>
          <w:tcPr>
            <w:tcW w:w="5040" w:type="dxa"/>
            <w:gridSpan w:val="2"/>
            <w:shd w:val="clear" w:color="auto" w:fill="D9D9D9" w:themeFill="background1" w:themeFillShade="D9"/>
          </w:tcPr>
          <w:p w14:paraId="543425A8"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b/>
                <w:bCs/>
                <w:iCs/>
                <w:sz w:val="18"/>
                <w:szCs w:val="18"/>
                <w:lang w:val="en-US"/>
              </w:rPr>
              <w:t>Article 28. Substance-based income exclusion</w:t>
            </w:r>
          </w:p>
        </w:tc>
        <w:tc>
          <w:tcPr>
            <w:tcW w:w="810" w:type="dxa"/>
            <w:shd w:val="clear" w:color="auto" w:fill="D9D9D9" w:themeFill="background1" w:themeFillShade="D9"/>
          </w:tcPr>
          <w:p w14:paraId="6F958D13"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shd w:val="clear" w:color="auto" w:fill="D9D9D9" w:themeFill="background1" w:themeFillShade="D9"/>
          </w:tcPr>
          <w:p w14:paraId="5751F315"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28, 29, 30</w:t>
            </w:r>
          </w:p>
        </w:tc>
        <w:tc>
          <w:tcPr>
            <w:tcW w:w="4680" w:type="dxa"/>
            <w:gridSpan w:val="2"/>
            <w:shd w:val="clear" w:color="auto" w:fill="D9D9D9" w:themeFill="background1" w:themeFillShade="D9"/>
          </w:tcPr>
          <w:p w14:paraId="7DE75D1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Article 28. Determination of Substance-Based Income Exclusion</w:t>
            </w:r>
          </w:p>
          <w:p w14:paraId="2FEB5436" w14:textId="77777777" w:rsidR="00465215" w:rsidRPr="005E6D70" w:rsidRDefault="00465215" w:rsidP="009170D4">
            <w:pPr>
              <w:jc w:val="both"/>
              <w:rPr>
                <w:rFonts w:ascii="Times New Roman" w:eastAsia="Calibri" w:hAnsi="Times New Roman" w:cs="Times New Roman"/>
                <w:iCs/>
                <w:sz w:val="18"/>
                <w:szCs w:val="18"/>
                <w:lang w:val="en-US"/>
              </w:rPr>
            </w:pPr>
          </w:p>
          <w:p w14:paraId="720A641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Article 29. Eligible employees and eligible payroll costs</w:t>
            </w:r>
          </w:p>
          <w:p w14:paraId="13ADF92F" w14:textId="77777777" w:rsidR="00465215" w:rsidRPr="005E6D70" w:rsidRDefault="00465215" w:rsidP="009170D4">
            <w:pPr>
              <w:jc w:val="both"/>
              <w:rPr>
                <w:rFonts w:ascii="Times New Roman" w:eastAsia="Calibri" w:hAnsi="Times New Roman" w:cs="Times New Roman"/>
                <w:iCs/>
                <w:sz w:val="18"/>
                <w:szCs w:val="18"/>
                <w:lang w:val="en-US"/>
              </w:rPr>
            </w:pPr>
          </w:p>
          <w:p w14:paraId="143D3042"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Article 30. Eligible tangible assets</w:t>
            </w:r>
          </w:p>
        </w:tc>
        <w:tc>
          <w:tcPr>
            <w:tcW w:w="1800" w:type="dxa"/>
            <w:gridSpan w:val="2"/>
            <w:shd w:val="clear" w:color="auto" w:fill="D9D9D9" w:themeFill="background1" w:themeFillShade="D9"/>
          </w:tcPr>
          <w:p w14:paraId="0A70FF97"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shd w:val="clear" w:color="auto" w:fill="D9D9D9" w:themeFill="background1" w:themeFillShade="D9"/>
          </w:tcPr>
          <w:p w14:paraId="2C09EC65"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Structural division. The provisions of EU Article 28 are codified across Articles 28, 29, and 30 of the domestic draft law.</w:t>
            </w:r>
          </w:p>
        </w:tc>
      </w:tr>
      <w:tr w:rsidR="00465215" w:rsidRPr="005E6D70" w14:paraId="3A83CB4A" w14:textId="77777777" w:rsidTr="009170D4">
        <w:tc>
          <w:tcPr>
            <w:tcW w:w="810" w:type="dxa"/>
          </w:tcPr>
          <w:p w14:paraId="12841B94" w14:textId="77777777" w:rsidR="00465215" w:rsidRPr="005E6D70" w:rsidRDefault="00465215" w:rsidP="009170D4">
            <w:pPr>
              <w:jc w:val="center"/>
              <w:rPr>
                <w:rFonts w:ascii="Times New Roman" w:eastAsia="Calibri" w:hAnsi="Times New Roman" w:cs="Times New Roman"/>
                <w:sz w:val="18"/>
                <w:szCs w:val="18"/>
                <w:lang w:val="en-US"/>
              </w:rPr>
            </w:pPr>
          </w:p>
        </w:tc>
        <w:tc>
          <w:tcPr>
            <w:tcW w:w="5040" w:type="dxa"/>
            <w:gridSpan w:val="2"/>
          </w:tcPr>
          <w:p w14:paraId="7122BAA7"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1. For the purposes of this Article, the following definitions apply:</w:t>
            </w:r>
          </w:p>
        </w:tc>
        <w:tc>
          <w:tcPr>
            <w:tcW w:w="810" w:type="dxa"/>
          </w:tcPr>
          <w:p w14:paraId="5C5F9A38"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5AAC326E"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29, 30</w:t>
            </w:r>
          </w:p>
        </w:tc>
        <w:tc>
          <w:tcPr>
            <w:tcW w:w="4680" w:type="dxa"/>
            <w:gridSpan w:val="2"/>
          </w:tcPr>
          <w:p w14:paraId="1B1788DE"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[Incorporated directly into the specific definitions in Article 29 and Article 30 of the domestic draft law.]</w:t>
            </w:r>
          </w:p>
        </w:tc>
        <w:tc>
          <w:tcPr>
            <w:tcW w:w="1800" w:type="dxa"/>
            <w:gridSpan w:val="2"/>
          </w:tcPr>
          <w:p w14:paraId="70EA7D7E"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6EDD4A99"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 xml:space="preserve">Introductory phrasing is integrated directly into the specific </w:t>
            </w:r>
            <w:r w:rsidRPr="005E6D70">
              <w:rPr>
                <w:rFonts w:ascii="Times New Roman" w:eastAsia="Calibri" w:hAnsi="Times New Roman" w:cs="Times New Roman"/>
                <w:iCs/>
                <w:sz w:val="18"/>
                <w:szCs w:val="18"/>
                <w:lang w:val="en-US"/>
              </w:rPr>
              <w:lastRenderedPageBreak/>
              <w:t>definitions in Article 29 and Article 30 of the domestic draft law.</w:t>
            </w:r>
          </w:p>
        </w:tc>
      </w:tr>
      <w:tr w:rsidR="00465215" w:rsidRPr="005E6D70" w14:paraId="2C3960B4" w14:textId="77777777" w:rsidTr="009170D4">
        <w:tc>
          <w:tcPr>
            <w:tcW w:w="810" w:type="dxa"/>
          </w:tcPr>
          <w:p w14:paraId="6D1AAB8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28(1a)</w:t>
            </w:r>
          </w:p>
        </w:tc>
        <w:tc>
          <w:tcPr>
            <w:tcW w:w="5040" w:type="dxa"/>
            <w:gridSpan w:val="2"/>
          </w:tcPr>
          <w:p w14:paraId="3333251F"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(a) ‘eligible employees’ means full-time or part-time employees of a constituent entity and independent contractors participating in the ordinary operating activities of the MNE group or large-scale domestic group under the direction and control of the MNE group or large-scale domestic group;</w:t>
            </w:r>
          </w:p>
        </w:tc>
        <w:tc>
          <w:tcPr>
            <w:tcW w:w="810" w:type="dxa"/>
          </w:tcPr>
          <w:p w14:paraId="4C23F066"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19CA669A"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29(1)</w:t>
            </w:r>
          </w:p>
        </w:tc>
        <w:tc>
          <w:tcPr>
            <w:tcW w:w="4680" w:type="dxa"/>
            <w:gridSpan w:val="2"/>
          </w:tcPr>
          <w:p w14:paraId="04CEEADB"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1. For the purposes of this Chapter, “eligible employees” means full-time or part-time employees of a constituent entity and independent contractors who participate in the ordinary operating activities of a multinational enterprise group or a large-scale domestic group under the direction and control of the multinational enterprise group or the large-scale domestic group.</w:t>
            </w:r>
          </w:p>
        </w:tc>
        <w:tc>
          <w:tcPr>
            <w:tcW w:w="1800" w:type="dxa"/>
            <w:gridSpan w:val="2"/>
          </w:tcPr>
          <w:p w14:paraId="11147CEC"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5A092766"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Structural transposition. Acronym "MNE group" expanded to "multinational enterprise group".</w:t>
            </w:r>
          </w:p>
        </w:tc>
      </w:tr>
      <w:tr w:rsidR="00465215" w:rsidRPr="005E6D70" w14:paraId="38C99276" w14:textId="77777777" w:rsidTr="009170D4">
        <w:tc>
          <w:tcPr>
            <w:tcW w:w="810" w:type="dxa"/>
          </w:tcPr>
          <w:p w14:paraId="303F9B6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28(1b)</w:t>
            </w:r>
          </w:p>
        </w:tc>
        <w:tc>
          <w:tcPr>
            <w:tcW w:w="5040" w:type="dxa"/>
            <w:gridSpan w:val="2"/>
          </w:tcPr>
          <w:p w14:paraId="1339993C"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(b) ‘eligible payroll costs’ means employee compensation expenditures, including salaries, wages and other expenditures that provide a direct and separate personal benefit to the employee, such as health insurance and pension contributions, payroll and employment taxes, and employer social security contributions;</w:t>
            </w:r>
          </w:p>
        </w:tc>
        <w:tc>
          <w:tcPr>
            <w:tcW w:w="810" w:type="dxa"/>
          </w:tcPr>
          <w:p w14:paraId="23B84BF8"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70473345"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29(2)</w:t>
            </w:r>
          </w:p>
        </w:tc>
        <w:tc>
          <w:tcPr>
            <w:tcW w:w="4680" w:type="dxa"/>
            <w:gridSpan w:val="2"/>
          </w:tcPr>
          <w:p w14:paraId="7686D786"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2. For the purposes of this Chapter, “eligible payroll costs” means expenditure on employee compensation, including salaries, wages and other expenditures that provide a direct and separate personal benefit to the employee, such as health insurance and pension contributions, payroll and employment taxes, and employer social security contributions.</w:t>
            </w:r>
          </w:p>
        </w:tc>
        <w:tc>
          <w:tcPr>
            <w:tcW w:w="1800" w:type="dxa"/>
            <w:gridSpan w:val="2"/>
          </w:tcPr>
          <w:p w14:paraId="2E071A74"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618EA7D5"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Structural transposition.</w:t>
            </w:r>
          </w:p>
        </w:tc>
      </w:tr>
      <w:tr w:rsidR="00465215" w:rsidRPr="005E6D70" w14:paraId="7821B212" w14:textId="77777777" w:rsidTr="009170D4">
        <w:tc>
          <w:tcPr>
            <w:tcW w:w="810" w:type="dxa"/>
          </w:tcPr>
          <w:p w14:paraId="28048AEA"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28(1c)</w:t>
            </w:r>
          </w:p>
        </w:tc>
        <w:tc>
          <w:tcPr>
            <w:tcW w:w="5040" w:type="dxa"/>
            <w:gridSpan w:val="2"/>
          </w:tcPr>
          <w:p w14:paraId="515208E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‘eligible tangible assets’ means:</w:t>
            </w:r>
          </w:p>
          <w:p w14:paraId="532B595B" w14:textId="77777777" w:rsidR="00465215" w:rsidRPr="005E6D70" w:rsidRDefault="00465215" w:rsidP="009170D4">
            <w:pPr>
              <w:jc w:val="both"/>
              <w:rPr>
                <w:rFonts w:ascii="Times New Roman" w:eastAsia="Calibri" w:hAnsi="Times New Roman" w:cs="Times New Roman"/>
                <w:iCs/>
                <w:sz w:val="18"/>
                <w:szCs w:val="18"/>
                <w:lang w:val="en-US"/>
              </w:rPr>
            </w:pPr>
          </w:p>
          <w:p w14:paraId="410FEC0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property, plant and equipment located in the jurisdiction;</w:t>
            </w:r>
          </w:p>
          <w:p w14:paraId="1ADF6918" w14:textId="77777777" w:rsidR="00465215" w:rsidRPr="005E6D70" w:rsidRDefault="00465215" w:rsidP="009170D4">
            <w:pPr>
              <w:jc w:val="both"/>
              <w:rPr>
                <w:rFonts w:ascii="Times New Roman" w:eastAsia="Calibri" w:hAnsi="Times New Roman" w:cs="Times New Roman"/>
                <w:iCs/>
                <w:sz w:val="18"/>
                <w:szCs w:val="18"/>
                <w:lang w:val="en-US"/>
              </w:rPr>
            </w:pPr>
          </w:p>
          <w:p w14:paraId="07CF844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natural resources located in the jurisdiction;</w:t>
            </w:r>
          </w:p>
          <w:p w14:paraId="3F135BDC" w14:textId="77777777" w:rsidR="00465215" w:rsidRPr="005E6D70" w:rsidRDefault="00465215" w:rsidP="009170D4">
            <w:pPr>
              <w:jc w:val="both"/>
              <w:rPr>
                <w:rFonts w:ascii="Times New Roman" w:eastAsia="Calibri" w:hAnsi="Times New Roman" w:cs="Times New Roman"/>
                <w:iCs/>
                <w:sz w:val="18"/>
                <w:szCs w:val="18"/>
                <w:lang w:val="en-US"/>
              </w:rPr>
            </w:pPr>
          </w:p>
          <w:p w14:paraId="64B7D14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(iii) a lessee’s right of use of tangible assets located in the jurisdiction; and</w:t>
            </w:r>
          </w:p>
          <w:p w14:paraId="7AE36547" w14:textId="77777777" w:rsidR="00465215" w:rsidRPr="005E6D70" w:rsidRDefault="00465215" w:rsidP="009170D4">
            <w:pPr>
              <w:jc w:val="both"/>
              <w:rPr>
                <w:rFonts w:ascii="Times New Roman" w:eastAsia="Calibri" w:hAnsi="Times New Roman" w:cs="Times New Roman"/>
                <w:iCs/>
                <w:sz w:val="18"/>
                <w:szCs w:val="18"/>
                <w:lang w:val="en-US"/>
              </w:rPr>
            </w:pPr>
          </w:p>
          <w:p w14:paraId="00B15D9E"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(iv) a licence or similar arrangement from the government for the use of immovable property or exploitation of natural resources that entails significant investment in tangible assets.</w:t>
            </w:r>
          </w:p>
        </w:tc>
        <w:tc>
          <w:tcPr>
            <w:tcW w:w="810" w:type="dxa"/>
          </w:tcPr>
          <w:p w14:paraId="2F611D96"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3BB8DD42"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30(1)</w:t>
            </w:r>
          </w:p>
        </w:tc>
        <w:tc>
          <w:tcPr>
            <w:tcW w:w="4680" w:type="dxa"/>
            <w:gridSpan w:val="2"/>
          </w:tcPr>
          <w:p w14:paraId="3E0D032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“Eligible tangible assets” means:</w:t>
            </w:r>
          </w:p>
          <w:p w14:paraId="143FE7E9" w14:textId="77777777" w:rsidR="00465215" w:rsidRPr="005E6D70" w:rsidRDefault="00465215" w:rsidP="009170D4">
            <w:pPr>
              <w:jc w:val="both"/>
              <w:rPr>
                <w:rFonts w:ascii="Times New Roman" w:eastAsia="Calibri" w:hAnsi="Times New Roman" w:cs="Times New Roman"/>
                <w:iCs/>
                <w:sz w:val="18"/>
                <w:szCs w:val="18"/>
                <w:lang w:val="en-US"/>
              </w:rPr>
            </w:pPr>
          </w:p>
          <w:p w14:paraId="72B0943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property, plant and equipment located in the jurisdiction;</w:t>
            </w:r>
          </w:p>
          <w:p w14:paraId="7B32A8C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natural resources located in the jurisdiction;</w:t>
            </w:r>
          </w:p>
          <w:p w14:paraId="6182512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a lessee’s right of use of tangible assets located in the jurisdiction; and</w:t>
            </w:r>
          </w:p>
          <w:p w14:paraId="5F713F08"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 a licence or similar arrangement from the government for the use of immovable property or exploitation of natural resources, which entails significant investment in tangible assets.</w:t>
            </w:r>
          </w:p>
        </w:tc>
        <w:tc>
          <w:tcPr>
            <w:tcW w:w="1800" w:type="dxa"/>
            <w:gridSpan w:val="2"/>
          </w:tcPr>
          <w:p w14:paraId="168BF046"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118D6328"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Structural transposition.</w:t>
            </w:r>
            <w:r w:rsidRPr="005E6D70">
              <w:t xml:space="preserve"> </w:t>
            </w:r>
            <w:r w:rsidRPr="005E6D70">
              <w:rPr>
                <w:rFonts w:ascii="Times New Roman" w:eastAsia="Calibri" w:hAnsi="Times New Roman" w:cs="Times New Roman"/>
                <w:iCs/>
                <w:sz w:val="18"/>
                <w:szCs w:val="18"/>
                <w:lang w:val="en-US"/>
              </w:rPr>
              <w:t>List format adapted from Roman numerals to letters.</w:t>
            </w:r>
          </w:p>
        </w:tc>
      </w:tr>
      <w:tr w:rsidR="00465215" w:rsidRPr="005E6D70" w14:paraId="4FCE2E13" w14:textId="77777777" w:rsidTr="009170D4">
        <w:tc>
          <w:tcPr>
            <w:tcW w:w="810" w:type="dxa"/>
          </w:tcPr>
          <w:p w14:paraId="3FB953C0"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28(2)</w:t>
            </w:r>
          </w:p>
        </w:tc>
        <w:tc>
          <w:tcPr>
            <w:tcW w:w="5040" w:type="dxa"/>
            <w:gridSpan w:val="2"/>
          </w:tcPr>
          <w:p w14:paraId="43CEC64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Unless a filing constituent entity of an MNE group or of a largescale domestic group elects, in accordance with Article 45(2), not to apply the substance-based income exclusion for the fiscal year, the net qualifying income for a jurisdiction shall be reduced, for the purpose of computing the top-up tax, by an amount equal to the sum of the payroll carve-out referred to in paragraph 3 of this Article and the tangible asset carve-out referred to in paragraph 4 of this Article for each constituent entity located in the jurisdiction.</w:t>
            </w:r>
          </w:p>
        </w:tc>
        <w:tc>
          <w:tcPr>
            <w:tcW w:w="810" w:type="dxa"/>
          </w:tcPr>
          <w:p w14:paraId="6E99E10B"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205B4CD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28(1)</w:t>
            </w:r>
          </w:p>
          <w:p w14:paraId="69A0D3D0" w14:textId="77777777" w:rsidR="00465215" w:rsidRPr="005E6D70" w:rsidRDefault="00465215" w:rsidP="009170D4">
            <w:pPr>
              <w:jc w:val="center"/>
              <w:rPr>
                <w:rFonts w:ascii="Times New Roman" w:eastAsia="Calibri" w:hAnsi="Times New Roman" w:cs="Times New Roman"/>
                <w:sz w:val="18"/>
                <w:szCs w:val="18"/>
                <w:lang w:val="en-US"/>
              </w:rPr>
            </w:pPr>
          </w:p>
          <w:p w14:paraId="59EAB35E" w14:textId="77777777" w:rsidR="00465215" w:rsidRPr="005E6D70" w:rsidRDefault="00465215" w:rsidP="009170D4">
            <w:pPr>
              <w:jc w:val="center"/>
              <w:rPr>
                <w:rFonts w:ascii="Times New Roman" w:eastAsia="Calibri" w:hAnsi="Times New Roman" w:cs="Times New Roman"/>
                <w:sz w:val="18"/>
                <w:szCs w:val="18"/>
                <w:lang w:val="en-US"/>
              </w:rPr>
            </w:pPr>
          </w:p>
          <w:p w14:paraId="1BF01111" w14:textId="77777777" w:rsidR="00465215" w:rsidRPr="005E6D70" w:rsidRDefault="00465215" w:rsidP="009170D4">
            <w:pPr>
              <w:jc w:val="center"/>
              <w:rPr>
                <w:rFonts w:ascii="Times New Roman" w:eastAsia="Calibri" w:hAnsi="Times New Roman" w:cs="Times New Roman"/>
                <w:sz w:val="18"/>
                <w:szCs w:val="18"/>
                <w:lang w:val="en-US"/>
              </w:rPr>
            </w:pPr>
          </w:p>
          <w:p w14:paraId="63CB6C93" w14:textId="77777777" w:rsidR="00465215" w:rsidRPr="005E6D70" w:rsidRDefault="00465215" w:rsidP="009170D4">
            <w:pPr>
              <w:jc w:val="center"/>
              <w:rPr>
                <w:rFonts w:ascii="Times New Roman" w:eastAsia="Calibri" w:hAnsi="Times New Roman" w:cs="Times New Roman"/>
                <w:sz w:val="18"/>
                <w:szCs w:val="18"/>
                <w:lang w:val="en-US"/>
              </w:rPr>
            </w:pPr>
          </w:p>
          <w:p w14:paraId="0E113479" w14:textId="77777777" w:rsidR="00465215" w:rsidRPr="005E6D70" w:rsidRDefault="00465215" w:rsidP="009170D4">
            <w:pPr>
              <w:jc w:val="center"/>
              <w:rPr>
                <w:rFonts w:ascii="Times New Roman" w:eastAsia="Calibri" w:hAnsi="Times New Roman" w:cs="Times New Roman"/>
                <w:sz w:val="18"/>
                <w:szCs w:val="18"/>
                <w:lang w:val="en-US"/>
              </w:rPr>
            </w:pPr>
          </w:p>
          <w:p w14:paraId="4516BD1B" w14:textId="77777777" w:rsidR="00465215" w:rsidRPr="005E6D70" w:rsidRDefault="00465215" w:rsidP="009170D4">
            <w:pPr>
              <w:jc w:val="center"/>
              <w:rPr>
                <w:rFonts w:ascii="Times New Roman" w:eastAsia="Calibri" w:hAnsi="Times New Roman" w:cs="Times New Roman"/>
                <w:sz w:val="18"/>
                <w:szCs w:val="18"/>
                <w:lang w:val="en-US"/>
              </w:rPr>
            </w:pPr>
          </w:p>
          <w:p w14:paraId="146182A9" w14:textId="77777777" w:rsidR="00465215" w:rsidRPr="005E6D70" w:rsidRDefault="00465215" w:rsidP="009170D4">
            <w:pPr>
              <w:jc w:val="center"/>
              <w:rPr>
                <w:rFonts w:ascii="Times New Roman" w:eastAsia="Calibri" w:hAnsi="Times New Roman" w:cs="Times New Roman"/>
                <w:sz w:val="18"/>
                <w:szCs w:val="18"/>
                <w:lang w:val="en-US"/>
              </w:rPr>
            </w:pPr>
          </w:p>
          <w:p w14:paraId="7BDE5CAA"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28(2)</w:t>
            </w:r>
          </w:p>
        </w:tc>
        <w:tc>
          <w:tcPr>
            <w:tcW w:w="4680" w:type="dxa"/>
            <w:gridSpan w:val="2"/>
          </w:tcPr>
          <w:p w14:paraId="1C95ECB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Unless a filing constituent entity elects, in accordance with paragraph 3, of Article 55, of this Law, not to apply the substance-based income exclusion for the fiscal year, the net qualifying income for a jurisdiction shall be reduced, for the purpose of computing the top-up tax, by the substance-based income exclusion amount for that jurisdiction.</w:t>
            </w:r>
          </w:p>
          <w:p w14:paraId="3EA6947A" w14:textId="77777777" w:rsidR="00465215" w:rsidRPr="005E6D70" w:rsidRDefault="00465215" w:rsidP="009170D4">
            <w:pPr>
              <w:jc w:val="both"/>
              <w:rPr>
                <w:rFonts w:ascii="Times New Roman" w:eastAsia="Calibri" w:hAnsi="Times New Roman" w:cs="Times New Roman"/>
                <w:iCs/>
                <w:sz w:val="18"/>
                <w:szCs w:val="18"/>
                <w:lang w:val="en-US"/>
              </w:rPr>
            </w:pPr>
          </w:p>
          <w:p w14:paraId="179AD30E" w14:textId="77777777" w:rsidR="00465215" w:rsidRPr="005E6D70" w:rsidRDefault="00465215" w:rsidP="009170D4">
            <w:pPr>
              <w:jc w:val="both"/>
              <w:rPr>
                <w:rFonts w:ascii="Times New Roman" w:eastAsia="Calibri" w:hAnsi="Times New Roman" w:cs="Times New Roman"/>
                <w:iCs/>
                <w:sz w:val="18"/>
                <w:szCs w:val="18"/>
                <w:lang w:val="en-US"/>
              </w:rPr>
            </w:pPr>
          </w:p>
          <w:p w14:paraId="299F858C"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 xml:space="preserve">2. The substance-based income exclusion for all constituent entities located in a jurisdiction shall be equal to the sum of </w:t>
            </w:r>
            <w:r w:rsidRPr="005E6D70">
              <w:rPr>
                <w:rFonts w:ascii="Times New Roman" w:eastAsia="Calibri" w:hAnsi="Times New Roman" w:cs="Times New Roman"/>
                <w:iCs/>
                <w:sz w:val="18"/>
                <w:szCs w:val="18"/>
                <w:lang w:val="en-US"/>
              </w:rPr>
              <w:lastRenderedPageBreak/>
              <w:t>5% of the eligible payroll costs of eligible employees and 5% of the carrying value of eligible tangible assets.</w:t>
            </w:r>
          </w:p>
        </w:tc>
        <w:tc>
          <w:tcPr>
            <w:tcW w:w="1800" w:type="dxa"/>
            <w:gridSpan w:val="2"/>
          </w:tcPr>
          <w:p w14:paraId="67D30DF2"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lastRenderedPageBreak/>
              <w:t>F</w:t>
            </w:r>
          </w:p>
        </w:tc>
        <w:tc>
          <w:tcPr>
            <w:tcW w:w="1350" w:type="dxa"/>
          </w:tcPr>
          <w:p w14:paraId="26CADEB3"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 xml:space="preserve">Structural consolidation. The general exclusion rule and the 5% computation logic derived from EU paragraphs 2, 3, and 4 are </w:t>
            </w:r>
            <w:r w:rsidRPr="005E6D70">
              <w:rPr>
                <w:rFonts w:ascii="Times New Roman" w:eastAsia="Calibri" w:hAnsi="Times New Roman" w:cs="Times New Roman"/>
                <w:iCs/>
                <w:sz w:val="18"/>
                <w:szCs w:val="18"/>
                <w:lang w:val="en-US"/>
              </w:rPr>
              <w:lastRenderedPageBreak/>
              <w:t>codified within Article 28 paragraphs 1 and 2 of the domestic draft law. Cross-reference updated to Article 55(3).</w:t>
            </w:r>
          </w:p>
        </w:tc>
      </w:tr>
      <w:tr w:rsidR="00465215" w:rsidRPr="005E6D70" w14:paraId="35A69AF5" w14:textId="77777777" w:rsidTr="009170D4">
        <w:tc>
          <w:tcPr>
            <w:tcW w:w="810" w:type="dxa"/>
          </w:tcPr>
          <w:p w14:paraId="33CA7FD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28(3)</w:t>
            </w:r>
          </w:p>
        </w:tc>
        <w:tc>
          <w:tcPr>
            <w:tcW w:w="5040" w:type="dxa"/>
            <w:gridSpan w:val="2"/>
          </w:tcPr>
          <w:p w14:paraId="7A966AD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The payroll carve-out of a constituent entity located in a jurisdiction shall be equal to 5 % of its eligible payroll costs of eligible employees who perform activities for the MNE group or large-scale domestic group in such jurisdiction, with the exception of eligible payroll costs that are:</w:t>
            </w:r>
          </w:p>
        </w:tc>
        <w:tc>
          <w:tcPr>
            <w:tcW w:w="810" w:type="dxa"/>
          </w:tcPr>
          <w:p w14:paraId="778E7660"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2F6035D7"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29(3)</w:t>
            </w:r>
          </w:p>
        </w:tc>
        <w:tc>
          <w:tcPr>
            <w:tcW w:w="4680" w:type="dxa"/>
            <w:gridSpan w:val="2"/>
          </w:tcPr>
          <w:p w14:paraId="18FE416A"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3. The eligible payroll costs of eligible employees shall not include costs:</w:t>
            </w:r>
          </w:p>
        </w:tc>
        <w:tc>
          <w:tcPr>
            <w:tcW w:w="1800" w:type="dxa"/>
            <w:gridSpan w:val="2"/>
          </w:tcPr>
          <w:p w14:paraId="6D203DD9"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08F18C78"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Structural division. The 5% rate rule is established in domestic Article 28(2). The exceptions are transposed into domestic Article 29(3).</w:t>
            </w:r>
          </w:p>
        </w:tc>
      </w:tr>
      <w:tr w:rsidR="00465215" w:rsidRPr="005E6D70" w14:paraId="654FB7E2" w14:textId="77777777" w:rsidTr="009170D4">
        <w:tc>
          <w:tcPr>
            <w:tcW w:w="810" w:type="dxa"/>
          </w:tcPr>
          <w:p w14:paraId="539367C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28(3a)</w:t>
            </w:r>
          </w:p>
        </w:tc>
        <w:tc>
          <w:tcPr>
            <w:tcW w:w="5040" w:type="dxa"/>
            <w:gridSpan w:val="2"/>
          </w:tcPr>
          <w:p w14:paraId="5901B8D3"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(a) capitalised and included in the carrying value of eligible tangible assets;</w:t>
            </w:r>
          </w:p>
        </w:tc>
        <w:tc>
          <w:tcPr>
            <w:tcW w:w="810" w:type="dxa"/>
          </w:tcPr>
          <w:p w14:paraId="321C6DF0"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07B270A0"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29(3)(a)</w:t>
            </w:r>
          </w:p>
        </w:tc>
        <w:tc>
          <w:tcPr>
            <w:tcW w:w="4680" w:type="dxa"/>
            <w:gridSpan w:val="2"/>
          </w:tcPr>
          <w:p w14:paraId="639754D5"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a) that are capitalised and included in the carrying value of eligible tangible assets; or</w:t>
            </w:r>
          </w:p>
        </w:tc>
        <w:tc>
          <w:tcPr>
            <w:tcW w:w="1800" w:type="dxa"/>
            <w:gridSpan w:val="2"/>
          </w:tcPr>
          <w:p w14:paraId="3F9E5DC0"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397F5795"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w:t>
            </w:r>
          </w:p>
        </w:tc>
      </w:tr>
      <w:tr w:rsidR="00465215" w:rsidRPr="005E6D70" w14:paraId="2D910EB1" w14:textId="77777777" w:rsidTr="009170D4">
        <w:tc>
          <w:tcPr>
            <w:tcW w:w="810" w:type="dxa"/>
          </w:tcPr>
          <w:p w14:paraId="3E4E4141"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28(3b)</w:t>
            </w:r>
          </w:p>
        </w:tc>
        <w:tc>
          <w:tcPr>
            <w:tcW w:w="5040" w:type="dxa"/>
            <w:gridSpan w:val="2"/>
          </w:tcPr>
          <w:p w14:paraId="5B2A2085"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(b) attributable to income that is excluded in accordance with Article 17.</w:t>
            </w:r>
          </w:p>
        </w:tc>
        <w:tc>
          <w:tcPr>
            <w:tcW w:w="810" w:type="dxa"/>
          </w:tcPr>
          <w:p w14:paraId="7A2E7A36"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64135909" w14:textId="77777777" w:rsidR="00465215" w:rsidRPr="005E6D70" w:rsidRDefault="00465215" w:rsidP="009170D4">
            <w:pPr>
              <w:jc w:val="center"/>
              <w:rPr>
                <w:rFonts w:ascii="Times New Roman" w:eastAsia="Calibri" w:hAnsi="Times New Roman" w:cs="Times New Roman"/>
                <w:sz w:val="18"/>
                <w:szCs w:val="18"/>
                <w:highlight w:val="lightGray"/>
                <w:lang w:val="en-US"/>
              </w:rPr>
            </w:pPr>
          </w:p>
        </w:tc>
        <w:tc>
          <w:tcPr>
            <w:tcW w:w="4680" w:type="dxa"/>
            <w:gridSpan w:val="2"/>
          </w:tcPr>
          <w:p w14:paraId="554B8C01"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b) that are attributable to income which is excluded in accordance with Article 17, of this Law.</w:t>
            </w:r>
          </w:p>
        </w:tc>
        <w:tc>
          <w:tcPr>
            <w:tcW w:w="1800" w:type="dxa"/>
            <w:gridSpan w:val="2"/>
          </w:tcPr>
          <w:p w14:paraId="4E46E51E"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10D0992D"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 Cross-reference adapted.</w:t>
            </w:r>
          </w:p>
        </w:tc>
      </w:tr>
      <w:tr w:rsidR="00465215" w:rsidRPr="005E6D70" w14:paraId="150689B8" w14:textId="77777777" w:rsidTr="009170D4">
        <w:tc>
          <w:tcPr>
            <w:tcW w:w="810" w:type="dxa"/>
          </w:tcPr>
          <w:p w14:paraId="30ED70B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28(4)</w:t>
            </w:r>
          </w:p>
        </w:tc>
        <w:tc>
          <w:tcPr>
            <w:tcW w:w="5040" w:type="dxa"/>
            <w:gridSpan w:val="2"/>
          </w:tcPr>
          <w:p w14:paraId="200B1E10"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4. The tangible asset carve-out of a constituent entity located in a jurisdiction shall be equal to 5 % of the carrying value of the eligible tangible assets located in the jurisdiction, with the exception of:</w:t>
            </w:r>
          </w:p>
        </w:tc>
        <w:tc>
          <w:tcPr>
            <w:tcW w:w="810" w:type="dxa"/>
          </w:tcPr>
          <w:p w14:paraId="658D1B02"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71521BB4"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30(2)</w:t>
            </w:r>
          </w:p>
        </w:tc>
        <w:tc>
          <w:tcPr>
            <w:tcW w:w="4680" w:type="dxa"/>
            <w:gridSpan w:val="2"/>
          </w:tcPr>
          <w:p w14:paraId="75FDAB85"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2. The substance-based income exclusion does not include the carrying value of the following eligible tangible assets:</w:t>
            </w:r>
          </w:p>
        </w:tc>
        <w:tc>
          <w:tcPr>
            <w:tcW w:w="1800" w:type="dxa"/>
            <w:gridSpan w:val="2"/>
          </w:tcPr>
          <w:p w14:paraId="1FA9F325"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55E1A696"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Structural division. The 5% rate rule is established in domestic Article 28(2). The exceptions are transposed into domestic Article 30(2).</w:t>
            </w:r>
          </w:p>
          <w:p w14:paraId="4CC0A1A8" w14:textId="77777777" w:rsidR="00465215" w:rsidRPr="005E6D70" w:rsidRDefault="00465215" w:rsidP="009170D4">
            <w:pPr>
              <w:jc w:val="center"/>
              <w:rPr>
                <w:rFonts w:ascii="Times New Roman" w:eastAsia="Calibri" w:hAnsi="Times New Roman" w:cs="Times New Roman"/>
                <w:sz w:val="18"/>
                <w:szCs w:val="18"/>
                <w:highlight w:val="lightGray"/>
                <w:lang w:val="en-US"/>
              </w:rPr>
            </w:pPr>
          </w:p>
        </w:tc>
      </w:tr>
      <w:tr w:rsidR="00465215" w:rsidRPr="005E6D70" w14:paraId="7CD09E94" w14:textId="77777777" w:rsidTr="009170D4">
        <w:tc>
          <w:tcPr>
            <w:tcW w:w="810" w:type="dxa"/>
          </w:tcPr>
          <w:p w14:paraId="36DE099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28(4a)</w:t>
            </w:r>
          </w:p>
        </w:tc>
        <w:tc>
          <w:tcPr>
            <w:tcW w:w="5040" w:type="dxa"/>
            <w:gridSpan w:val="2"/>
          </w:tcPr>
          <w:p w14:paraId="7F22FD6F"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(a) the carrying value of property, including land and buildings, that is held for sale, lease or investment;</w:t>
            </w:r>
          </w:p>
        </w:tc>
        <w:tc>
          <w:tcPr>
            <w:tcW w:w="810" w:type="dxa"/>
          </w:tcPr>
          <w:p w14:paraId="7C6176C5"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42164FB0"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30(2)(a)</w:t>
            </w:r>
          </w:p>
        </w:tc>
        <w:tc>
          <w:tcPr>
            <w:tcW w:w="4680" w:type="dxa"/>
            <w:gridSpan w:val="2"/>
          </w:tcPr>
          <w:p w14:paraId="6CFBF0F8"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a) property, including land and buildings, that is held for sale, lease or investment; and</w:t>
            </w:r>
          </w:p>
        </w:tc>
        <w:tc>
          <w:tcPr>
            <w:tcW w:w="1800" w:type="dxa"/>
            <w:gridSpan w:val="2"/>
          </w:tcPr>
          <w:p w14:paraId="185858BA"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10508A26"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w:t>
            </w:r>
          </w:p>
        </w:tc>
      </w:tr>
      <w:tr w:rsidR="00465215" w:rsidRPr="005E6D70" w14:paraId="334C83FC" w14:textId="77777777" w:rsidTr="009170D4">
        <w:tc>
          <w:tcPr>
            <w:tcW w:w="810" w:type="dxa"/>
          </w:tcPr>
          <w:p w14:paraId="6A609E9B"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28(4b)</w:t>
            </w:r>
          </w:p>
        </w:tc>
        <w:tc>
          <w:tcPr>
            <w:tcW w:w="5040" w:type="dxa"/>
            <w:gridSpan w:val="2"/>
          </w:tcPr>
          <w:p w14:paraId="17B1907B"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(b) the carrying value of tangible assets used to derive income that is excluded in accordance with Article 17.</w:t>
            </w:r>
          </w:p>
        </w:tc>
        <w:tc>
          <w:tcPr>
            <w:tcW w:w="810" w:type="dxa"/>
          </w:tcPr>
          <w:p w14:paraId="12006EF1"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35ACC621"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30(2)(b)</w:t>
            </w:r>
          </w:p>
        </w:tc>
        <w:tc>
          <w:tcPr>
            <w:tcW w:w="4680" w:type="dxa"/>
            <w:gridSpan w:val="2"/>
          </w:tcPr>
          <w:p w14:paraId="4039AAC4"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b) tangible assets used to derive income that is excluded in accordance with Article 17, of this Law.</w:t>
            </w:r>
          </w:p>
        </w:tc>
        <w:tc>
          <w:tcPr>
            <w:tcW w:w="1800" w:type="dxa"/>
            <w:gridSpan w:val="2"/>
          </w:tcPr>
          <w:p w14:paraId="7F5905AE"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153BD44E"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 xml:space="preserve">Direct transposition. </w:t>
            </w:r>
            <w:r w:rsidRPr="005E6D70">
              <w:rPr>
                <w:rFonts w:ascii="Times New Roman" w:eastAsia="Calibri" w:hAnsi="Times New Roman" w:cs="Times New Roman"/>
                <w:iCs/>
                <w:sz w:val="18"/>
                <w:szCs w:val="18"/>
                <w:lang w:val="en-US"/>
              </w:rPr>
              <w:lastRenderedPageBreak/>
              <w:t>Cross-reference adapted.</w:t>
            </w:r>
          </w:p>
        </w:tc>
      </w:tr>
      <w:tr w:rsidR="00465215" w:rsidRPr="005E6D70" w14:paraId="1C9FD309" w14:textId="77777777" w:rsidTr="009170D4">
        <w:tc>
          <w:tcPr>
            <w:tcW w:w="810" w:type="dxa"/>
          </w:tcPr>
          <w:p w14:paraId="1970379C"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lastRenderedPageBreak/>
              <w:t>28(5)</w:t>
            </w:r>
          </w:p>
        </w:tc>
        <w:tc>
          <w:tcPr>
            <w:tcW w:w="5040" w:type="dxa"/>
            <w:gridSpan w:val="2"/>
          </w:tcPr>
          <w:p w14:paraId="0112261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5. For the purposes of paragraph 4, the carrying value of eligible tangible assets shall be the average of the carrying value of eligible tangible assets at the beginning and end of the fiscal year, as recorded for the purpose of preparing the consolidated financial</w:t>
            </w:r>
          </w:p>
          <w:p w14:paraId="304B8EE7"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statements of the ultimate parent entity, reduced by any accumulated depreciation, amortisation and depletion and increased by any amount attributable to the capitalisation of payroll expenses.</w:t>
            </w:r>
          </w:p>
        </w:tc>
        <w:tc>
          <w:tcPr>
            <w:tcW w:w="810" w:type="dxa"/>
          </w:tcPr>
          <w:p w14:paraId="5DB61241"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2CE720E4"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30(3)</w:t>
            </w:r>
          </w:p>
        </w:tc>
        <w:tc>
          <w:tcPr>
            <w:tcW w:w="4680" w:type="dxa"/>
            <w:gridSpan w:val="2"/>
          </w:tcPr>
          <w:p w14:paraId="39E5A1BF"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3. The carrying value of eligible tangible assets shall be equal to the average of the carrying value of eligible tangible assets at the beginning and end of the fiscal year as recorded for the purpose of preparing the consolidated financial statements of the ultimate parent entity, reduced by any accumulated depreciation, amortisation and depletion, and increased by any amount attributable to the capitalisation of payroll expenses.</w:t>
            </w:r>
          </w:p>
        </w:tc>
        <w:tc>
          <w:tcPr>
            <w:tcW w:w="1800" w:type="dxa"/>
            <w:gridSpan w:val="2"/>
          </w:tcPr>
          <w:p w14:paraId="397AEAD6"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3B8FF466"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Structural transposition.</w:t>
            </w:r>
          </w:p>
        </w:tc>
      </w:tr>
      <w:tr w:rsidR="00465215" w:rsidRPr="005E6D70" w14:paraId="0C4A0235" w14:textId="77777777" w:rsidTr="009170D4">
        <w:tc>
          <w:tcPr>
            <w:tcW w:w="810" w:type="dxa"/>
          </w:tcPr>
          <w:p w14:paraId="3A6FBBEA"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28(6)</w:t>
            </w:r>
          </w:p>
        </w:tc>
        <w:tc>
          <w:tcPr>
            <w:tcW w:w="5040" w:type="dxa"/>
            <w:gridSpan w:val="2"/>
          </w:tcPr>
          <w:p w14:paraId="6B88C9F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 For the purposes of paragraphs 3 and 4, the eligible payroll costs and eligible tangible assets of a constituent entity which is a permanent establishment shall be those that are included in its separate financial accounts in accordance with Article 18(1) and (2), provided that the eligible payroll costs and eligible tangible assets are located in the same jurisdiction as the permanent establishment.</w:t>
            </w:r>
          </w:p>
          <w:p w14:paraId="79B8C6EB" w14:textId="77777777" w:rsidR="00465215" w:rsidRPr="005E6D70" w:rsidRDefault="00465215" w:rsidP="009170D4">
            <w:pPr>
              <w:jc w:val="both"/>
              <w:rPr>
                <w:rFonts w:ascii="Times New Roman" w:eastAsia="Calibri" w:hAnsi="Times New Roman" w:cs="Times New Roman"/>
                <w:iCs/>
                <w:sz w:val="18"/>
                <w:szCs w:val="18"/>
                <w:lang w:val="en-US"/>
              </w:rPr>
            </w:pPr>
          </w:p>
          <w:p w14:paraId="40B41C9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The eligible payroll costs and eligible tangible assets of a permanent establishment shall not be taken into account for the eligible payroll costs and eligible tangible assets of the main entity.</w:t>
            </w:r>
          </w:p>
          <w:p w14:paraId="58B959AB" w14:textId="77777777" w:rsidR="00465215" w:rsidRPr="005E6D70" w:rsidRDefault="00465215" w:rsidP="009170D4">
            <w:pPr>
              <w:jc w:val="both"/>
              <w:rPr>
                <w:rFonts w:ascii="Times New Roman" w:eastAsia="Calibri" w:hAnsi="Times New Roman" w:cs="Times New Roman"/>
                <w:iCs/>
                <w:sz w:val="18"/>
                <w:szCs w:val="18"/>
                <w:lang w:val="en-US"/>
              </w:rPr>
            </w:pPr>
          </w:p>
          <w:p w14:paraId="59B1D14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Where the income of a permanent establishment was wholly or partially excluded pursuant to Article 19(1) and Article 38(5), the eligible payroll costs and eligible tangible assets of such permanent establishment shall</w:t>
            </w:r>
          </w:p>
          <w:p w14:paraId="15B6A108"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be excluded in the same proportion from the computation under this Article for the MNE group or large-scale domestic group.</w:t>
            </w:r>
          </w:p>
        </w:tc>
        <w:tc>
          <w:tcPr>
            <w:tcW w:w="810" w:type="dxa"/>
          </w:tcPr>
          <w:p w14:paraId="1A4C7CA3"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03562CB2"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28(3)</w:t>
            </w:r>
          </w:p>
        </w:tc>
        <w:tc>
          <w:tcPr>
            <w:tcW w:w="4680" w:type="dxa"/>
            <w:gridSpan w:val="2"/>
          </w:tcPr>
          <w:p w14:paraId="1BFD53FA"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3. Eligible payroll costs of eligible employees paid by, and eligible tangible assets owned by, a permanent establishment shall be allocated to the jurisdiction in which the permanent establishment is located, provided that those eligible payroll costs and eligible tangible assets are included in the separate financial accounts of that permanent establishment in accordance with paragraphs 1 and 2, of Article 18, of this Law. Such costs and assets shall not be taken into account for the eligible payroll costs and eligible tangible assets of the main entity. Where the income of a permanent establishment was wholly or partially excluded pursuant to paragraph 1, of Article 19, and paragraph 5, of Article 41, of this Law, the eligible payroll costs and eligible tangible assets of such permanent establishment shall be excluded in the same proportion from the computation under this Article for the multinational enterprise group or large-scale domestic group.</w:t>
            </w:r>
          </w:p>
        </w:tc>
        <w:tc>
          <w:tcPr>
            <w:tcW w:w="1800" w:type="dxa"/>
            <w:gridSpan w:val="2"/>
          </w:tcPr>
          <w:p w14:paraId="608B50D8"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5BA9630E"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Structural consolidation. The three unnumbered EU subparagraphs are merged into Article 28(3) of the domestic draft law. Cross-reference updated to Article 41(5).</w:t>
            </w:r>
          </w:p>
        </w:tc>
      </w:tr>
      <w:tr w:rsidR="00465215" w:rsidRPr="005E6D70" w14:paraId="61DEB0F8" w14:textId="77777777" w:rsidTr="009170D4">
        <w:tc>
          <w:tcPr>
            <w:tcW w:w="810" w:type="dxa"/>
          </w:tcPr>
          <w:p w14:paraId="0E4350D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28(7)</w:t>
            </w:r>
          </w:p>
        </w:tc>
        <w:tc>
          <w:tcPr>
            <w:tcW w:w="5040" w:type="dxa"/>
            <w:gridSpan w:val="2"/>
          </w:tcPr>
          <w:p w14:paraId="47823588"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7. Eligible payroll costs of eligible employees paid by, and eligible tangible assets owned by, a flow-through entity that are not allocated under paragraph 6 shall be allocated to:</w:t>
            </w:r>
          </w:p>
        </w:tc>
        <w:tc>
          <w:tcPr>
            <w:tcW w:w="810" w:type="dxa"/>
          </w:tcPr>
          <w:p w14:paraId="694C76EC"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357B37BE"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28(4)</w:t>
            </w:r>
          </w:p>
        </w:tc>
        <w:tc>
          <w:tcPr>
            <w:tcW w:w="4680" w:type="dxa"/>
            <w:gridSpan w:val="2"/>
          </w:tcPr>
          <w:p w14:paraId="53163F1A"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4. Eligible payroll costs of eligible employees paid by, and eligible tangible assets owned by, a flow-through entity that are not allocated under paragraph 3, of this Article, shall be allocated to:</w:t>
            </w:r>
          </w:p>
        </w:tc>
        <w:tc>
          <w:tcPr>
            <w:tcW w:w="1800" w:type="dxa"/>
            <w:gridSpan w:val="2"/>
          </w:tcPr>
          <w:p w14:paraId="177FA270"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16875BF0"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 Internal reference updated from paragraph 6 to paragraph 3.</w:t>
            </w:r>
          </w:p>
        </w:tc>
      </w:tr>
      <w:tr w:rsidR="00465215" w:rsidRPr="005E6D70" w14:paraId="6AE57B00" w14:textId="77777777" w:rsidTr="009170D4">
        <w:tc>
          <w:tcPr>
            <w:tcW w:w="810" w:type="dxa"/>
          </w:tcPr>
          <w:p w14:paraId="37380F6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28(7a)</w:t>
            </w:r>
          </w:p>
        </w:tc>
        <w:tc>
          <w:tcPr>
            <w:tcW w:w="5040" w:type="dxa"/>
            <w:gridSpan w:val="2"/>
          </w:tcPr>
          <w:p w14:paraId="7CB4DA08"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(a) the constituent entity-owners of the flow-through entity, in proportion to the amount allocated to them pursuant to Article 19(4), provided that the eligible employees and eligible tangible assets are located in the jurisdiction of the constituent entity-owners; and</w:t>
            </w:r>
          </w:p>
        </w:tc>
        <w:tc>
          <w:tcPr>
            <w:tcW w:w="810" w:type="dxa"/>
          </w:tcPr>
          <w:p w14:paraId="411D5466"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1D3BB1B0"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28(4)(a)</w:t>
            </w:r>
          </w:p>
        </w:tc>
        <w:tc>
          <w:tcPr>
            <w:tcW w:w="4680" w:type="dxa"/>
            <w:gridSpan w:val="2"/>
          </w:tcPr>
          <w:p w14:paraId="161C5E3E"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a) the constituent entity-owners of the flow-through entity, in proportion to the amount allocated to them pursuant to paragraph 4, of Article 19, of this Law, provided that the eligible employees and eligible tangible assets are located in the jurisdiction of the constituent entity-owners; and</w:t>
            </w:r>
          </w:p>
          <w:p w14:paraId="595837EE" w14:textId="77777777" w:rsidR="00465215" w:rsidRPr="005E6D70" w:rsidRDefault="00465215" w:rsidP="009170D4">
            <w:pPr>
              <w:rPr>
                <w:rFonts w:ascii="Times New Roman" w:eastAsia="Calibri" w:hAnsi="Times New Roman" w:cs="Times New Roman"/>
                <w:iCs/>
                <w:sz w:val="18"/>
                <w:szCs w:val="18"/>
                <w:highlight w:val="lightGray"/>
                <w:lang w:val="en-US"/>
              </w:rPr>
            </w:pPr>
          </w:p>
          <w:p w14:paraId="28668346" w14:textId="77777777" w:rsidR="00465215" w:rsidRPr="005E6D70" w:rsidRDefault="00465215" w:rsidP="009170D4">
            <w:pPr>
              <w:ind w:firstLine="720"/>
              <w:rPr>
                <w:rFonts w:ascii="Times New Roman" w:eastAsia="Calibri" w:hAnsi="Times New Roman" w:cs="Times New Roman"/>
                <w:sz w:val="18"/>
                <w:szCs w:val="18"/>
                <w:highlight w:val="lightGray"/>
                <w:lang w:val="en-US"/>
              </w:rPr>
            </w:pPr>
          </w:p>
        </w:tc>
        <w:tc>
          <w:tcPr>
            <w:tcW w:w="1800" w:type="dxa"/>
            <w:gridSpan w:val="2"/>
          </w:tcPr>
          <w:p w14:paraId="7FC6D7C9"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lastRenderedPageBreak/>
              <w:t>F</w:t>
            </w:r>
          </w:p>
        </w:tc>
        <w:tc>
          <w:tcPr>
            <w:tcW w:w="1350" w:type="dxa"/>
          </w:tcPr>
          <w:p w14:paraId="0A51458A"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 Cross-reference adapted.</w:t>
            </w:r>
          </w:p>
        </w:tc>
      </w:tr>
      <w:tr w:rsidR="00465215" w:rsidRPr="005E6D70" w14:paraId="4386127F" w14:textId="77777777" w:rsidTr="009170D4">
        <w:tc>
          <w:tcPr>
            <w:tcW w:w="810" w:type="dxa"/>
          </w:tcPr>
          <w:p w14:paraId="00AC8DDD"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28(7b)</w:t>
            </w:r>
          </w:p>
        </w:tc>
        <w:tc>
          <w:tcPr>
            <w:tcW w:w="5040" w:type="dxa"/>
            <w:gridSpan w:val="2"/>
          </w:tcPr>
          <w:p w14:paraId="76CB094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the flow-through entity if it is the ultimate parent entity, reduced in proportion to the income excluded from the computation of the qualifying income of the flow-through entity pursuant to Article 38(1) and (2), provided that the eligible employees and eligible tangible assets are located in the jurisdiction of the flow-through entity.</w:t>
            </w:r>
          </w:p>
          <w:p w14:paraId="662F2F19" w14:textId="77777777" w:rsidR="00465215" w:rsidRPr="005E6D70" w:rsidRDefault="00465215" w:rsidP="009170D4">
            <w:pPr>
              <w:jc w:val="both"/>
              <w:rPr>
                <w:rFonts w:ascii="Times New Roman" w:eastAsia="Calibri" w:hAnsi="Times New Roman" w:cs="Times New Roman"/>
                <w:iCs/>
                <w:sz w:val="18"/>
                <w:szCs w:val="18"/>
                <w:lang w:val="en-US"/>
              </w:rPr>
            </w:pPr>
          </w:p>
          <w:p w14:paraId="3B2EBCB5"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All other eligible payroll costs and eligible tangible assets of the flow-through entity shall be excluded from the substance-based income exclusion computations of the MNE group or large-scale domestic group.</w:t>
            </w:r>
          </w:p>
        </w:tc>
        <w:tc>
          <w:tcPr>
            <w:tcW w:w="810" w:type="dxa"/>
          </w:tcPr>
          <w:p w14:paraId="0B0A3171"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21176CA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28(4)(b)</w:t>
            </w:r>
          </w:p>
          <w:p w14:paraId="1AB124A2" w14:textId="77777777" w:rsidR="00465215" w:rsidRPr="005E6D70" w:rsidRDefault="00465215" w:rsidP="009170D4">
            <w:pPr>
              <w:jc w:val="center"/>
              <w:rPr>
                <w:rFonts w:ascii="Times New Roman" w:eastAsia="Calibri" w:hAnsi="Times New Roman" w:cs="Times New Roman"/>
                <w:sz w:val="18"/>
                <w:szCs w:val="18"/>
                <w:lang w:val="en-US"/>
              </w:rPr>
            </w:pPr>
          </w:p>
          <w:p w14:paraId="18D71107" w14:textId="77777777" w:rsidR="00465215" w:rsidRPr="005E6D70" w:rsidRDefault="00465215" w:rsidP="009170D4">
            <w:pPr>
              <w:jc w:val="center"/>
              <w:rPr>
                <w:rFonts w:ascii="Times New Roman" w:eastAsia="Calibri" w:hAnsi="Times New Roman" w:cs="Times New Roman"/>
                <w:sz w:val="18"/>
                <w:szCs w:val="18"/>
                <w:lang w:val="en-US"/>
              </w:rPr>
            </w:pPr>
          </w:p>
          <w:p w14:paraId="0DB4F989" w14:textId="77777777" w:rsidR="00465215" w:rsidRPr="005E6D70" w:rsidRDefault="00465215" w:rsidP="009170D4">
            <w:pPr>
              <w:jc w:val="center"/>
              <w:rPr>
                <w:rFonts w:ascii="Times New Roman" w:eastAsia="Calibri" w:hAnsi="Times New Roman" w:cs="Times New Roman"/>
                <w:sz w:val="18"/>
                <w:szCs w:val="18"/>
                <w:lang w:val="en-US"/>
              </w:rPr>
            </w:pPr>
          </w:p>
          <w:p w14:paraId="72D5B4E3" w14:textId="77777777" w:rsidR="00465215" w:rsidRPr="005E6D70" w:rsidRDefault="00465215" w:rsidP="009170D4">
            <w:pPr>
              <w:jc w:val="center"/>
              <w:rPr>
                <w:rFonts w:ascii="Times New Roman" w:eastAsia="Calibri" w:hAnsi="Times New Roman" w:cs="Times New Roman"/>
                <w:sz w:val="18"/>
                <w:szCs w:val="18"/>
                <w:lang w:val="en-US"/>
              </w:rPr>
            </w:pPr>
          </w:p>
          <w:p w14:paraId="0B896A8B" w14:textId="77777777" w:rsidR="00465215" w:rsidRPr="005E6D70" w:rsidRDefault="00465215" w:rsidP="009170D4">
            <w:pPr>
              <w:jc w:val="center"/>
              <w:rPr>
                <w:rFonts w:ascii="Times New Roman" w:eastAsia="Calibri" w:hAnsi="Times New Roman" w:cs="Times New Roman"/>
                <w:sz w:val="18"/>
                <w:szCs w:val="18"/>
                <w:lang w:val="en-US"/>
              </w:rPr>
            </w:pPr>
          </w:p>
          <w:p w14:paraId="31C91690" w14:textId="77777777" w:rsidR="00465215" w:rsidRPr="005E6D70" w:rsidRDefault="00465215" w:rsidP="009170D4">
            <w:pPr>
              <w:jc w:val="center"/>
              <w:rPr>
                <w:rFonts w:ascii="Times New Roman" w:eastAsia="Calibri" w:hAnsi="Times New Roman" w:cs="Times New Roman"/>
                <w:sz w:val="18"/>
                <w:szCs w:val="18"/>
                <w:lang w:val="en-US"/>
              </w:rPr>
            </w:pPr>
          </w:p>
          <w:p w14:paraId="0A735168"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28(5)</w:t>
            </w:r>
          </w:p>
        </w:tc>
        <w:tc>
          <w:tcPr>
            <w:tcW w:w="4680" w:type="dxa"/>
            <w:gridSpan w:val="2"/>
          </w:tcPr>
          <w:p w14:paraId="0506B40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the flow-through entity, if it is the ultimate parent entity, reduced in proportion to the income excluded from the computation of the qualifying income of the flow-through entity pursuant to paragraphs 1 and 2, of Article 41, of this Law, provided that the eligible employees and eligible tangible assets are located in the jurisdiction of the flow-through entity.</w:t>
            </w:r>
          </w:p>
          <w:p w14:paraId="6D349787" w14:textId="77777777" w:rsidR="00465215" w:rsidRPr="005E6D70" w:rsidRDefault="00465215" w:rsidP="009170D4">
            <w:pPr>
              <w:jc w:val="both"/>
              <w:rPr>
                <w:rFonts w:ascii="Times New Roman" w:eastAsia="Calibri" w:hAnsi="Times New Roman" w:cs="Times New Roman"/>
                <w:iCs/>
                <w:sz w:val="18"/>
                <w:szCs w:val="18"/>
                <w:lang w:val="en-US"/>
              </w:rPr>
            </w:pPr>
          </w:p>
          <w:p w14:paraId="15A5F7FA"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5. All other eligible payroll costs and eligible tangible assets of the flow-through entity that are not allocated pursuant to paragraph 4, of this Article, shall be excluded from the computation of the substance-based income exclusion of the multinational enterprise group or large-scale domestic group.</w:t>
            </w:r>
          </w:p>
        </w:tc>
        <w:tc>
          <w:tcPr>
            <w:tcW w:w="1800" w:type="dxa"/>
            <w:gridSpan w:val="2"/>
          </w:tcPr>
          <w:p w14:paraId="1B26F4E2"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408D4B62"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Cross-reference updated to Article 41.</w:t>
            </w:r>
          </w:p>
          <w:p w14:paraId="0791BACF" w14:textId="77777777" w:rsidR="00465215" w:rsidRPr="005E6D70" w:rsidRDefault="00465215" w:rsidP="009170D4">
            <w:pPr>
              <w:rPr>
                <w:rFonts w:ascii="Times New Roman" w:eastAsia="Calibri" w:hAnsi="Times New Roman" w:cs="Times New Roman"/>
                <w:iCs/>
                <w:sz w:val="18"/>
                <w:szCs w:val="18"/>
                <w:lang w:val="en-US"/>
              </w:rPr>
            </w:pPr>
          </w:p>
          <w:p w14:paraId="7CB84042"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Structural separation. The unnumbered EU subparagraph is codified as a distinct numbered paragraph in the domestic draft law.</w:t>
            </w:r>
          </w:p>
        </w:tc>
      </w:tr>
      <w:tr w:rsidR="00465215" w:rsidRPr="005E6D70" w14:paraId="0F5DE9BC" w14:textId="77777777" w:rsidTr="009170D4">
        <w:tc>
          <w:tcPr>
            <w:tcW w:w="810" w:type="dxa"/>
          </w:tcPr>
          <w:p w14:paraId="098068FB"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28(8)</w:t>
            </w:r>
          </w:p>
        </w:tc>
        <w:tc>
          <w:tcPr>
            <w:tcW w:w="5040" w:type="dxa"/>
            <w:gridSpan w:val="2"/>
          </w:tcPr>
          <w:p w14:paraId="1E482CAB"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8. The substance-based income exclusion of each stateless constituent entity shall be computed, for each fiscal year, separately from the substance-based income exclusion of all other constituent entities.</w:t>
            </w:r>
          </w:p>
        </w:tc>
        <w:tc>
          <w:tcPr>
            <w:tcW w:w="810" w:type="dxa"/>
          </w:tcPr>
          <w:p w14:paraId="51E65A89"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0D2C1F60"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28(7)</w:t>
            </w:r>
          </w:p>
        </w:tc>
        <w:tc>
          <w:tcPr>
            <w:tcW w:w="4680" w:type="dxa"/>
            <w:gridSpan w:val="2"/>
          </w:tcPr>
          <w:p w14:paraId="70BC6509"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7. The substance-based income exclusion of each stateless constituent entity shall be computed, for each fiscal year, separately from the substance-based income exclusion of all other constituent entities.</w:t>
            </w:r>
          </w:p>
        </w:tc>
        <w:tc>
          <w:tcPr>
            <w:tcW w:w="1800" w:type="dxa"/>
            <w:gridSpan w:val="2"/>
          </w:tcPr>
          <w:p w14:paraId="067D0F32"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06BCADA3"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w:t>
            </w:r>
          </w:p>
        </w:tc>
      </w:tr>
      <w:tr w:rsidR="00465215" w:rsidRPr="005E6D70" w14:paraId="5B0FF1CD" w14:textId="77777777" w:rsidTr="009170D4">
        <w:tc>
          <w:tcPr>
            <w:tcW w:w="810" w:type="dxa"/>
          </w:tcPr>
          <w:p w14:paraId="20DC8885"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28(9)</w:t>
            </w:r>
          </w:p>
        </w:tc>
        <w:tc>
          <w:tcPr>
            <w:tcW w:w="5040" w:type="dxa"/>
            <w:gridSpan w:val="2"/>
          </w:tcPr>
          <w:p w14:paraId="476E2B23"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iCs/>
                <w:sz w:val="18"/>
                <w:szCs w:val="18"/>
                <w:lang w:val="en-US"/>
              </w:rPr>
              <w:t>9. The substance-based income exclusion computed under this Article shall not include the payroll carve-out and the tangible asset carve-out of constituent entities that are investment entities in that jurisdiction.</w:t>
            </w:r>
          </w:p>
        </w:tc>
        <w:tc>
          <w:tcPr>
            <w:tcW w:w="810" w:type="dxa"/>
          </w:tcPr>
          <w:p w14:paraId="6879A8DE"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tcPr>
          <w:p w14:paraId="1E502D9C"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28(8)</w:t>
            </w:r>
          </w:p>
        </w:tc>
        <w:tc>
          <w:tcPr>
            <w:tcW w:w="4680" w:type="dxa"/>
            <w:gridSpan w:val="2"/>
          </w:tcPr>
          <w:p w14:paraId="04F26ECD"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8. The substance-based income exclusion computed under this Article shall not include the payroll carve-out and the tangible asset carve-out of constituent entities that are investment entities in that jurisdiction.</w:t>
            </w:r>
          </w:p>
        </w:tc>
        <w:tc>
          <w:tcPr>
            <w:tcW w:w="1800" w:type="dxa"/>
            <w:gridSpan w:val="2"/>
          </w:tcPr>
          <w:p w14:paraId="639159A1"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tcPr>
          <w:p w14:paraId="5A28674E"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Direct transposition.</w:t>
            </w:r>
          </w:p>
        </w:tc>
      </w:tr>
      <w:tr w:rsidR="00465215" w:rsidRPr="005E6D70" w14:paraId="114288D3" w14:textId="77777777" w:rsidTr="009170D4">
        <w:tc>
          <w:tcPr>
            <w:tcW w:w="810" w:type="dxa"/>
            <w:shd w:val="clear" w:color="auto" w:fill="D9D9D9" w:themeFill="background1" w:themeFillShade="D9"/>
          </w:tcPr>
          <w:p w14:paraId="0DBC36D8" w14:textId="77777777" w:rsidR="00465215" w:rsidRPr="005E6D70" w:rsidRDefault="00465215" w:rsidP="009170D4">
            <w:pPr>
              <w:jc w:val="both"/>
              <w:rPr>
                <w:rFonts w:ascii="Times New Roman" w:eastAsia="Calibri" w:hAnsi="Times New Roman" w:cs="Times New Roman"/>
                <w:sz w:val="18"/>
                <w:szCs w:val="18"/>
                <w:highlight w:val="lightGray"/>
                <w:lang w:val="en-US"/>
              </w:rPr>
            </w:pPr>
          </w:p>
        </w:tc>
        <w:tc>
          <w:tcPr>
            <w:tcW w:w="5040" w:type="dxa"/>
            <w:gridSpan w:val="2"/>
            <w:shd w:val="clear" w:color="auto" w:fill="D9D9D9" w:themeFill="background1" w:themeFillShade="D9"/>
          </w:tcPr>
          <w:p w14:paraId="0890A921" w14:textId="77777777" w:rsidR="00465215" w:rsidRPr="005E6D70" w:rsidRDefault="00465215" w:rsidP="009170D4">
            <w:pPr>
              <w:jc w:val="both"/>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b/>
                <w:bCs/>
                <w:iCs/>
                <w:sz w:val="18"/>
                <w:szCs w:val="18"/>
                <w:lang w:val="en-US"/>
              </w:rPr>
              <w:t>Article 29. Additional top-up tax</w:t>
            </w:r>
          </w:p>
        </w:tc>
        <w:tc>
          <w:tcPr>
            <w:tcW w:w="810" w:type="dxa"/>
            <w:shd w:val="clear" w:color="auto" w:fill="D9D9D9" w:themeFill="background1" w:themeFillShade="D9"/>
          </w:tcPr>
          <w:p w14:paraId="30B5145B"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1</w:t>
            </w:r>
          </w:p>
        </w:tc>
        <w:tc>
          <w:tcPr>
            <w:tcW w:w="990" w:type="dxa"/>
            <w:gridSpan w:val="2"/>
            <w:shd w:val="clear" w:color="auto" w:fill="D9D9D9" w:themeFill="background1" w:themeFillShade="D9"/>
          </w:tcPr>
          <w:p w14:paraId="2DDAB7D5" w14:textId="77777777" w:rsidR="00465215" w:rsidRPr="005E6D70" w:rsidRDefault="00465215" w:rsidP="009170D4">
            <w:pPr>
              <w:jc w:val="center"/>
              <w:rPr>
                <w:rFonts w:ascii="Times New Roman" w:eastAsia="Calibri" w:hAnsi="Times New Roman" w:cs="Times New Roman"/>
                <w:sz w:val="18"/>
                <w:szCs w:val="18"/>
                <w:highlight w:val="lightGray"/>
                <w:lang w:val="en-US"/>
              </w:rPr>
            </w:pPr>
            <w:r w:rsidRPr="005E6D70">
              <w:rPr>
                <w:rFonts w:ascii="Times New Roman" w:eastAsia="Calibri" w:hAnsi="Times New Roman" w:cs="Times New Roman"/>
                <w:sz w:val="18"/>
                <w:szCs w:val="18"/>
                <w:lang w:val="en-US"/>
              </w:rPr>
              <w:t>32</w:t>
            </w:r>
          </w:p>
        </w:tc>
        <w:tc>
          <w:tcPr>
            <w:tcW w:w="4680" w:type="dxa"/>
            <w:gridSpan w:val="2"/>
            <w:shd w:val="clear" w:color="auto" w:fill="D9D9D9" w:themeFill="background1" w:themeFillShade="D9"/>
          </w:tcPr>
          <w:p w14:paraId="3ACB38E0" w14:textId="77777777" w:rsidR="00465215" w:rsidRPr="005E6D70" w:rsidRDefault="00465215" w:rsidP="009170D4">
            <w:pPr>
              <w:jc w:val="both"/>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Article 32. Additional Top-Up Tax and recomputation</w:t>
            </w:r>
          </w:p>
        </w:tc>
        <w:tc>
          <w:tcPr>
            <w:tcW w:w="1800" w:type="dxa"/>
            <w:gridSpan w:val="2"/>
            <w:shd w:val="clear" w:color="auto" w:fill="D9D9D9" w:themeFill="background1" w:themeFillShade="D9"/>
          </w:tcPr>
          <w:p w14:paraId="2151C2B1" w14:textId="77777777" w:rsidR="00465215" w:rsidRPr="005E6D70" w:rsidRDefault="00465215" w:rsidP="009170D4">
            <w:pPr>
              <w:jc w:val="cente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F</w:t>
            </w:r>
          </w:p>
        </w:tc>
        <w:tc>
          <w:tcPr>
            <w:tcW w:w="1350" w:type="dxa"/>
            <w:shd w:val="clear" w:color="auto" w:fill="D9D9D9" w:themeFill="background1" w:themeFillShade="D9"/>
          </w:tcPr>
          <w:p w14:paraId="58A6C78E" w14:textId="77777777" w:rsidR="00465215" w:rsidRPr="005E6D70" w:rsidRDefault="00465215" w:rsidP="009170D4">
            <w:pPr>
              <w:rPr>
                <w:rFonts w:ascii="Times New Roman" w:eastAsia="Calibri" w:hAnsi="Times New Roman" w:cs="Times New Roman"/>
                <w:iCs/>
                <w:sz w:val="18"/>
                <w:szCs w:val="18"/>
                <w:highlight w:val="lightGray"/>
                <w:lang w:val="en-US"/>
              </w:rPr>
            </w:pPr>
            <w:r w:rsidRPr="005E6D70">
              <w:rPr>
                <w:rFonts w:ascii="Times New Roman" w:eastAsia="Calibri" w:hAnsi="Times New Roman" w:cs="Times New Roman"/>
                <w:iCs/>
                <w:sz w:val="18"/>
                <w:szCs w:val="18"/>
                <w:lang w:val="en-US"/>
              </w:rPr>
              <w:t>Transposition of EU Directive 2022/2523, Article 29 into Article 32 of the domestic draft law. Title adapted to include "and recomputation".</w:t>
            </w:r>
          </w:p>
        </w:tc>
      </w:tr>
      <w:tr w:rsidR="00465215" w:rsidRPr="005E6D70" w14:paraId="5152C2C2" w14:textId="77777777" w:rsidTr="009170D4">
        <w:tc>
          <w:tcPr>
            <w:tcW w:w="810" w:type="dxa"/>
          </w:tcPr>
          <w:p w14:paraId="4087D24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29(1)</w:t>
            </w:r>
          </w:p>
        </w:tc>
        <w:tc>
          <w:tcPr>
            <w:tcW w:w="5040" w:type="dxa"/>
            <w:gridSpan w:val="2"/>
          </w:tcPr>
          <w:p w14:paraId="3599EC0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1. Where, pursuant to Article 11(3), Article 16(7), Article 22(6), Article 25(1) and (4) and Article 40(5), an adjustment to covered </w:t>
            </w:r>
            <w:r w:rsidRPr="005E6D70">
              <w:rPr>
                <w:rFonts w:ascii="Times New Roman" w:eastAsia="Calibri" w:hAnsi="Times New Roman" w:cs="Times New Roman"/>
                <w:iCs/>
                <w:sz w:val="18"/>
                <w:szCs w:val="18"/>
                <w:lang w:val="en-US"/>
              </w:rPr>
              <w:lastRenderedPageBreak/>
              <w:t>taxes or qualifying income or loss results in the recomputation of the effective tax rate and top-up tax of the MNE group or the large-scale domestic group for a prior fiscal year, the effective tax rate and top-up tax shall be recomputed in accordance with the rules set out in Articles 26, 27 and 28. Any amount of incremental top-up tax arising from such recomputation shall be treated as an additional top-up tax for the purposes of Article 27(3) for the fiscal year during which the recomputation is made.</w:t>
            </w:r>
          </w:p>
        </w:tc>
        <w:tc>
          <w:tcPr>
            <w:tcW w:w="810" w:type="dxa"/>
          </w:tcPr>
          <w:p w14:paraId="6D003E9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3D6D878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32(1)</w:t>
            </w:r>
          </w:p>
        </w:tc>
        <w:tc>
          <w:tcPr>
            <w:tcW w:w="4680" w:type="dxa"/>
            <w:gridSpan w:val="2"/>
          </w:tcPr>
          <w:p w14:paraId="2DF56F9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1. If adjustments under paragraph 7, of Article 15, paragraph 7, of Article 22, paragraphs 1 and 4, of Article 25, and </w:t>
            </w:r>
            <w:r w:rsidRPr="005E6D70">
              <w:rPr>
                <w:rFonts w:ascii="Times New Roman" w:eastAsia="Calibri" w:hAnsi="Times New Roman" w:cs="Times New Roman"/>
                <w:iCs/>
                <w:sz w:val="18"/>
                <w:szCs w:val="18"/>
                <w:lang w:val="en-US"/>
              </w:rPr>
              <w:lastRenderedPageBreak/>
              <w:t>paragraph 9, of Article 43, of this Law, require recomputation, the effective tax rate and top-up tax shall be recomputed under Articles 26 to 28, of this Law. Any amount of incremental top-up tax arising from such recomputation shall be treated as an additional top-up tax for the purposes of paragraph 3, of Article 27, of this Law, for the fiscal year during which the recomputation is made.</w:t>
            </w:r>
          </w:p>
        </w:tc>
        <w:tc>
          <w:tcPr>
            <w:tcW w:w="1800" w:type="dxa"/>
            <w:gridSpan w:val="2"/>
          </w:tcPr>
          <w:p w14:paraId="3BC7692C"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6C1A8AFB"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Direct transposition </w:t>
            </w:r>
            <w:r w:rsidRPr="005E6D70">
              <w:rPr>
                <w:rFonts w:ascii="Times New Roman" w:eastAsia="Calibri" w:hAnsi="Times New Roman" w:cs="Times New Roman"/>
                <w:iCs/>
                <w:sz w:val="18"/>
                <w:szCs w:val="18"/>
                <w:lang w:val="en-US"/>
              </w:rPr>
              <w:lastRenderedPageBreak/>
              <w:t>with structural and phrasing adaptations for national legislative coherence. Cross-references updated to reflect the internal numbering of the corresponding articles in the domestic draft law.</w:t>
            </w:r>
          </w:p>
        </w:tc>
      </w:tr>
      <w:tr w:rsidR="00465215" w:rsidRPr="005E6D70" w14:paraId="177601B9" w14:textId="77777777" w:rsidTr="009170D4">
        <w:tc>
          <w:tcPr>
            <w:tcW w:w="810" w:type="dxa"/>
          </w:tcPr>
          <w:p w14:paraId="6F0664D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29(2)</w:t>
            </w:r>
          </w:p>
        </w:tc>
        <w:tc>
          <w:tcPr>
            <w:tcW w:w="5040" w:type="dxa"/>
            <w:gridSpan w:val="2"/>
          </w:tcPr>
          <w:p w14:paraId="635685A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 Where there is an additional top-up tax and no net qualifying income for the jurisdiction for the fiscal year, the qualifying income of each constituent entity located in that jurisdiction shall be an amount equal to the top-up tax allocated to such constituent entities pursuant to Article 27(5) and (6) divided by the minimum tax rate.</w:t>
            </w:r>
          </w:p>
        </w:tc>
        <w:tc>
          <w:tcPr>
            <w:tcW w:w="810" w:type="dxa"/>
          </w:tcPr>
          <w:p w14:paraId="095369D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600EFED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32(2)</w:t>
            </w:r>
          </w:p>
        </w:tc>
        <w:tc>
          <w:tcPr>
            <w:tcW w:w="4680" w:type="dxa"/>
            <w:gridSpan w:val="2"/>
          </w:tcPr>
          <w:p w14:paraId="3A546E3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Where there is an additional top-up tax and no net qualifying income for the jurisdiction for the fiscal year, the qualifying income of each constituent entity located in the jurisdiction shall be an amount equal to the top-up tax allocated to such constituent entities pursuant to paragraphs 5 and 6, of Article 27, of this Law, divided by the minimum tax rate, for the purposes of Chapter II, of this Law.</w:t>
            </w:r>
          </w:p>
          <w:p w14:paraId="54159045" w14:textId="77777777" w:rsidR="00465215" w:rsidRPr="005E6D70" w:rsidRDefault="00465215" w:rsidP="009170D4">
            <w:pPr>
              <w:rPr>
                <w:rFonts w:ascii="Times New Roman" w:eastAsia="Calibri" w:hAnsi="Times New Roman" w:cs="Times New Roman"/>
                <w:sz w:val="18"/>
                <w:szCs w:val="18"/>
                <w:lang w:val="en-US"/>
              </w:rPr>
            </w:pPr>
          </w:p>
        </w:tc>
        <w:tc>
          <w:tcPr>
            <w:tcW w:w="1800" w:type="dxa"/>
            <w:gridSpan w:val="2"/>
          </w:tcPr>
          <w:p w14:paraId="5A4C81CE"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441C946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Addition of the specific legal reference "for the purposes of Chapter II, of this Law" for domestic contextualization.</w:t>
            </w:r>
          </w:p>
        </w:tc>
      </w:tr>
      <w:tr w:rsidR="00465215" w:rsidRPr="005E6D70" w14:paraId="45920A1D" w14:textId="77777777" w:rsidTr="009170D4">
        <w:tc>
          <w:tcPr>
            <w:tcW w:w="810" w:type="dxa"/>
          </w:tcPr>
          <w:p w14:paraId="252CC29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29(3)</w:t>
            </w:r>
          </w:p>
        </w:tc>
        <w:tc>
          <w:tcPr>
            <w:tcW w:w="5040" w:type="dxa"/>
            <w:gridSpan w:val="2"/>
          </w:tcPr>
          <w:p w14:paraId="4130FC8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Where, pursuant to Article 21(5), additional top-up tax is due, the qualifying income of each constituent entity located in the jurisdiction shall be an amount equal to the top-up tax allocated to such constituent entity divided by the minimum tax rate. The allocation shall be made pro-rata, to each constituent entity, based on the following formula:</w:t>
            </w:r>
          </w:p>
          <w:p w14:paraId="0F54CEAB" w14:textId="77777777" w:rsidR="00465215" w:rsidRPr="005E6D70" w:rsidRDefault="00465215" w:rsidP="009170D4">
            <w:pPr>
              <w:jc w:val="both"/>
              <w:rPr>
                <w:rFonts w:ascii="Times New Roman" w:eastAsia="Calibri" w:hAnsi="Times New Roman" w:cs="Times New Roman"/>
                <w:iCs/>
                <w:sz w:val="18"/>
                <w:szCs w:val="18"/>
                <w:lang w:val="en-US"/>
              </w:rPr>
            </w:pPr>
          </w:p>
          <w:p w14:paraId="438920C1" w14:textId="77777777" w:rsidR="00465215" w:rsidRPr="005E6D70" w:rsidRDefault="00465215" w:rsidP="009170D4">
            <w:pPr>
              <w:jc w:val="both"/>
              <w:rPr>
                <w:rFonts w:ascii="Times New Roman" w:eastAsia="Calibri" w:hAnsi="Times New Roman" w:cs="Times New Roman"/>
                <w:i/>
                <w:sz w:val="18"/>
                <w:szCs w:val="18"/>
                <w:lang w:val="en-US"/>
              </w:rPr>
            </w:pPr>
            <w:r w:rsidRPr="005E6D70">
              <w:rPr>
                <w:rFonts w:ascii="Times New Roman" w:eastAsia="Calibri" w:hAnsi="Times New Roman" w:cs="Times New Roman"/>
                <w:i/>
                <w:sz w:val="18"/>
                <w:szCs w:val="18"/>
                <w:lang w:val="en-US"/>
              </w:rPr>
              <w:t>(Qualifying income or loss x minimum tax rate) - adjusted covered taxes</w:t>
            </w:r>
          </w:p>
          <w:p w14:paraId="7EBA7383" w14:textId="77777777" w:rsidR="00465215" w:rsidRPr="005E6D70" w:rsidRDefault="00465215" w:rsidP="009170D4">
            <w:pPr>
              <w:jc w:val="both"/>
              <w:rPr>
                <w:rFonts w:ascii="Times New Roman" w:eastAsia="Calibri" w:hAnsi="Times New Roman" w:cs="Times New Roman"/>
                <w:i/>
                <w:sz w:val="18"/>
                <w:szCs w:val="18"/>
                <w:lang w:val="en-US"/>
              </w:rPr>
            </w:pPr>
          </w:p>
          <w:p w14:paraId="51EE5BE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The additional top-up tax shall only</w:t>
            </w:r>
            <w:r w:rsidRPr="005E6D70">
              <w:rPr>
                <w:rFonts w:ascii="Times New Roman" w:eastAsia="Calibri" w:hAnsi="Times New Roman" w:cs="Times New Roman"/>
                <w:i/>
                <w:sz w:val="18"/>
                <w:szCs w:val="18"/>
                <w:lang w:val="en-US"/>
              </w:rPr>
              <w:t xml:space="preserve"> </w:t>
            </w:r>
            <w:r w:rsidRPr="005E6D70">
              <w:rPr>
                <w:rFonts w:ascii="Times New Roman" w:eastAsia="Calibri" w:hAnsi="Times New Roman" w:cs="Times New Roman"/>
                <w:iCs/>
                <w:sz w:val="18"/>
                <w:szCs w:val="18"/>
                <w:lang w:val="en-US"/>
              </w:rPr>
              <w:t xml:space="preserve">be allocated to constituent entities that record an amount of adjusted covered tax that is less </w:t>
            </w:r>
            <w:r w:rsidRPr="005E6D70">
              <w:rPr>
                <w:rFonts w:ascii="Times New Roman" w:eastAsia="Calibri" w:hAnsi="Times New Roman" w:cs="Times New Roman"/>
                <w:iCs/>
                <w:sz w:val="18"/>
                <w:szCs w:val="18"/>
                <w:lang w:val="en-US"/>
              </w:rPr>
              <w:lastRenderedPageBreak/>
              <w:t>than zero and less than the qualifying income or loss of such constituent entities multiplied by the minimum tax rate.</w:t>
            </w:r>
          </w:p>
        </w:tc>
        <w:tc>
          <w:tcPr>
            <w:tcW w:w="810" w:type="dxa"/>
          </w:tcPr>
          <w:p w14:paraId="40489BB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3C8B6DF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32(3)</w:t>
            </w:r>
          </w:p>
        </w:tc>
        <w:tc>
          <w:tcPr>
            <w:tcW w:w="4680" w:type="dxa"/>
            <w:gridSpan w:val="2"/>
          </w:tcPr>
          <w:p w14:paraId="4C05669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Where an additional top-up tax is due under paragraph 5, of Article 21, of this Law, the following rules shall apply:</w:t>
            </w:r>
          </w:p>
          <w:p w14:paraId="063D262B" w14:textId="77777777" w:rsidR="00465215" w:rsidRPr="005E6D70" w:rsidRDefault="00465215" w:rsidP="009170D4">
            <w:pPr>
              <w:jc w:val="both"/>
              <w:rPr>
                <w:rFonts w:ascii="Times New Roman" w:eastAsia="Calibri" w:hAnsi="Times New Roman" w:cs="Times New Roman"/>
                <w:iCs/>
                <w:sz w:val="18"/>
                <w:szCs w:val="18"/>
                <w:lang w:val="en-US"/>
              </w:rPr>
            </w:pPr>
          </w:p>
          <w:p w14:paraId="72EDF06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the qualifying income of each constituent entity located in the jurisdiction shall be an amount equal to the top-up tax allocated to such constituent entity divided by the minimum tax rate, for the purposes of Chapter II, of this Law;</w:t>
            </w:r>
          </w:p>
          <w:p w14:paraId="2D2C5C69" w14:textId="77777777" w:rsidR="00465215" w:rsidRPr="005E6D70" w:rsidRDefault="00465215" w:rsidP="009170D4">
            <w:pPr>
              <w:jc w:val="both"/>
              <w:rPr>
                <w:rFonts w:ascii="Times New Roman" w:eastAsia="Calibri" w:hAnsi="Times New Roman" w:cs="Times New Roman"/>
                <w:iCs/>
                <w:sz w:val="18"/>
                <w:szCs w:val="18"/>
                <w:lang w:val="en-US"/>
              </w:rPr>
            </w:pPr>
          </w:p>
          <w:p w14:paraId="19E1FC9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b) the allocation shall be made pro-rata, to each constituent entity, in accordance with the following formula: </w:t>
            </w:r>
            <w:r w:rsidRPr="005E6D70">
              <w:rPr>
                <w:rFonts w:ascii="Times New Roman" w:eastAsia="Calibri" w:hAnsi="Times New Roman" w:cs="Times New Roman"/>
                <w:i/>
                <w:sz w:val="18"/>
                <w:szCs w:val="18"/>
                <w:lang w:val="en-US"/>
              </w:rPr>
              <w:t>(Qualifying income or loss x Minimum tax rate) - Adjusted covered taxes</w:t>
            </w:r>
            <w:r w:rsidRPr="005E6D70">
              <w:rPr>
                <w:rFonts w:ascii="Times New Roman" w:eastAsia="Calibri" w:hAnsi="Times New Roman" w:cs="Times New Roman"/>
                <w:iCs/>
                <w:sz w:val="18"/>
                <w:szCs w:val="18"/>
                <w:lang w:val="en-US"/>
              </w:rPr>
              <w:t>;</w:t>
            </w:r>
          </w:p>
          <w:p w14:paraId="0DA3FB89" w14:textId="77777777" w:rsidR="00465215" w:rsidRPr="005E6D70" w:rsidRDefault="00465215" w:rsidP="009170D4">
            <w:pPr>
              <w:jc w:val="both"/>
              <w:rPr>
                <w:rFonts w:ascii="Times New Roman" w:eastAsia="Calibri" w:hAnsi="Times New Roman" w:cs="Times New Roman"/>
                <w:iCs/>
                <w:sz w:val="18"/>
                <w:szCs w:val="18"/>
                <w:lang w:val="en-US"/>
              </w:rPr>
            </w:pPr>
          </w:p>
          <w:p w14:paraId="66F55F9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c) the additional top-up tax shall only be allocated to constituent entities that record an amount of adjusted covered taxes that is less than zero and less than the qualifying income or loss of such constituent entities multiplied by the minimum tax rate.</w:t>
            </w:r>
          </w:p>
        </w:tc>
        <w:tc>
          <w:tcPr>
            <w:tcW w:w="1800" w:type="dxa"/>
            <w:gridSpan w:val="2"/>
          </w:tcPr>
          <w:p w14:paraId="6E6196EC"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30E7BEDE"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reorganization. The unnumbered sentences of the EU provision are codified into a systematic lettered list (a-c) in the domestic draft law. Cross-</w:t>
            </w:r>
            <w:r w:rsidRPr="005E6D70">
              <w:rPr>
                <w:rFonts w:ascii="Times New Roman" w:eastAsia="Calibri" w:hAnsi="Times New Roman" w:cs="Times New Roman"/>
                <w:iCs/>
                <w:sz w:val="18"/>
                <w:szCs w:val="18"/>
                <w:lang w:val="en-US"/>
              </w:rPr>
              <w:lastRenderedPageBreak/>
              <w:t>reference updated to Article 21(5).</w:t>
            </w:r>
          </w:p>
        </w:tc>
      </w:tr>
      <w:tr w:rsidR="00465215" w:rsidRPr="005E6D70" w14:paraId="50763634" w14:textId="77777777" w:rsidTr="009170D4">
        <w:tc>
          <w:tcPr>
            <w:tcW w:w="810" w:type="dxa"/>
          </w:tcPr>
          <w:p w14:paraId="0E9ACE9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29(4)</w:t>
            </w:r>
          </w:p>
        </w:tc>
        <w:tc>
          <w:tcPr>
            <w:tcW w:w="5040" w:type="dxa"/>
            <w:gridSpan w:val="2"/>
          </w:tcPr>
          <w:p w14:paraId="63F4E281"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 Where a constituent entity is allocated additional top-up tax in accordance with this Article and Article 27(5) and (6), such constituent entity shall be treated as a low-taxed constituent entity for the purposes of Chapter II.</w:t>
            </w:r>
          </w:p>
        </w:tc>
        <w:tc>
          <w:tcPr>
            <w:tcW w:w="810" w:type="dxa"/>
          </w:tcPr>
          <w:p w14:paraId="44A252A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224A41D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32(4)</w:t>
            </w:r>
          </w:p>
        </w:tc>
        <w:tc>
          <w:tcPr>
            <w:tcW w:w="4680" w:type="dxa"/>
            <w:gridSpan w:val="2"/>
          </w:tcPr>
          <w:p w14:paraId="15CD89A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Where an additional top-up tax is allocated to a constituent entity in accordance with this Article and paragraphs 5 and 6, of Article 27, of this Law, such constituent entity shall be treated as a low-taxed constituent entity for the purposes of Chapter II, of this Law.</w:t>
            </w:r>
          </w:p>
        </w:tc>
        <w:tc>
          <w:tcPr>
            <w:tcW w:w="1800" w:type="dxa"/>
            <w:gridSpan w:val="2"/>
          </w:tcPr>
          <w:p w14:paraId="0926F216"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3621F9BA"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Cross-references adapted to domestic legislative format.</w:t>
            </w:r>
          </w:p>
        </w:tc>
      </w:tr>
      <w:tr w:rsidR="00465215" w:rsidRPr="005E6D70" w14:paraId="7EC4E76E" w14:textId="77777777" w:rsidTr="009170D4">
        <w:tc>
          <w:tcPr>
            <w:tcW w:w="810" w:type="dxa"/>
            <w:shd w:val="clear" w:color="auto" w:fill="D9D9D9" w:themeFill="background1" w:themeFillShade="D9"/>
          </w:tcPr>
          <w:p w14:paraId="620A365D"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3CD486F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30. De minimis exclusion</w:t>
            </w:r>
          </w:p>
        </w:tc>
        <w:tc>
          <w:tcPr>
            <w:tcW w:w="810" w:type="dxa"/>
            <w:shd w:val="clear" w:color="auto" w:fill="D9D9D9" w:themeFill="background1" w:themeFillShade="D9"/>
          </w:tcPr>
          <w:p w14:paraId="4049C0B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shd w:val="clear" w:color="auto" w:fill="D9D9D9" w:themeFill="background1" w:themeFillShade="D9"/>
          </w:tcPr>
          <w:p w14:paraId="6873EFC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30</w:t>
            </w:r>
          </w:p>
        </w:tc>
        <w:tc>
          <w:tcPr>
            <w:tcW w:w="4680" w:type="dxa"/>
            <w:gridSpan w:val="2"/>
            <w:shd w:val="clear" w:color="auto" w:fill="D9D9D9" w:themeFill="background1" w:themeFillShade="D9"/>
          </w:tcPr>
          <w:p w14:paraId="42C3367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Article 33. De Minimis Exclusion</w:t>
            </w:r>
          </w:p>
        </w:tc>
        <w:tc>
          <w:tcPr>
            <w:tcW w:w="1800" w:type="dxa"/>
            <w:gridSpan w:val="2"/>
            <w:shd w:val="clear" w:color="auto" w:fill="D9D9D9" w:themeFill="background1" w:themeFillShade="D9"/>
          </w:tcPr>
          <w:p w14:paraId="560DF090"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shd w:val="clear" w:color="auto" w:fill="D9D9D9" w:themeFill="background1" w:themeFillShade="D9"/>
          </w:tcPr>
          <w:p w14:paraId="6FD2A305"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transposition of Article 30 of the Directive into Article 33 of the domestic draft law.</w:t>
            </w:r>
          </w:p>
        </w:tc>
      </w:tr>
      <w:tr w:rsidR="00465215" w:rsidRPr="005E6D70" w14:paraId="4EBD0DB3" w14:textId="77777777" w:rsidTr="009170D4">
        <w:trPr>
          <w:trHeight w:val="890"/>
        </w:trPr>
        <w:tc>
          <w:tcPr>
            <w:tcW w:w="810" w:type="dxa"/>
          </w:tcPr>
          <w:p w14:paraId="62EF677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30(1)</w:t>
            </w:r>
          </w:p>
        </w:tc>
        <w:tc>
          <w:tcPr>
            <w:tcW w:w="5040" w:type="dxa"/>
            <w:gridSpan w:val="2"/>
          </w:tcPr>
          <w:p w14:paraId="1561077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By way of derogation from Articles 26 to 29 and Article 31, at the election of the filing constituent entity, the top-up tax due for the constituent entities located in a jurisdiction shall be equal to zero for a fiscal year if, for such fiscal year:</w:t>
            </w:r>
          </w:p>
        </w:tc>
        <w:tc>
          <w:tcPr>
            <w:tcW w:w="810" w:type="dxa"/>
          </w:tcPr>
          <w:p w14:paraId="4669164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4888BA1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33(1)</w:t>
            </w:r>
          </w:p>
        </w:tc>
        <w:tc>
          <w:tcPr>
            <w:tcW w:w="4680" w:type="dxa"/>
            <w:gridSpan w:val="2"/>
          </w:tcPr>
          <w:p w14:paraId="40591BA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By way of derogation from Articles 26 to 32, and Article 34, of this Law, at the election of the filing constituent entity, the top-up tax due for the constituent entities located in a jurisdiction shall be equal to zero for a fiscal year if, for such fiscal year:</w:t>
            </w:r>
          </w:p>
        </w:tc>
        <w:tc>
          <w:tcPr>
            <w:tcW w:w="1800" w:type="dxa"/>
            <w:gridSpan w:val="2"/>
          </w:tcPr>
          <w:p w14:paraId="358731E2"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1E917EE0"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 to reflect the structural cross-references of the national law.</w:t>
            </w:r>
          </w:p>
        </w:tc>
      </w:tr>
      <w:tr w:rsidR="00465215" w:rsidRPr="005E6D70" w14:paraId="4AEC5295" w14:textId="77777777" w:rsidTr="009170D4">
        <w:trPr>
          <w:trHeight w:val="467"/>
        </w:trPr>
        <w:tc>
          <w:tcPr>
            <w:tcW w:w="810" w:type="dxa"/>
          </w:tcPr>
          <w:p w14:paraId="45C359F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30(1a)</w:t>
            </w:r>
          </w:p>
        </w:tc>
        <w:tc>
          <w:tcPr>
            <w:tcW w:w="5040" w:type="dxa"/>
            <w:gridSpan w:val="2"/>
          </w:tcPr>
          <w:p w14:paraId="725EBBE1"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the average qualifying revenue of all constituent entities located in such jurisdiction is less than EUR 10 000 000; and</w:t>
            </w:r>
          </w:p>
        </w:tc>
        <w:tc>
          <w:tcPr>
            <w:tcW w:w="810" w:type="dxa"/>
          </w:tcPr>
          <w:p w14:paraId="375AA99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2C27D8D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33(1)(a)</w:t>
            </w:r>
          </w:p>
        </w:tc>
        <w:tc>
          <w:tcPr>
            <w:tcW w:w="4680" w:type="dxa"/>
            <w:gridSpan w:val="2"/>
          </w:tcPr>
          <w:p w14:paraId="0FB6C70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the average qualifying revenue of all constituent entities located in such jurisdiction is less than EUR 10 000 000; and</w:t>
            </w:r>
          </w:p>
        </w:tc>
        <w:tc>
          <w:tcPr>
            <w:tcW w:w="1800" w:type="dxa"/>
            <w:gridSpan w:val="2"/>
          </w:tcPr>
          <w:p w14:paraId="71FD912F"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27B7A2C6"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6140C7B0" w14:textId="77777777" w:rsidTr="009170D4">
        <w:trPr>
          <w:trHeight w:val="440"/>
        </w:trPr>
        <w:tc>
          <w:tcPr>
            <w:tcW w:w="810" w:type="dxa"/>
          </w:tcPr>
          <w:p w14:paraId="6728F0F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30(1b)</w:t>
            </w:r>
          </w:p>
        </w:tc>
        <w:tc>
          <w:tcPr>
            <w:tcW w:w="5040" w:type="dxa"/>
            <w:gridSpan w:val="2"/>
          </w:tcPr>
          <w:p w14:paraId="28B262C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the average qualifying income or loss of all constituent entities in such jurisdiction is a loss or is less than EUR 1 000 000.</w:t>
            </w:r>
          </w:p>
          <w:p w14:paraId="5E84DEC2" w14:textId="77777777" w:rsidR="00465215" w:rsidRPr="005E6D70" w:rsidRDefault="00465215" w:rsidP="009170D4">
            <w:pPr>
              <w:jc w:val="both"/>
              <w:rPr>
                <w:rFonts w:ascii="Times New Roman" w:eastAsia="Calibri" w:hAnsi="Times New Roman" w:cs="Times New Roman"/>
                <w:iCs/>
                <w:sz w:val="18"/>
                <w:szCs w:val="18"/>
                <w:lang w:val="en-US"/>
              </w:rPr>
            </w:pPr>
          </w:p>
          <w:p w14:paraId="2A62B09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The election shall be made annually in accordance with Article 45(2).</w:t>
            </w:r>
          </w:p>
        </w:tc>
        <w:tc>
          <w:tcPr>
            <w:tcW w:w="810" w:type="dxa"/>
          </w:tcPr>
          <w:p w14:paraId="271D4AD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29CD574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33(1)(b)</w:t>
            </w:r>
          </w:p>
        </w:tc>
        <w:tc>
          <w:tcPr>
            <w:tcW w:w="4680" w:type="dxa"/>
            <w:gridSpan w:val="2"/>
          </w:tcPr>
          <w:p w14:paraId="459AF11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the average qualifying income or loss of all constituent entities in such jurisdiction is a loss or is less than EUR 1 000 000.</w:t>
            </w:r>
          </w:p>
          <w:p w14:paraId="64203AE6" w14:textId="77777777" w:rsidR="00465215" w:rsidRPr="005E6D70" w:rsidRDefault="00465215" w:rsidP="009170D4">
            <w:pPr>
              <w:jc w:val="both"/>
              <w:rPr>
                <w:rFonts w:ascii="Times New Roman" w:eastAsia="Calibri" w:hAnsi="Times New Roman" w:cs="Times New Roman"/>
                <w:iCs/>
                <w:sz w:val="18"/>
                <w:szCs w:val="18"/>
                <w:lang w:val="en-US"/>
              </w:rPr>
            </w:pPr>
          </w:p>
          <w:p w14:paraId="43807C3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The election shall be made annually in accordance with paragraph 3, of Article 55, of this Law.</w:t>
            </w:r>
          </w:p>
        </w:tc>
        <w:tc>
          <w:tcPr>
            <w:tcW w:w="1800" w:type="dxa"/>
            <w:gridSpan w:val="2"/>
          </w:tcPr>
          <w:p w14:paraId="3329608F"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556A11FC"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Direct transposition with local drafting adaptations. Internal cross-reference </w:t>
            </w:r>
            <w:r w:rsidRPr="005E6D70">
              <w:rPr>
                <w:rFonts w:ascii="Times New Roman" w:eastAsia="Calibri" w:hAnsi="Times New Roman" w:cs="Times New Roman"/>
                <w:iCs/>
                <w:sz w:val="18"/>
                <w:szCs w:val="18"/>
                <w:lang w:val="en-US"/>
              </w:rPr>
              <w:lastRenderedPageBreak/>
              <w:t>adapted to align with the domestic legal structure.</w:t>
            </w:r>
          </w:p>
        </w:tc>
      </w:tr>
      <w:tr w:rsidR="00465215" w:rsidRPr="005E6D70" w14:paraId="6CB35B9E" w14:textId="77777777" w:rsidTr="009170D4">
        <w:trPr>
          <w:trHeight w:val="440"/>
        </w:trPr>
        <w:tc>
          <w:tcPr>
            <w:tcW w:w="810" w:type="dxa"/>
          </w:tcPr>
          <w:p w14:paraId="0D398E4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30(2)</w:t>
            </w:r>
          </w:p>
        </w:tc>
        <w:tc>
          <w:tcPr>
            <w:tcW w:w="5040" w:type="dxa"/>
            <w:gridSpan w:val="2"/>
          </w:tcPr>
          <w:p w14:paraId="7414A78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The average qualifying revenue or average qualifying income or loss referred to in paragraph 1 shall be the average of the qualifying revenue or qualifying income or loss of the constituent entities located in the jurisdiction for the fiscal year and the two preceding fiscal years.</w:t>
            </w:r>
          </w:p>
          <w:p w14:paraId="576C403C" w14:textId="77777777" w:rsidR="00465215" w:rsidRPr="005E6D70" w:rsidRDefault="00465215" w:rsidP="009170D4">
            <w:pPr>
              <w:jc w:val="both"/>
              <w:rPr>
                <w:rFonts w:ascii="Times New Roman" w:eastAsia="Calibri" w:hAnsi="Times New Roman" w:cs="Times New Roman"/>
                <w:iCs/>
                <w:sz w:val="18"/>
                <w:szCs w:val="18"/>
                <w:lang w:val="en-US"/>
              </w:rPr>
            </w:pPr>
          </w:p>
          <w:p w14:paraId="6EE9153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If there are no constituent entities with qualifying revenue or qualifying loss located in the jurisdiction in the first or second preceding fiscal year, or both, such fiscal year or years shall be excluded from the computation of the average qualifying revenue or qualifying income or loss of that jurisdiction.</w:t>
            </w:r>
          </w:p>
        </w:tc>
        <w:tc>
          <w:tcPr>
            <w:tcW w:w="810" w:type="dxa"/>
          </w:tcPr>
          <w:p w14:paraId="7EE09E0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0A1B368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33(2)</w:t>
            </w:r>
          </w:p>
          <w:p w14:paraId="5106C31C" w14:textId="77777777" w:rsidR="00465215" w:rsidRPr="005E6D70" w:rsidRDefault="00465215" w:rsidP="009170D4">
            <w:pPr>
              <w:jc w:val="center"/>
              <w:rPr>
                <w:rFonts w:ascii="Times New Roman" w:eastAsia="Calibri" w:hAnsi="Times New Roman" w:cs="Times New Roman"/>
                <w:sz w:val="18"/>
                <w:szCs w:val="18"/>
                <w:lang w:val="en-US"/>
              </w:rPr>
            </w:pPr>
          </w:p>
          <w:p w14:paraId="0B77F79F" w14:textId="77777777" w:rsidR="00465215" w:rsidRPr="005E6D70" w:rsidRDefault="00465215" w:rsidP="009170D4">
            <w:pPr>
              <w:jc w:val="center"/>
              <w:rPr>
                <w:rFonts w:ascii="Times New Roman" w:eastAsia="Calibri" w:hAnsi="Times New Roman" w:cs="Times New Roman"/>
                <w:sz w:val="18"/>
                <w:szCs w:val="18"/>
                <w:lang w:val="en-US"/>
              </w:rPr>
            </w:pPr>
          </w:p>
          <w:p w14:paraId="14633833" w14:textId="77777777" w:rsidR="00465215" w:rsidRPr="005E6D70" w:rsidRDefault="00465215" w:rsidP="009170D4">
            <w:pPr>
              <w:jc w:val="center"/>
              <w:rPr>
                <w:rFonts w:ascii="Times New Roman" w:eastAsia="Calibri" w:hAnsi="Times New Roman" w:cs="Times New Roman"/>
                <w:sz w:val="18"/>
                <w:szCs w:val="18"/>
                <w:lang w:val="en-US"/>
              </w:rPr>
            </w:pPr>
          </w:p>
          <w:p w14:paraId="3D6FC12A" w14:textId="77777777" w:rsidR="00465215" w:rsidRPr="005E6D70" w:rsidRDefault="00465215" w:rsidP="009170D4">
            <w:pPr>
              <w:jc w:val="center"/>
              <w:rPr>
                <w:rFonts w:ascii="Times New Roman" w:eastAsia="Calibri" w:hAnsi="Times New Roman" w:cs="Times New Roman"/>
                <w:sz w:val="18"/>
                <w:szCs w:val="18"/>
                <w:lang w:val="en-US"/>
              </w:rPr>
            </w:pPr>
          </w:p>
          <w:p w14:paraId="03522A6C" w14:textId="77777777" w:rsidR="00465215" w:rsidRPr="005E6D70" w:rsidRDefault="00465215" w:rsidP="009170D4">
            <w:pPr>
              <w:jc w:val="center"/>
              <w:rPr>
                <w:rFonts w:ascii="Times New Roman" w:eastAsia="Calibri" w:hAnsi="Times New Roman" w:cs="Times New Roman"/>
                <w:sz w:val="18"/>
                <w:szCs w:val="18"/>
                <w:lang w:val="en-US"/>
              </w:rPr>
            </w:pPr>
          </w:p>
          <w:p w14:paraId="023233A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33(3)</w:t>
            </w:r>
          </w:p>
          <w:p w14:paraId="5AF3320E" w14:textId="77777777" w:rsidR="00465215" w:rsidRPr="005E6D70" w:rsidRDefault="00465215" w:rsidP="009170D4">
            <w:pPr>
              <w:jc w:val="center"/>
              <w:rPr>
                <w:rFonts w:ascii="Times New Roman" w:eastAsia="Calibri" w:hAnsi="Times New Roman" w:cs="Times New Roman"/>
                <w:sz w:val="18"/>
                <w:szCs w:val="18"/>
                <w:lang w:val="en-US"/>
              </w:rPr>
            </w:pPr>
          </w:p>
          <w:p w14:paraId="3ED42503" w14:textId="77777777" w:rsidR="00465215" w:rsidRPr="005E6D70" w:rsidRDefault="00465215" w:rsidP="009170D4">
            <w:pPr>
              <w:jc w:val="center"/>
              <w:rPr>
                <w:rFonts w:ascii="Times New Roman" w:eastAsia="Calibri" w:hAnsi="Times New Roman" w:cs="Times New Roman"/>
                <w:sz w:val="18"/>
                <w:szCs w:val="18"/>
                <w:lang w:val="en-US"/>
              </w:rPr>
            </w:pPr>
          </w:p>
          <w:p w14:paraId="6B9CC5CB" w14:textId="77777777" w:rsidR="00465215" w:rsidRPr="005E6D70" w:rsidRDefault="00465215" w:rsidP="009170D4">
            <w:pPr>
              <w:jc w:val="center"/>
              <w:rPr>
                <w:rFonts w:ascii="Times New Roman" w:eastAsia="Calibri" w:hAnsi="Times New Roman" w:cs="Times New Roman"/>
                <w:sz w:val="18"/>
                <w:szCs w:val="18"/>
                <w:lang w:val="en-US"/>
              </w:rPr>
            </w:pPr>
          </w:p>
          <w:p w14:paraId="785CF78D" w14:textId="77777777" w:rsidR="00465215" w:rsidRPr="005E6D70" w:rsidRDefault="00465215" w:rsidP="009170D4">
            <w:pPr>
              <w:jc w:val="center"/>
              <w:rPr>
                <w:rFonts w:ascii="Times New Roman" w:eastAsia="Calibri" w:hAnsi="Times New Roman" w:cs="Times New Roman"/>
                <w:sz w:val="18"/>
                <w:szCs w:val="18"/>
                <w:lang w:val="en-US"/>
              </w:rPr>
            </w:pPr>
          </w:p>
          <w:p w14:paraId="2191D156" w14:textId="77777777" w:rsidR="00465215" w:rsidRPr="005E6D70" w:rsidRDefault="00465215" w:rsidP="009170D4">
            <w:pPr>
              <w:jc w:val="center"/>
              <w:rPr>
                <w:rFonts w:ascii="Times New Roman" w:eastAsia="Calibri" w:hAnsi="Times New Roman" w:cs="Times New Roman"/>
                <w:sz w:val="18"/>
                <w:szCs w:val="18"/>
                <w:lang w:val="en-US"/>
              </w:rPr>
            </w:pPr>
          </w:p>
          <w:p w14:paraId="7218A67B" w14:textId="77777777" w:rsidR="00465215" w:rsidRPr="005E6D70" w:rsidRDefault="00465215" w:rsidP="009170D4">
            <w:pPr>
              <w:jc w:val="center"/>
              <w:rPr>
                <w:rFonts w:ascii="Times New Roman" w:eastAsia="Calibri" w:hAnsi="Times New Roman" w:cs="Times New Roman"/>
                <w:sz w:val="18"/>
                <w:szCs w:val="18"/>
                <w:lang w:val="en-US"/>
              </w:rPr>
            </w:pPr>
          </w:p>
        </w:tc>
        <w:tc>
          <w:tcPr>
            <w:tcW w:w="4680" w:type="dxa"/>
            <w:gridSpan w:val="2"/>
          </w:tcPr>
          <w:p w14:paraId="36B7BF8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The average qualifying revenue or average qualifying income or loss referred to in paragraph 1, of this Article, shall be the average of the qualifying revenue or qualifying income or loss of the constituent entities located in the jurisdiction for the fiscal year and the two preceding fiscal years.</w:t>
            </w:r>
          </w:p>
          <w:p w14:paraId="423ABDC3" w14:textId="77777777" w:rsidR="00465215" w:rsidRPr="005E6D70" w:rsidRDefault="00465215" w:rsidP="009170D4">
            <w:pPr>
              <w:jc w:val="both"/>
              <w:rPr>
                <w:rFonts w:ascii="Times New Roman" w:eastAsia="Calibri" w:hAnsi="Times New Roman" w:cs="Times New Roman"/>
                <w:iCs/>
                <w:sz w:val="18"/>
                <w:szCs w:val="18"/>
                <w:lang w:val="en-US"/>
              </w:rPr>
            </w:pPr>
          </w:p>
          <w:p w14:paraId="628EAC0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If there are no constituent entities with qualifying revenue or qualifying loss located in the jurisdiction in the first or second preceding fiscal year, or both, such fiscal year or years shall be excluded from the computation of the average qualifying revenue or qualifying income or loss of that jurisdiction.</w:t>
            </w:r>
          </w:p>
        </w:tc>
        <w:tc>
          <w:tcPr>
            <w:tcW w:w="1800" w:type="dxa"/>
            <w:gridSpan w:val="2"/>
          </w:tcPr>
          <w:p w14:paraId="166A0EEA"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7DCAEB5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division of the unnumbered subparagraph into a separate numbered paragraph for national legislative compliance. Direct transposition in substance.</w:t>
            </w:r>
          </w:p>
        </w:tc>
      </w:tr>
      <w:tr w:rsidR="00465215" w:rsidRPr="005E6D70" w14:paraId="328BC745" w14:textId="77777777" w:rsidTr="009170D4">
        <w:trPr>
          <w:trHeight w:val="890"/>
        </w:trPr>
        <w:tc>
          <w:tcPr>
            <w:tcW w:w="810" w:type="dxa"/>
          </w:tcPr>
          <w:p w14:paraId="37CEB5B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30(3)</w:t>
            </w:r>
          </w:p>
        </w:tc>
        <w:tc>
          <w:tcPr>
            <w:tcW w:w="5040" w:type="dxa"/>
            <w:gridSpan w:val="2"/>
          </w:tcPr>
          <w:p w14:paraId="101DBD9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The qualifying revenue of the constituent entities located in a jurisdiction for a fiscal year shall be the sum of all the revenues of the constituent entities located in that jurisdiction, reduced or increased by any adjustment carried out in accordance with Chapter III.</w:t>
            </w:r>
          </w:p>
        </w:tc>
        <w:tc>
          <w:tcPr>
            <w:tcW w:w="810" w:type="dxa"/>
          </w:tcPr>
          <w:p w14:paraId="5FFF25B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A56D1D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33(4)</w:t>
            </w:r>
          </w:p>
        </w:tc>
        <w:tc>
          <w:tcPr>
            <w:tcW w:w="4680" w:type="dxa"/>
            <w:gridSpan w:val="2"/>
          </w:tcPr>
          <w:p w14:paraId="4FBD28A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The qualifying revenue of the constituent entities located in a jurisdiction for a fiscal year shall be the sum of all the revenues of the constituent entities located in that jurisdiction, reduced or increased by any adjustment carried out in accordance with Chapter III, of this Law.</w:t>
            </w:r>
          </w:p>
        </w:tc>
        <w:tc>
          <w:tcPr>
            <w:tcW w:w="1800" w:type="dxa"/>
            <w:gridSpan w:val="2"/>
          </w:tcPr>
          <w:p w14:paraId="26CE738E"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5933C7FB"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 Internal cross-reference adapted.</w:t>
            </w:r>
          </w:p>
        </w:tc>
      </w:tr>
      <w:tr w:rsidR="00465215" w:rsidRPr="005E6D70" w14:paraId="7B248FEA" w14:textId="77777777" w:rsidTr="009170D4">
        <w:trPr>
          <w:trHeight w:val="890"/>
        </w:trPr>
        <w:tc>
          <w:tcPr>
            <w:tcW w:w="810" w:type="dxa"/>
          </w:tcPr>
          <w:p w14:paraId="376868C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30(4)</w:t>
            </w:r>
          </w:p>
        </w:tc>
        <w:tc>
          <w:tcPr>
            <w:tcW w:w="5040" w:type="dxa"/>
            <w:gridSpan w:val="2"/>
          </w:tcPr>
          <w:p w14:paraId="3B8945E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 The qualifying income or loss of the constituent entities located in a jurisdiction for a fiscal year shall be the net qualifying income or loss, of that jurisdiction as computed in accordance with Article 26(2).</w:t>
            </w:r>
          </w:p>
        </w:tc>
        <w:tc>
          <w:tcPr>
            <w:tcW w:w="810" w:type="dxa"/>
          </w:tcPr>
          <w:p w14:paraId="1C4CA3E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4339036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33(5)</w:t>
            </w:r>
          </w:p>
        </w:tc>
        <w:tc>
          <w:tcPr>
            <w:tcW w:w="4680" w:type="dxa"/>
            <w:gridSpan w:val="2"/>
          </w:tcPr>
          <w:p w14:paraId="7D45480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5. The qualifying income or loss of the constituent entities located in a jurisdiction for a fiscal year shall be the net qualifying income or loss of that jurisdiction as computed in accordance with paragraph 2, of Article 26, of this Law.</w:t>
            </w:r>
          </w:p>
        </w:tc>
        <w:tc>
          <w:tcPr>
            <w:tcW w:w="1800" w:type="dxa"/>
            <w:gridSpan w:val="2"/>
          </w:tcPr>
          <w:p w14:paraId="65E865A4"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1F903A98"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with local drafting adaptations. Internal cross-reference adapted.</w:t>
            </w:r>
          </w:p>
        </w:tc>
      </w:tr>
      <w:tr w:rsidR="00465215" w:rsidRPr="005E6D70" w14:paraId="414EC9D5" w14:textId="77777777" w:rsidTr="009170D4">
        <w:trPr>
          <w:trHeight w:val="890"/>
        </w:trPr>
        <w:tc>
          <w:tcPr>
            <w:tcW w:w="810" w:type="dxa"/>
          </w:tcPr>
          <w:p w14:paraId="44B1F4C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30(5)</w:t>
            </w:r>
          </w:p>
        </w:tc>
        <w:tc>
          <w:tcPr>
            <w:tcW w:w="5040" w:type="dxa"/>
            <w:gridSpan w:val="2"/>
          </w:tcPr>
          <w:p w14:paraId="7A08380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5. The </w:t>
            </w:r>
            <w:r w:rsidRPr="005E6D70">
              <w:rPr>
                <w:rFonts w:ascii="Times New Roman" w:eastAsia="Calibri" w:hAnsi="Times New Roman" w:cs="Times New Roman"/>
                <w:i/>
                <w:sz w:val="18"/>
                <w:szCs w:val="18"/>
                <w:lang w:val="en-US"/>
              </w:rPr>
              <w:t>de minimis</w:t>
            </w:r>
            <w:r w:rsidRPr="005E6D70">
              <w:rPr>
                <w:rFonts w:ascii="Times New Roman" w:eastAsia="Calibri" w:hAnsi="Times New Roman" w:cs="Times New Roman"/>
                <w:iCs/>
                <w:sz w:val="18"/>
                <w:szCs w:val="18"/>
                <w:lang w:val="en-US"/>
              </w:rPr>
              <w:t xml:space="preserve"> exclusion set out in paragraphs 1 to 4 shall not be applicable to stateless constituent entities and investment entities. The revenue and qualifying income or loss of such entities shall be excluded from the computation of the </w:t>
            </w:r>
            <w:r w:rsidRPr="005E6D70">
              <w:rPr>
                <w:rFonts w:ascii="Times New Roman" w:eastAsia="Calibri" w:hAnsi="Times New Roman" w:cs="Times New Roman"/>
                <w:i/>
                <w:sz w:val="18"/>
                <w:szCs w:val="18"/>
                <w:lang w:val="en-US"/>
              </w:rPr>
              <w:t>de minimis</w:t>
            </w:r>
            <w:r w:rsidRPr="005E6D70">
              <w:rPr>
                <w:rFonts w:ascii="Times New Roman" w:eastAsia="Calibri" w:hAnsi="Times New Roman" w:cs="Times New Roman"/>
                <w:iCs/>
                <w:sz w:val="18"/>
                <w:szCs w:val="18"/>
                <w:lang w:val="en-US"/>
              </w:rPr>
              <w:t xml:space="preserve"> exclusion.</w:t>
            </w:r>
          </w:p>
        </w:tc>
        <w:tc>
          <w:tcPr>
            <w:tcW w:w="810" w:type="dxa"/>
          </w:tcPr>
          <w:p w14:paraId="285963A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085160C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33(6)</w:t>
            </w:r>
          </w:p>
        </w:tc>
        <w:tc>
          <w:tcPr>
            <w:tcW w:w="4680" w:type="dxa"/>
            <w:gridSpan w:val="2"/>
          </w:tcPr>
          <w:p w14:paraId="34FA7AF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 Stateless constituent entities and investment entities are excluded from the de minimis exclusion set out in this Article. The revenue and qualifying income or loss of such entities shall be excluded from the computation of the de minimis exclusion.</w:t>
            </w:r>
          </w:p>
        </w:tc>
        <w:tc>
          <w:tcPr>
            <w:tcW w:w="1800" w:type="dxa"/>
            <w:gridSpan w:val="2"/>
          </w:tcPr>
          <w:p w14:paraId="084C83A5"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7A62F49B"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 in substance.</w:t>
            </w:r>
          </w:p>
        </w:tc>
      </w:tr>
      <w:tr w:rsidR="00465215" w:rsidRPr="005E6D70" w14:paraId="4BD62988" w14:textId="77777777" w:rsidTr="009170D4">
        <w:trPr>
          <w:trHeight w:val="152"/>
        </w:trPr>
        <w:tc>
          <w:tcPr>
            <w:tcW w:w="810" w:type="dxa"/>
            <w:shd w:val="clear" w:color="auto" w:fill="D9D9D9" w:themeFill="background1" w:themeFillShade="D9"/>
          </w:tcPr>
          <w:p w14:paraId="06A1BD09"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05DDAEC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31. Minority-owned constituent entities</w:t>
            </w:r>
          </w:p>
        </w:tc>
        <w:tc>
          <w:tcPr>
            <w:tcW w:w="810" w:type="dxa"/>
            <w:shd w:val="clear" w:color="auto" w:fill="D9D9D9" w:themeFill="background1" w:themeFillShade="D9"/>
          </w:tcPr>
          <w:p w14:paraId="2486DE1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shd w:val="clear" w:color="auto" w:fill="D9D9D9" w:themeFill="background1" w:themeFillShade="D9"/>
          </w:tcPr>
          <w:p w14:paraId="6502CB0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w:t>
            </w:r>
          </w:p>
        </w:tc>
        <w:tc>
          <w:tcPr>
            <w:tcW w:w="4680" w:type="dxa"/>
            <w:gridSpan w:val="2"/>
            <w:shd w:val="clear" w:color="auto" w:fill="D9D9D9" w:themeFill="background1" w:themeFillShade="D9"/>
          </w:tcPr>
          <w:p w14:paraId="3732DD7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Article 34. Minority-Owned Constituent Entities</w:t>
            </w:r>
          </w:p>
        </w:tc>
        <w:tc>
          <w:tcPr>
            <w:tcW w:w="1800" w:type="dxa"/>
            <w:gridSpan w:val="2"/>
            <w:shd w:val="clear" w:color="auto" w:fill="D9D9D9" w:themeFill="background1" w:themeFillShade="D9"/>
          </w:tcPr>
          <w:p w14:paraId="35674B51"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shd w:val="clear" w:color="auto" w:fill="D9D9D9" w:themeFill="background1" w:themeFillShade="D9"/>
          </w:tcPr>
          <w:p w14:paraId="56C12C8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Structural transposition of Article 31 of </w:t>
            </w:r>
            <w:r w:rsidRPr="005E6D70">
              <w:rPr>
                <w:rFonts w:ascii="Times New Roman" w:eastAsia="Calibri" w:hAnsi="Times New Roman" w:cs="Times New Roman"/>
                <w:iCs/>
                <w:sz w:val="18"/>
                <w:szCs w:val="18"/>
                <w:lang w:val="en-US"/>
              </w:rPr>
              <w:lastRenderedPageBreak/>
              <w:t>the Directive into Article 34 of the domestic draft law.</w:t>
            </w:r>
          </w:p>
        </w:tc>
      </w:tr>
      <w:tr w:rsidR="00465215" w:rsidRPr="005E6D70" w14:paraId="48F255BF" w14:textId="77777777" w:rsidTr="009170D4">
        <w:trPr>
          <w:trHeight w:val="152"/>
        </w:trPr>
        <w:tc>
          <w:tcPr>
            <w:tcW w:w="810" w:type="dxa"/>
          </w:tcPr>
          <w:p w14:paraId="7204353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31(1)</w:t>
            </w:r>
          </w:p>
        </w:tc>
        <w:tc>
          <w:tcPr>
            <w:tcW w:w="5040" w:type="dxa"/>
            <w:gridSpan w:val="2"/>
          </w:tcPr>
          <w:p w14:paraId="267ABE5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For the purposes of this Article, the following definitions apply:</w:t>
            </w:r>
          </w:p>
        </w:tc>
        <w:tc>
          <w:tcPr>
            <w:tcW w:w="810" w:type="dxa"/>
          </w:tcPr>
          <w:p w14:paraId="4DE532E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6CDD8D5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34(1)</w:t>
            </w:r>
          </w:p>
        </w:tc>
        <w:tc>
          <w:tcPr>
            <w:tcW w:w="4680" w:type="dxa"/>
            <w:gridSpan w:val="2"/>
          </w:tcPr>
          <w:p w14:paraId="0A845E3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For the purposes of this Article, the following definitions apply:</w:t>
            </w:r>
          </w:p>
        </w:tc>
        <w:tc>
          <w:tcPr>
            <w:tcW w:w="1800" w:type="dxa"/>
            <w:gridSpan w:val="2"/>
          </w:tcPr>
          <w:p w14:paraId="131FE19E"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491F1841"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6B480365" w14:textId="77777777" w:rsidTr="009170D4">
        <w:trPr>
          <w:trHeight w:val="152"/>
        </w:trPr>
        <w:tc>
          <w:tcPr>
            <w:tcW w:w="810" w:type="dxa"/>
          </w:tcPr>
          <w:p w14:paraId="13D05BF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31(1a)</w:t>
            </w:r>
          </w:p>
        </w:tc>
        <w:tc>
          <w:tcPr>
            <w:tcW w:w="5040" w:type="dxa"/>
            <w:gridSpan w:val="2"/>
          </w:tcPr>
          <w:p w14:paraId="3B6451C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‘minority-owned constituent entity’ means a constituent entity in which the ultimate parent entity has a direct or indirect ownership interest of 30 % or less;</w:t>
            </w:r>
          </w:p>
        </w:tc>
        <w:tc>
          <w:tcPr>
            <w:tcW w:w="810" w:type="dxa"/>
          </w:tcPr>
          <w:p w14:paraId="12A1B9E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6165836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34(1)(a)</w:t>
            </w:r>
          </w:p>
        </w:tc>
        <w:tc>
          <w:tcPr>
            <w:tcW w:w="4680" w:type="dxa"/>
            <w:gridSpan w:val="2"/>
          </w:tcPr>
          <w:p w14:paraId="0E6EA78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“minority-owned constituent entity” means a constituent entity in which the ultimate parent entity has a direct or indirect ownership interest of 30% or less;</w:t>
            </w:r>
          </w:p>
        </w:tc>
        <w:tc>
          <w:tcPr>
            <w:tcW w:w="1800" w:type="dxa"/>
            <w:gridSpan w:val="2"/>
          </w:tcPr>
          <w:p w14:paraId="461E178C"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0B7A3B7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7703ADE5" w14:textId="77777777" w:rsidTr="009170D4">
        <w:trPr>
          <w:trHeight w:val="152"/>
        </w:trPr>
        <w:tc>
          <w:tcPr>
            <w:tcW w:w="810" w:type="dxa"/>
          </w:tcPr>
          <w:p w14:paraId="44B7184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31(1b)</w:t>
            </w:r>
          </w:p>
        </w:tc>
        <w:tc>
          <w:tcPr>
            <w:tcW w:w="5040" w:type="dxa"/>
            <w:gridSpan w:val="2"/>
          </w:tcPr>
          <w:p w14:paraId="3F2A321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‘minority-owned parent entity’ means a minority-owned constituent entity that holds, directly or indirectly, the controlling interests of another minority-owned constituent entity, except where the controlling interests of the former entity are held, directly or indirectly, by another minority-owned constituent entity;</w:t>
            </w:r>
          </w:p>
        </w:tc>
        <w:tc>
          <w:tcPr>
            <w:tcW w:w="810" w:type="dxa"/>
          </w:tcPr>
          <w:p w14:paraId="50D0198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5A6F6DD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34(1)(b)</w:t>
            </w:r>
          </w:p>
        </w:tc>
        <w:tc>
          <w:tcPr>
            <w:tcW w:w="4680" w:type="dxa"/>
            <w:gridSpan w:val="2"/>
          </w:tcPr>
          <w:p w14:paraId="7FD4996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“minority-owned parent entity” means a minority-owned constituent entity that holds, directly or indirectly, the controlling interests of another minority-owned constituent entity, except where the controlling interests of the former entity are held, directly or indirectly, by another minority-owned constituent entity;</w:t>
            </w:r>
          </w:p>
        </w:tc>
        <w:tc>
          <w:tcPr>
            <w:tcW w:w="1800" w:type="dxa"/>
            <w:gridSpan w:val="2"/>
          </w:tcPr>
          <w:p w14:paraId="1A0D0FC2"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02224026"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147020E1" w14:textId="77777777" w:rsidTr="009170D4">
        <w:trPr>
          <w:trHeight w:val="152"/>
        </w:trPr>
        <w:tc>
          <w:tcPr>
            <w:tcW w:w="810" w:type="dxa"/>
          </w:tcPr>
          <w:p w14:paraId="63331DF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31(1c)</w:t>
            </w:r>
          </w:p>
        </w:tc>
        <w:tc>
          <w:tcPr>
            <w:tcW w:w="5040" w:type="dxa"/>
            <w:gridSpan w:val="2"/>
          </w:tcPr>
          <w:p w14:paraId="3B1122D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‘minority-owned subgroup’ means a minority-owned parent entity and its minority-owned subsidiaries; and</w:t>
            </w:r>
          </w:p>
        </w:tc>
        <w:tc>
          <w:tcPr>
            <w:tcW w:w="810" w:type="dxa"/>
          </w:tcPr>
          <w:p w14:paraId="1B7235A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077FF25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34(1)(c)</w:t>
            </w:r>
          </w:p>
        </w:tc>
        <w:tc>
          <w:tcPr>
            <w:tcW w:w="4680" w:type="dxa"/>
            <w:gridSpan w:val="2"/>
          </w:tcPr>
          <w:p w14:paraId="5281152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“minority-owned subgroup” means a minority-owned parent entity and its minority-owned subsidiaries;</w:t>
            </w:r>
          </w:p>
        </w:tc>
        <w:tc>
          <w:tcPr>
            <w:tcW w:w="1800" w:type="dxa"/>
            <w:gridSpan w:val="2"/>
          </w:tcPr>
          <w:p w14:paraId="3D154452"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73EADEBE"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4A329946" w14:textId="77777777" w:rsidTr="009170D4">
        <w:trPr>
          <w:trHeight w:val="152"/>
        </w:trPr>
        <w:tc>
          <w:tcPr>
            <w:tcW w:w="810" w:type="dxa"/>
          </w:tcPr>
          <w:p w14:paraId="2CAA02F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31(1d)</w:t>
            </w:r>
          </w:p>
        </w:tc>
        <w:tc>
          <w:tcPr>
            <w:tcW w:w="5040" w:type="dxa"/>
            <w:gridSpan w:val="2"/>
          </w:tcPr>
          <w:p w14:paraId="1140DCE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(d) ‘minority-owned subsidiary’ means a minority-owned constituent entity whose controlling interests are held, directly or indirectly, by a minority-owned parent entity.</w:t>
            </w:r>
          </w:p>
        </w:tc>
        <w:tc>
          <w:tcPr>
            <w:tcW w:w="810" w:type="dxa"/>
          </w:tcPr>
          <w:p w14:paraId="0066761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75CCF55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34(1)(d)</w:t>
            </w:r>
          </w:p>
        </w:tc>
        <w:tc>
          <w:tcPr>
            <w:tcW w:w="4680" w:type="dxa"/>
            <w:gridSpan w:val="2"/>
          </w:tcPr>
          <w:p w14:paraId="52EE0D0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“minority-owned subsidiary” means a minority-owned constituent entity whose controlling interests are held, directly or indirectly, by a minority-owned parent entity.</w:t>
            </w:r>
          </w:p>
        </w:tc>
        <w:tc>
          <w:tcPr>
            <w:tcW w:w="1800" w:type="dxa"/>
            <w:gridSpan w:val="2"/>
          </w:tcPr>
          <w:p w14:paraId="117609AE"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785E06AA"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Direct transposition.</w:t>
            </w:r>
          </w:p>
        </w:tc>
      </w:tr>
      <w:tr w:rsidR="00465215" w:rsidRPr="005E6D70" w14:paraId="69C984BB" w14:textId="77777777" w:rsidTr="009170D4">
        <w:trPr>
          <w:trHeight w:val="152"/>
        </w:trPr>
        <w:tc>
          <w:tcPr>
            <w:tcW w:w="810" w:type="dxa"/>
          </w:tcPr>
          <w:p w14:paraId="122EF37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31(2)</w:t>
            </w:r>
          </w:p>
        </w:tc>
        <w:tc>
          <w:tcPr>
            <w:tcW w:w="5040" w:type="dxa"/>
            <w:gridSpan w:val="2"/>
          </w:tcPr>
          <w:p w14:paraId="2E3ED85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The computation of the effective tax rate and the top-up tax for a jurisdiction in accordance with Chapters III to VII with respect to members of a minority-owned subgroup shall apply as if each minority-owned subgroup were a separate MNE group or large-scale domestic group.</w:t>
            </w:r>
          </w:p>
          <w:p w14:paraId="3BFDB58E" w14:textId="77777777" w:rsidR="00465215" w:rsidRPr="005E6D70" w:rsidRDefault="00465215" w:rsidP="009170D4">
            <w:pPr>
              <w:jc w:val="both"/>
              <w:rPr>
                <w:rFonts w:ascii="Times New Roman" w:eastAsia="Calibri" w:hAnsi="Times New Roman" w:cs="Times New Roman"/>
                <w:iCs/>
                <w:sz w:val="18"/>
                <w:szCs w:val="18"/>
                <w:lang w:val="en-US"/>
              </w:rPr>
            </w:pPr>
          </w:p>
          <w:p w14:paraId="0F2AD46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The adjusted covered taxes and qualifying income or loss of members of a minority-owned subgroup shall be excluded from the determination of the residual amount of the effective tax rate of the MNE group or large-scale domestic group computed in accordance with Article 26(1) and from the net qualifying income computed in accordance with Article 26(2).</w:t>
            </w:r>
          </w:p>
        </w:tc>
        <w:tc>
          <w:tcPr>
            <w:tcW w:w="810" w:type="dxa"/>
          </w:tcPr>
          <w:p w14:paraId="7923B97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6A8E73E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34(2)</w:t>
            </w:r>
          </w:p>
          <w:p w14:paraId="760139F5" w14:textId="77777777" w:rsidR="00465215" w:rsidRPr="005E6D70" w:rsidRDefault="00465215" w:rsidP="009170D4">
            <w:pPr>
              <w:jc w:val="center"/>
              <w:rPr>
                <w:rFonts w:ascii="Times New Roman" w:eastAsia="Calibri" w:hAnsi="Times New Roman" w:cs="Times New Roman"/>
                <w:sz w:val="18"/>
                <w:szCs w:val="18"/>
                <w:lang w:val="en-US"/>
              </w:rPr>
            </w:pPr>
          </w:p>
          <w:p w14:paraId="2819726D" w14:textId="77777777" w:rsidR="00465215" w:rsidRPr="005E6D70" w:rsidRDefault="00465215" w:rsidP="009170D4">
            <w:pPr>
              <w:jc w:val="center"/>
              <w:rPr>
                <w:rFonts w:ascii="Times New Roman" w:eastAsia="Calibri" w:hAnsi="Times New Roman" w:cs="Times New Roman"/>
                <w:sz w:val="18"/>
                <w:szCs w:val="18"/>
                <w:lang w:val="en-US"/>
              </w:rPr>
            </w:pPr>
          </w:p>
          <w:p w14:paraId="73479457" w14:textId="77777777" w:rsidR="00465215" w:rsidRPr="005E6D70" w:rsidRDefault="00465215" w:rsidP="009170D4">
            <w:pPr>
              <w:jc w:val="center"/>
              <w:rPr>
                <w:rFonts w:ascii="Times New Roman" w:eastAsia="Calibri" w:hAnsi="Times New Roman" w:cs="Times New Roman"/>
                <w:sz w:val="18"/>
                <w:szCs w:val="18"/>
                <w:lang w:val="en-US"/>
              </w:rPr>
            </w:pPr>
          </w:p>
          <w:p w14:paraId="1C12B828" w14:textId="77777777" w:rsidR="00465215" w:rsidRPr="005E6D70" w:rsidRDefault="00465215" w:rsidP="009170D4">
            <w:pPr>
              <w:jc w:val="center"/>
              <w:rPr>
                <w:rFonts w:ascii="Times New Roman" w:eastAsia="Calibri" w:hAnsi="Times New Roman" w:cs="Times New Roman"/>
                <w:sz w:val="18"/>
                <w:szCs w:val="18"/>
                <w:lang w:val="en-US"/>
              </w:rPr>
            </w:pPr>
          </w:p>
          <w:p w14:paraId="152F9566" w14:textId="77777777" w:rsidR="00465215" w:rsidRPr="005E6D70" w:rsidRDefault="00465215" w:rsidP="009170D4">
            <w:pPr>
              <w:jc w:val="center"/>
              <w:rPr>
                <w:rFonts w:ascii="Times New Roman" w:eastAsia="Calibri" w:hAnsi="Times New Roman" w:cs="Times New Roman"/>
                <w:sz w:val="18"/>
                <w:szCs w:val="18"/>
                <w:lang w:val="en-US"/>
              </w:rPr>
            </w:pPr>
          </w:p>
          <w:p w14:paraId="5D832CB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34(3)</w:t>
            </w:r>
          </w:p>
        </w:tc>
        <w:tc>
          <w:tcPr>
            <w:tcW w:w="4680" w:type="dxa"/>
            <w:gridSpan w:val="2"/>
          </w:tcPr>
          <w:p w14:paraId="0C5841D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The computation of the effective tax rate and the top-up tax for a jurisdiction in accordance with Chapters III to VII, of this Law, with respect to members of a minority-owned subgroup shall apply as if each minority-owned subgroup were a separate multinational enterprise group or large-scale domestic group.</w:t>
            </w:r>
          </w:p>
          <w:p w14:paraId="30E21C76" w14:textId="77777777" w:rsidR="00465215" w:rsidRPr="005E6D70" w:rsidRDefault="00465215" w:rsidP="009170D4">
            <w:pPr>
              <w:jc w:val="both"/>
              <w:rPr>
                <w:rFonts w:ascii="Times New Roman" w:eastAsia="Calibri" w:hAnsi="Times New Roman" w:cs="Times New Roman"/>
                <w:iCs/>
                <w:sz w:val="18"/>
                <w:szCs w:val="18"/>
                <w:lang w:val="en-US"/>
              </w:rPr>
            </w:pPr>
          </w:p>
          <w:p w14:paraId="6D6AA86A" w14:textId="77777777" w:rsidR="00465215" w:rsidRPr="005E6D70" w:rsidRDefault="00465215" w:rsidP="009170D4">
            <w:pPr>
              <w:jc w:val="both"/>
              <w:rPr>
                <w:rFonts w:ascii="Times New Roman" w:eastAsia="Calibri" w:hAnsi="Times New Roman" w:cs="Times New Roman"/>
                <w:iCs/>
                <w:sz w:val="18"/>
                <w:szCs w:val="18"/>
                <w:lang w:val="en-US"/>
              </w:rPr>
            </w:pPr>
          </w:p>
          <w:p w14:paraId="2FCBEAA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The adjusted covered taxes and qualifying income or loss of members of a minority-owned subgroup shall be excluded from the determination of the residual amount of the effective tax rate of the multinational enterprise group or large-scale domestic group computed in accordance with paragraph 1, of Article 26, of this Law, and from the net qualifying income computed in accordance with paragraph 2, of Article 26, of this Law.</w:t>
            </w:r>
          </w:p>
        </w:tc>
        <w:tc>
          <w:tcPr>
            <w:tcW w:w="1800" w:type="dxa"/>
            <w:gridSpan w:val="2"/>
          </w:tcPr>
          <w:p w14:paraId="3CF53A12"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tcPr>
          <w:p w14:paraId="26C189A0"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Structural division of the unnumbered subparagraph into a separate numbered paragraph for national legislative compliance. Internal cross-references adapted.</w:t>
            </w:r>
          </w:p>
        </w:tc>
      </w:tr>
      <w:tr w:rsidR="00465215" w:rsidRPr="005E6D70" w14:paraId="3DDDD07C" w14:textId="77777777" w:rsidTr="009170D4">
        <w:trPr>
          <w:trHeight w:val="152"/>
        </w:trPr>
        <w:tc>
          <w:tcPr>
            <w:tcW w:w="810" w:type="dxa"/>
          </w:tcPr>
          <w:p w14:paraId="72F5F05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31(3)</w:t>
            </w:r>
          </w:p>
        </w:tc>
        <w:tc>
          <w:tcPr>
            <w:tcW w:w="5040" w:type="dxa"/>
            <w:gridSpan w:val="2"/>
          </w:tcPr>
          <w:p w14:paraId="6011535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3. The effective tax rate and top-up tax of a minority-owned constituent entity that is not a member of a minority-owned subgroup shall be computed on an entity basis in accordance with Chapters III to VII.</w:t>
            </w:r>
          </w:p>
          <w:p w14:paraId="13B699C1" w14:textId="77777777" w:rsidR="00465215" w:rsidRPr="005E6D70" w:rsidRDefault="00465215" w:rsidP="009170D4">
            <w:pPr>
              <w:jc w:val="both"/>
              <w:rPr>
                <w:rFonts w:ascii="Times New Roman" w:eastAsia="Calibri" w:hAnsi="Times New Roman" w:cs="Times New Roman"/>
                <w:iCs/>
                <w:sz w:val="18"/>
                <w:szCs w:val="18"/>
                <w:lang w:val="en-US"/>
              </w:rPr>
            </w:pPr>
          </w:p>
          <w:p w14:paraId="5F354B9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The adjusted covered taxes and qualifying income or loss of the minority-owned constituent entity shall be excluded from the determination of the residual amount of the effective tax rate of the MNE group or large-scale domestic group computed in accordance with Article 26(1) and from the net qualifying income computed in</w:t>
            </w:r>
          </w:p>
          <w:p w14:paraId="1AA1CED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accordance with Article 26(2).</w:t>
            </w:r>
          </w:p>
          <w:p w14:paraId="4C884EDE" w14:textId="77777777" w:rsidR="00465215" w:rsidRPr="005E6D70" w:rsidRDefault="00465215" w:rsidP="009170D4">
            <w:pPr>
              <w:jc w:val="both"/>
              <w:rPr>
                <w:rFonts w:ascii="Times New Roman" w:eastAsia="Calibri" w:hAnsi="Times New Roman" w:cs="Times New Roman"/>
                <w:iCs/>
                <w:sz w:val="18"/>
                <w:szCs w:val="18"/>
                <w:lang w:val="en-US"/>
              </w:rPr>
            </w:pPr>
          </w:p>
          <w:p w14:paraId="244668CD" w14:textId="77777777" w:rsidR="00465215" w:rsidRPr="005E6D70" w:rsidRDefault="00465215" w:rsidP="009170D4">
            <w:pPr>
              <w:jc w:val="both"/>
              <w:rPr>
                <w:rFonts w:ascii="Times New Roman" w:eastAsia="Calibri" w:hAnsi="Times New Roman" w:cs="Times New Roman"/>
                <w:iCs/>
                <w:sz w:val="18"/>
                <w:szCs w:val="18"/>
                <w:lang w:val="en-US"/>
              </w:rPr>
            </w:pPr>
          </w:p>
          <w:p w14:paraId="3C2F4542" w14:textId="77777777" w:rsidR="00465215" w:rsidRPr="005E6D70" w:rsidRDefault="00465215" w:rsidP="009170D4">
            <w:pPr>
              <w:jc w:val="both"/>
              <w:rPr>
                <w:rFonts w:ascii="Times New Roman" w:eastAsia="Calibri" w:hAnsi="Times New Roman" w:cs="Times New Roman"/>
                <w:iCs/>
                <w:sz w:val="18"/>
                <w:szCs w:val="18"/>
                <w:lang w:val="en-US"/>
              </w:rPr>
            </w:pPr>
          </w:p>
          <w:p w14:paraId="7C80C512" w14:textId="77777777" w:rsidR="00465215" w:rsidRPr="005E6D70" w:rsidRDefault="00465215" w:rsidP="009170D4">
            <w:pPr>
              <w:jc w:val="both"/>
              <w:rPr>
                <w:rFonts w:ascii="Times New Roman" w:eastAsia="Calibri" w:hAnsi="Times New Roman" w:cs="Times New Roman"/>
                <w:iCs/>
                <w:sz w:val="18"/>
                <w:szCs w:val="18"/>
                <w:lang w:val="en-US"/>
              </w:rPr>
            </w:pPr>
          </w:p>
          <w:p w14:paraId="73154A6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This paragraph shall not apply to a minority-owned constituent entity that is an investment entity.</w:t>
            </w:r>
          </w:p>
        </w:tc>
        <w:tc>
          <w:tcPr>
            <w:tcW w:w="810" w:type="dxa"/>
          </w:tcPr>
          <w:p w14:paraId="12D4763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990" w:type="dxa"/>
            <w:gridSpan w:val="2"/>
          </w:tcPr>
          <w:p w14:paraId="7BC6D36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34(4)</w:t>
            </w:r>
          </w:p>
          <w:p w14:paraId="15A8C03B" w14:textId="77777777" w:rsidR="00465215" w:rsidRPr="005E6D70" w:rsidRDefault="00465215" w:rsidP="009170D4">
            <w:pPr>
              <w:jc w:val="center"/>
              <w:rPr>
                <w:rFonts w:ascii="Times New Roman" w:eastAsia="Calibri" w:hAnsi="Times New Roman" w:cs="Times New Roman"/>
                <w:sz w:val="18"/>
                <w:szCs w:val="18"/>
                <w:lang w:val="en-US"/>
              </w:rPr>
            </w:pPr>
          </w:p>
          <w:p w14:paraId="05E358B3" w14:textId="77777777" w:rsidR="00465215" w:rsidRPr="005E6D70" w:rsidRDefault="00465215" w:rsidP="009170D4">
            <w:pPr>
              <w:jc w:val="center"/>
              <w:rPr>
                <w:rFonts w:ascii="Times New Roman" w:eastAsia="Calibri" w:hAnsi="Times New Roman" w:cs="Times New Roman"/>
                <w:sz w:val="18"/>
                <w:szCs w:val="18"/>
                <w:lang w:val="en-US"/>
              </w:rPr>
            </w:pPr>
          </w:p>
          <w:p w14:paraId="7DCE8684" w14:textId="77777777" w:rsidR="00465215" w:rsidRPr="005E6D70" w:rsidRDefault="00465215" w:rsidP="009170D4">
            <w:pPr>
              <w:jc w:val="center"/>
              <w:rPr>
                <w:rFonts w:ascii="Times New Roman" w:eastAsia="Calibri" w:hAnsi="Times New Roman" w:cs="Times New Roman"/>
                <w:sz w:val="18"/>
                <w:szCs w:val="18"/>
                <w:lang w:val="en-US"/>
              </w:rPr>
            </w:pPr>
          </w:p>
          <w:p w14:paraId="770B7EB2" w14:textId="77777777" w:rsidR="00465215" w:rsidRPr="005E6D70" w:rsidRDefault="00465215" w:rsidP="009170D4">
            <w:pPr>
              <w:jc w:val="center"/>
              <w:rPr>
                <w:rFonts w:ascii="Times New Roman" w:eastAsia="Calibri" w:hAnsi="Times New Roman" w:cs="Times New Roman"/>
                <w:sz w:val="18"/>
                <w:szCs w:val="18"/>
                <w:lang w:val="en-US"/>
              </w:rPr>
            </w:pPr>
          </w:p>
          <w:p w14:paraId="0F085F8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34(5)</w:t>
            </w:r>
          </w:p>
          <w:p w14:paraId="4F45E1C3" w14:textId="77777777" w:rsidR="00465215" w:rsidRPr="005E6D70" w:rsidRDefault="00465215" w:rsidP="009170D4">
            <w:pPr>
              <w:jc w:val="center"/>
              <w:rPr>
                <w:rFonts w:ascii="Times New Roman" w:eastAsia="Calibri" w:hAnsi="Times New Roman" w:cs="Times New Roman"/>
                <w:sz w:val="18"/>
                <w:szCs w:val="18"/>
                <w:lang w:val="en-US"/>
              </w:rPr>
            </w:pPr>
          </w:p>
          <w:p w14:paraId="46F2CB42" w14:textId="77777777" w:rsidR="00465215" w:rsidRPr="005E6D70" w:rsidRDefault="00465215" w:rsidP="009170D4">
            <w:pPr>
              <w:jc w:val="center"/>
              <w:rPr>
                <w:rFonts w:ascii="Times New Roman" w:eastAsia="Calibri" w:hAnsi="Times New Roman" w:cs="Times New Roman"/>
                <w:sz w:val="18"/>
                <w:szCs w:val="18"/>
                <w:lang w:val="en-US"/>
              </w:rPr>
            </w:pPr>
          </w:p>
          <w:p w14:paraId="6B6C7F83" w14:textId="77777777" w:rsidR="00465215" w:rsidRPr="005E6D70" w:rsidRDefault="00465215" w:rsidP="009170D4">
            <w:pPr>
              <w:jc w:val="center"/>
              <w:rPr>
                <w:rFonts w:ascii="Times New Roman" w:eastAsia="Calibri" w:hAnsi="Times New Roman" w:cs="Times New Roman"/>
                <w:sz w:val="18"/>
                <w:szCs w:val="18"/>
                <w:lang w:val="en-US"/>
              </w:rPr>
            </w:pPr>
          </w:p>
          <w:p w14:paraId="3C64AAF1" w14:textId="77777777" w:rsidR="00465215" w:rsidRPr="005E6D70" w:rsidRDefault="00465215" w:rsidP="009170D4">
            <w:pPr>
              <w:jc w:val="center"/>
              <w:rPr>
                <w:rFonts w:ascii="Times New Roman" w:eastAsia="Calibri" w:hAnsi="Times New Roman" w:cs="Times New Roman"/>
                <w:sz w:val="18"/>
                <w:szCs w:val="18"/>
                <w:lang w:val="en-US"/>
              </w:rPr>
            </w:pPr>
          </w:p>
          <w:p w14:paraId="7CFEBE2F" w14:textId="77777777" w:rsidR="00465215" w:rsidRPr="005E6D70" w:rsidRDefault="00465215" w:rsidP="009170D4">
            <w:pPr>
              <w:jc w:val="center"/>
              <w:rPr>
                <w:rFonts w:ascii="Times New Roman" w:eastAsia="Calibri" w:hAnsi="Times New Roman" w:cs="Times New Roman"/>
                <w:sz w:val="18"/>
                <w:szCs w:val="18"/>
                <w:lang w:val="en-US"/>
              </w:rPr>
            </w:pPr>
          </w:p>
          <w:p w14:paraId="53D2FAB9" w14:textId="77777777" w:rsidR="00465215" w:rsidRPr="005E6D70" w:rsidRDefault="00465215" w:rsidP="009170D4">
            <w:pPr>
              <w:jc w:val="center"/>
              <w:rPr>
                <w:rFonts w:ascii="Times New Roman" w:eastAsia="Calibri" w:hAnsi="Times New Roman" w:cs="Times New Roman"/>
                <w:sz w:val="18"/>
                <w:szCs w:val="18"/>
                <w:lang w:val="en-US"/>
              </w:rPr>
            </w:pPr>
          </w:p>
          <w:p w14:paraId="5FE9698A" w14:textId="77777777" w:rsidR="00465215" w:rsidRPr="005E6D70" w:rsidRDefault="00465215" w:rsidP="009170D4">
            <w:pPr>
              <w:jc w:val="center"/>
              <w:rPr>
                <w:rFonts w:ascii="Times New Roman" w:eastAsia="Calibri" w:hAnsi="Times New Roman" w:cs="Times New Roman"/>
                <w:sz w:val="18"/>
                <w:szCs w:val="18"/>
                <w:lang w:val="en-US"/>
              </w:rPr>
            </w:pPr>
          </w:p>
          <w:p w14:paraId="1882C746" w14:textId="77777777" w:rsidR="00465215" w:rsidRPr="005E6D70" w:rsidRDefault="00465215" w:rsidP="009170D4">
            <w:pPr>
              <w:jc w:val="center"/>
              <w:rPr>
                <w:rFonts w:ascii="Times New Roman" w:eastAsia="Calibri" w:hAnsi="Times New Roman" w:cs="Times New Roman"/>
                <w:sz w:val="18"/>
                <w:szCs w:val="18"/>
                <w:lang w:val="en-US"/>
              </w:rPr>
            </w:pPr>
          </w:p>
          <w:p w14:paraId="6C2390BC" w14:textId="77777777" w:rsidR="00465215" w:rsidRPr="005E6D70" w:rsidRDefault="00465215" w:rsidP="009170D4">
            <w:pPr>
              <w:jc w:val="center"/>
              <w:rPr>
                <w:rFonts w:ascii="Times New Roman" w:eastAsia="Calibri" w:hAnsi="Times New Roman" w:cs="Times New Roman"/>
                <w:sz w:val="18"/>
                <w:szCs w:val="18"/>
                <w:lang w:val="en-US"/>
              </w:rPr>
            </w:pPr>
          </w:p>
          <w:p w14:paraId="2B74610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34(6)</w:t>
            </w:r>
          </w:p>
        </w:tc>
        <w:tc>
          <w:tcPr>
            <w:tcW w:w="4680" w:type="dxa"/>
            <w:gridSpan w:val="2"/>
          </w:tcPr>
          <w:p w14:paraId="2ABA1BA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4. The effective tax rate and top-up tax of a minority-owned constituent entity that is not a member of a minority-owned subgroup shall be computed on an entity basis in accordance with Chapters III to VII, of this Law.</w:t>
            </w:r>
          </w:p>
          <w:p w14:paraId="40C2FF80" w14:textId="77777777" w:rsidR="00465215" w:rsidRPr="005E6D70" w:rsidRDefault="00465215" w:rsidP="009170D4">
            <w:pPr>
              <w:jc w:val="both"/>
              <w:rPr>
                <w:rFonts w:ascii="Times New Roman" w:eastAsia="Calibri" w:hAnsi="Times New Roman" w:cs="Times New Roman"/>
                <w:iCs/>
                <w:sz w:val="18"/>
                <w:szCs w:val="18"/>
                <w:lang w:val="en-US"/>
              </w:rPr>
            </w:pPr>
          </w:p>
          <w:p w14:paraId="13D0AFB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5. The adjusted covered taxes and qualifying income or loss of the minority-owned constituent entity referred to in paragraph 4, of this Article, shall be excluded from the determination of the residual amount of the effective tax rate of the multinational enterprise group or large-scale domestic group computed in accordance with paragraph 1, of Article 26, of this Law, and from the net qualifying income computed in accordance with paragraph 2, of Article 26, of this Law.</w:t>
            </w:r>
          </w:p>
          <w:p w14:paraId="47F0B2C7" w14:textId="77777777" w:rsidR="00465215" w:rsidRPr="005E6D70" w:rsidRDefault="00465215" w:rsidP="009170D4">
            <w:pPr>
              <w:jc w:val="both"/>
              <w:rPr>
                <w:rFonts w:ascii="Times New Roman" w:eastAsia="Calibri" w:hAnsi="Times New Roman" w:cs="Times New Roman"/>
                <w:iCs/>
                <w:sz w:val="18"/>
                <w:szCs w:val="18"/>
                <w:lang w:val="en-US"/>
              </w:rPr>
            </w:pPr>
          </w:p>
          <w:p w14:paraId="78074CD6" w14:textId="77777777" w:rsidR="00465215" w:rsidRPr="005E6D70" w:rsidRDefault="00465215" w:rsidP="009170D4">
            <w:pPr>
              <w:jc w:val="both"/>
              <w:rPr>
                <w:rFonts w:ascii="Times New Roman" w:eastAsia="Calibri" w:hAnsi="Times New Roman" w:cs="Times New Roman"/>
                <w:iCs/>
                <w:sz w:val="18"/>
                <w:szCs w:val="18"/>
                <w:lang w:val="en-US"/>
              </w:rPr>
            </w:pPr>
          </w:p>
          <w:p w14:paraId="4B1BB80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 A minority-owned constituent entity that is an investment entity shall be excluded from the provisions of this Article.</w:t>
            </w:r>
          </w:p>
        </w:tc>
        <w:tc>
          <w:tcPr>
            <w:tcW w:w="1800" w:type="dxa"/>
            <w:gridSpan w:val="2"/>
          </w:tcPr>
          <w:p w14:paraId="0170FD48"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66B160DC"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Structural division of the unnumbered subparagraphs </w:t>
            </w:r>
            <w:r w:rsidRPr="005E6D70">
              <w:rPr>
                <w:rFonts w:ascii="Times New Roman" w:eastAsia="Calibri" w:hAnsi="Times New Roman" w:cs="Times New Roman"/>
                <w:iCs/>
                <w:sz w:val="18"/>
                <w:szCs w:val="18"/>
                <w:lang w:val="en-US"/>
              </w:rPr>
              <w:lastRenderedPageBreak/>
              <w:t>into separate numbered paragraphs. Internal cross-references adapted.</w:t>
            </w:r>
          </w:p>
        </w:tc>
      </w:tr>
      <w:tr w:rsidR="00465215" w:rsidRPr="005E6D70" w14:paraId="0B491647" w14:textId="77777777" w:rsidTr="009170D4">
        <w:trPr>
          <w:trHeight w:val="152"/>
        </w:trPr>
        <w:tc>
          <w:tcPr>
            <w:tcW w:w="810" w:type="dxa"/>
            <w:shd w:val="clear" w:color="auto" w:fill="D9D9D9" w:themeFill="background1" w:themeFillShade="D9"/>
          </w:tcPr>
          <w:p w14:paraId="2D379732"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48B02CA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32. Safe harbours</w:t>
            </w:r>
          </w:p>
        </w:tc>
        <w:tc>
          <w:tcPr>
            <w:tcW w:w="810" w:type="dxa"/>
            <w:shd w:val="clear" w:color="auto" w:fill="D9D9D9" w:themeFill="background1" w:themeFillShade="D9"/>
          </w:tcPr>
          <w:p w14:paraId="29AD410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shd w:val="clear" w:color="auto" w:fill="D9D9D9" w:themeFill="background1" w:themeFillShade="D9"/>
          </w:tcPr>
          <w:p w14:paraId="76A4A53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35</w:t>
            </w:r>
          </w:p>
        </w:tc>
        <w:tc>
          <w:tcPr>
            <w:tcW w:w="4680" w:type="dxa"/>
            <w:gridSpan w:val="2"/>
            <w:shd w:val="clear" w:color="auto" w:fill="D9D9D9" w:themeFill="background1" w:themeFillShade="D9"/>
          </w:tcPr>
          <w:p w14:paraId="25645DD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Article 35. Safe Harbours</w:t>
            </w:r>
          </w:p>
        </w:tc>
        <w:tc>
          <w:tcPr>
            <w:tcW w:w="1800" w:type="dxa"/>
            <w:gridSpan w:val="2"/>
            <w:shd w:val="clear" w:color="auto" w:fill="D9D9D9" w:themeFill="background1" w:themeFillShade="D9"/>
          </w:tcPr>
          <w:p w14:paraId="1670058D"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w:t>
            </w:r>
          </w:p>
        </w:tc>
        <w:tc>
          <w:tcPr>
            <w:tcW w:w="1350" w:type="dxa"/>
            <w:shd w:val="clear" w:color="auto" w:fill="D9D9D9" w:themeFill="background1" w:themeFillShade="D9"/>
          </w:tcPr>
          <w:p w14:paraId="6291B7E7"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Transposition of EU Directive Article 32 into Article 35 of the domestic draft law.</w:t>
            </w:r>
          </w:p>
        </w:tc>
      </w:tr>
      <w:tr w:rsidR="00465215" w:rsidRPr="005E6D70" w14:paraId="277E7D08" w14:textId="77777777" w:rsidTr="009170D4">
        <w:trPr>
          <w:trHeight w:val="152"/>
        </w:trPr>
        <w:tc>
          <w:tcPr>
            <w:tcW w:w="810" w:type="dxa"/>
          </w:tcPr>
          <w:p w14:paraId="0DE850DA"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tcPr>
          <w:p w14:paraId="2472715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By way of derogation from Articles 26 to 31, Member States shall ensure that, at the election of the filing constituent entity, the top-up tax due by a group in a jurisdiction shall be deemed to be zero for a fiscal year if the effective level of taxation of the constituent entities located in that jurisdiction fulfils the conditions of a qualifying international agreement on safe harbours.</w:t>
            </w:r>
          </w:p>
          <w:p w14:paraId="55740980" w14:textId="77777777" w:rsidR="00465215" w:rsidRPr="005E6D70" w:rsidRDefault="00465215" w:rsidP="009170D4">
            <w:pPr>
              <w:jc w:val="both"/>
              <w:rPr>
                <w:rFonts w:ascii="Times New Roman" w:eastAsia="Calibri" w:hAnsi="Times New Roman" w:cs="Times New Roman"/>
                <w:iCs/>
                <w:sz w:val="18"/>
                <w:szCs w:val="18"/>
                <w:lang w:val="en-US"/>
              </w:rPr>
            </w:pPr>
          </w:p>
          <w:p w14:paraId="5F9D51FC" w14:textId="77777777" w:rsidR="00465215" w:rsidRPr="005E6D70" w:rsidRDefault="00465215" w:rsidP="009170D4">
            <w:pPr>
              <w:jc w:val="both"/>
              <w:rPr>
                <w:rFonts w:ascii="Times New Roman" w:eastAsia="Calibri" w:hAnsi="Times New Roman" w:cs="Times New Roman"/>
                <w:iCs/>
                <w:sz w:val="18"/>
                <w:szCs w:val="18"/>
                <w:lang w:val="en-US"/>
              </w:rPr>
            </w:pPr>
          </w:p>
          <w:p w14:paraId="315F0C43" w14:textId="77777777" w:rsidR="00465215" w:rsidRPr="005E6D70" w:rsidRDefault="00465215" w:rsidP="009170D4">
            <w:pPr>
              <w:jc w:val="both"/>
              <w:rPr>
                <w:rFonts w:ascii="Times New Roman" w:eastAsia="Calibri" w:hAnsi="Times New Roman" w:cs="Times New Roman"/>
                <w:iCs/>
                <w:sz w:val="18"/>
                <w:szCs w:val="18"/>
                <w:lang w:val="en-US"/>
              </w:rPr>
            </w:pPr>
          </w:p>
          <w:p w14:paraId="26662668" w14:textId="77777777" w:rsidR="00465215" w:rsidRPr="005E6D70" w:rsidRDefault="00465215" w:rsidP="009170D4">
            <w:pPr>
              <w:jc w:val="both"/>
              <w:rPr>
                <w:rFonts w:ascii="Times New Roman" w:eastAsia="Calibri" w:hAnsi="Times New Roman" w:cs="Times New Roman"/>
                <w:iCs/>
                <w:sz w:val="18"/>
                <w:szCs w:val="18"/>
                <w:lang w:val="en-US"/>
              </w:rPr>
            </w:pPr>
          </w:p>
          <w:p w14:paraId="37DC22DF" w14:textId="77777777" w:rsidR="00465215" w:rsidRPr="005E6D70" w:rsidRDefault="00465215" w:rsidP="009170D4">
            <w:pPr>
              <w:jc w:val="both"/>
              <w:rPr>
                <w:rFonts w:ascii="Times New Roman" w:eastAsia="Calibri" w:hAnsi="Times New Roman" w:cs="Times New Roman"/>
                <w:iCs/>
                <w:sz w:val="18"/>
                <w:szCs w:val="18"/>
                <w:lang w:val="en-US"/>
              </w:rPr>
            </w:pPr>
          </w:p>
          <w:p w14:paraId="13329C9B" w14:textId="77777777" w:rsidR="00465215" w:rsidRPr="005E6D70" w:rsidRDefault="00465215" w:rsidP="009170D4">
            <w:pPr>
              <w:jc w:val="both"/>
              <w:rPr>
                <w:rFonts w:ascii="Times New Roman" w:eastAsia="Calibri" w:hAnsi="Times New Roman" w:cs="Times New Roman"/>
                <w:iCs/>
                <w:sz w:val="18"/>
                <w:szCs w:val="18"/>
                <w:lang w:val="en-US"/>
              </w:rPr>
            </w:pPr>
          </w:p>
          <w:p w14:paraId="17AEA6C0" w14:textId="77777777" w:rsidR="00465215" w:rsidRPr="005E6D70" w:rsidRDefault="00465215" w:rsidP="009170D4">
            <w:pPr>
              <w:jc w:val="both"/>
              <w:rPr>
                <w:rFonts w:ascii="Times New Roman" w:eastAsia="Calibri" w:hAnsi="Times New Roman" w:cs="Times New Roman"/>
                <w:iCs/>
                <w:sz w:val="18"/>
                <w:szCs w:val="18"/>
                <w:lang w:val="en-US"/>
              </w:rPr>
            </w:pPr>
          </w:p>
          <w:p w14:paraId="223FCF52" w14:textId="77777777" w:rsidR="00465215" w:rsidRPr="005E6D70" w:rsidRDefault="00465215" w:rsidP="009170D4">
            <w:pPr>
              <w:jc w:val="both"/>
              <w:rPr>
                <w:rFonts w:ascii="Times New Roman" w:eastAsia="Calibri" w:hAnsi="Times New Roman" w:cs="Times New Roman"/>
                <w:iCs/>
                <w:sz w:val="18"/>
                <w:szCs w:val="18"/>
                <w:lang w:val="en-US"/>
              </w:rPr>
            </w:pPr>
          </w:p>
          <w:p w14:paraId="05013FC7" w14:textId="77777777" w:rsidR="00465215" w:rsidRPr="005E6D70" w:rsidRDefault="00465215" w:rsidP="009170D4">
            <w:pPr>
              <w:jc w:val="both"/>
              <w:rPr>
                <w:rFonts w:ascii="Times New Roman" w:eastAsia="Calibri" w:hAnsi="Times New Roman" w:cs="Times New Roman"/>
                <w:iCs/>
                <w:sz w:val="18"/>
                <w:szCs w:val="18"/>
                <w:lang w:val="en-US"/>
              </w:rPr>
            </w:pPr>
          </w:p>
          <w:p w14:paraId="1BF8779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For the purposes of the first paragraph, ‘qualifying international agreement on safe harbours’ means an international set of rules and conditions which all Member States have consented to and which grants groups in the scope of this Directive the possibility of electing, to benefit from one or more safe harbours for a jurisdiction.</w:t>
            </w:r>
          </w:p>
        </w:tc>
        <w:tc>
          <w:tcPr>
            <w:tcW w:w="810" w:type="dxa"/>
          </w:tcPr>
          <w:p w14:paraId="261145A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990" w:type="dxa"/>
            <w:gridSpan w:val="2"/>
          </w:tcPr>
          <w:p w14:paraId="7FA926E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35(1)</w:t>
            </w:r>
          </w:p>
          <w:p w14:paraId="17463799" w14:textId="77777777" w:rsidR="00465215" w:rsidRPr="005E6D70" w:rsidRDefault="00465215" w:rsidP="009170D4">
            <w:pPr>
              <w:jc w:val="center"/>
              <w:rPr>
                <w:rFonts w:ascii="Times New Roman" w:eastAsia="Calibri" w:hAnsi="Times New Roman" w:cs="Times New Roman"/>
                <w:sz w:val="18"/>
                <w:szCs w:val="18"/>
                <w:lang w:val="en-US"/>
              </w:rPr>
            </w:pPr>
          </w:p>
          <w:p w14:paraId="7BCFADBD" w14:textId="77777777" w:rsidR="00465215" w:rsidRPr="005E6D70" w:rsidRDefault="00465215" w:rsidP="009170D4">
            <w:pPr>
              <w:jc w:val="center"/>
              <w:rPr>
                <w:rFonts w:ascii="Times New Roman" w:eastAsia="Calibri" w:hAnsi="Times New Roman" w:cs="Times New Roman"/>
                <w:sz w:val="18"/>
                <w:szCs w:val="18"/>
                <w:lang w:val="en-US"/>
              </w:rPr>
            </w:pPr>
          </w:p>
          <w:p w14:paraId="69491E99" w14:textId="77777777" w:rsidR="00465215" w:rsidRPr="005E6D70" w:rsidRDefault="00465215" w:rsidP="009170D4">
            <w:pPr>
              <w:jc w:val="center"/>
              <w:rPr>
                <w:rFonts w:ascii="Times New Roman" w:eastAsia="Calibri" w:hAnsi="Times New Roman" w:cs="Times New Roman"/>
                <w:sz w:val="18"/>
                <w:szCs w:val="18"/>
                <w:lang w:val="en-US"/>
              </w:rPr>
            </w:pPr>
          </w:p>
          <w:p w14:paraId="3527C600" w14:textId="77777777" w:rsidR="00465215" w:rsidRPr="005E6D70" w:rsidRDefault="00465215" w:rsidP="009170D4">
            <w:pPr>
              <w:jc w:val="center"/>
              <w:rPr>
                <w:rFonts w:ascii="Times New Roman" w:eastAsia="Calibri" w:hAnsi="Times New Roman" w:cs="Times New Roman"/>
                <w:sz w:val="18"/>
                <w:szCs w:val="18"/>
                <w:lang w:val="en-US"/>
              </w:rPr>
            </w:pPr>
          </w:p>
          <w:p w14:paraId="51E3AF7D" w14:textId="77777777" w:rsidR="00465215" w:rsidRPr="005E6D70" w:rsidRDefault="00465215" w:rsidP="009170D4">
            <w:pPr>
              <w:jc w:val="center"/>
              <w:rPr>
                <w:rFonts w:ascii="Times New Roman" w:eastAsia="Calibri" w:hAnsi="Times New Roman" w:cs="Times New Roman"/>
                <w:sz w:val="18"/>
                <w:szCs w:val="18"/>
                <w:lang w:val="en-US"/>
              </w:rPr>
            </w:pPr>
          </w:p>
          <w:p w14:paraId="26D01ECF" w14:textId="77777777" w:rsidR="00465215" w:rsidRPr="005E6D70" w:rsidRDefault="00465215" w:rsidP="009170D4">
            <w:pPr>
              <w:jc w:val="center"/>
              <w:rPr>
                <w:rFonts w:ascii="Times New Roman" w:eastAsia="Calibri" w:hAnsi="Times New Roman" w:cs="Times New Roman"/>
                <w:sz w:val="18"/>
                <w:szCs w:val="18"/>
                <w:lang w:val="en-US"/>
              </w:rPr>
            </w:pPr>
          </w:p>
          <w:p w14:paraId="193AC138" w14:textId="77777777" w:rsidR="00465215" w:rsidRPr="005E6D70" w:rsidRDefault="00465215" w:rsidP="009170D4">
            <w:pPr>
              <w:jc w:val="center"/>
              <w:rPr>
                <w:rFonts w:ascii="Times New Roman" w:eastAsia="Calibri" w:hAnsi="Times New Roman" w:cs="Times New Roman"/>
                <w:sz w:val="18"/>
                <w:szCs w:val="18"/>
                <w:lang w:val="en-US"/>
              </w:rPr>
            </w:pPr>
          </w:p>
          <w:p w14:paraId="7E1348E6" w14:textId="77777777" w:rsidR="00465215" w:rsidRPr="005E6D70" w:rsidRDefault="00465215" w:rsidP="009170D4">
            <w:pPr>
              <w:jc w:val="center"/>
              <w:rPr>
                <w:rFonts w:ascii="Times New Roman" w:eastAsia="Calibri" w:hAnsi="Times New Roman" w:cs="Times New Roman"/>
                <w:sz w:val="18"/>
                <w:szCs w:val="18"/>
                <w:lang w:val="en-US"/>
              </w:rPr>
            </w:pPr>
          </w:p>
          <w:p w14:paraId="44E08B4D" w14:textId="77777777" w:rsidR="00465215" w:rsidRPr="005E6D70" w:rsidRDefault="00465215" w:rsidP="009170D4">
            <w:pPr>
              <w:jc w:val="center"/>
              <w:rPr>
                <w:rFonts w:ascii="Times New Roman" w:eastAsia="Calibri" w:hAnsi="Times New Roman" w:cs="Times New Roman"/>
                <w:sz w:val="18"/>
                <w:szCs w:val="18"/>
                <w:lang w:val="en-US"/>
              </w:rPr>
            </w:pPr>
          </w:p>
          <w:p w14:paraId="754CEA9A" w14:textId="77777777" w:rsidR="00465215" w:rsidRPr="005E6D70" w:rsidRDefault="00465215" w:rsidP="009170D4">
            <w:pPr>
              <w:jc w:val="center"/>
              <w:rPr>
                <w:rFonts w:ascii="Times New Roman" w:eastAsia="Calibri" w:hAnsi="Times New Roman" w:cs="Times New Roman"/>
                <w:sz w:val="18"/>
                <w:szCs w:val="18"/>
                <w:lang w:val="en-US"/>
              </w:rPr>
            </w:pPr>
          </w:p>
          <w:p w14:paraId="22D109C9" w14:textId="77777777" w:rsidR="00465215" w:rsidRPr="005E6D70" w:rsidRDefault="00465215" w:rsidP="009170D4">
            <w:pPr>
              <w:jc w:val="center"/>
              <w:rPr>
                <w:rFonts w:ascii="Times New Roman" w:eastAsia="Calibri" w:hAnsi="Times New Roman" w:cs="Times New Roman"/>
                <w:sz w:val="18"/>
                <w:szCs w:val="18"/>
                <w:lang w:val="en-US"/>
              </w:rPr>
            </w:pPr>
          </w:p>
          <w:p w14:paraId="487136F7" w14:textId="77777777" w:rsidR="00465215" w:rsidRPr="005E6D70" w:rsidRDefault="00465215" w:rsidP="009170D4">
            <w:pPr>
              <w:jc w:val="center"/>
              <w:rPr>
                <w:rFonts w:ascii="Times New Roman" w:eastAsia="Calibri" w:hAnsi="Times New Roman" w:cs="Times New Roman"/>
                <w:sz w:val="18"/>
                <w:szCs w:val="18"/>
                <w:lang w:val="en-US"/>
              </w:rPr>
            </w:pPr>
          </w:p>
          <w:p w14:paraId="3A567E7E" w14:textId="77777777" w:rsidR="00465215" w:rsidRPr="005E6D70" w:rsidRDefault="00465215" w:rsidP="009170D4">
            <w:pPr>
              <w:jc w:val="center"/>
              <w:rPr>
                <w:rFonts w:ascii="Times New Roman" w:eastAsia="Calibri" w:hAnsi="Times New Roman" w:cs="Times New Roman"/>
                <w:sz w:val="18"/>
                <w:szCs w:val="18"/>
                <w:lang w:val="en-US"/>
              </w:rPr>
            </w:pPr>
          </w:p>
          <w:p w14:paraId="233F7CAB" w14:textId="77777777" w:rsidR="00465215" w:rsidRPr="005E6D70" w:rsidRDefault="00465215" w:rsidP="009170D4">
            <w:pPr>
              <w:jc w:val="center"/>
              <w:rPr>
                <w:rFonts w:ascii="Times New Roman" w:eastAsia="Calibri" w:hAnsi="Times New Roman" w:cs="Times New Roman"/>
                <w:sz w:val="18"/>
                <w:szCs w:val="18"/>
                <w:lang w:val="en-US"/>
              </w:rPr>
            </w:pPr>
          </w:p>
          <w:p w14:paraId="559E7E3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35(2)</w:t>
            </w:r>
          </w:p>
        </w:tc>
        <w:tc>
          <w:tcPr>
            <w:tcW w:w="4680" w:type="dxa"/>
            <w:gridSpan w:val="2"/>
          </w:tcPr>
          <w:p w14:paraId="3C5DED5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By way of derogation from Articles 26 to 34, of this Law, at the election of the filing constituent entity, the top-up tax due by a group in a jurisdiction shall be deemed to be zero for a fiscal year if the effective level of taxation of the constituent entities located in that jurisdiction fulfils the conditions of a qualifying international agreement on safe harbours or the GloBE safe harbour rules.</w:t>
            </w:r>
          </w:p>
          <w:p w14:paraId="7A67BE48" w14:textId="77777777" w:rsidR="00465215" w:rsidRPr="005E6D70" w:rsidRDefault="00465215" w:rsidP="009170D4">
            <w:pPr>
              <w:jc w:val="both"/>
              <w:rPr>
                <w:rFonts w:ascii="Times New Roman" w:eastAsia="Calibri" w:hAnsi="Times New Roman" w:cs="Times New Roman"/>
                <w:iCs/>
                <w:sz w:val="18"/>
                <w:szCs w:val="18"/>
                <w:lang w:val="en-US"/>
              </w:rPr>
            </w:pPr>
          </w:p>
          <w:p w14:paraId="78FBC484" w14:textId="77777777" w:rsidR="00465215" w:rsidRPr="005E6D70" w:rsidRDefault="00465215" w:rsidP="009170D4">
            <w:pPr>
              <w:jc w:val="both"/>
              <w:rPr>
                <w:rFonts w:ascii="Times New Roman" w:eastAsia="Calibri" w:hAnsi="Times New Roman" w:cs="Times New Roman"/>
                <w:iCs/>
                <w:sz w:val="18"/>
                <w:szCs w:val="18"/>
                <w:lang w:val="en-US"/>
              </w:rPr>
            </w:pPr>
          </w:p>
          <w:p w14:paraId="6DAEFF9A" w14:textId="77777777" w:rsidR="00465215" w:rsidRPr="005E6D70" w:rsidRDefault="00465215" w:rsidP="009170D4">
            <w:pPr>
              <w:jc w:val="both"/>
              <w:rPr>
                <w:rFonts w:ascii="Times New Roman" w:eastAsia="Calibri" w:hAnsi="Times New Roman" w:cs="Times New Roman"/>
                <w:iCs/>
                <w:sz w:val="18"/>
                <w:szCs w:val="18"/>
                <w:lang w:val="en-US"/>
              </w:rPr>
            </w:pPr>
          </w:p>
          <w:p w14:paraId="6D909654" w14:textId="77777777" w:rsidR="00465215" w:rsidRPr="005E6D70" w:rsidRDefault="00465215" w:rsidP="009170D4">
            <w:pPr>
              <w:jc w:val="both"/>
              <w:rPr>
                <w:rFonts w:ascii="Times New Roman" w:eastAsia="Calibri" w:hAnsi="Times New Roman" w:cs="Times New Roman"/>
                <w:iCs/>
                <w:sz w:val="18"/>
                <w:szCs w:val="18"/>
                <w:lang w:val="en-US"/>
              </w:rPr>
            </w:pPr>
          </w:p>
          <w:p w14:paraId="5EE3F732" w14:textId="77777777" w:rsidR="00465215" w:rsidRPr="005E6D70" w:rsidRDefault="00465215" w:rsidP="009170D4">
            <w:pPr>
              <w:jc w:val="both"/>
              <w:rPr>
                <w:rFonts w:ascii="Times New Roman" w:eastAsia="Calibri" w:hAnsi="Times New Roman" w:cs="Times New Roman"/>
                <w:iCs/>
                <w:sz w:val="18"/>
                <w:szCs w:val="18"/>
                <w:lang w:val="en-US"/>
              </w:rPr>
            </w:pPr>
          </w:p>
          <w:p w14:paraId="6A8F1B8B" w14:textId="77777777" w:rsidR="00465215" w:rsidRPr="005E6D70" w:rsidRDefault="00465215" w:rsidP="009170D4">
            <w:pPr>
              <w:jc w:val="both"/>
              <w:rPr>
                <w:rFonts w:ascii="Times New Roman" w:eastAsia="Calibri" w:hAnsi="Times New Roman" w:cs="Times New Roman"/>
                <w:iCs/>
                <w:sz w:val="18"/>
                <w:szCs w:val="18"/>
                <w:lang w:val="en-US"/>
              </w:rPr>
            </w:pPr>
          </w:p>
          <w:p w14:paraId="0F20904C" w14:textId="77777777" w:rsidR="00465215" w:rsidRPr="005E6D70" w:rsidRDefault="00465215" w:rsidP="009170D4">
            <w:pPr>
              <w:jc w:val="both"/>
              <w:rPr>
                <w:rFonts w:ascii="Times New Roman" w:eastAsia="Calibri" w:hAnsi="Times New Roman" w:cs="Times New Roman"/>
                <w:iCs/>
                <w:sz w:val="18"/>
                <w:szCs w:val="18"/>
                <w:lang w:val="en-US"/>
              </w:rPr>
            </w:pPr>
          </w:p>
          <w:p w14:paraId="6F4C5D31" w14:textId="77777777" w:rsidR="00465215" w:rsidRPr="005E6D70" w:rsidRDefault="00465215" w:rsidP="009170D4">
            <w:pPr>
              <w:jc w:val="both"/>
              <w:rPr>
                <w:rFonts w:ascii="Times New Roman" w:eastAsia="Calibri" w:hAnsi="Times New Roman" w:cs="Times New Roman"/>
                <w:iCs/>
                <w:sz w:val="18"/>
                <w:szCs w:val="18"/>
                <w:lang w:val="en-US"/>
              </w:rPr>
            </w:pPr>
          </w:p>
          <w:p w14:paraId="5FA019B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For the purposes of paragraph 1, of this Article, “qualifying international agreement on safe harbours” means an international set of rules and conditions which the Republic of Albania has consented to and which grants groups in the scope of this Law the possibility of electing to benefit from one or more safe harbours for a jurisdiction.</w:t>
            </w:r>
          </w:p>
          <w:p w14:paraId="1C0821BB" w14:textId="77777777" w:rsidR="00465215" w:rsidRPr="005E6D70" w:rsidRDefault="00465215" w:rsidP="009170D4">
            <w:pPr>
              <w:jc w:val="both"/>
              <w:rPr>
                <w:rFonts w:ascii="Times New Roman" w:eastAsia="Calibri" w:hAnsi="Times New Roman" w:cs="Times New Roman"/>
                <w:iCs/>
                <w:sz w:val="18"/>
                <w:szCs w:val="18"/>
                <w:lang w:val="en-US"/>
              </w:rPr>
            </w:pPr>
          </w:p>
        </w:tc>
        <w:tc>
          <w:tcPr>
            <w:tcW w:w="1800" w:type="dxa"/>
            <w:gridSpan w:val="2"/>
          </w:tcPr>
          <w:p w14:paraId="7F02D401" w14:textId="77777777" w:rsidR="00465215" w:rsidRPr="005E6D70" w:rsidRDefault="00465215" w:rsidP="009170D4">
            <w:pPr>
              <w:jc w:val="cente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F</w:t>
            </w:r>
          </w:p>
        </w:tc>
        <w:tc>
          <w:tcPr>
            <w:tcW w:w="1350" w:type="dxa"/>
          </w:tcPr>
          <w:p w14:paraId="2A8C18BC"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Transposition adjusted to domestic context. The domestic law integrates the GloBE safe harbour rules and QDMTT safe harbour standards explicitly.</w:t>
            </w:r>
          </w:p>
          <w:p w14:paraId="5B9DAD33" w14:textId="77777777" w:rsidR="00465215" w:rsidRPr="005E6D70" w:rsidRDefault="00465215" w:rsidP="009170D4">
            <w:pPr>
              <w:rPr>
                <w:rFonts w:ascii="Times New Roman" w:eastAsia="Calibri" w:hAnsi="Times New Roman" w:cs="Times New Roman"/>
                <w:iCs/>
                <w:sz w:val="18"/>
                <w:szCs w:val="18"/>
                <w:lang w:val="en-US"/>
              </w:rPr>
            </w:pPr>
          </w:p>
          <w:p w14:paraId="4B0A739D" w14:textId="77777777" w:rsidR="00465215" w:rsidRPr="005E6D70" w:rsidRDefault="00465215" w:rsidP="009170D4">
            <w:pPr>
              <w:rPr>
                <w:rFonts w:ascii="Times New Roman" w:eastAsia="Calibri" w:hAnsi="Times New Roman" w:cs="Times New Roman"/>
                <w:iCs/>
                <w:sz w:val="18"/>
                <w:szCs w:val="18"/>
                <w:lang w:val="en-US"/>
              </w:rPr>
            </w:pPr>
          </w:p>
          <w:p w14:paraId="6B023210" w14:textId="77777777" w:rsidR="00465215" w:rsidRPr="005E6D70" w:rsidRDefault="00465215" w:rsidP="009170D4">
            <w:pPr>
              <w:rPr>
                <w:rFonts w:ascii="Times New Roman" w:eastAsia="Calibri" w:hAnsi="Times New Roman" w:cs="Times New Roman"/>
                <w:iCs/>
                <w:sz w:val="18"/>
                <w:szCs w:val="18"/>
                <w:lang w:val="en-US"/>
              </w:rPr>
            </w:pPr>
          </w:p>
          <w:p w14:paraId="4E477C75" w14:textId="77777777" w:rsidR="00465215" w:rsidRPr="005E6D70" w:rsidRDefault="00465215" w:rsidP="009170D4">
            <w:pPr>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Direct transposition with local drafting adaptations. The term </w:t>
            </w:r>
            <w:r w:rsidRPr="005E6D70">
              <w:rPr>
                <w:rFonts w:ascii="Times New Roman" w:eastAsia="Calibri" w:hAnsi="Times New Roman" w:cs="Times New Roman"/>
                <w:iCs/>
                <w:sz w:val="18"/>
                <w:szCs w:val="18"/>
                <w:lang w:val="en-US"/>
              </w:rPr>
              <w:lastRenderedPageBreak/>
              <w:t>Member States is replaced with the Republic of Albania and this Directive is replaced with this Law.</w:t>
            </w:r>
          </w:p>
        </w:tc>
      </w:tr>
      <w:tr w:rsidR="00465215" w:rsidRPr="005E6D70" w14:paraId="1B12BA11" w14:textId="77777777" w:rsidTr="009170D4">
        <w:trPr>
          <w:trHeight w:val="152"/>
        </w:trPr>
        <w:tc>
          <w:tcPr>
            <w:tcW w:w="810" w:type="dxa"/>
            <w:shd w:val="clear" w:color="auto" w:fill="92D050"/>
          </w:tcPr>
          <w:p w14:paraId="3A8F5E4B"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92D050"/>
          </w:tcPr>
          <w:p w14:paraId="29213A8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CHAPTER VI</w:t>
            </w:r>
          </w:p>
          <w:p w14:paraId="7ACF8B0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SPECIAL RULES FOR CORPORATE RESTRUCTURING AND HOLDING STRUCTURES</w:t>
            </w:r>
          </w:p>
        </w:tc>
        <w:tc>
          <w:tcPr>
            <w:tcW w:w="990" w:type="dxa"/>
            <w:gridSpan w:val="2"/>
            <w:shd w:val="clear" w:color="auto" w:fill="92D050"/>
          </w:tcPr>
          <w:p w14:paraId="0716B0D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92D050"/>
          </w:tcPr>
          <w:p w14:paraId="0C8BF637" w14:textId="77777777" w:rsidR="00465215" w:rsidRPr="005E6D70" w:rsidRDefault="00465215" w:rsidP="009170D4">
            <w:pPr>
              <w:jc w:val="center"/>
              <w:rPr>
                <w:rFonts w:ascii="Times New Roman" w:eastAsia="Calibri" w:hAnsi="Times New Roman" w:cs="Times New Roman"/>
                <w:sz w:val="18"/>
                <w:szCs w:val="18"/>
                <w:lang w:val="en-US"/>
              </w:rPr>
            </w:pPr>
          </w:p>
        </w:tc>
        <w:tc>
          <w:tcPr>
            <w:tcW w:w="4680" w:type="dxa"/>
            <w:gridSpan w:val="2"/>
            <w:shd w:val="clear" w:color="auto" w:fill="92D050"/>
          </w:tcPr>
          <w:p w14:paraId="70714CF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CHAPTER VI. SPECIAL RULES FOR CORPORATE RESTRUCTURING AND HOLDING STRUCTURES</w:t>
            </w:r>
          </w:p>
        </w:tc>
        <w:tc>
          <w:tcPr>
            <w:tcW w:w="1800" w:type="dxa"/>
            <w:gridSpan w:val="2"/>
            <w:shd w:val="clear" w:color="auto" w:fill="92D050"/>
          </w:tcPr>
          <w:p w14:paraId="45A3317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92D050"/>
          </w:tcPr>
          <w:p w14:paraId="20ACAA6C"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structural alignment with the Directive.</w:t>
            </w:r>
          </w:p>
        </w:tc>
      </w:tr>
      <w:tr w:rsidR="00465215" w:rsidRPr="005E6D70" w14:paraId="1C6FBF45" w14:textId="77777777" w:rsidTr="009170D4">
        <w:trPr>
          <w:trHeight w:val="152"/>
        </w:trPr>
        <w:tc>
          <w:tcPr>
            <w:tcW w:w="810" w:type="dxa"/>
            <w:shd w:val="clear" w:color="auto" w:fill="D9D9D9" w:themeFill="background1" w:themeFillShade="D9"/>
          </w:tcPr>
          <w:p w14:paraId="3878E6EF"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1140209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33. Application of the consolidated revenue threshold to group mergers and demergers</w:t>
            </w:r>
          </w:p>
        </w:tc>
        <w:tc>
          <w:tcPr>
            <w:tcW w:w="990" w:type="dxa"/>
            <w:gridSpan w:val="2"/>
            <w:shd w:val="clear" w:color="auto" w:fill="D9D9D9" w:themeFill="background1" w:themeFillShade="D9"/>
          </w:tcPr>
          <w:p w14:paraId="642FECF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1DA1C57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36</w:t>
            </w:r>
          </w:p>
        </w:tc>
        <w:tc>
          <w:tcPr>
            <w:tcW w:w="4680" w:type="dxa"/>
            <w:gridSpan w:val="2"/>
            <w:shd w:val="clear" w:color="auto" w:fill="D9D9D9" w:themeFill="background1" w:themeFillShade="D9"/>
          </w:tcPr>
          <w:p w14:paraId="622095D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Article 36. Application of the consolidated revenue threshold to group mergers and demergers</w:t>
            </w:r>
          </w:p>
        </w:tc>
        <w:tc>
          <w:tcPr>
            <w:tcW w:w="1800" w:type="dxa"/>
            <w:gridSpan w:val="2"/>
            <w:shd w:val="clear" w:color="auto" w:fill="D9D9D9" w:themeFill="background1" w:themeFillShade="D9"/>
          </w:tcPr>
          <w:p w14:paraId="1720EA0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64BF5D6B"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Transposition of EU Directive Article 33 into Article 36 of the domestic draft law.</w:t>
            </w:r>
          </w:p>
        </w:tc>
      </w:tr>
      <w:tr w:rsidR="00465215" w:rsidRPr="005E6D70" w14:paraId="1C295ADD" w14:textId="77777777" w:rsidTr="009170D4">
        <w:trPr>
          <w:trHeight w:val="152"/>
        </w:trPr>
        <w:tc>
          <w:tcPr>
            <w:tcW w:w="810" w:type="dxa"/>
          </w:tcPr>
          <w:p w14:paraId="0609750A" w14:textId="77777777" w:rsidR="00465215" w:rsidRPr="005E6D70" w:rsidRDefault="00465215" w:rsidP="009170D4">
            <w:pPr>
              <w:jc w:val="center"/>
              <w:rPr>
                <w:rFonts w:ascii="Times New Roman" w:eastAsia="Calibri" w:hAnsi="Times New Roman" w:cs="Times New Roman"/>
                <w:sz w:val="18"/>
                <w:szCs w:val="18"/>
                <w:highlight w:val="yellow"/>
                <w:lang w:val="en-US"/>
              </w:rPr>
            </w:pPr>
            <w:r w:rsidRPr="005E6D70">
              <w:rPr>
                <w:rFonts w:ascii="Times New Roman" w:eastAsia="Calibri" w:hAnsi="Times New Roman" w:cs="Times New Roman"/>
                <w:sz w:val="18"/>
                <w:szCs w:val="18"/>
                <w:lang w:val="en-US"/>
              </w:rPr>
              <w:t>33(1)</w:t>
            </w:r>
          </w:p>
        </w:tc>
        <w:tc>
          <w:tcPr>
            <w:tcW w:w="5040" w:type="dxa"/>
            <w:gridSpan w:val="2"/>
          </w:tcPr>
          <w:p w14:paraId="33DBB23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For the purposes of this Article, the following definitions apply:</w:t>
            </w:r>
          </w:p>
        </w:tc>
        <w:tc>
          <w:tcPr>
            <w:tcW w:w="990" w:type="dxa"/>
            <w:gridSpan w:val="2"/>
          </w:tcPr>
          <w:p w14:paraId="0E518B1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69514B9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36(1)</w:t>
            </w:r>
          </w:p>
        </w:tc>
        <w:tc>
          <w:tcPr>
            <w:tcW w:w="4680" w:type="dxa"/>
            <w:gridSpan w:val="2"/>
          </w:tcPr>
          <w:p w14:paraId="6ECDCB1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1. For the purposes of this Article, the following definitions apply:</w:t>
            </w:r>
          </w:p>
        </w:tc>
        <w:tc>
          <w:tcPr>
            <w:tcW w:w="1800" w:type="dxa"/>
            <w:gridSpan w:val="2"/>
          </w:tcPr>
          <w:p w14:paraId="67F4955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2D11BA6B"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0D035935" w14:textId="77777777" w:rsidTr="009170D4">
        <w:trPr>
          <w:trHeight w:val="152"/>
        </w:trPr>
        <w:tc>
          <w:tcPr>
            <w:tcW w:w="810" w:type="dxa"/>
          </w:tcPr>
          <w:p w14:paraId="798F886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33(1a)</w:t>
            </w:r>
          </w:p>
        </w:tc>
        <w:tc>
          <w:tcPr>
            <w:tcW w:w="5040" w:type="dxa"/>
            <w:gridSpan w:val="2"/>
          </w:tcPr>
          <w:p w14:paraId="1270D97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‘merger’ means any arrangement where:</w:t>
            </w:r>
          </w:p>
          <w:p w14:paraId="0E549D34" w14:textId="77777777" w:rsidR="00465215" w:rsidRPr="005E6D70" w:rsidRDefault="00465215" w:rsidP="009170D4">
            <w:pPr>
              <w:jc w:val="both"/>
              <w:rPr>
                <w:rFonts w:ascii="Times New Roman" w:eastAsia="Calibri" w:hAnsi="Times New Roman" w:cs="Times New Roman"/>
                <w:iCs/>
                <w:sz w:val="18"/>
                <w:szCs w:val="18"/>
                <w:lang w:val="en-US"/>
              </w:rPr>
            </w:pPr>
          </w:p>
          <w:p w14:paraId="5F1F92F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all or substantially all of the group entities of two or more separate groups are brought under common control in a way that they constitute entities of a combined group; or</w:t>
            </w:r>
          </w:p>
          <w:p w14:paraId="59567EC6" w14:textId="77777777" w:rsidR="00465215" w:rsidRPr="005E6D70" w:rsidRDefault="00465215" w:rsidP="009170D4">
            <w:pPr>
              <w:jc w:val="both"/>
              <w:rPr>
                <w:rFonts w:ascii="Times New Roman" w:eastAsia="Calibri" w:hAnsi="Times New Roman" w:cs="Times New Roman"/>
                <w:iCs/>
                <w:sz w:val="18"/>
                <w:szCs w:val="18"/>
                <w:lang w:val="en-US"/>
              </w:rPr>
            </w:pPr>
          </w:p>
          <w:p w14:paraId="664A58B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 an entity that is not a member of any group is brought under common control with another entity or group in a way that they constitute entities of a combined group;</w:t>
            </w:r>
          </w:p>
        </w:tc>
        <w:tc>
          <w:tcPr>
            <w:tcW w:w="990" w:type="dxa"/>
            <w:gridSpan w:val="2"/>
          </w:tcPr>
          <w:p w14:paraId="4D3ADFD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66AB0AA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36(1)(a)</w:t>
            </w:r>
          </w:p>
        </w:tc>
        <w:tc>
          <w:tcPr>
            <w:tcW w:w="4680" w:type="dxa"/>
            <w:gridSpan w:val="2"/>
          </w:tcPr>
          <w:p w14:paraId="4AC3D18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a) “merger” means any arrangement where: (i) all or substantially all of the group entities of two or more separate groups are brought under common control in a way that they constitute entities of a combined group; or (ii) an entity that is not a member of any group is brought under common control with another entity or group in a way that they constitute entities of a combined group;</w:t>
            </w:r>
          </w:p>
        </w:tc>
        <w:tc>
          <w:tcPr>
            <w:tcW w:w="1800" w:type="dxa"/>
            <w:gridSpan w:val="2"/>
          </w:tcPr>
          <w:p w14:paraId="5549F85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11C9FD33"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58170F3B" w14:textId="77777777" w:rsidTr="009170D4">
        <w:trPr>
          <w:trHeight w:val="152"/>
        </w:trPr>
        <w:tc>
          <w:tcPr>
            <w:tcW w:w="810" w:type="dxa"/>
          </w:tcPr>
          <w:p w14:paraId="54820B4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33(1b)</w:t>
            </w:r>
          </w:p>
        </w:tc>
        <w:tc>
          <w:tcPr>
            <w:tcW w:w="5040" w:type="dxa"/>
            <w:gridSpan w:val="2"/>
          </w:tcPr>
          <w:p w14:paraId="1BF6EE5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‘demerger’ means any arrangement where the group entities of a single group are separated into two or more different groups that are no longer consolidated by the same ultimate parent entity.</w:t>
            </w:r>
          </w:p>
        </w:tc>
        <w:tc>
          <w:tcPr>
            <w:tcW w:w="990" w:type="dxa"/>
            <w:gridSpan w:val="2"/>
          </w:tcPr>
          <w:p w14:paraId="6B227A1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24B383B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36(1)(b)</w:t>
            </w:r>
          </w:p>
        </w:tc>
        <w:tc>
          <w:tcPr>
            <w:tcW w:w="4680" w:type="dxa"/>
            <w:gridSpan w:val="2"/>
          </w:tcPr>
          <w:p w14:paraId="15D049D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b) “demerger” means any arrangement where the group entities of a single group are separated into two or more different groups that are no longer consolidated by the same ultimate parent entity.</w:t>
            </w:r>
          </w:p>
        </w:tc>
        <w:tc>
          <w:tcPr>
            <w:tcW w:w="1800" w:type="dxa"/>
            <w:gridSpan w:val="2"/>
          </w:tcPr>
          <w:p w14:paraId="72AE62F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2717D36F"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59568BC4" w14:textId="77777777" w:rsidTr="009170D4">
        <w:trPr>
          <w:trHeight w:val="152"/>
        </w:trPr>
        <w:tc>
          <w:tcPr>
            <w:tcW w:w="810" w:type="dxa"/>
          </w:tcPr>
          <w:p w14:paraId="07B0365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33(2)</w:t>
            </w:r>
          </w:p>
        </w:tc>
        <w:tc>
          <w:tcPr>
            <w:tcW w:w="5040" w:type="dxa"/>
            <w:gridSpan w:val="2"/>
          </w:tcPr>
          <w:p w14:paraId="0E2123F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Where two or more groups merge to form a single group in any of the last four consecutive fiscal years immediately preceding the tested fiscal year, the consolidated revenue threshold of the MNE group or large-scale domestic group referred to in Article 2 shall be deemed to be met for any fiscal year prior to the merger if the sum of the revenue included in each of their consolidated financial statements for that fiscal year is EUR 750 000 000 or more.</w:t>
            </w:r>
          </w:p>
        </w:tc>
        <w:tc>
          <w:tcPr>
            <w:tcW w:w="990" w:type="dxa"/>
            <w:gridSpan w:val="2"/>
          </w:tcPr>
          <w:p w14:paraId="286C657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617E21D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36(2)</w:t>
            </w:r>
          </w:p>
        </w:tc>
        <w:tc>
          <w:tcPr>
            <w:tcW w:w="4680" w:type="dxa"/>
            <w:gridSpan w:val="2"/>
          </w:tcPr>
          <w:p w14:paraId="3EE4D5C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2. Where two or more groups merge to form a single group in any of the last four consecutive fiscal years immediately preceding the tested fiscal year, the consolidated revenue threshold of the multinational enterprise group or large-scale domestic group referred to in Article 2, of this Law, shall be deemed to be met for any fiscal year prior to the merger if the sum of the revenue included in each of their consolidated </w:t>
            </w:r>
            <w:r w:rsidRPr="005E6D70">
              <w:rPr>
                <w:rFonts w:ascii="Times New Roman" w:eastAsia="Arial" w:hAnsi="Times New Roman" w:cs="Times New Roman"/>
                <w:sz w:val="18"/>
                <w:szCs w:val="18"/>
              </w:rPr>
              <w:lastRenderedPageBreak/>
              <w:t>financial statements for that fiscal year is EUR 750 000 000 or more.</w:t>
            </w:r>
          </w:p>
        </w:tc>
        <w:tc>
          <w:tcPr>
            <w:tcW w:w="1800" w:type="dxa"/>
            <w:gridSpan w:val="2"/>
          </w:tcPr>
          <w:p w14:paraId="6BE9EE4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0866584F"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Acronym “MNE” expanded.</w:t>
            </w:r>
          </w:p>
        </w:tc>
      </w:tr>
      <w:tr w:rsidR="00465215" w:rsidRPr="005E6D70" w14:paraId="7E6080D8" w14:textId="77777777" w:rsidTr="009170D4">
        <w:trPr>
          <w:trHeight w:val="152"/>
        </w:trPr>
        <w:tc>
          <w:tcPr>
            <w:tcW w:w="810" w:type="dxa"/>
          </w:tcPr>
          <w:p w14:paraId="683CB97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33(3)</w:t>
            </w:r>
          </w:p>
        </w:tc>
        <w:tc>
          <w:tcPr>
            <w:tcW w:w="5040" w:type="dxa"/>
            <w:gridSpan w:val="2"/>
          </w:tcPr>
          <w:p w14:paraId="7CA3ED3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Where an entity that is not a member of a group (the ‘target’) merges with an entity or a group (the ‘acquiring entity’) in the tested fiscal year, and either the target or the acquiring entity did not have consolidated financial statements in any of the last four consecutive fiscal years immediately preceding the tested fiscal year, the consolidated revenue threshold of the MNE group or large-scale domestic group shall be deemed to be met for that year if the sum of the revenue included in each of their financial statements or consolidated financial statements for that fiscal year is EUR 750 000 000 or more.</w:t>
            </w:r>
          </w:p>
        </w:tc>
        <w:tc>
          <w:tcPr>
            <w:tcW w:w="990" w:type="dxa"/>
            <w:gridSpan w:val="2"/>
          </w:tcPr>
          <w:p w14:paraId="37D0086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42E05FA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36(3)</w:t>
            </w:r>
          </w:p>
        </w:tc>
        <w:tc>
          <w:tcPr>
            <w:tcW w:w="4680" w:type="dxa"/>
            <w:gridSpan w:val="2"/>
          </w:tcPr>
          <w:p w14:paraId="34C2F8B1"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 Where an entity that is not a member of a group (“the target”) merges with an entity or a group (“the acquiring entity”) in the tested fiscal year, and either the target or the acquiring entity did not have consolidated financial statements in any of the last four consecutive fiscal years immediately preceding the tested fiscal year, the consolidated revenue threshold of the multinational enterprise group or large-scale domestic group shall be deemed to be met for that year if the sum of the revenue included in each of their financial statements or consolidated financial statements for that fiscal year is EUR 750 000 000 or more.</w:t>
            </w:r>
          </w:p>
        </w:tc>
        <w:tc>
          <w:tcPr>
            <w:tcW w:w="1800" w:type="dxa"/>
            <w:gridSpan w:val="2"/>
          </w:tcPr>
          <w:p w14:paraId="36CB626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338B3441"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18834A01" w14:textId="77777777" w:rsidTr="009170D4">
        <w:trPr>
          <w:trHeight w:val="152"/>
        </w:trPr>
        <w:tc>
          <w:tcPr>
            <w:tcW w:w="810" w:type="dxa"/>
          </w:tcPr>
          <w:p w14:paraId="573BD98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33(4)</w:t>
            </w:r>
          </w:p>
        </w:tc>
        <w:tc>
          <w:tcPr>
            <w:tcW w:w="5040" w:type="dxa"/>
            <w:gridSpan w:val="2"/>
          </w:tcPr>
          <w:p w14:paraId="2E13E73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 Where a single MNE group or large-scale domestic group within the scope of this Directive demerges into two or more groups (each a ‘demerged group’), the consolidated revenue threshold shall be deemed to be met by a demerged group where:</w:t>
            </w:r>
          </w:p>
        </w:tc>
        <w:tc>
          <w:tcPr>
            <w:tcW w:w="990" w:type="dxa"/>
            <w:gridSpan w:val="2"/>
          </w:tcPr>
          <w:p w14:paraId="4C9A933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610E2AC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36(4)</w:t>
            </w:r>
          </w:p>
        </w:tc>
        <w:tc>
          <w:tcPr>
            <w:tcW w:w="4680" w:type="dxa"/>
            <w:gridSpan w:val="2"/>
          </w:tcPr>
          <w:p w14:paraId="778AE11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 Where a single multinational enterprise group or large-scale domestic group within the scope of this Law demerges into two or more groups (each a “demerged group”), the consolidated revenue threshold shall be deemed to be met by a demerged group where:</w:t>
            </w:r>
          </w:p>
        </w:tc>
        <w:tc>
          <w:tcPr>
            <w:tcW w:w="1800" w:type="dxa"/>
            <w:gridSpan w:val="2"/>
          </w:tcPr>
          <w:p w14:paraId="25E9106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79284245"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2CE8E62A" w14:textId="77777777" w:rsidTr="009170D4">
        <w:trPr>
          <w:trHeight w:val="152"/>
        </w:trPr>
        <w:tc>
          <w:tcPr>
            <w:tcW w:w="810" w:type="dxa"/>
          </w:tcPr>
          <w:p w14:paraId="7FBAC26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33(4a)</w:t>
            </w:r>
          </w:p>
        </w:tc>
        <w:tc>
          <w:tcPr>
            <w:tcW w:w="5040" w:type="dxa"/>
            <w:gridSpan w:val="2"/>
          </w:tcPr>
          <w:p w14:paraId="3AC1ED6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with respect to the first tested fiscal year ending after the demerger, the demerged group has an annual revenue of EUR 750 000 000 or more in that fiscal year;</w:t>
            </w:r>
          </w:p>
        </w:tc>
        <w:tc>
          <w:tcPr>
            <w:tcW w:w="990" w:type="dxa"/>
            <w:gridSpan w:val="2"/>
          </w:tcPr>
          <w:p w14:paraId="3CBD2A3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4009306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36(4)(a)</w:t>
            </w:r>
          </w:p>
        </w:tc>
        <w:tc>
          <w:tcPr>
            <w:tcW w:w="4680" w:type="dxa"/>
            <w:gridSpan w:val="2"/>
          </w:tcPr>
          <w:p w14:paraId="3B92067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a) with respect to the first tested fiscal year ending after the demerger, the demerged group has an annual revenue of EUR 750 000 000 or more in that fiscal year; and</w:t>
            </w:r>
          </w:p>
        </w:tc>
        <w:tc>
          <w:tcPr>
            <w:tcW w:w="1800" w:type="dxa"/>
            <w:gridSpan w:val="2"/>
          </w:tcPr>
          <w:p w14:paraId="6C0F5F3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24C4CC93"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476E2197" w14:textId="77777777" w:rsidTr="009170D4">
        <w:trPr>
          <w:trHeight w:val="152"/>
        </w:trPr>
        <w:tc>
          <w:tcPr>
            <w:tcW w:w="810" w:type="dxa"/>
          </w:tcPr>
          <w:p w14:paraId="7DD2AD0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33(4b)</w:t>
            </w:r>
          </w:p>
        </w:tc>
        <w:tc>
          <w:tcPr>
            <w:tcW w:w="5040" w:type="dxa"/>
            <w:gridSpan w:val="2"/>
          </w:tcPr>
          <w:p w14:paraId="1644C23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with respect to the second to fourth tested fiscal years ending after the demerger, the demerged group has an annual revenue of EUR 750 000 000 or more in at least two of those fiscal years.</w:t>
            </w:r>
          </w:p>
        </w:tc>
        <w:tc>
          <w:tcPr>
            <w:tcW w:w="990" w:type="dxa"/>
            <w:gridSpan w:val="2"/>
          </w:tcPr>
          <w:p w14:paraId="66DC1F6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25AEC28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36(4)(b)</w:t>
            </w:r>
          </w:p>
        </w:tc>
        <w:tc>
          <w:tcPr>
            <w:tcW w:w="4680" w:type="dxa"/>
            <w:gridSpan w:val="2"/>
          </w:tcPr>
          <w:p w14:paraId="3C69DA1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b) with respect to the second to fourth tested fiscal years ending after the demerger, the demerged group has an annual revenue of EUR 750 000 000 or more in at least two of those fiscal years.</w:t>
            </w:r>
          </w:p>
        </w:tc>
        <w:tc>
          <w:tcPr>
            <w:tcW w:w="1800" w:type="dxa"/>
            <w:gridSpan w:val="2"/>
          </w:tcPr>
          <w:p w14:paraId="43E143E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33F7E08C"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11830A8E" w14:textId="77777777" w:rsidTr="009170D4">
        <w:trPr>
          <w:trHeight w:val="152"/>
        </w:trPr>
        <w:tc>
          <w:tcPr>
            <w:tcW w:w="810" w:type="dxa"/>
            <w:shd w:val="clear" w:color="auto" w:fill="D9D9D9" w:themeFill="background1" w:themeFillShade="D9"/>
          </w:tcPr>
          <w:p w14:paraId="670B89AD"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40AD9A4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34. Constituent entities joining and leaving an MNE group or a largescale domestic group</w:t>
            </w:r>
          </w:p>
        </w:tc>
        <w:tc>
          <w:tcPr>
            <w:tcW w:w="990" w:type="dxa"/>
            <w:gridSpan w:val="2"/>
            <w:shd w:val="clear" w:color="auto" w:fill="D9D9D9" w:themeFill="background1" w:themeFillShade="D9"/>
          </w:tcPr>
          <w:p w14:paraId="5F05376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662AD2B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37</w:t>
            </w:r>
          </w:p>
        </w:tc>
        <w:tc>
          <w:tcPr>
            <w:tcW w:w="4680" w:type="dxa"/>
            <w:gridSpan w:val="2"/>
            <w:shd w:val="clear" w:color="auto" w:fill="D9D9D9" w:themeFill="background1" w:themeFillShade="D9"/>
          </w:tcPr>
          <w:p w14:paraId="13E38D9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Article 37. Constituent entities joining and leaving a multinational enterprise group</w:t>
            </w:r>
          </w:p>
        </w:tc>
        <w:tc>
          <w:tcPr>
            <w:tcW w:w="1800" w:type="dxa"/>
            <w:gridSpan w:val="2"/>
            <w:shd w:val="clear" w:color="auto" w:fill="D9D9D9" w:themeFill="background1" w:themeFillShade="D9"/>
          </w:tcPr>
          <w:p w14:paraId="1BBB365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78207DB2"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Transposition of EU Directive Article 34 into Article 37 of the domestic draft law.</w:t>
            </w:r>
          </w:p>
        </w:tc>
      </w:tr>
      <w:tr w:rsidR="00465215" w:rsidRPr="005E6D70" w14:paraId="18E396F8" w14:textId="77777777" w:rsidTr="009170D4">
        <w:trPr>
          <w:trHeight w:val="152"/>
        </w:trPr>
        <w:tc>
          <w:tcPr>
            <w:tcW w:w="810" w:type="dxa"/>
          </w:tcPr>
          <w:p w14:paraId="6B38AAD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34(1)</w:t>
            </w:r>
          </w:p>
        </w:tc>
        <w:tc>
          <w:tcPr>
            <w:tcW w:w="5040" w:type="dxa"/>
            <w:gridSpan w:val="2"/>
          </w:tcPr>
          <w:p w14:paraId="77FF28A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1. Where an entity (the ‘target’) becomes or ceases to be a constituent entity of an MNE group or of a large-scale domestic group as a result of a transfer of direct or indirect ownership interests in the target, or where the target becomes the ultimate parent entity of a new group during a fiscal year (the ‘acquisition year’), the target shall be treated as a member of the MNE group or large-scale domestic group for the purposes of this Directive provided that a portion of its assets, liabilities, income, expenses and cash flows is included on a line-by-line basis in the consolidated </w:t>
            </w:r>
            <w:r w:rsidRPr="005E6D70">
              <w:rPr>
                <w:rFonts w:ascii="Times New Roman" w:eastAsia="Calibri" w:hAnsi="Times New Roman" w:cs="Times New Roman"/>
                <w:iCs/>
                <w:sz w:val="18"/>
                <w:szCs w:val="18"/>
                <w:lang w:val="en-US"/>
              </w:rPr>
              <w:lastRenderedPageBreak/>
              <w:t>financial statements of the ultimate parent entity in the acquisition year.</w:t>
            </w:r>
          </w:p>
          <w:p w14:paraId="12C8CA79" w14:textId="77777777" w:rsidR="00465215" w:rsidRPr="005E6D70" w:rsidRDefault="00465215" w:rsidP="009170D4">
            <w:pPr>
              <w:jc w:val="both"/>
              <w:rPr>
                <w:rFonts w:ascii="Times New Roman" w:eastAsia="Calibri" w:hAnsi="Times New Roman" w:cs="Times New Roman"/>
                <w:iCs/>
                <w:sz w:val="18"/>
                <w:szCs w:val="18"/>
                <w:lang w:val="en-US"/>
              </w:rPr>
            </w:pPr>
          </w:p>
          <w:p w14:paraId="3C0C320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The effective tax rate and top-up tax of the target shall be computed in accordance with paragraphs 2 to 8.</w:t>
            </w:r>
          </w:p>
        </w:tc>
        <w:tc>
          <w:tcPr>
            <w:tcW w:w="990" w:type="dxa"/>
            <w:gridSpan w:val="2"/>
          </w:tcPr>
          <w:p w14:paraId="3AE8784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035C3DE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37(1)</w:t>
            </w:r>
          </w:p>
        </w:tc>
        <w:tc>
          <w:tcPr>
            <w:tcW w:w="4680" w:type="dxa"/>
            <w:gridSpan w:val="2"/>
          </w:tcPr>
          <w:p w14:paraId="04BF7A2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1. Where an entity (the “target”) becomes or ceases to be a constituent entity of a multinational enterprise group or of a large-scale domestic group as a result of a transfer of direct or indirect ownership interests in the target, or where the target becomes the ultimate parent entity of a new group during a fiscal year (the “acquisition year”), the target entity shall be treated as a member of the group for the purposes of this Law, provided that a portion of its assets, liabilities, income, expenses and cash flows is included on a line-by-line basis in </w:t>
            </w:r>
            <w:r w:rsidRPr="005E6D70">
              <w:rPr>
                <w:rFonts w:ascii="Times New Roman" w:eastAsia="Arial" w:hAnsi="Times New Roman" w:cs="Times New Roman"/>
                <w:sz w:val="18"/>
                <w:szCs w:val="18"/>
              </w:rPr>
              <w:lastRenderedPageBreak/>
              <w:t>the consolidated financial statements of the ultimate parent entity in the acquisition year. The effective tax rate and top-up tax of the target shall be computed in accordance with paragraphs 2 to 8, of this Article.</w:t>
            </w:r>
          </w:p>
        </w:tc>
        <w:tc>
          <w:tcPr>
            <w:tcW w:w="1800" w:type="dxa"/>
            <w:gridSpan w:val="2"/>
          </w:tcPr>
          <w:p w14:paraId="40BEA6C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6D0FF980"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Addition of the calculation directive to paragraph 1 to ensure alignment with EU text.</w:t>
            </w:r>
          </w:p>
        </w:tc>
      </w:tr>
      <w:tr w:rsidR="00465215" w:rsidRPr="005E6D70" w14:paraId="7A47ABEB" w14:textId="77777777" w:rsidTr="009170D4">
        <w:trPr>
          <w:trHeight w:val="152"/>
        </w:trPr>
        <w:tc>
          <w:tcPr>
            <w:tcW w:w="810" w:type="dxa"/>
          </w:tcPr>
          <w:p w14:paraId="6E23581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34(2)</w:t>
            </w:r>
          </w:p>
        </w:tc>
        <w:tc>
          <w:tcPr>
            <w:tcW w:w="5040" w:type="dxa"/>
            <w:gridSpan w:val="2"/>
          </w:tcPr>
          <w:p w14:paraId="5CF887A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 In the acquisition year, an MNE group or large-scale domestic group shall take into account only the financial accounting net income or loss and adjusted covered taxes of the target that are included in the consolidated financial statements of the ultimate parent entity for the purposes of this Directive.</w:t>
            </w:r>
          </w:p>
        </w:tc>
        <w:tc>
          <w:tcPr>
            <w:tcW w:w="990" w:type="dxa"/>
            <w:gridSpan w:val="2"/>
          </w:tcPr>
          <w:p w14:paraId="4579358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5607AC2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37(2)</w:t>
            </w:r>
          </w:p>
        </w:tc>
        <w:tc>
          <w:tcPr>
            <w:tcW w:w="4680" w:type="dxa"/>
            <w:gridSpan w:val="2"/>
          </w:tcPr>
          <w:p w14:paraId="7F631BE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2. In the acquisition year, a multinational enterprise group or a large-scale domestic group shall take into account only the financial accounting net income or loss and adjusted covered taxes of the target that are included in the consolidated financial statements of the ultimate parent entity for the purposes of this Law.</w:t>
            </w:r>
          </w:p>
        </w:tc>
        <w:tc>
          <w:tcPr>
            <w:tcW w:w="1800" w:type="dxa"/>
            <w:gridSpan w:val="2"/>
          </w:tcPr>
          <w:p w14:paraId="1832ED7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74CD1265"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7A192738" w14:textId="77777777" w:rsidTr="009170D4">
        <w:trPr>
          <w:trHeight w:val="152"/>
        </w:trPr>
        <w:tc>
          <w:tcPr>
            <w:tcW w:w="810" w:type="dxa"/>
          </w:tcPr>
          <w:p w14:paraId="2A9B40B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34(3)</w:t>
            </w:r>
          </w:p>
        </w:tc>
        <w:tc>
          <w:tcPr>
            <w:tcW w:w="5040" w:type="dxa"/>
            <w:gridSpan w:val="2"/>
          </w:tcPr>
          <w:p w14:paraId="210DBCE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In the acquisition year, and in each subsequent fiscal year, the qualifying income or loss and adjusted covered taxes of the target shall be based on the historical carrying value of its assets and liabilities.</w:t>
            </w:r>
          </w:p>
        </w:tc>
        <w:tc>
          <w:tcPr>
            <w:tcW w:w="990" w:type="dxa"/>
            <w:gridSpan w:val="2"/>
          </w:tcPr>
          <w:p w14:paraId="2715251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713CB32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37(3)</w:t>
            </w:r>
          </w:p>
        </w:tc>
        <w:tc>
          <w:tcPr>
            <w:tcW w:w="4680" w:type="dxa"/>
            <w:gridSpan w:val="2"/>
          </w:tcPr>
          <w:p w14:paraId="40B1CA2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 In the acquisition year and in each succeeding fiscal year, the qualifying income or loss and adjusted covered taxes of the target shall be computed based on the historical carrying value of its assets and liabilities.</w:t>
            </w:r>
          </w:p>
        </w:tc>
        <w:tc>
          <w:tcPr>
            <w:tcW w:w="1800" w:type="dxa"/>
            <w:gridSpan w:val="2"/>
          </w:tcPr>
          <w:p w14:paraId="7FA595C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0E700269"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16CFE034" w14:textId="77777777" w:rsidTr="009170D4">
        <w:trPr>
          <w:trHeight w:val="152"/>
        </w:trPr>
        <w:tc>
          <w:tcPr>
            <w:tcW w:w="810" w:type="dxa"/>
          </w:tcPr>
          <w:p w14:paraId="32028E9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34(4)</w:t>
            </w:r>
          </w:p>
        </w:tc>
        <w:tc>
          <w:tcPr>
            <w:tcW w:w="5040" w:type="dxa"/>
            <w:gridSpan w:val="2"/>
          </w:tcPr>
          <w:p w14:paraId="2724615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 In the acquisition year, the computation of the eligible payroll costs of the target pursuant to Article 28(3) shall take into account only the costs that are reflected in the consolidated financial statements of the ultimate parent entity.</w:t>
            </w:r>
          </w:p>
        </w:tc>
        <w:tc>
          <w:tcPr>
            <w:tcW w:w="990" w:type="dxa"/>
            <w:gridSpan w:val="2"/>
          </w:tcPr>
          <w:p w14:paraId="39B7FCF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62702A7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37(4)</w:t>
            </w:r>
          </w:p>
        </w:tc>
        <w:tc>
          <w:tcPr>
            <w:tcW w:w="4680" w:type="dxa"/>
            <w:gridSpan w:val="2"/>
          </w:tcPr>
          <w:p w14:paraId="041A849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 In the acquisition year, the computation of the eligible payroll costs of the target pursuant to Article 29, of this Law, shall take into account only the costs that are reflected in the consolidated financial statements of the ultimate parent entity.</w:t>
            </w:r>
          </w:p>
        </w:tc>
        <w:tc>
          <w:tcPr>
            <w:tcW w:w="1800" w:type="dxa"/>
            <w:gridSpan w:val="2"/>
          </w:tcPr>
          <w:p w14:paraId="085DF29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172F90BA"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Proposed addition to domestic draft law to ensure compliance with EU rules on payroll costs upon acquisition.</w:t>
            </w:r>
          </w:p>
        </w:tc>
      </w:tr>
      <w:tr w:rsidR="00465215" w:rsidRPr="005E6D70" w14:paraId="5D8B1552" w14:textId="77777777" w:rsidTr="009170D4">
        <w:trPr>
          <w:trHeight w:val="152"/>
        </w:trPr>
        <w:tc>
          <w:tcPr>
            <w:tcW w:w="810" w:type="dxa"/>
          </w:tcPr>
          <w:p w14:paraId="3FD8D9F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34(5)</w:t>
            </w:r>
          </w:p>
        </w:tc>
        <w:tc>
          <w:tcPr>
            <w:tcW w:w="5040" w:type="dxa"/>
            <w:gridSpan w:val="2"/>
          </w:tcPr>
          <w:p w14:paraId="7D2DF57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5. The computation of the carrying value of the eligible tangible assets of the target pursuant to Article 28(4) shall be adjusted, where applicable, in proportion to the period of time in which the target was a member of the MNE group or large-scale domestic group during the acquisition year.</w:t>
            </w:r>
          </w:p>
        </w:tc>
        <w:tc>
          <w:tcPr>
            <w:tcW w:w="990" w:type="dxa"/>
            <w:gridSpan w:val="2"/>
          </w:tcPr>
          <w:p w14:paraId="672E232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7006879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37(5)</w:t>
            </w:r>
          </w:p>
        </w:tc>
        <w:tc>
          <w:tcPr>
            <w:tcW w:w="4680" w:type="dxa"/>
            <w:gridSpan w:val="2"/>
          </w:tcPr>
          <w:p w14:paraId="458DC86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 The computation of the carrying value of the eligible tangible assets of the target pursuant to Article 30, of this Law, shall be adjusted, where applicable, in proportion to the period of time in which the target was a member of the multinational enterprise group or large-scale domestic group during the acquisition year.</w:t>
            </w:r>
          </w:p>
        </w:tc>
        <w:tc>
          <w:tcPr>
            <w:tcW w:w="1800" w:type="dxa"/>
            <w:gridSpan w:val="2"/>
          </w:tcPr>
          <w:p w14:paraId="6B4E427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34593676"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Proposed addition to domestic draft law to ensure compliance with EU rules on tangible asset valuation upon acquisition.</w:t>
            </w:r>
          </w:p>
        </w:tc>
      </w:tr>
      <w:tr w:rsidR="00465215" w:rsidRPr="005E6D70" w14:paraId="796164C2" w14:textId="77777777" w:rsidTr="009170D4">
        <w:trPr>
          <w:trHeight w:val="152"/>
        </w:trPr>
        <w:tc>
          <w:tcPr>
            <w:tcW w:w="810" w:type="dxa"/>
          </w:tcPr>
          <w:p w14:paraId="3BBDDD6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34(6)</w:t>
            </w:r>
          </w:p>
        </w:tc>
        <w:tc>
          <w:tcPr>
            <w:tcW w:w="5040" w:type="dxa"/>
            <w:gridSpan w:val="2"/>
          </w:tcPr>
          <w:p w14:paraId="7DE49B5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6. With the exception of the qualifying loss deferred tax asset as referred to in Article 23, the deferred tax assets and deferred tax liabilities of a target that are transferred between MNE groups or large-scale domestic groups shall be taken into account by the acquiring MNE group or large-scale domestic group in the same manner and to the same extent as if the acquiring MNE group or</w:t>
            </w:r>
          </w:p>
          <w:p w14:paraId="4628B61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lastRenderedPageBreak/>
              <w:t>large-scale domestic group controlled the target when such assets and liabilities arose.</w:t>
            </w:r>
          </w:p>
        </w:tc>
        <w:tc>
          <w:tcPr>
            <w:tcW w:w="990" w:type="dxa"/>
            <w:gridSpan w:val="2"/>
          </w:tcPr>
          <w:p w14:paraId="22DE8DD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4EF5144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37(6)</w:t>
            </w:r>
          </w:p>
        </w:tc>
        <w:tc>
          <w:tcPr>
            <w:tcW w:w="4680" w:type="dxa"/>
            <w:gridSpan w:val="2"/>
          </w:tcPr>
          <w:p w14:paraId="2B17BC1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6. With the exception of the qualifying loss deferred tax asset as referred to in Article 23, of this Law, the deferred tax assets and deferred tax liabilities of a target that are transferred between multinational enterprise groups or large-scale domestic groups shall be taken into account by the acquiring group in the same manner and to the same extent as if the </w:t>
            </w:r>
            <w:r w:rsidRPr="005E6D70">
              <w:rPr>
                <w:rFonts w:ascii="Times New Roman" w:eastAsia="Arial" w:hAnsi="Times New Roman" w:cs="Times New Roman"/>
                <w:sz w:val="18"/>
                <w:szCs w:val="18"/>
              </w:rPr>
              <w:lastRenderedPageBreak/>
              <w:t>acquiring group controlled the constituent entity when such assets and liabilities arose.</w:t>
            </w:r>
          </w:p>
        </w:tc>
        <w:tc>
          <w:tcPr>
            <w:tcW w:w="1800" w:type="dxa"/>
            <w:gridSpan w:val="2"/>
          </w:tcPr>
          <w:p w14:paraId="48977F1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76F39328"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Structurally repositioned. This was originally paragraph 4 in the draft. It is now aligned as </w:t>
            </w:r>
            <w:r w:rsidRPr="005E6D70">
              <w:rPr>
                <w:rFonts w:ascii="Times New Roman" w:eastAsia="Arial" w:hAnsi="Times New Roman" w:cs="Times New Roman"/>
                <w:sz w:val="18"/>
                <w:szCs w:val="18"/>
              </w:rPr>
              <w:lastRenderedPageBreak/>
              <w:t>paragraph 6 to match the Directive.</w:t>
            </w:r>
          </w:p>
        </w:tc>
      </w:tr>
      <w:tr w:rsidR="00465215" w:rsidRPr="005E6D70" w14:paraId="78C8B7CF" w14:textId="77777777" w:rsidTr="009170D4">
        <w:trPr>
          <w:trHeight w:val="152"/>
        </w:trPr>
        <w:tc>
          <w:tcPr>
            <w:tcW w:w="810" w:type="dxa"/>
          </w:tcPr>
          <w:p w14:paraId="286350C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34(7)</w:t>
            </w:r>
          </w:p>
        </w:tc>
        <w:tc>
          <w:tcPr>
            <w:tcW w:w="5040" w:type="dxa"/>
            <w:gridSpan w:val="2"/>
          </w:tcPr>
          <w:p w14:paraId="051F98B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7. Deferred tax liabilities of the target that have previously been included in its total deferred tax adjustment amount shall be treated as reversed, for the purposes of Article 22(7), by the disposing MNE group or large-scale domestic group and as arising from the</w:t>
            </w:r>
          </w:p>
          <w:p w14:paraId="2832B94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acquiring MNE group or large-scale domestic group in the acquisition year, except that in such a case any subsequent reduction of covered taxes pursuant to Article 22(7) shall have effect in the year in which the amount is recaptured.</w:t>
            </w:r>
          </w:p>
        </w:tc>
        <w:tc>
          <w:tcPr>
            <w:tcW w:w="990" w:type="dxa"/>
            <w:gridSpan w:val="2"/>
          </w:tcPr>
          <w:p w14:paraId="3CFB1BA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0861CD3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37(7)</w:t>
            </w:r>
          </w:p>
        </w:tc>
        <w:tc>
          <w:tcPr>
            <w:tcW w:w="4680" w:type="dxa"/>
            <w:gridSpan w:val="2"/>
          </w:tcPr>
          <w:p w14:paraId="2B0A52C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7. Deferred tax liabilities of the target that have previously been included in its total deferred tax adjustment amount shall be treated as reversed, for the purposes of paragraph 7, of Article 22, of this Law, by the disposing multinational enterprise group or large-scale domestic group and as arising from the acquiring multinational enterprise group or large-scale domestic group in the acquisition year, except that in such a case any subsequent reduction of covered taxes pursuant to paragraph 7, of Article 22, of this Law, shall have effect in the year in which the amount is recaptured.</w:t>
            </w:r>
          </w:p>
        </w:tc>
        <w:tc>
          <w:tcPr>
            <w:tcW w:w="1800" w:type="dxa"/>
            <w:gridSpan w:val="2"/>
          </w:tcPr>
          <w:p w14:paraId="4616850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68FACE49"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Proposed addition to domestic draft law to ensure compliance with EU rules on deferred tax liability recapture.</w:t>
            </w:r>
          </w:p>
        </w:tc>
      </w:tr>
      <w:tr w:rsidR="00465215" w:rsidRPr="005E6D70" w14:paraId="5777455C" w14:textId="77777777" w:rsidTr="009170D4">
        <w:trPr>
          <w:trHeight w:val="152"/>
        </w:trPr>
        <w:tc>
          <w:tcPr>
            <w:tcW w:w="810" w:type="dxa"/>
          </w:tcPr>
          <w:p w14:paraId="4740729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34(8)</w:t>
            </w:r>
          </w:p>
        </w:tc>
        <w:tc>
          <w:tcPr>
            <w:tcW w:w="5040" w:type="dxa"/>
            <w:gridSpan w:val="2"/>
          </w:tcPr>
          <w:p w14:paraId="0E79D8F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8. Where the target is a parent entity and is a group entity in two or more MNE groups or large-scale domestic groups during the acquisition year, it shall apply separately the IIR to its allocable shares of the top-up tax of low-taxed constituent entities determined for each MNE group or large-scale domestic group.</w:t>
            </w:r>
          </w:p>
        </w:tc>
        <w:tc>
          <w:tcPr>
            <w:tcW w:w="990" w:type="dxa"/>
            <w:gridSpan w:val="2"/>
          </w:tcPr>
          <w:p w14:paraId="73852CB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5711FA3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37(8)</w:t>
            </w:r>
          </w:p>
        </w:tc>
        <w:tc>
          <w:tcPr>
            <w:tcW w:w="4680" w:type="dxa"/>
            <w:gridSpan w:val="2"/>
          </w:tcPr>
          <w:p w14:paraId="67B8182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8. Where the target is a parent entity and is a group entity in two or more multinational enterprise groups or large-scale domestic groups during the acquisition year, it shall apply separately the IIR to its allocable shares of the top-up tax of low-taxed constituent entities determined for each multinational enterprise group or large-scale domestic group.</w:t>
            </w:r>
          </w:p>
        </w:tc>
        <w:tc>
          <w:tcPr>
            <w:tcW w:w="1800" w:type="dxa"/>
            <w:gridSpan w:val="2"/>
          </w:tcPr>
          <w:p w14:paraId="1C8418D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12B8D2AF"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Proposed addition to domestic draft law to ensure compliance with EU rules on parent entities holding multiple group memberships.</w:t>
            </w:r>
          </w:p>
        </w:tc>
      </w:tr>
      <w:tr w:rsidR="00465215" w:rsidRPr="005E6D70" w14:paraId="6A4BCEFC" w14:textId="77777777" w:rsidTr="009170D4">
        <w:trPr>
          <w:trHeight w:val="152"/>
        </w:trPr>
        <w:tc>
          <w:tcPr>
            <w:tcW w:w="810" w:type="dxa"/>
          </w:tcPr>
          <w:p w14:paraId="15ACC6B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34(9)</w:t>
            </w:r>
          </w:p>
        </w:tc>
        <w:tc>
          <w:tcPr>
            <w:tcW w:w="5040" w:type="dxa"/>
            <w:gridSpan w:val="2"/>
          </w:tcPr>
          <w:p w14:paraId="204F603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9. By way of derogation from paragraphs 1 to 8, the acquisition or disposal of a controlling interest in a target shall be treated as an acquisition or disposal of assets and liabilities if the jurisdiction in which the target is located, or in the case of a tax transparent entity the jurisdiction in which the assets are located, treats the acquisition or disposal of that controlling interest in the same, or in a similar, manner as an acquisition or disposal of assets and liabilities, and imposes a covered tax on the seller based on the difference between the tax basis and the consideration paid in exchange for the controlling interest or the fair value of the assets and liabilities.</w:t>
            </w:r>
          </w:p>
        </w:tc>
        <w:tc>
          <w:tcPr>
            <w:tcW w:w="990" w:type="dxa"/>
            <w:gridSpan w:val="2"/>
          </w:tcPr>
          <w:p w14:paraId="202A4D9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11EF2AC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37(9)</w:t>
            </w:r>
          </w:p>
        </w:tc>
        <w:tc>
          <w:tcPr>
            <w:tcW w:w="4680" w:type="dxa"/>
            <w:gridSpan w:val="2"/>
          </w:tcPr>
          <w:p w14:paraId="1F49632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9. By way of derogation from paragraphs 1 to 8, of this Article, the acquisition or disposal of a controlling interest in a target shall be treated as an acquisition or disposal of assets and liabilities if the jurisdiction in which the target is located, or in the case of a tax transparent entity the jurisdiction in which the assets are located, treats the acquisition or disposal of that controlling interest in the same, or in a similar, manner as an acquisition or disposal of assets and liabilities, and imposes a covered tax on the seller based on the difference between the tax basis and the consideration paid in exchange for the controlling interest or the fair value of the assets and liabilities.</w:t>
            </w:r>
          </w:p>
        </w:tc>
        <w:tc>
          <w:tcPr>
            <w:tcW w:w="1800" w:type="dxa"/>
            <w:gridSpan w:val="2"/>
          </w:tcPr>
          <w:p w14:paraId="5D6E560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6CE6B8C8"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Proposed addition to domestic draft law to ensure compliance with EU rules on treating controlling interests as assets and liabilities under specific tax conditions.</w:t>
            </w:r>
          </w:p>
        </w:tc>
      </w:tr>
      <w:tr w:rsidR="00465215" w:rsidRPr="005E6D70" w14:paraId="348E9764" w14:textId="77777777" w:rsidTr="009170D4">
        <w:trPr>
          <w:trHeight w:val="152"/>
        </w:trPr>
        <w:tc>
          <w:tcPr>
            <w:tcW w:w="810" w:type="dxa"/>
            <w:shd w:val="clear" w:color="auto" w:fill="D9D9D9" w:themeFill="background1" w:themeFillShade="D9"/>
          </w:tcPr>
          <w:p w14:paraId="79507CF9"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1FD75E1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35. Transfer of assets and liabilities</w:t>
            </w:r>
          </w:p>
        </w:tc>
        <w:tc>
          <w:tcPr>
            <w:tcW w:w="990" w:type="dxa"/>
            <w:gridSpan w:val="2"/>
            <w:shd w:val="clear" w:color="auto" w:fill="D9D9D9" w:themeFill="background1" w:themeFillShade="D9"/>
          </w:tcPr>
          <w:p w14:paraId="24412EC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73ABAE3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38</w:t>
            </w:r>
          </w:p>
        </w:tc>
        <w:tc>
          <w:tcPr>
            <w:tcW w:w="4680" w:type="dxa"/>
            <w:gridSpan w:val="2"/>
            <w:shd w:val="clear" w:color="auto" w:fill="D9D9D9" w:themeFill="background1" w:themeFillShade="D9"/>
          </w:tcPr>
          <w:p w14:paraId="1C47DA8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Article 38. Transfer of assets and liabilities</w:t>
            </w:r>
          </w:p>
        </w:tc>
        <w:tc>
          <w:tcPr>
            <w:tcW w:w="1800" w:type="dxa"/>
            <w:gridSpan w:val="2"/>
            <w:shd w:val="clear" w:color="auto" w:fill="D9D9D9" w:themeFill="background1" w:themeFillShade="D9"/>
          </w:tcPr>
          <w:p w14:paraId="0B97902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50825F4B"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Transposition of EU Directive Article 35 into Article 38 of </w:t>
            </w:r>
            <w:r w:rsidRPr="005E6D70">
              <w:rPr>
                <w:rFonts w:ascii="Times New Roman" w:eastAsia="Arial" w:hAnsi="Times New Roman" w:cs="Times New Roman"/>
                <w:sz w:val="18"/>
                <w:szCs w:val="18"/>
              </w:rPr>
              <w:lastRenderedPageBreak/>
              <w:t>the domestic draft law.</w:t>
            </w:r>
          </w:p>
        </w:tc>
      </w:tr>
      <w:tr w:rsidR="00465215" w:rsidRPr="005E6D70" w14:paraId="1C51EB8A" w14:textId="77777777" w:rsidTr="009170D4">
        <w:trPr>
          <w:trHeight w:val="152"/>
        </w:trPr>
        <w:tc>
          <w:tcPr>
            <w:tcW w:w="810" w:type="dxa"/>
          </w:tcPr>
          <w:p w14:paraId="5D529451" w14:textId="77777777" w:rsidR="00465215" w:rsidRPr="005E6D70" w:rsidRDefault="00465215" w:rsidP="009170D4">
            <w:pPr>
              <w:jc w:val="center"/>
              <w:rPr>
                <w:rFonts w:ascii="Times New Roman" w:eastAsia="Calibri" w:hAnsi="Times New Roman" w:cs="Times New Roman"/>
                <w:sz w:val="18"/>
                <w:szCs w:val="18"/>
                <w:highlight w:val="yellow"/>
                <w:lang w:val="en-US"/>
              </w:rPr>
            </w:pPr>
            <w:r w:rsidRPr="005E6D70">
              <w:rPr>
                <w:rFonts w:ascii="Times New Roman" w:eastAsia="Calibri" w:hAnsi="Times New Roman" w:cs="Times New Roman"/>
                <w:sz w:val="18"/>
                <w:szCs w:val="18"/>
                <w:lang w:val="en-US"/>
              </w:rPr>
              <w:lastRenderedPageBreak/>
              <w:t>35(1)</w:t>
            </w:r>
          </w:p>
        </w:tc>
        <w:tc>
          <w:tcPr>
            <w:tcW w:w="5040" w:type="dxa"/>
            <w:gridSpan w:val="2"/>
          </w:tcPr>
          <w:p w14:paraId="4410E21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For the purposes of this Article, the following definitions apply:</w:t>
            </w:r>
          </w:p>
        </w:tc>
        <w:tc>
          <w:tcPr>
            <w:tcW w:w="990" w:type="dxa"/>
            <w:gridSpan w:val="2"/>
          </w:tcPr>
          <w:p w14:paraId="56BE26B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57E0AB6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38(1)</w:t>
            </w:r>
          </w:p>
        </w:tc>
        <w:tc>
          <w:tcPr>
            <w:tcW w:w="4680" w:type="dxa"/>
            <w:gridSpan w:val="2"/>
          </w:tcPr>
          <w:p w14:paraId="611B5AB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1. For the purposes of this Article, the following definitions apply:</w:t>
            </w:r>
          </w:p>
        </w:tc>
        <w:tc>
          <w:tcPr>
            <w:tcW w:w="1800" w:type="dxa"/>
            <w:gridSpan w:val="2"/>
          </w:tcPr>
          <w:p w14:paraId="7174EED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2DFB49FB"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3E5CB3A2" w14:textId="77777777" w:rsidTr="009170D4">
        <w:trPr>
          <w:trHeight w:val="152"/>
        </w:trPr>
        <w:tc>
          <w:tcPr>
            <w:tcW w:w="810" w:type="dxa"/>
          </w:tcPr>
          <w:p w14:paraId="0DC5E04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35(1a)</w:t>
            </w:r>
          </w:p>
        </w:tc>
        <w:tc>
          <w:tcPr>
            <w:tcW w:w="5040" w:type="dxa"/>
            <w:gridSpan w:val="2"/>
          </w:tcPr>
          <w:p w14:paraId="7B3ADBA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‘reorganisation’ means a transformation or transfer of assets and liabilities such as in a merger, demerger, liquidation or similar transaction where:</w:t>
            </w:r>
          </w:p>
          <w:p w14:paraId="1C08EB1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1D30646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the consideration for the transfer is, in whole or in significant part, equity interests issued by the acquiring constituent entity or by a person connected with the acquiring constituent entity, or, in the case of a liquidation, equity interests of the target, or, when no consideration is provided, where the issuance of an equity interest would have no economic significance;</w:t>
            </w:r>
          </w:p>
          <w:p w14:paraId="64892F2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7DE262D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the disposing constituent entity’s gain or loss on those assets is not subject to tax, in whole or in part; and</w:t>
            </w:r>
          </w:p>
          <w:p w14:paraId="70F718D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527FD8A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(iii) the tax laws of the jurisdiction in which the acquiring constituent entity is located require the acquiring constituent entity to compute taxable income after the disposal or acquisition using the disposing constituent entity’s tax basis in the assets, adjusted for any non-qualifying gain or loss on the disposal or acquisition;</w:t>
            </w:r>
          </w:p>
        </w:tc>
        <w:tc>
          <w:tcPr>
            <w:tcW w:w="990" w:type="dxa"/>
            <w:gridSpan w:val="2"/>
          </w:tcPr>
          <w:p w14:paraId="0DA83B1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09EFBDD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38(1)(a)</w:t>
            </w:r>
          </w:p>
        </w:tc>
        <w:tc>
          <w:tcPr>
            <w:tcW w:w="4680" w:type="dxa"/>
            <w:gridSpan w:val="2"/>
          </w:tcPr>
          <w:p w14:paraId="4D51DA4F"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a) “GloBE reorganisation” means a transformation or transfer of assets and liabilities such as in a merger, demerger, liquidation, or similar transaction, where all of the following conditions are met: </w:t>
            </w:r>
          </w:p>
          <w:p w14:paraId="5830EB4E" w14:textId="77777777" w:rsidR="00465215" w:rsidRPr="005E6D70" w:rsidRDefault="00465215" w:rsidP="009170D4">
            <w:pPr>
              <w:jc w:val="both"/>
              <w:rPr>
                <w:rFonts w:ascii="Times New Roman" w:eastAsia="Arial" w:hAnsi="Times New Roman" w:cs="Times New Roman"/>
                <w:sz w:val="18"/>
                <w:szCs w:val="18"/>
              </w:rPr>
            </w:pPr>
          </w:p>
          <w:p w14:paraId="67BFEAAC"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 the consideration for the transfer is, in whole or in significant part, equity interests issued by the acquiring constituent entity or by a person connected with the acquiring constituent entity, or, in the case of a liquidation, equity interests of the target, or when no consideration is provided, where the issuance of an equity interest would have no economic significance; </w:t>
            </w:r>
          </w:p>
          <w:p w14:paraId="489AB26F" w14:textId="77777777" w:rsidR="00465215" w:rsidRPr="005E6D70" w:rsidRDefault="00465215" w:rsidP="009170D4">
            <w:pPr>
              <w:jc w:val="both"/>
              <w:rPr>
                <w:rFonts w:ascii="Times New Roman" w:eastAsia="Arial" w:hAnsi="Times New Roman" w:cs="Times New Roman"/>
                <w:sz w:val="18"/>
                <w:szCs w:val="18"/>
              </w:rPr>
            </w:pPr>
          </w:p>
          <w:p w14:paraId="71BC2004"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(ii) the disposing constituent entity’s gain or loss on those assets is not subject to tax, in whole or in part; and </w:t>
            </w:r>
          </w:p>
          <w:p w14:paraId="59253588" w14:textId="77777777" w:rsidR="00465215" w:rsidRPr="005E6D70" w:rsidRDefault="00465215" w:rsidP="009170D4">
            <w:pPr>
              <w:jc w:val="both"/>
              <w:rPr>
                <w:rFonts w:ascii="Times New Roman" w:eastAsia="Arial" w:hAnsi="Times New Roman" w:cs="Times New Roman"/>
                <w:sz w:val="18"/>
                <w:szCs w:val="18"/>
              </w:rPr>
            </w:pPr>
          </w:p>
          <w:p w14:paraId="03839AD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(iii) the tax laws of the jurisdiction in which the acquiring constituent entity is located require the acquiring constituent entity to compute taxable income after the disposal or transfer using the disposing constituent entity’s tax basis in the assets, adjusted for any non-qualifying gain or loss on the disposal or transfer;</w:t>
            </w:r>
          </w:p>
        </w:tc>
        <w:tc>
          <w:tcPr>
            <w:tcW w:w="1800" w:type="dxa"/>
            <w:gridSpan w:val="2"/>
          </w:tcPr>
          <w:p w14:paraId="6AD719C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590560BA"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The term ‘reorganisation’ is adapted to ‘GloBE reorganisation’ for terminological clarity in the domestic law.</w:t>
            </w:r>
          </w:p>
        </w:tc>
      </w:tr>
      <w:tr w:rsidR="00465215" w:rsidRPr="005E6D70" w14:paraId="307CB371" w14:textId="77777777" w:rsidTr="009170D4">
        <w:trPr>
          <w:trHeight w:val="152"/>
        </w:trPr>
        <w:tc>
          <w:tcPr>
            <w:tcW w:w="810" w:type="dxa"/>
          </w:tcPr>
          <w:p w14:paraId="0564358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35(1b)</w:t>
            </w:r>
          </w:p>
        </w:tc>
        <w:tc>
          <w:tcPr>
            <w:tcW w:w="5040" w:type="dxa"/>
            <w:gridSpan w:val="2"/>
          </w:tcPr>
          <w:p w14:paraId="70674B0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‘non-qualifying gain or loss’ means the lesser of the gain or loss of the disposing constituent entity arising in connection with a reorganisation that is subject to tax in the disposing constituent entity’s location and the financial accounting gain or loss arising in connection with the reorganisation.</w:t>
            </w:r>
          </w:p>
        </w:tc>
        <w:tc>
          <w:tcPr>
            <w:tcW w:w="990" w:type="dxa"/>
            <w:gridSpan w:val="2"/>
          </w:tcPr>
          <w:p w14:paraId="45B6E99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152D3FB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38(1)(b)</w:t>
            </w:r>
          </w:p>
        </w:tc>
        <w:tc>
          <w:tcPr>
            <w:tcW w:w="4680" w:type="dxa"/>
            <w:gridSpan w:val="2"/>
          </w:tcPr>
          <w:p w14:paraId="03F2503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b) “non-qualifying gain or loss” means the lesser of the gain or loss of the disposing constituent entity arising in connection with a GloBE reorganisation that is subject to tax in the disposing constituent entity’s location and the financial accounting gain or loss arising in connection with the GloBE reorganisation.</w:t>
            </w:r>
          </w:p>
        </w:tc>
        <w:tc>
          <w:tcPr>
            <w:tcW w:w="1800" w:type="dxa"/>
            <w:gridSpan w:val="2"/>
          </w:tcPr>
          <w:p w14:paraId="01FBDD5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36673583"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38C3E50F" w14:textId="77777777" w:rsidTr="009170D4">
        <w:trPr>
          <w:trHeight w:val="152"/>
        </w:trPr>
        <w:tc>
          <w:tcPr>
            <w:tcW w:w="810" w:type="dxa"/>
          </w:tcPr>
          <w:p w14:paraId="3AFCC02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35(2)</w:t>
            </w:r>
          </w:p>
        </w:tc>
        <w:tc>
          <w:tcPr>
            <w:tcW w:w="5040" w:type="dxa"/>
            <w:gridSpan w:val="2"/>
          </w:tcPr>
          <w:p w14:paraId="0D648AA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 A constituent entity that disposes of assets and liabilities (the ‘disposing constituent entity’) shall include the gain or loss arising from such disposal in the computation of its qualifying income or loss. </w:t>
            </w:r>
          </w:p>
          <w:p w14:paraId="65283DD9" w14:textId="77777777" w:rsidR="00465215" w:rsidRPr="005E6D70" w:rsidRDefault="00465215" w:rsidP="009170D4">
            <w:pPr>
              <w:jc w:val="both"/>
              <w:rPr>
                <w:rFonts w:ascii="Times New Roman" w:eastAsia="Calibri" w:hAnsi="Times New Roman" w:cs="Times New Roman"/>
                <w:iCs/>
                <w:sz w:val="18"/>
                <w:szCs w:val="18"/>
                <w:lang w:val="en-US"/>
              </w:rPr>
            </w:pPr>
          </w:p>
          <w:p w14:paraId="53D9A07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A constituent entity that acquires assets and liabilities (the ‘acquiring constituent entity’) shall determine its qualifying income or loss on the basis of its carrying value of the acquired assets and liabilities determined under the financial accounting standard used </w:t>
            </w:r>
            <w:r w:rsidRPr="005E6D70">
              <w:rPr>
                <w:rFonts w:ascii="Times New Roman" w:eastAsia="Calibri" w:hAnsi="Times New Roman" w:cs="Times New Roman"/>
                <w:iCs/>
                <w:sz w:val="18"/>
                <w:szCs w:val="18"/>
                <w:lang w:val="en-US"/>
              </w:rPr>
              <w:lastRenderedPageBreak/>
              <w:t>in preparing consolidated financial statements of the ultimate parent entity.</w:t>
            </w:r>
          </w:p>
        </w:tc>
        <w:tc>
          <w:tcPr>
            <w:tcW w:w="990" w:type="dxa"/>
            <w:gridSpan w:val="2"/>
          </w:tcPr>
          <w:p w14:paraId="5EEE185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6F28F8B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38(2)</w:t>
            </w:r>
          </w:p>
        </w:tc>
        <w:tc>
          <w:tcPr>
            <w:tcW w:w="4680" w:type="dxa"/>
            <w:gridSpan w:val="2"/>
          </w:tcPr>
          <w:p w14:paraId="11DAF51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2. Subject to paragraphs 3, 4 and 5, of this Article, a constituent entity that disposes of assets and liabilities (the “disposing constituent entity”) shall include the gain or loss arising from such disposal in the computation of its qualifying income or loss. A constituent entity that acquires assets and liabilities (the “acquiring constituent entity”) shall determine its carrying value of the acquired assets and liabilities on the basis of the carrying value of the ultimate parent entity’s consolidated financial statements determined in accordance with the </w:t>
            </w:r>
            <w:r w:rsidRPr="005E6D70">
              <w:rPr>
                <w:rFonts w:ascii="Times New Roman" w:eastAsia="Arial" w:hAnsi="Times New Roman" w:cs="Times New Roman"/>
                <w:sz w:val="18"/>
                <w:szCs w:val="18"/>
              </w:rPr>
              <w:lastRenderedPageBreak/>
              <w:t>acceptable financial accounting standard of the ultimate parent entity.</w:t>
            </w:r>
          </w:p>
        </w:tc>
        <w:tc>
          <w:tcPr>
            <w:tcW w:w="1800" w:type="dxa"/>
            <w:gridSpan w:val="2"/>
          </w:tcPr>
          <w:p w14:paraId="17F8BD5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3C844124"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in substance.</w:t>
            </w:r>
          </w:p>
        </w:tc>
      </w:tr>
      <w:tr w:rsidR="00465215" w:rsidRPr="005E6D70" w14:paraId="4B6FFA5A" w14:textId="77777777" w:rsidTr="009170D4">
        <w:trPr>
          <w:trHeight w:val="152"/>
        </w:trPr>
        <w:tc>
          <w:tcPr>
            <w:tcW w:w="810" w:type="dxa"/>
          </w:tcPr>
          <w:p w14:paraId="4E37484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35(3)</w:t>
            </w:r>
          </w:p>
        </w:tc>
        <w:tc>
          <w:tcPr>
            <w:tcW w:w="5040" w:type="dxa"/>
            <w:gridSpan w:val="2"/>
          </w:tcPr>
          <w:p w14:paraId="39DC2E0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By way of derogation from paragraph 2, where a disposal or acquisition of assets and liabilities is performed in the context of a reorganisation: (a) the disposing constituent entity shall exclude any gain or loss arising from such disposal from the computation of its qualifying income or loss; and (b) the acquiring constituent entity shall determine its qualifying income or loss on the basis of the carrying value of the acquired assets and liabilities of the disposing constituent entity upon disposal.</w:t>
            </w:r>
          </w:p>
        </w:tc>
        <w:tc>
          <w:tcPr>
            <w:tcW w:w="990" w:type="dxa"/>
            <w:gridSpan w:val="2"/>
          </w:tcPr>
          <w:p w14:paraId="4EDF57E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693D099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38(3)</w:t>
            </w:r>
          </w:p>
        </w:tc>
        <w:tc>
          <w:tcPr>
            <w:tcW w:w="4680" w:type="dxa"/>
            <w:gridSpan w:val="2"/>
          </w:tcPr>
          <w:p w14:paraId="65A50426"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3. By way of derogation from paragraph 2, of this Article, where a disposal or transfer of assets and liabilities is performed as part of a GloBE reorganisation, the following rules shall apply: </w:t>
            </w:r>
          </w:p>
          <w:p w14:paraId="069D050B" w14:textId="77777777" w:rsidR="00465215" w:rsidRPr="005E6D70" w:rsidRDefault="00465215" w:rsidP="009170D4">
            <w:pPr>
              <w:jc w:val="both"/>
              <w:rPr>
                <w:rFonts w:ascii="Times New Roman" w:eastAsia="Arial" w:hAnsi="Times New Roman" w:cs="Times New Roman"/>
                <w:sz w:val="18"/>
                <w:szCs w:val="18"/>
              </w:rPr>
            </w:pPr>
          </w:p>
          <w:p w14:paraId="50D7254D"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a) the disposing constituent entity shall exclude any gain or loss arising from such disposal from the computation of its qualifying income or loss; and </w:t>
            </w:r>
          </w:p>
          <w:p w14:paraId="68BEDE8D" w14:textId="77777777" w:rsidR="00465215" w:rsidRPr="005E6D70" w:rsidRDefault="00465215" w:rsidP="009170D4">
            <w:pPr>
              <w:jc w:val="both"/>
              <w:rPr>
                <w:rFonts w:ascii="Times New Roman" w:eastAsia="Arial" w:hAnsi="Times New Roman" w:cs="Times New Roman"/>
                <w:sz w:val="18"/>
                <w:szCs w:val="18"/>
              </w:rPr>
            </w:pPr>
          </w:p>
          <w:p w14:paraId="7D6CB06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b) the acquiring constituent entity shall determine the carrying value of the acquired assets and liabilities based on the carrying value of those assets and liabilities in the hands of the disposing constituent entity upon disposition.</w:t>
            </w:r>
          </w:p>
        </w:tc>
        <w:tc>
          <w:tcPr>
            <w:tcW w:w="1800" w:type="dxa"/>
            <w:gridSpan w:val="2"/>
          </w:tcPr>
          <w:p w14:paraId="4DB8F9F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4C5A9E19"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with local drafting adaptations.</w:t>
            </w:r>
          </w:p>
        </w:tc>
      </w:tr>
      <w:tr w:rsidR="00465215" w:rsidRPr="005E6D70" w14:paraId="447A752E" w14:textId="77777777" w:rsidTr="009170D4">
        <w:trPr>
          <w:trHeight w:val="152"/>
        </w:trPr>
        <w:tc>
          <w:tcPr>
            <w:tcW w:w="810" w:type="dxa"/>
          </w:tcPr>
          <w:p w14:paraId="21E41D4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35(4)</w:t>
            </w:r>
          </w:p>
        </w:tc>
        <w:tc>
          <w:tcPr>
            <w:tcW w:w="5040" w:type="dxa"/>
            <w:gridSpan w:val="2"/>
          </w:tcPr>
          <w:p w14:paraId="4744B4D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 By way of derogation from paragraphs 2 and 3, where the disposal of assets and liabilities is performed in the context of a reorganisation which results, for the disposing constituent entity, in a non-qualifying gain or loss:</w:t>
            </w:r>
          </w:p>
        </w:tc>
        <w:tc>
          <w:tcPr>
            <w:tcW w:w="990" w:type="dxa"/>
            <w:gridSpan w:val="2"/>
          </w:tcPr>
          <w:p w14:paraId="31DA79D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25810FD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38(4)</w:t>
            </w:r>
          </w:p>
        </w:tc>
        <w:tc>
          <w:tcPr>
            <w:tcW w:w="4680" w:type="dxa"/>
            <w:gridSpan w:val="2"/>
          </w:tcPr>
          <w:p w14:paraId="634A543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 By way of derogation from paragraphs 2 and 3, of this Article, where the disposal or transfer of assets and liabilities is part of a GloBE reorganisation which results, for the disposing constituent entity, in a non-qualifying gain or loss, the following rules shall apply:</w:t>
            </w:r>
          </w:p>
        </w:tc>
        <w:tc>
          <w:tcPr>
            <w:tcW w:w="1800" w:type="dxa"/>
            <w:gridSpan w:val="2"/>
          </w:tcPr>
          <w:p w14:paraId="358CE3D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790EB674"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784BBFA0" w14:textId="77777777" w:rsidTr="009170D4">
        <w:trPr>
          <w:trHeight w:val="152"/>
        </w:trPr>
        <w:tc>
          <w:tcPr>
            <w:tcW w:w="810" w:type="dxa"/>
          </w:tcPr>
          <w:p w14:paraId="28EE351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35(4a)</w:t>
            </w:r>
          </w:p>
        </w:tc>
        <w:tc>
          <w:tcPr>
            <w:tcW w:w="5040" w:type="dxa"/>
            <w:gridSpan w:val="2"/>
          </w:tcPr>
          <w:p w14:paraId="5576680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the disposing constituent entity shall include the gain or loss on the disposal in the computation of its qualifying income or loss to the extent of the non-qualifying gain or loss; and</w:t>
            </w:r>
          </w:p>
        </w:tc>
        <w:tc>
          <w:tcPr>
            <w:tcW w:w="990" w:type="dxa"/>
            <w:gridSpan w:val="2"/>
          </w:tcPr>
          <w:p w14:paraId="3A80A2E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73F5C4F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38(4)(a)</w:t>
            </w:r>
          </w:p>
        </w:tc>
        <w:tc>
          <w:tcPr>
            <w:tcW w:w="4680" w:type="dxa"/>
            <w:gridSpan w:val="2"/>
          </w:tcPr>
          <w:p w14:paraId="3692242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a) the disposing constituent entity shall include the gain or loss on the disposal or transfer in the computation of its qualifying income or loss to the extent of the non-qualifying gain or loss; and</w:t>
            </w:r>
          </w:p>
        </w:tc>
        <w:tc>
          <w:tcPr>
            <w:tcW w:w="1800" w:type="dxa"/>
            <w:gridSpan w:val="2"/>
          </w:tcPr>
          <w:p w14:paraId="1F81BFB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4FA49743"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1A283325" w14:textId="77777777" w:rsidTr="009170D4">
        <w:trPr>
          <w:trHeight w:val="152"/>
        </w:trPr>
        <w:tc>
          <w:tcPr>
            <w:tcW w:w="810" w:type="dxa"/>
          </w:tcPr>
          <w:p w14:paraId="0D03589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35(4b)</w:t>
            </w:r>
          </w:p>
        </w:tc>
        <w:tc>
          <w:tcPr>
            <w:tcW w:w="5040" w:type="dxa"/>
            <w:gridSpan w:val="2"/>
          </w:tcPr>
          <w:p w14:paraId="546B195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the acquiring constituent entity shall determine its qualifying income or loss after the acquisition using the disposing constituent entity’s carrying value of the acquired assets and liabilities upon disposal, as adjusted consistently with local tax rules of the acquiring constituent entity to account for the non-qualifying gain or loss.</w:t>
            </w:r>
          </w:p>
        </w:tc>
        <w:tc>
          <w:tcPr>
            <w:tcW w:w="990" w:type="dxa"/>
            <w:gridSpan w:val="2"/>
          </w:tcPr>
          <w:p w14:paraId="2BB7C8B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449BF17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38(4)(b)</w:t>
            </w:r>
          </w:p>
        </w:tc>
        <w:tc>
          <w:tcPr>
            <w:tcW w:w="4680" w:type="dxa"/>
            <w:gridSpan w:val="2"/>
          </w:tcPr>
          <w:p w14:paraId="2D8B4C0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b) the acquiring constituent entity shall determine the carrying value of the acquired assets and liabilities after the acquisition using the disposing constituent entity’s carrying value of the acquired assets and liabilities upon disposal, as adjusted consistently with local tax rules of the acquiring constituent entity to account for the non-qualifying gain or loss.</w:t>
            </w:r>
          </w:p>
        </w:tc>
        <w:tc>
          <w:tcPr>
            <w:tcW w:w="1800" w:type="dxa"/>
            <w:gridSpan w:val="2"/>
          </w:tcPr>
          <w:p w14:paraId="53F094A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4F841BB8"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6B2CA087" w14:textId="77777777" w:rsidTr="009170D4">
        <w:trPr>
          <w:trHeight w:val="152"/>
        </w:trPr>
        <w:tc>
          <w:tcPr>
            <w:tcW w:w="810" w:type="dxa"/>
          </w:tcPr>
          <w:p w14:paraId="133EC8F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35(5)</w:t>
            </w:r>
          </w:p>
        </w:tc>
        <w:tc>
          <w:tcPr>
            <w:tcW w:w="5040" w:type="dxa"/>
            <w:gridSpan w:val="2"/>
          </w:tcPr>
          <w:p w14:paraId="6AB174B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5. At the election of the filing constituent entity, where a constituent entity is required or permitted to adjust the basis of its assets and the amount of its liabilities to fair value for tax purposes in the jurisdiction where it is located, such constituent entity may: </w:t>
            </w:r>
          </w:p>
        </w:tc>
        <w:tc>
          <w:tcPr>
            <w:tcW w:w="990" w:type="dxa"/>
            <w:gridSpan w:val="2"/>
          </w:tcPr>
          <w:p w14:paraId="34D866E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6CF0898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38(5)</w:t>
            </w:r>
          </w:p>
        </w:tc>
        <w:tc>
          <w:tcPr>
            <w:tcW w:w="4680" w:type="dxa"/>
            <w:gridSpan w:val="2"/>
          </w:tcPr>
          <w:p w14:paraId="62D7EEAE"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 At the election of the filing constituent entity, a constituent entity that is required or permitted to adjust the basis of its assets and the amount of its liabilities to fair value for tax purposes in the jurisdiction where it is located may:</w:t>
            </w:r>
          </w:p>
        </w:tc>
        <w:tc>
          <w:tcPr>
            <w:tcW w:w="1800" w:type="dxa"/>
            <w:gridSpan w:val="2"/>
          </w:tcPr>
          <w:p w14:paraId="10EC7AB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5B2D1287"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67E479E1" w14:textId="77777777" w:rsidTr="009170D4">
        <w:trPr>
          <w:trHeight w:val="152"/>
        </w:trPr>
        <w:tc>
          <w:tcPr>
            <w:tcW w:w="810" w:type="dxa"/>
          </w:tcPr>
          <w:p w14:paraId="2A1752E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35(5a)</w:t>
            </w:r>
          </w:p>
        </w:tc>
        <w:tc>
          <w:tcPr>
            <w:tcW w:w="5040" w:type="dxa"/>
            <w:gridSpan w:val="2"/>
          </w:tcPr>
          <w:p w14:paraId="5BD53FE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include, in the computation of its qualifying income or loss, an amount of gain or loss in respect of each of its assets and liabilities, which shall be:</w:t>
            </w:r>
          </w:p>
          <w:p w14:paraId="1F01CA7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22C1755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(i) equal to the difference between the carrying value for financial accounting purposes of the asset or liability immediately before the date of the event that triggered the tax adjustment (the ‘triggering </w:t>
            </w:r>
            <w:r w:rsidRPr="005E6D70">
              <w:rPr>
                <w:rFonts w:ascii="Times New Roman" w:eastAsia="Calibri" w:hAnsi="Times New Roman" w:cs="Times New Roman"/>
                <w:iCs/>
                <w:sz w:val="18"/>
                <w:szCs w:val="18"/>
                <w:lang w:val="en-US"/>
              </w:rPr>
              <w:lastRenderedPageBreak/>
              <w:t xml:space="preserve">event’) and the fair value of the asset or liability immediately after the triggering event; and </w:t>
            </w:r>
          </w:p>
          <w:p w14:paraId="72BEC42C" w14:textId="77777777" w:rsidR="00465215" w:rsidRPr="005E6D70" w:rsidRDefault="00465215" w:rsidP="009170D4">
            <w:pPr>
              <w:jc w:val="both"/>
              <w:rPr>
                <w:rFonts w:ascii="Times New Roman" w:eastAsia="Calibri" w:hAnsi="Times New Roman" w:cs="Times New Roman"/>
                <w:iCs/>
                <w:sz w:val="18"/>
                <w:szCs w:val="18"/>
                <w:lang w:val="en-US"/>
              </w:rPr>
            </w:pPr>
          </w:p>
          <w:p w14:paraId="1B78AFB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 decreased (or increased) by the non-qualifying gain or loss, if any, arising in connection with the triggering event;</w:t>
            </w:r>
          </w:p>
        </w:tc>
        <w:tc>
          <w:tcPr>
            <w:tcW w:w="990" w:type="dxa"/>
            <w:gridSpan w:val="2"/>
          </w:tcPr>
          <w:p w14:paraId="7FF9D05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2DB9FFF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38(5)(a)</w:t>
            </w:r>
          </w:p>
        </w:tc>
        <w:tc>
          <w:tcPr>
            <w:tcW w:w="4680" w:type="dxa"/>
            <w:gridSpan w:val="2"/>
          </w:tcPr>
          <w:p w14:paraId="539E1587"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a) include in the computation of its qualifying income or loss an amount of gain or loss in respect of each of its assets and liabilities that is: </w:t>
            </w:r>
          </w:p>
          <w:p w14:paraId="72ACB19C" w14:textId="77777777" w:rsidR="00465215" w:rsidRPr="005E6D70" w:rsidRDefault="00465215" w:rsidP="009170D4">
            <w:pPr>
              <w:jc w:val="both"/>
              <w:rPr>
                <w:rFonts w:ascii="Times New Roman" w:eastAsia="Arial" w:hAnsi="Times New Roman" w:cs="Times New Roman"/>
                <w:sz w:val="18"/>
                <w:szCs w:val="18"/>
              </w:rPr>
            </w:pPr>
          </w:p>
          <w:p w14:paraId="66269825"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 equal to the difference between the carrying value for financial accounting purposes of the asset or liability immediately before the date of the event that triggered the tax </w:t>
            </w:r>
            <w:r w:rsidRPr="005E6D70">
              <w:rPr>
                <w:rFonts w:ascii="Times New Roman" w:eastAsia="Arial" w:hAnsi="Times New Roman" w:cs="Times New Roman"/>
                <w:sz w:val="18"/>
                <w:szCs w:val="18"/>
              </w:rPr>
              <w:lastRenderedPageBreak/>
              <w:t xml:space="preserve">adjustment (the “triggering event”) and the fair value of the asset or liability immediately after the triggering event; and </w:t>
            </w:r>
          </w:p>
          <w:p w14:paraId="71A7A1A0" w14:textId="77777777" w:rsidR="00465215" w:rsidRPr="005E6D70" w:rsidRDefault="00465215" w:rsidP="009170D4">
            <w:pPr>
              <w:jc w:val="both"/>
              <w:rPr>
                <w:rFonts w:ascii="Times New Roman" w:eastAsia="Arial" w:hAnsi="Times New Roman" w:cs="Times New Roman"/>
                <w:sz w:val="18"/>
                <w:szCs w:val="18"/>
              </w:rPr>
            </w:pPr>
          </w:p>
          <w:p w14:paraId="46F05D5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(ii) decreased or increased by the non-qualifying gain or loss, if any, arising in connection with the triggering event;</w:t>
            </w:r>
          </w:p>
        </w:tc>
        <w:tc>
          <w:tcPr>
            <w:tcW w:w="1800" w:type="dxa"/>
            <w:gridSpan w:val="2"/>
          </w:tcPr>
          <w:p w14:paraId="0E39301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42F5B9C4"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2EF7C423" w14:textId="77777777" w:rsidTr="009170D4">
        <w:trPr>
          <w:trHeight w:val="152"/>
        </w:trPr>
        <w:tc>
          <w:tcPr>
            <w:tcW w:w="810" w:type="dxa"/>
          </w:tcPr>
          <w:p w14:paraId="4324993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35(5b)</w:t>
            </w:r>
          </w:p>
        </w:tc>
        <w:tc>
          <w:tcPr>
            <w:tcW w:w="5040" w:type="dxa"/>
            <w:gridSpan w:val="2"/>
          </w:tcPr>
          <w:p w14:paraId="6E176D3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use the fair value for financial accounting purposes of the asset or liability immediately after the triggering event to compute qualifying income or loss in the fiscal years ending after the triggering event; and</w:t>
            </w:r>
          </w:p>
        </w:tc>
        <w:tc>
          <w:tcPr>
            <w:tcW w:w="990" w:type="dxa"/>
            <w:gridSpan w:val="2"/>
          </w:tcPr>
          <w:p w14:paraId="13C679D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403D7F2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38(5)(b)</w:t>
            </w:r>
          </w:p>
        </w:tc>
        <w:tc>
          <w:tcPr>
            <w:tcW w:w="4680" w:type="dxa"/>
            <w:gridSpan w:val="2"/>
          </w:tcPr>
          <w:p w14:paraId="1242F42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b) use the fair value for financial accounting purposes of the asset or liability immediately after the triggering event to compute qualifying income or loss in the fiscal years ending after the triggering event; and</w:t>
            </w:r>
          </w:p>
        </w:tc>
        <w:tc>
          <w:tcPr>
            <w:tcW w:w="1800" w:type="dxa"/>
            <w:gridSpan w:val="2"/>
          </w:tcPr>
          <w:p w14:paraId="2D9D238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0067F391"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1626112B" w14:textId="77777777" w:rsidTr="009170D4">
        <w:trPr>
          <w:trHeight w:val="152"/>
        </w:trPr>
        <w:tc>
          <w:tcPr>
            <w:tcW w:w="810" w:type="dxa"/>
          </w:tcPr>
          <w:p w14:paraId="722C50F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35(5c)</w:t>
            </w:r>
          </w:p>
        </w:tc>
        <w:tc>
          <w:tcPr>
            <w:tcW w:w="5040" w:type="dxa"/>
            <w:gridSpan w:val="2"/>
          </w:tcPr>
          <w:p w14:paraId="292B5C0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include the net total of the amounts determined in point (a) in the constituent entity’s qualifying income or loss in one of the following ways:</w:t>
            </w:r>
          </w:p>
          <w:p w14:paraId="7F75CD2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654C713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the net total of those amounts is included in the fiscal year in which the triggering event occurs; or</w:t>
            </w:r>
          </w:p>
          <w:p w14:paraId="40A0243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5A9A5EF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 an amount equal to the net total of those amounts divided by five is included in the fiscal year in which the triggering event occurs and in each of the immediate four subsequent fiscal years, unless the constituent entity leaves the MNE group or large-scale domestic group in a fiscal year within this period, in which case the remaining amount will be wholly included in that fiscal year.</w:t>
            </w:r>
          </w:p>
        </w:tc>
        <w:tc>
          <w:tcPr>
            <w:tcW w:w="990" w:type="dxa"/>
            <w:gridSpan w:val="2"/>
          </w:tcPr>
          <w:p w14:paraId="6F3B30A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4CC5821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38(5)(c)</w:t>
            </w:r>
          </w:p>
        </w:tc>
        <w:tc>
          <w:tcPr>
            <w:tcW w:w="4680" w:type="dxa"/>
            <w:gridSpan w:val="2"/>
          </w:tcPr>
          <w:p w14:paraId="501C2131"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c) include the net total of the amounts determined under letter “a”, of this paragraph, in the constituent entity’s qualifying income or loss in one of the following ways: </w:t>
            </w:r>
          </w:p>
          <w:p w14:paraId="62322C2A" w14:textId="77777777" w:rsidR="00465215" w:rsidRPr="005E6D70" w:rsidRDefault="00465215" w:rsidP="009170D4">
            <w:pPr>
              <w:jc w:val="both"/>
              <w:rPr>
                <w:rFonts w:ascii="Times New Roman" w:eastAsia="Arial" w:hAnsi="Times New Roman" w:cs="Times New Roman"/>
                <w:sz w:val="18"/>
                <w:szCs w:val="18"/>
              </w:rPr>
            </w:pPr>
          </w:p>
          <w:p w14:paraId="39D53F85"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 the net total of those amounts is included in the fiscal year in which the triggering event occurs; or </w:t>
            </w:r>
          </w:p>
          <w:p w14:paraId="44F2993F" w14:textId="77777777" w:rsidR="00465215" w:rsidRPr="005E6D70" w:rsidRDefault="00465215" w:rsidP="009170D4">
            <w:pPr>
              <w:jc w:val="both"/>
              <w:rPr>
                <w:rFonts w:ascii="Times New Roman" w:eastAsia="Arial" w:hAnsi="Times New Roman" w:cs="Times New Roman"/>
                <w:sz w:val="18"/>
                <w:szCs w:val="18"/>
              </w:rPr>
            </w:pPr>
          </w:p>
          <w:p w14:paraId="29EDEE1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(ii) an amount equal to the net total of those amounts divided by five is included in the fiscal year in which the triggering event occurs and in each of the four subsequent fiscal years, unless the constituent entity leaves the group in a fiscal year within this period, in which case the remaining amount will be wholly included in that fiscal year.</w:t>
            </w:r>
          </w:p>
        </w:tc>
        <w:tc>
          <w:tcPr>
            <w:tcW w:w="1800" w:type="dxa"/>
            <w:gridSpan w:val="2"/>
          </w:tcPr>
          <w:p w14:paraId="27D49B6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225AF2EC"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309D2B85" w14:textId="77777777" w:rsidTr="009170D4">
        <w:trPr>
          <w:trHeight w:val="152"/>
        </w:trPr>
        <w:tc>
          <w:tcPr>
            <w:tcW w:w="810" w:type="dxa"/>
            <w:shd w:val="clear" w:color="auto" w:fill="D9D9D9" w:themeFill="background1" w:themeFillShade="D9"/>
          </w:tcPr>
          <w:p w14:paraId="4D6D5265"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75FEDA3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36. Joint ventures</w:t>
            </w:r>
          </w:p>
        </w:tc>
        <w:tc>
          <w:tcPr>
            <w:tcW w:w="990" w:type="dxa"/>
            <w:gridSpan w:val="2"/>
            <w:shd w:val="clear" w:color="auto" w:fill="D9D9D9" w:themeFill="background1" w:themeFillShade="D9"/>
          </w:tcPr>
          <w:p w14:paraId="4D071F1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253F9EF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39</w:t>
            </w:r>
          </w:p>
        </w:tc>
        <w:tc>
          <w:tcPr>
            <w:tcW w:w="4680" w:type="dxa"/>
            <w:gridSpan w:val="2"/>
            <w:shd w:val="clear" w:color="auto" w:fill="D9D9D9" w:themeFill="background1" w:themeFillShade="D9"/>
          </w:tcPr>
          <w:p w14:paraId="14C2A17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Article 39. Joint Ventures</w:t>
            </w:r>
          </w:p>
        </w:tc>
        <w:tc>
          <w:tcPr>
            <w:tcW w:w="1800" w:type="dxa"/>
            <w:gridSpan w:val="2"/>
            <w:shd w:val="clear" w:color="auto" w:fill="D9D9D9" w:themeFill="background1" w:themeFillShade="D9"/>
          </w:tcPr>
          <w:p w14:paraId="09B8C7A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10D0AD83"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Transposition of EU Directive Article 36 into Article 39 of the domestic draft law.</w:t>
            </w:r>
          </w:p>
        </w:tc>
      </w:tr>
      <w:tr w:rsidR="00465215" w:rsidRPr="005E6D70" w14:paraId="76558FFD" w14:textId="77777777" w:rsidTr="009170D4">
        <w:trPr>
          <w:trHeight w:val="152"/>
        </w:trPr>
        <w:tc>
          <w:tcPr>
            <w:tcW w:w="810" w:type="dxa"/>
          </w:tcPr>
          <w:p w14:paraId="189B583F" w14:textId="77777777" w:rsidR="00465215" w:rsidRPr="005E6D70" w:rsidRDefault="00465215" w:rsidP="009170D4">
            <w:pPr>
              <w:jc w:val="center"/>
              <w:rPr>
                <w:rFonts w:ascii="Times New Roman" w:eastAsia="Calibri" w:hAnsi="Times New Roman" w:cs="Times New Roman"/>
                <w:sz w:val="18"/>
                <w:szCs w:val="18"/>
                <w:highlight w:val="yellow"/>
                <w:lang w:val="en-US"/>
              </w:rPr>
            </w:pPr>
            <w:r w:rsidRPr="005E6D70">
              <w:rPr>
                <w:rFonts w:ascii="Times New Roman" w:eastAsia="Calibri" w:hAnsi="Times New Roman" w:cs="Times New Roman"/>
                <w:sz w:val="18"/>
                <w:szCs w:val="18"/>
                <w:lang w:val="en-US"/>
              </w:rPr>
              <w:t>36(1)</w:t>
            </w:r>
          </w:p>
        </w:tc>
        <w:tc>
          <w:tcPr>
            <w:tcW w:w="5040" w:type="dxa"/>
            <w:gridSpan w:val="2"/>
          </w:tcPr>
          <w:p w14:paraId="1A9534F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For the purposes of this Article, the following definitions apply:</w:t>
            </w:r>
          </w:p>
        </w:tc>
        <w:tc>
          <w:tcPr>
            <w:tcW w:w="990" w:type="dxa"/>
            <w:gridSpan w:val="2"/>
          </w:tcPr>
          <w:p w14:paraId="691CC30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0F73270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39(1)</w:t>
            </w:r>
          </w:p>
        </w:tc>
        <w:tc>
          <w:tcPr>
            <w:tcW w:w="4680" w:type="dxa"/>
            <w:gridSpan w:val="2"/>
          </w:tcPr>
          <w:p w14:paraId="4FAD33E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1. For the purposes of this Article, the following definitions apply:</w:t>
            </w:r>
          </w:p>
        </w:tc>
        <w:tc>
          <w:tcPr>
            <w:tcW w:w="1800" w:type="dxa"/>
            <w:gridSpan w:val="2"/>
          </w:tcPr>
          <w:p w14:paraId="42ADD2A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21773C6B"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456F16CE" w14:textId="77777777" w:rsidTr="009170D4">
        <w:trPr>
          <w:trHeight w:val="152"/>
        </w:trPr>
        <w:tc>
          <w:tcPr>
            <w:tcW w:w="810" w:type="dxa"/>
          </w:tcPr>
          <w:p w14:paraId="4B81C2D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36(1a)</w:t>
            </w:r>
          </w:p>
        </w:tc>
        <w:tc>
          <w:tcPr>
            <w:tcW w:w="5040" w:type="dxa"/>
            <w:gridSpan w:val="2"/>
          </w:tcPr>
          <w:p w14:paraId="4C1B809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‘joint venture’ means an entity whose financial results are reported under the equity method in the consolidated financial statements of the ultimate parent entity, provided that the ultimate parent entity holds, directly or indirectly, at least 50 % of its ownership interest. A joint venture does not include:</w:t>
            </w:r>
          </w:p>
          <w:p w14:paraId="5621620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59BA3DF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an ultimate parent entity of an MNE group or of a large-scale domestic group that is to apply the IIR;</w:t>
            </w:r>
          </w:p>
          <w:p w14:paraId="58E933D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057738B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an excluded entity as defined by Article 2(3);</w:t>
            </w:r>
          </w:p>
          <w:p w14:paraId="49C6B9D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 xml:space="preserve"> </w:t>
            </w:r>
          </w:p>
          <w:p w14:paraId="67D52BC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(iii) an entity whose ownership interests held by the MNE group or large-scale domestic group are held directly through an excluded entity referred to in Article 2(3) and which meets one of the following conditions:</w:t>
            </w:r>
          </w:p>
          <w:p w14:paraId="77FD389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487228F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it operates exclusively or almost exclusively to hold assets or invest funds for the benefit of its investors; </w:t>
            </w:r>
          </w:p>
          <w:p w14:paraId="5E9A79A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it carries out activities that are ancillary to those carried out by the excluded entity; or </w:t>
            </w:r>
          </w:p>
          <w:p w14:paraId="6739C10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substantially all of its income is excluded from the computation of qualifying income or loss in accordance with Article 16(2), points (b) and (c).</w:t>
            </w:r>
          </w:p>
          <w:p w14:paraId="2DAFF13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51C53DC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(iv) an entity that is held by an MNE group or large-scale domestic group composed exclusively of excluded entities; or </w:t>
            </w:r>
          </w:p>
          <w:p w14:paraId="16E06FC9" w14:textId="77777777" w:rsidR="00465215" w:rsidRPr="005E6D70" w:rsidRDefault="00465215" w:rsidP="009170D4">
            <w:pPr>
              <w:jc w:val="both"/>
              <w:rPr>
                <w:rFonts w:ascii="Times New Roman" w:eastAsia="Calibri" w:hAnsi="Times New Roman" w:cs="Times New Roman"/>
                <w:iCs/>
                <w:sz w:val="18"/>
                <w:szCs w:val="18"/>
                <w:lang w:val="en-US"/>
              </w:rPr>
            </w:pPr>
          </w:p>
          <w:p w14:paraId="3B2D401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(v) a joint venture affiliate;</w:t>
            </w:r>
          </w:p>
        </w:tc>
        <w:tc>
          <w:tcPr>
            <w:tcW w:w="990" w:type="dxa"/>
            <w:gridSpan w:val="2"/>
          </w:tcPr>
          <w:p w14:paraId="5200BCE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015B97C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39(1)(a)</w:t>
            </w:r>
          </w:p>
        </w:tc>
        <w:tc>
          <w:tcPr>
            <w:tcW w:w="4680" w:type="dxa"/>
            <w:gridSpan w:val="2"/>
          </w:tcPr>
          <w:p w14:paraId="31DA6710"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a) “joint venture” means an entity whose financial results are reported under the equity method in the consolidated financial statements of the ultimate parent entity, provided that the ultimate parent entity holds, directly or indirectly, at least 50% of its ownership interest. A joint venture does not include any of the following: </w:t>
            </w:r>
          </w:p>
          <w:p w14:paraId="22B0AC61" w14:textId="77777777" w:rsidR="00465215" w:rsidRPr="005E6D70" w:rsidRDefault="00465215" w:rsidP="009170D4">
            <w:pPr>
              <w:jc w:val="both"/>
              <w:rPr>
                <w:rFonts w:ascii="Times New Roman" w:eastAsia="Arial" w:hAnsi="Times New Roman" w:cs="Times New Roman"/>
                <w:sz w:val="18"/>
                <w:szCs w:val="18"/>
              </w:rPr>
            </w:pPr>
          </w:p>
          <w:p w14:paraId="6ED1C2DD"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 an ultimate parent entity of a multinational enterprise group or of a large-scale domestic group that is to apply the IIR; </w:t>
            </w:r>
          </w:p>
          <w:p w14:paraId="002D94A2" w14:textId="77777777" w:rsidR="00465215" w:rsidRPr="005E6D70" w:rsidRDefault="00465215" w:rsidP="009170D4">
            <w:pPr>
              <w:jc w:val="both"/>
              <w:rPr>
                <w:rFonts w:ascii="Times New Roman" w:eastAsia="Arial" w:hAnsi="Times New Roman" w:cs="Times New Roman"/>
                <w:sz w:val="18"/>
                <w:szCs w:val="18"/>
              </w:rPr>
            </w:pPr>
          </w:p>
          <w:p w14:paraId="6FABBBC7"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lastRenderedPageBreak/>
              <w:t xml:space="preserve">(ii) an excluded entity as defined in paragraph 3, of Article 2, of this Law; </w:t>
            </w:r>
          </w:p>
          <w:p w14:paraId="2A4FB296" w14:textId="77777777" w:rsidR="00465215" w:rsidRPr="005E6D70" w:rsidRDefault="00465215" w:rsidP="009170D4">
            <w:pPr>
              <w:jc w:val="both"/>
              <w:rPr>
                <w:rFonts w:ascii="Times New Roman" w:eastAsia="Arial" w:hAnsi="Times New Roman" w:cs="Times New Roman"/>
                <w:sz w:val="18"/>
                <w:szCs w:val="18"/>
              </w:rPr>
            </w:pPr>
          </w:p>
          <w:p w14:paraId="4E82FEEE"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(iii) an entity whose ownership interests held by the multinational enterprise group or large-scale domestic group are held directly through an excluded entity and which meets the conditions set out in letters “b” or “c”, of paragraph 3, of Article 2, of this Law; </w:t>
            </w:r>
          </w:p>
          <w:p w14:paraId="127AD385" w14:textId="77777777" w:rsidR="00465215" w:rsidRPr="005E6D70" w:rsidRDefault="00465215" w:rsidP="009170D4">
            <w:pPr>
              <w:jc w:val="both"/>
              <w:rPr>
                <w:rFonts w:ascii="Times New Roman" w:eastAsia="Arial" w:hAnsi="Times New Roman" w:cs="Times New Roman"/>
                <w:sz w:val="18"/>
                <w:szCs w:val="18"/>
              </w:rPr>
            </w:pPr>
          </w:p>
          <w:p w14:paraId="0D114DBE"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(iv) an entity held by a multinational enterprise group or large-scale domestic group which is composed exclusively of excluded entities; or </w:t>
            </w:r>
          </w:p>
          <w:p w14:paraId="6BE01CE1" w14:textId="77777777" w:rsidR="00465215" w:rsidRPr="005E6D70" w:rsidRDefault="00465215" w:rsidP="009170D4">
            <w:pPr>
              <w:jc w:val="both"/>
              <w:rPr>
                <w:rFonts w:ascii="Times New Roman" w:eastAsia="Arial" w:hAnsi="Times New Roman" w:cs="Times New Roman"/>
                <w:sz w:val="18"/>
                <w:szCs w:val="18"/>
              </w:rPr>
            </w:pPr>
          </w:p>
          <w:p w14:paraId="0FC0E00C"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(v) a joint venture affiliate;</w:t>
            </w:r>
          </w:p>
        </w:tc>
        <w:tc>
          <w:tcPr>
            <w:tcW w:w="1800" w:type="dxa"/>
            <w:gridSpan w:val="2"/>
          </w:tcPr>
          <w:p w14:paraId="755FED0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7C14CFA6"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Direct transposition. In point (iii), the domestic draft condenses the conditions by directly referencing the equivalent exclusionary </w:t>
            </w:r>
            <w:r w:rsidRPr="005E6D70">
              <w:rPr>
                <w:rFonts w:ascii="Times New Roman" w:eastAsia="Arial" w:hAnsi="Times New Roman" w:cs="Times New Roman"/>
                <w:sz w:val="18"/>
                <w:szCs w:val="18"/>
              </w:rPr>
              <w:lastRenderedPageBreak/>
              <w:t>conditions established in Article 2(3).</w:t>
            </w:r>
          </w:p>
        </w:tc>
      </w:tr>
      <w:tr w:rsidR="00465215" w:rsidRPr="005E6D70" w14:paraId="33F539E0" w14:textId="77777777" w:rsidTr="009170D4">
        <w:trPr>
          <w:trHeight w:val="152"/>
        </w:trPr>
        <w:tc>
          <w:tcPr>
            <w:tcW w:w="810" w:type="dxa"/>
          </w:tcPr>
          <w:p w14:paraId="51CAAE4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36(1b)</w:t>
            </w:r>
          </w:p>
        </w:tc>
        <w:tc>
          <w:tcPr>
            <w:tcW w:w="5040" w:type="dxa"/>
            <w:gridSpan w:val="2"/>
          </w:tcPr>
          <w:p w14:paraId="678CEB0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‘joint venture affiliate’ means:</w:t>
            </w:r>
          </w:p>
          <w:p w14:paraId="24205FF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090DDE4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(i) an entity whose assets, liabilities, income, expenses and cash flows are consolidated by a joint venture under an acceptable financial accounting standard or would have been consolidated had the joint venture been required to consolidate such assets, liabilities, income, expenses and cash flows under an acceptable financial accounting standard; or </w:t>
            </w:r>
          </w:p>
          <w:p w14:paraId="7414D39B" w14:textId="77777777" w:rsidR="00465215" w:rsidRPr="005E6D70" w:rsidRDefault="00465215" w:rsidP="009170D4">
            <w:pPr>
              <w:jc w:val="both"/>
              <w:rPr>
                <w:rFonts w:ascii="Times New Roman" w:eastAsia="Calibri" w:hAnsi="Times New Roman" w:cs="Times New Roman"/>
                <w:iCs/>
                <w:sz w:val="18"/>
                <w:szCs w:val="18"/>
                <w:lang w:val="en-US"/>
              </w:rPr>
            </w:pPr>
          </w:p>
          <w:p w14:paraId="5E06D9A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 a permanent establishment whose main entity is a joint venture or an entity referred to in point (i). In such cases the permanent establishment shall be treated as a separate joint venture affiliate.</w:t>
            </w:r>
          </w:p>
        </w:tc>
        <w:tc>
          <w:tcPr>
            <w:tcW w:w="990" w:type="dxa"/>
            <w:gridSpan w:val="2"/>
          </w:tcPr>
          <w:p w14:paraId="47D85DF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529AA4F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39(1)(b)</w:t>
            </w:r>
          </w:p>
        </w:tc>
        <w:tc>
          <w:tcPr>
            <w:tcW w:w="4680" w:type="dxa"/>
            <w:gridSpan w:val="2"/>
          </w:tcPr>
          <w:p w14:paraId="11B6E9A7"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b) “joint venture affiliate” means: </w:t>
            </w:r>
          </w:p>
          <w:p w14:paraId="312E6A4F" w14:textId="77777777" w:rsidR="00465215" w:rsidRPr="005E6D70" w:rsidRDefault="00465215" w:rsidP="009170D4">
            <w:pPr>
              <w:jc w:val="both"/>
              <w:rPr>
                <w:rFonts w:ascii="Times New Roman" w:eastAsia="Arial" w:hAnsi="Times New Roman" w:cs="Times New Roman"/>
                <w:sz w:val="18"/>
                <w:szCs w:val="18"/>
              </w:rPr>
            </w:pPr>
          </w:p>
          <w:p w14:paraId="5CB12CD8"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 an entity whose assets, liabilities, income, expenses, and cash flows are consolidated by a joint venture under an acceptable financial accounting standard or would have been consolidated had the joint venture been required to consolidate such assets, liabilities, income, expenses and cash flows under an acceptable financial accounting standard; or </w:t>
            </w:r>
          </w:p>
          <w:p w14:paraId="141233A3" w14:textId="77777777" w:rsidR="00465215" w:rsidRPr="005E6D70" w:rsidRDefault="00465215" w:rsidP="009170D4">
            <w:pPr>
              <w:jc w:val="both"/>
              <w:rPr>
                <w:rFonts w:ascii="Times New Roman" w:eastAsia="Arial" w:hAnsi="Times New Roman" w:cs="Times New Roman"/>
                <w:sz w:val="18"/>
                <w:szCs w:val="18"/>
              </w:rPr>
            </w:pPr>
          </w:p>
          <w:p w14:paraId="1953AD8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(ii) a permanent establishment of a joint venture or of an entity referred to in point (i), of this letter.</w:t>
            </w:r>
          </w:p>
        </w:tc>
        <w:tc>
          <w:tcPr>
            <w:tcW w:w="1800" w:type="dxa"/>
            <w:gridSpan w:val="2"/>
          </w:tcPr>
          <w:p w14:paraId="3A3538E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26D42752"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0E1D69AF" w14:textId="77777777" w:rsidTr="009170D4">
        <w:trPr>
          <w:trHeight w:val="152"/>
        </w:trPr>
        <w:tc>
          <w:tcPr>
            <w:tcW w:w="810" w:type="dxa"/>
          </w:tcPr>
          <w:p w14:paraId="61BA0BF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36(2)</w:t>
            </w:r>
          </w:p>
        </w:tc>
        <w:tc>
          <w:tcPr>
            <w:tcW w:w="5040" w:type="dxa"/>
            <w:gridSpan w:val="2"/>
          </w:tcPr>
          <w:p w14:paraId="396A929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 A parent entity that holds a direct or indirect ownership interest in a joint venture or a joint venture affiliate shall apply the IIR with respect to its allocable share of the top-up tax of that joint venture or joint venture affiliate in accordance with Articles 5 to 10.</w:t>
            </w:r>
          </w:p>
        </w:tc>
        <w:tc>
          <w:tcPr>
            <w:tcW w:w="990" w:type="dxa"/>
            <w:gridSpan w:val="2"/>
          </w:tcPr>
          <w:p w14:paraId="4885C49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4ED33DE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39(3)</w:t>
            </w:r>
          </w:p>
        </w:tc>
        <w:tc>
          <w:tcPr>
            <w:tcW w:w="4680" w:type="dxa"/>
            <w:gridSpan w:val="2"/>
          </w:tcPr>
          <w:p w14:paraId="18FB96F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 The parent entity that holds (directly or indirectly) an ownership interest in the joint venture shall apply the Income Inclusion Rule (IIR) to its allocable share of the top-up tax of each member of the joint venture group, in accordance with Articles 6 to 11, of this Law.</w:t>
            </w:r>
          </w:p>
        </w:tc>
        <w:tc>
          <w:tcPr>
            <w:tcW w:w="1800" w:type="dxa"/>
            <w:gridSpan w:val="2"/>
          </w:tcPr>
          <w:p w14:paraId="06DB9B3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31DD33EA"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Paragraphs reordered for legislative flow in the domestic draft.</w:t>
            </w:r>
          </w:p>
        </w:tc>
      </w:tr>
      <w:tr w:rsidR="00465215" w:rsidRPr="005E6D70" w14:paraId="1188FCE1" w14:textId="77777777" w:rsidTr="009170D4">
        <w:trPr>
          <w:trHeight w:val="152"/>
        </w:trPr>
        <w:tc>
          <w:tcPr>
            <w:tcW w:w="810" w:type="dxa"/>
          </w:tcPr>
          <w:p w14:paraId="196C119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36(3)</w:t>
            </w:r>
          </w:p>
        </w:tc>
        <w:tc>
          <w:tcPr>
            <w:tcW w:w="5040" w:type="dxa"/>
            <w:gridSpan w:val="2"/>
          </w:tcPr>
          <w:p w14:paraId="61EC0F2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3. The computation of the top-up tax of the joint venture and its joint venture affiliates (together a ‘joint venture group’) shall be made in accordance with Chapters III to VII, as if they were constituent entities of a separate MNE group or large-scale </w:t>
            </w:r>
            <w:r w:rsidRPr="005E6D70">
              <w:rPr>
                <w:rFonts w:ascii="Times New Roman" w:eastAsia="Calibri" w:hAnsi="Times New Roman" w:cs="Times New Roman"/>
                <w:iCs/>
                <w:sz w:val="18"/>
                <w:szCs w:val="18"/>
                <w:lang w:val="en-US"/>
              </w:rPr>
              <w:lastRenderedPageBreak/>
              <w:t>domestic group and the joint venture was the ultimate parent entity of that group.</w:t>
            </w:r>
          </w:p>
        </w:tc>
        <w:tc>
          <w:tcPr>
            <w:tcW w:w="990" w:type="dxa"/>
            <w:gridSpan w:val="2"/>
          </w:tcPr>
          <w:p w14:paraId="380ED6B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2C50DCA4"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39(2)</w:t>
            </w:r>
          </w:p>
          <w:p w14:paraId="352D3A19" w14:textId="77777777" w:rsidR="00465215" w:rsidRPr="005E6D70" w:rsidRDefault="00465215" w:rsidP="009170D4">
            <w:pPr>
              <w:jc w:val="center"/>
              <w:rPr>
                <w:rFonts w:ascii="Times New Roman" w:eastAsia="Arial" w:hAnsi="Times New Roman" w:cs="Times New Roman"/>
                <w:sz w:val="18"/>
                <w:szCs w:val="18"/>
              </w:rPr>
            </w:pPr>
          </w:p>
          <w:p w14:paraId="231AA59A" w14:textId="77777777" w:rsidR="00465215" w:rsidRPr="005E6D70" w:rsidRDefault="00465215" w:rsidP="009170D4">
            <w:pPr>
              <w:jc w:val="center"/>
              <w:rPr>
                <w:rFonts w:ascii="Times New Roman" w:eastAsia="Arial" w:hAnsi="Times New Roman" w:cs="Times New Roman"/>
                <w:sz w:val="18"/>
                <w:szCs w:val="18"/>
              </w:rPr>
            </w:pPr>
          </w:p>
          <w:p w14:paraId="504FDA96" w14:textId="77777777" w:rsidR="00465215" w:rsidRPr="005E6D70" w:rsidRDefault="00465215" w:rsidP="009170D4">
            <w:pPr>
              <w:jc w:val="center"/>
              <w:rPr>
                <w:rFonts w:ascii="Times New Roman" w:eastAsia="Arial" w:hAnsi="Times New Roman" w:cs="Times New Roman"/>
                <w:sz w:val="18"/>
                <w:szCs w:val="18"/>
              </w:rPr>
            </w:pPr>
          </w:p>
          <w:p w14:paraId="22819DF0" w14:textId="77777777" w:rsidR="00465215" w:rsidRPr="005E6D70" w:rsidRDefault="00465215" w:rsidP="009170D4">
            <w:pPr>
              <w:jc w:val="center"/>
              <w:rPr>
                <w:rFonts w:ascii="Times New Roman" w:eastAsia="Arial" w:hAnsi="Times New Roman" w:cs="Times New Roman"/>
                <w:sz w:val="18"/>
                <w:szCs w:val="18"/>
              </w:rPr>
            </w:pPr>
          </w:p>
          <w:p w14:paraId="6194B3D0" w14:textId="77777777" w:rsidR="00465215" w:rsidRPr="005E6D70" w:rsidRDefault="00465215" w:rsidP="009170D4">
            <w:pPr>
              <w:jc w:val="center"/>
              <w:rPr>
                <w:rFonts w:ascii="Times New Roman" w:eastAsia="Arial" w:hAnsi="Times New Roman" w:cs="Times New Roman"/>
                <w:sz w:val="18"/>
                <w:szCs w:val="18"/>
              </w:rPr>
            </w:pPr>
          </w:p>
          <w:p w14:paraId="20C3122C" w14:textId="77777777" w:rsidR="00465215" w:rsidRPr="005E6D70" w:rsidRDefault="00465215" w:rsidP="009170D4">
            <w:pPr>
              <w:jc w:val="center"/>
              <w:rPr>
                <w:rFonts w:ascii="Times New Roman" w:eastAsia="Arial" w:hAnsi="Times New Roman" w:cs="Times New Roman"/>
                <w:sz w:val="18"/>
                <w:szCs w:val="18"/>
              </w:rPr>
            </w:pPr>
          </w:p>
          <w:p w14:paraId="769CF32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39(4)</w:t>
            </w:r>
          </w:p>
        </w:tc>
        <w:tc>
          <w:tcPr>
            <w:tcW w:w="4680" w:type="dxa"/>
            <w:gridSpan w:val="2"/>
          </w:tcPr>
          <w:p w14:paraId="7E282E53"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lastRenderedPageBreak/>
              <w:t xml:space="preserve">2. A joint venture and its joint venture affiliates (together referred to as a “joint venture group”) shall be treated as constituent entities of a separate multinational enterprise group or large-scale domestic group for the purposes of this Law, </w:t>
            </w:r>
            <w:r w:rsidRPr="005E6D70">
              <w:rPr>
                <w:rFonts w:ascii="Times New Roman" w:eastAsia="Arial" w:hAnsi="Times New Roman" w:cs="Times New Roman"/>
                <w:sz w:val="18"/>
                <w:szCs w:val="18"/>
              </w:rPr>
              <w:lastRenderedPageBreak/>
              <w:t xml:space="preserve">with the joint venture acting as the ultimate parent entity of that group. </w:t>
            </w:r>
          </w:p>
          <w:p w14:paraId="6686115F" w14:textId="77777777" w:rsidR="00465215" w:rsidRPr="005E6D70" w:rsidRDefault="00465215" w:rsidP="009170D4">
            <w:pPr>
              <w:jc w:val="both"/>
              <w:rPr>
                <w:rFonts w:ascii="Times New Roman" w:eastAsia="Arial" w:hAnsi="Times New Roman" w:cs="Times New Roman"/>
                <w:sz w:val="18"/>
                <w:szCs w:val="18"/>
              </w:rPr>
            </w:pPr>
          </w:p>
          <w:p w14:paraId="4055670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 The top-up tax of the joint venture group shall be calculated annually in accordance with Chapters III to VII, of this Law, subject to the following modifications:</w:t>
            </w:r>
          </w:p>
        </w:tc>
        <w:tc>
          <w:tcPr>
            <w:tcW w:w="1800" w:type="dxa"/>
            <w:gridSpan w:val="2"/>
          </w:tcPr>
          <w:p w14:paraId="275DE7C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5892C47E"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Direct transposition. The concepts of grouping </w:t>
            </w:r>
            <w:r w:rsidRPr="005E6D70">
              <w:rPr>
                <w:rFonts w:ascii="Times New Roman" w:eastAsia="Arial" w:hAnsi="Times New Roman" w:cs="Times New Roman"/>
                <w:sz w:val="18"/>
                <w:szCs w:val="18"/>
              </w:rPr>
              <w:lastRenderedPageBreak/>
              <w:t>and calculating are split into paragraph 2 and the introductory phrase of paragraph 4.</w:t>
            </w:r>
          </w:p>
        </w:tc>
      </w:tr>
      <w:tr w:rsidR="00465215" w:rsidRPr="005E6D70" w14:paraId="2787BC9D" w14:textId="77777777" w:rsidTr="009170D4">
        <w:trPr>
          <w:trHeight w:val="152"/>
        </w:trPr>
        <w:tc>
          <w:tcPr>
            <w:tcW w:w="810" w:type="dxa"/>
          </w:tcPr>
          <w:p w14:paraId="4F59F4D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36(4)</w:t>
            </w:r>
          </w:p>
        </w:tc>
        <w:tc>
          <w:tcPr>
            <w:tcW w:w="5040" w:type="dxa"/>
            <w:gridSpan w:val="2"/>
          </w:tcPr>
          <w:p w14:paraId="4911CEC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4. The top-up tax due by the joint venture group shall be reduced by each parent entity’s allocable share of the top-up tax under paragraph 2 of each member of the joint venture group that is brought into charge under paragraph 3. Any remaining amount of top-up tax shall be added to the total UTPR top-up tax amount pursuant to Article 14(2). </w:t>
            </w:r>
          </w:p>
          <w:p w14:paraId="4B37058E" w14:textId="77777777" w:rsidR="00465215" w:rsidRPr="005E6D70" w:rsidRDefault="00465215" w:rsidP="009170D4">
            <w:pPr>
              <w:jc w:val="both"/>
              <w:rPr>
                <w:rFonts w:ascii="Times New Roman" w:eastAsia="Calibri" w:hAnsi="Times New Roman" w:cs="Times New Roman"/>
                <w:iCs/>
                <w:sz w:val="18"/>
                <w:szCs w:val="18"/>
                <w:lang w:val="en-US"/>
              </w:rPr>
            </w:pPr>
          </w:p>
          <w:p w14:paraId="18DD013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For the purposes of this paragraph, ‘top-up tax due by the joint venture group’ means the parent entity’s allocable share of the top-up tax of the joint venture group.</w:t>
            </w:r>
          </w:p>
        </w:tc>
        <w:tc>
          <w:tcPr>
            <w:tcW w:w="990" w:type="dxa"/>
            <w:gridSpan w:val="2"/>
          </w:tcPr>
          <w:p w14:paraId="718357C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56CBD9EA"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39(4)(a)</w:t>
            </w:r>
          </w:p>
          <w:p w14:paraId="6573D7D2" w14:textId="77777777" w:rsidR="00465215" w:rsidRPr="005E6D70" w:rsidRDefault="00465215" w:rsidP="009170D4">
            <w:pPr>
              <w:jc w:val="center"/>
              <w:rPr>
                <w:rFonts w:ascii="Times New Roman" w:eastAsia="Arial" w:hAnsi="Times New Roman" w:cs="Times New Roman"/>
                <w:sz w:val="18"/>
                <w:szCs w:val="18"/>
              </w:rPr>
            </w:pPr>
          </w:p>
          <w:p w14:paraId="282B901F" w14:textId="77777777" w:rsidR="00465215" w:rsidRPr="005E6D70" w:rsidRDefault="00465215" w:rsidP="009170D4">
            <w:pPr>
              <w:jc w:val="center"/>
              <w:rPr>
                <w:rFonts w:ascii="Times New Roman" w:eastAsia="Arial" w:hAnsi="Times New Roman" w:cs="Times New Roman"/>
                <w:sz w:val="18"/>
                <w:szCs w:val="18"/>
              </w:rPr>
            </w:pPr>
          </w:p>
          <w:p w14:paraId="2A44C044" w14:textId="77777777" w:rsidR="00465215" w:rsidRPr="005E6D70" w:rsidRDefault="00465215" w:rsidP="009170D4">
            <w:pPr>
              <w:jc w:val="center"/>
              <w:rPr>
                <w:rFonts w:ascii="Times New Roman" w:eastAsia="Arial" w:hAnsi="Times New Roman" w:cs="Times New Roman"/>
                <w:sz w:val="18"/>
                <w:szCs w:val="18"/>
              </w:rPr>
            </w:pPr>
          </w:p>
          <w:p w14:paraId="2A90C3BA" w14:textId="77777777" w:rsidR="00465215" w:rsidRPr="005E6D70" w:rsidRDefault="00465215" w:rsidP="009170D4">
            <w:pPr>
              <w:jc w:val="center"/>
              <w:rPr>
                <w:rFonts w:ascii="Times New Roman" w:eastAsia="Arial" w:hAnsi="Times New Roman" w:cs="Times New Roman"/>
                <w:sz w:val="18"/>
                <w:szCs w:val="18"/>
              </w:rPr>
            </w:pPr>
          </w:p>
          <w:p w14:paraId="0EB173F1" w14:textId="77777777" w:rsidR="00465215" w:rsidRPr="005E6D70" w:rsidRDefault="00465215" w:rsidP="009170D4">
            <w:pPr>
              <w:jc w:val="center"/>
              <w:rPr>
                <w:rFonts w:ascii="Times New Roman" w:eastAsia="Arial" w:hAnsi="Times New Roman" w:cs="Times New Roman"/>
                <w:sz w:val="18"/>
                <w:szCs w:val="18"/>
              </w:rPr>
            </w:pPr>
          </w:p>
          <w:p w14:paraId="48B98EF6" w14:textId="77777777" w:rsidR="00465215" w:rsidRPr="005E6D70" w:rsidRDefault="00465215" w:rsidP="009170D4">
            <w:pPr>
              <w:jc w:val="center"/>
              <w:rPr>
                <w:rFonts w:ascii="Times New Roman" w:eastAsia="Arial" w:hAnsi="Times New Roman" w:cs="Times New Roman"/>
                <w:sz w:val="18"/>
                <w:szCs w:val="18"/>
              </w:rPr>
            </w:pPr>
          </w:p>
          <w:p w14:paraId="11AE45DE" w14:textId="77777777" w:rsidR="00465215" w:rsidRPr="005E6D70" w:rsidRDefault="00465215" w:rsidP="009170D4">
            <w:pPr>
              <w:jc w:val="center"/>
              <w:rPr>
                <w:rFonts w:ascii="Times New Roman" w:eastAsia="Arial" w:hAnsi="Times New Roman" w:cs="Times New Roman"/>
                <w:sz w:val="18"/>
                <w:szCs w:val="18"/>
              </w:rPr>
            </w:pPr>
          </w:p>
          <w:p w14:paraId="65BB0899" w14:textId="77777777" w:rsidR="00465215" w:rsidRPr="005E6D70" w:rsidRDefault="00465215" w:rsidP="009170D4">
            <w:pPr>
              <w:jc w:val="center"/>
              <w:rPr>
                <w:rFonts w:ascii="Times New Roman" w:eastAsia="Arial" w:hAnsi="Times New Roman" w:cs="Times New Roman"/>
                <w:sz w:val="18"/>
                <w:szCs w:val="18"/>
              </w:rPr>
            </w:pPr>
          </w:p>
          <w:p w14:paraId="5345C334"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39(4)(b)</w:t>
            </w:r>
          </w:p>
          <w:p w14:paraId="365E71C4" w14:textId="77777777" w:rsidR="00465215" w:rsidRPr="005E6D70" w:rsidRDefault="00465215" w:rsidP="009170D4">
            <w:pPr>
              <w:jc w:val="center"/>
              <w:rPr>
                <w:rFonts w:ascii="Times New Roman" w:eastAsia="Calibri" w:hAnsi="Times New Roman" w:cs="Times New Roman"/>
                <w:sz w:val="18"/>
                <w:szCs w:val="18"/>
                <w:lang w:val="en-US"/>
              </w:rPr>
            </w:pPr>
          </w:p>
          <w:p w14:paraId="603F37CE" w14:textId="77777777" w:rsidR="00465215" w:rsidRPr="005E6D70" w:rsidRDefault="00465215" w:rsidP="009170D4">
            <w:pPr>
              <w:jc w:val="center"/>
              <w:rPr>
                <w:rFonts w:ascii="Times New Roman" w:eastAsia="Calibri" w:hAnsi="Times New Roman" w:cs="Times New Roman"/>
                <w:sz w:val="18"/>
                <w:szCs w:val="18"/>
                <w:lang w:val="en-US"/>
              </w:rPr>
            </w:pPr>
          </w:p>
          <w:p w14:paraId="744CBE3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39(4)(c)</w:t>
            </w:r>
          </w:p>
        </w:tc>
        <w:tc>
          <w:tcPr>
            <w:tcW w:w="4680" w:type="dxa"/>
            <w:gridSpan w:val="2"/>
          </w:tcPr>
          <w:p w14:paraId="3F2B1349"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a) the top-up tax of the joint venture group shall be reduced by each parent entity’s allocable share of the top-up tax imposed under the IIR or by the top-up tax imposed under a Qualified Domestic Minimum Top-up Tax (QDMTT) payable in relation to the members of the joint venture group. Any remaining amount of top-up tax shall be added to the total UTPR top-up tax amount pursuant to paragraph 2, of Article 13, of this Law;</w:t>
            </w:r>
          </w:p>
          <w:p w14:paraId="728FAB5D" w14:textId="77777777" w:rsidR="00465215" w:rsidRPr="005E6D70" w:rsidRDefault="00465215" w:rsidP="009170D4">
            <w:pPr>
              <w:jc w:val="both"/>
              <w:rPr>
                <w:rFonts w:ascii="Times New Roman" w:eastAsia="Arial" w:hAnsi="Times New Roman" w:cs="Times New Roman"/>
                <w:sz w:val="18"/>
                <w:szCs w:val="18"/>
              </w:rPr>
            </w:pPr>
          </w:p>
          <w:p w14:paraId="0CADF271"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b) any reference to the “ultimate parent entity” in those Chapters shall be construed as a reference to the joint venture; and</w:t>
            </w:r>
          </w:p>
          <w:p w14:paraId="083AA302" w14:textId="77777777" w:rsidR="00465215" w:rsidRPr="005E6D70" w:rsidRDefault="00465215" w:rsidP="009170D4">
            <w:pPr>
              <w:jc w:val="both"/>
              <w:rPr>
                <w:rFonts w:ascii="Times New Roman" w:eastAsia="Arial" w:hAnsi="Times New Roman" w:cs="Times New Roman"/>
                <w:sz w:val="18"/>
                <w:szCs w:val="18"/>
              </w:rPr>
            </w:pPr>
          </w:p>
          <w:p w14:paraId="4C8C41E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c) any reference to the “multinational enterprise group” or “large-scale domestic group” in those Chapters shall be construed as a reference to the joint venture group.</w:t>
            </w:r>
          </w:p>
        </w:tc>
        <w:tc>
          <w:tcPr>
            <w:tcW w:w="1800" w:type="dxa"/>
            <w:gridSpan w:val="2"/>
          </w:tcPr>
          <w:p w14:paraId="3BC9A51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41CE6F11"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Proposed addition of the UTPR adjustment requirement into paragraph 4(a) to ensure full compliance with EU rules.</w:t>
            </w:r>
          </w:p>
        </w:tc>
      </w:tr>
      <w:tr w:rsidR="00465215" w:rsidRPr="005E6D70" w14:paraId="31A2A62E" w14:textId="77777777" w:rsidTr="009170D4">
        <w:trPr>
          <w:trHeight w:val="152"/>
        </w:trPr>
        <w:tc>
          <w:tcPr>
            <w:tcW w:w="810" w:type="dxa"/>
            <w:shd w:val="clear" w:color="auto" w:fill="D9D9D9" w:themeFill="background1" w:themeFillShade="D9"/>
          </w:tcPr>
          <w:p w14:paraId="1D5B99EB"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5E2C9FC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37. Multi-parented MNE groups</w:t>
            </w:r>
          </w:p>
        </w:tc>
        <w:tc>
          <w:tcPr>
            <w:tcW w:w="990" w:type="dxa"/>
            <w:gridSpan w:val="2"/>
            <w:shd w:val="clear" w:color="auto" w:fill="D9D9D9" w:themeFill="background1" w:themeFillShade="D9"/>
          </w:tcPr>
          <w:p w14:paraId="70FA026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423B58A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40</w:t>
            </w:r>
          </w:p>
        </w:tc>
        <w:tc>
          <w:tcPr>
            <w:tcW w:w="4680" w:type="dxa"/>
            <w:gridSpan w:val="2"/>
            <w:shd w:val="clear" w:color="auto" w:fill="D9D9D9" w:themeFill="background1" w:themeFillShade="D9"/>
          </w:tcPr>
          <w:p w14:paraId="79C5B94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Article 40. Multi-parented multinational enterprise groups</w:t>
            </w:r>
          </w:p>
        </w:tc>
        <w:tc>
          <w:tcPr>
            <w:tcW w:w="1800" w:type="dxa"/>
            <w:gridSpan w:val="2"/>
            <w:shd w:val="clear" w:color="auto" w:fill="D9D9D9" w:themeFill="background1" w:themeFillShade="D9"/>
          </w:tcPr>
          <w:p w14:paraId="316240E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21616D16"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Transposition of EU Directive Article 37 into Article 40 of the domestic draft law.</w:t>
            </w:r>
          </w:p>
        </w:tc>
      </w:tr>
      <w:tr w:rsidR="00465215" w:rsidRPr="005E6D70" w14:paraId="50AACD60" w14:textId="77777777" w:rsidTr="009170D4">
        <w:trPr>
          <w:trHeight w:val="152"/>
        </w:trPr>
        <w:tc>
          <w:tcPr>
            <w:tcW w:w="810" w:type="dxa"/>
          </w:tcPr>
          <w:p w14:paraId="47CE0D9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37(1)</w:t>
            </w:r>
          </w:p>
        </w:tc>
        <w:tc>
          <w:tcPr>
            <w:tcW w:w="5040" w:type="dxa"/>
            <w:gridSpan w:val="2"/>
          </w:tcPr>
          <w:p w14:paraId="46EC8D1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For the purposes of this Article, the following definitions apply:</w:t>
            </w:r>
          </w:p>
        </w:tc>
        <w:tc>
          <w:tcPr>
            <w:tcW w:w="990" w:type="dxa"/>
            <w:gridSpan w:val="2"/>
          </w:tcPr>
          <w:p w14:paraId="7BED4B0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5965053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40(1)</w:t>
            </w:r>
          </w:p>
        </w:tc>
        <w:tc>
          <w:tcPr>
            <w:tcW w:w="4680" w:type="dxa"/>
            <w:gridSpan w:val="2"/>
          </w:tcPr>
          <w:p w14:paraId="13851021"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1. For the purposes of this Article, the following definitions apply:</w:t>
            </w:r>
          </w:p>
        </w:tc>
        <w:tc>
          <w:tcPr>
            <w:tcW w:w="1800" w:type="dxa"/>
            <w:gridSpan w:val="2"/>
          </w:tcPr>
          <w:p w14:paraId="72C887F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121527F6"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72EB341B" w14:textId="77777777" w:rsidTr="009170D4">
        <w:trPr>
          <w:trHeight w:val="152"/>
        </w:trPr>
        <w:tc>
          <w:tcPr>
            <w:tcW w:w="810" w:type="dxa"/>
          </w:tcPr>
          <w:p w14:paraId="4395C0E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37(1a)</w:t>
            </w:r>
          </w:p>
        </w:tc>
        <w:tc>
          <w:tcPr>
            <w:tcW w:w="5040" w:type="dxa"/>
            <w:gridSpan w:val="2"/>
          </w:tcPr>
          <w:p w14:paraId="63154BE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‘multi-parented MNE group or large-scale domestic group’ means two or more groups where the ultimate parent entities enter into an arrangement that is a stapled structure or a dual-listed arrangement that includes at least one entity or permanent establishment of the combined group which is located in a different jurisdiction with respect to the location of the other entities of the combined group;</w:t>
            </w:r>
          </w:p>
        </w:tc>
        <w:tc>
          <w:tcPr>
            <w:tcW w:w="990" w:type="dxa"/>
            <w:gridSpan w:val="2"/>
          </w:tcPr>
          <w:p w14:paraId="430CF64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63506E6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40(1)(a)</w:t>
            </w:r>
          </w:p>
        </w:tc>
        <w:tc>
          <w:tcPr>
            <w:tcW w:w="4680" w:type="dxa"/>
            <w:gridSpan w:val="2"/>
          </w:tcPr>
          <w:p w14:paraId="1FA7A41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a) “multi-parented multinational enterprise group” means two or more groups where the ultimate parent entities enter into an arrangement that is a stapled structure or a dual-listed arrangement that includes at least one entity or permanent establishment of the combined group which is located in a different jurisdiction with respect to the location of the other entities of the combined group;</w:t>
            </w:r>
          </w:p>
        </w:tc>
        <w:tc>
          <w:tcPr>
            <w:tcW w:w="1800" w:type="dxa"/>
            <w:gridSpan w:val="2"/>
          </w:tcPr>
          <w:p w14:paraId="7D4E847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483D4E21"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4EF93E1D" w14:textId="77777777" w:rsidTr="009170D4">
        <w:trPr>
          <w:trHeight w:val="152"/>
        </w:trPr>
        <w:tc>
          <w:tcPr>
            <w:tcW w:w="810" w:type="dxa"/>
          </w:tcPr>
          <w:p w14:paraId="443AF42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37(1b)</w:t>
            </w:r>
          </w:p>
        </w:tc>
        <w:tc>
          <w:tcPr>
            <w:tcW w:w="5040" w:type="dxa"/>
            <w:gridSpan w:val="2"/>
          </w:tcPr>
          <w:p w14:paraId="24B48DC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‘stapled structure’ means an arrangement entered into by two or more ultimate parent entities of separate groups under which:</w:t>
            </w:r>
          </w:p>
          <w:p w14:paraId="3DB0B5F5" w14:textId="77777777" w:rsidR="00465215" w:rsidRPr="005E6D70" w:rsidRDefault="00465215" w:rsidP="009170D4">
            <w:pPr>
              <w:jc w:val="both"/>
              <w:rPr>
                <w:rFonts w:ascii="Times New Roman" w:eastAsia="Calibri" w:hAnsi="Times New Roman" w:cs="Times New Roman"/>
                <w:iCs/>
                <w:sz w:val="18"/>
                <w:szCs w:val="18"/>
                <w:lang w:val="en-US"/>
              </w:rPr>
            </w:pPr>
          </w:p>
          <w:p w14:paraId="3F41529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50 % or more of the ownership interests in the ultimate parent entities of separate groups which are, if they are listed, quoted at a single price, and are, by reason of form of ownership, restrictions on transfer, or other terms or conditions, combined with each other, and cannot be transferred or traded independently; and</w:t>
            </w:r>
          </w:p>
          <w:p w14:paraId="480A5BD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50726A6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 one of the ultimate parent entities prepares consolidated financial statements in which the assets, liabilities, income, expenses and cash flows of all the entities of the groups concerned are presented together as those of a single economic unit and that are required by a regulatory regime to be externally audited;</w:t>
            </w:r>
          </w:p>
        </w:tc>
        <w:tc>
          <w:tcPr>
            <w:tcW w:w="990" w:type="dxa"/>
            <w:gridSpan w:val="2"/>
          </w:tcPr>
          <w:p w14:paraId="5067B6D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35DE71B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40(1)(b)</w:t>
            </w:r>
          </w:p>
        </w:tc>
        <w:tc>
          <w:tcPr>
            <w:tcW w:w="4680" w:type="dxa"/>
            <w:gridSpan w:val="2"/>
          </w:tcPr>
          <w:p w14:paraId="31BDF70A"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b) “stapled structure” means an arrangement entered into by two or more ultimate parent entities of separate groups under which: </w:t>
            </w:r>
          </w:p>
          <w:p w14:paraId="5FBB07E2" w14:textId="77777777" w:rsidR="00465215" w:rsidRPr="005E6D70" w:rsidRDefault="00465215" w:rsidP="009170D4">
            <w:pPr>
              <w:jc w:val="both"/>
              <w:rPr>
                <w:rFonts w:ascii="Times New Roman" w:eastAsia="Arial" w:hAnsi="Times New Roman" w:cs="Times New Roman"/>
                <w:sz w:val="18"/>
                <w:szCs w:val="18"/>
              </w:rPr>
            </w:pPr>
          </w:p>
          <w:p w14:paraId="252A4D5C"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 50% or more of the ownership interests in each of the ultimate parent entities are combined (by reason of form of ownership, restrictions on transfer, or other terms or conditions) and cannot be transferred or traded independently; and </w:t>
            </w:r>
          </w:p>
          <w:p w14:paraId="62E6773F" w14:textId="77777777" w:rsidR="00465215" w:rsidRPr="005E6D70" w:rsidRDefault="00465215" w:rsidP="009170D4">
            <w:pPr>
              <w:jc w:val="both"/>
              <w:rPr>
                <w:rFonts w:ascii="Times New Roman" w:eastAsia="Arial" w:hAnsi="Times New Roman" w:cs="Times New Roman"/>
                <w:sz w:val="18"/>
                <w:szCs w:val="18"/>
              </w:rPr>
            </w:pPr>
          </w:p>
          <w:p w14:paraId="3E7987E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(ii) one of the ultimate parent entities prepares consolidated financial statements in which the assets, liabilities, income, expenses and cash flows of all the entities of the groups concerned are presented together as those of a single economic unit and that are required by a regulatory regime to be externally audited;</w:t>
            </w:r>
          </w:p>
        </w:tc>
        <w:tc>
          <w:tcPr>
            <w:tcW w:w="1800" w:type="dxa"/>
            <w:gridSpan w:val="2"/>
          </w:tcPr>
          <w:p w14:paraId="575F5E7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00B8DCBF"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in substance. Phrasing slightly adapted for legislative clarity.</w:t>
            </w:r>
          </w:p>
        </w:tc>
      </w:tr>
      <w:tr w:rsidR="00465215" w:rsidRPr="005E6D70" w14:paraId="5AA88EFF" w14:textId="77777777" w:rsidTr="009170D4">
        <w:trPr>
          <w:trHeight w:val="152"/>
        </w:trPr>
        <w:tc>
          <w:tcPr>
            <w:tcW w:w="810" w:type="dxa"/>
          </w:tcPr>
          <w:p w14:paraId="4AD0B740" w14:textId="77777777" w:rsidR="00465215" w:rsidRPr="005E6D70" w:rsidRDefault="00465215" w:rsidP="009170D4">
            <w:pPr>
              <w:jc w:val="center"/>
              <w:rPr>
                <w:rFonts w:ascii="Times New Roman" w:eastAsia="Calibri" w:hAnsi="Times New Roman" w:cs="Times New Roman"/>
                <w:sz w:val="18"/>
                <w:szCs w:val="18"/>
                <w:highlight w:val="yellow"/>
                <w:lang w:val="en-US"/>
              </w:rPr>
            </w:pPr>
            <w:r w:rsidRPr="005E6D70">
              <w:rPr>
                <w:rFonts w:ascii="Times New Roman" w:eastAsia="Calibri" w:hAnsi="Times New Roman" w:cs="Times New Roman"/>
                <w:sz w:val="18"/>
                <w:szCs w:val="18"/>
                <w:lang w:val="en-US"/>
              </w:rPr>
              <w:t>37(1c)</w:t>
            </w:r>
          </w:p>
        </w:tc>
        <w:tc>
          <w:tcPr>
            <w:tcW w:w="5040" w:type="dxa"/>
            <w:gridSpan w:val="2"/>
          </w:tcPr>
          <w:p w14:paraId="4412F9F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‘dual-listed arrangement’ means an arrangement entered into by two or more ultimate parent entities of separate groups under which:</w:t>
            </w:r>
          </w:p>
          <w:p w14:paraId="270BC81B" w14:textId="77777777" w:rsidR="00465215" w:rsidRPr="005E6D70" w:rsidRDefault="00465215" w:rsidP="009170D4">
            <w:pPr>
              <w:jc w:val="both"/>
              <w:rPr>
                <w:rFonts w:ascii="Times New Roman" w:eastAsia="Calibri" w:hAnsi="Times New Roman" w:cs="Times New Roman"/>
                <w:iCs/>
                <w:sz w:val="18"/>
                <w:szCs w:val="18"/>
                <w:lang w:val="en-US"/>
              </w:rPr>
            </w:pPr>
          </w:p>
          <w:p w14:paraId="0A086BB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the ultimate parent entities agree to combine their business by contract alone;</w:t>
            </w:r>
          </w:p>
          <w:p w14:paraId="0018C59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515FF1B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pursuant to contractual arrangements the ultimate parent entities will make distributions, with respect to dividends and in liquidation, to their shareholders based on a fixed ratio;</w:t>
            </w:r>
          </w:p>
          <w:p w14:paraId="68C9C3F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1F70B0B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(iii) the ultimate parent entities’ activities are managed as a single economic unit under contractual arrangements while retaining their separate legal identities;</w:t>
            </w:r>
          </w:p>
          <w:p w14:paraId="4137C38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1354FF9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(iv) the ownership interests of the ultimate parent entities that comprise the agreement are quoted, traded or transferred independently in different capital markets; and</w:t>
            </w:r>
          </w:p>
          <w:p w14:paraId="3EDE0CC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679C649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(v) the ultimate parent entities prepare consolidated financial statements in which the assets, liabilities, income, expenses and cash flows of entities in all of the groups are presented together as those of a single economic unit, and are required by a regulatory regime to be externally audited.</w:t>
            </w:r>
          </w:p>
        </w:tc>
        <w:tc>
          <w:tcPr>
            <w:tcW w:w="990" w:type="dxa"/>
            <w:gridSpan w:val="2"/>
          </w:tcPr>
          <w:p w14:paraId="75CACC5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000E124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40(1)(c)</w:t>
            </w:r>
          </w:p>
        </w:tc>
        <w:tc>
          <w:tcPr>
            <w:tcW w:w="4680" w:type="dxa"/>
            <w:gridSpan w:val="2"/>
          </w:tcPr>
          <w:p w14:paraId="36DF09C7"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c) “dual-listed arrangement” means an arrangement entered into by two or more ultimate parent entities of separate groups under which: </w:t>
            </w:r>
          </w:p>
          <w:p w14:paraId="2586D9AF" w14:textId="77777777" w:rsidR="00465215" w:rsidRPr="005E6D70" w:rsidRDefault="00465215" w:rsidP="009170D4">
            <w:pPr>
              <w:jc w:val="both"/>
              <w:rPr>
                <w:rFonts w:ascii="Times New Roman" w:eastAsia="Arial" w:hAnsi="Times New Roman" w:cs="Times New Roman"/>
                <w:sz w:val="18"/>
                <w:szCs w:val="18"/>
              </w:rPr>
            </w:pPr>
          </w:p>
          <w:p w14:paraId="4159CD24"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 the ultimate parent entities agree to combine their business by contract alone; </w:t>
            </w:r>
          </w:p>
          <w:p w14:paraId="2D1FAB41" w14:textId="77777777" w:rsidR="00465215" w:rsidRPr="005E6D70" w:rsidRDefault="00465215" w:rsidP="009170D4">
            <w:pPr>
              <w:jc w:val="both"/>
              <w:rPr>
                <w:rFonts w:ascii="Times New Roman" w:eastAsia="Arial" w:hAnsi="Times New Roman" w:cs="Times New Roman"/>
                <w:sz w:val="18"/>
                <w:szCs w:val="18"/>
              </w:rPr>
            </w:pPr>
          </w:p>
          <w:p w14:paraId="32F9B9E6"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(ii) pursuant to contractual arrangements, the ultimate parent entities will make distributions (with respect to dividends and in liquidation) to their ownership holders based on a fixed ratio; </w:t>
            </w:r>
          </w:p>
          <w:p w14:paraId="315D8BDD" w14:textId="77777777" w:rsidR="00465215" w:rsidRPr="005E6D70" w:rsidRDefault="00465215" w:rsidP="009170D4">
            <w:pPr>
              <w:jc w:val="both"/>
              <w:rPr>
                <w:rFonts w:ascii="Times New Roman" w:eastAsia="Arial" w:hAnsi="Times New Roman" w:cs="Times New Roman"/>
                <w:sz w:val="18"/>
                <w:szCs w:val="18"/>
              </w:rPr>
            </w:pPr>
          </w:p>
          <w:p w14:paraId="6CCB78EC"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(iii) the ultimate parent entities’ activities are managed as a single economic unit under contractual arrangements while retaining their separate legal identities; </w:t>
            </w:r>
          </w:p>
          <w:p w14:paraId="54EAD531" w14:textId="77777777" w:rsidR="00465215" w:rsidRPr="005E6D70" w:rsidRDefault="00465215" w:rsidP="009170D4">
            <w:pPr>
              <w:jc w:val="both"/>
              <w:rPr>
                <w:rFonts w:ascii="Times New Roman" w:eastAsia="Arial" w:hAnsi="Times New Roman" w:cs="Times New Roman"/>
                <w:sz w:val="18"/>
                <w:szCs w:val="18"/>
              </w:rPr>
            </w:pPr>
          </w:p>
          <w:p w14:paraId="5001A286"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(iv) the ownership interests of the ultimate parent entities comprising the agreement are quoted, traded or transferred independently in different capital markets; and </w:t>
            </w:r>
          </w:p>
          <w:p w14:paraId="69C4D3D5" w14:textId="77777777" w:rsidR="00465215" w:rsidRPr="005E6D70" w:rsidRDefault="00465215" w:rsidP="009170D4">
            <w:pPr>
              <w:jc w:val="both"/>
              <w:rPr>
                <w:rFonts w:ascii="Times New Roman" w:eastAsia="Arial" w:hAnsi="Times New Roman" w:cs="Times New Roman"/>
                <w:sz w:val="18"/>
                <w:szCs w:val="18"/>
              </w:rPr>
            </w:pPr>
          </w:p>
          <w:p w14:paraId="3EFF747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(v) the ultimate parent entities prepare consolidated financial statements in which the assets, liabilities, income, expenses and cash flows of all the entities of the groups concerned are presented together as those of a single economic unit and that are required by a regulatory regime to be externally audited.</w:t>
            </w:r>
          </w:p>
        </w:tc>
        <w:tc>
          <w:tcPr>
            <w:tcW w:w="1800" w:type="dxa"/>
            <w:gridSpan w:val="2"/>
          </w:tcPr>
          <w:p w14:paraId="6923A3C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174F5CD1"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75743E80" w14:textId="77777777" w:rsidTr="009170D4">
        <w:trPr>
          <w:trHeight w:val="152"/>
        </w:trPr>
        <w:tc>
          <w:tcPr>
            <w:tcW w:w="810" w:type="dxa"/>
          </w:tcPr>
          <w:p w14:paraId="0F82BB0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37(2)</w:t>
            </w:r>
          </w:p>
        </w:tc>
        <w:tc>
          <w:tcPr>
            <w:tcW w:w="5040" w:type="dxa"/>
            <w:gridSpan w:val="2"/>
          </w:tcPr>
          <w:p w14:paraId="254D048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 Where entities and constituent entities of two or more groups form part of a multi-parented MNE group or large-scale domestic group, the entities and constituent entities of each group shall be treated as members of one multi-parented MNE group or large-scale domestic group. An entity, other than an excluded entity referred to in Article 2(3), shall be treated as a constituent entity if it is consolidated on a line-by-line basis by the multi-parented MNE group or large-scale domestic group or if its controlling interests are held by entities in the multi-parented MNE group or large-scale domestic group.</w:t>
            </w:r>
          </w:p>
        </w:tc>
        <w:tc>
          <w:tcPr>
            <w:tcW w:w="990" w:type="dxa"/>
            <w:gridSpan w:val="2"/>
          </w:tcPr>
          <w:p w14:paraId="16B4AAB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2C05A38B"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40(2)</w:t>
            </w:r>
          </w:p>
          <w:p w14:paraId="6F5FD167" w14:textId="77777777" w:rsidR="00465215" w:rsidRPr="005E6D70" w:rsidRDefault="00465215" w:rsidP="009170D4">
            <w:pPr>
              <w:jc w:val="center"/>
              <w:rPr>
                <w:rFonts w:ascii="Times New Roman" w:eastAsia="Arial" w:hAnsi="Times New Roman" w:cs="Times New Roman"/>
                <w:sz w:val="18"/>
                <w:szCs w:val="18"/>
              </w:rPr>
            </w:pPr>
          </w:p>
          <w:p w14:paraId="49F14850" w14:textId="77777777" w:rsidR="00465215" w:rsidRPr="005E6D70" w:rsidRDefault="00465215" w:rsidP="009170D4">
            <w:pPr>
              <w:jc w:val="center"/>
              <w:rPr>
                <w:rFonts w:ascii="Times New Roman" w:eastAsia="Arial" w:hAnsi="Times New Roman" w:cs="Times New Roman"/>
                <w:sz w:val="18"/>
                <w:szCs w:val="18"/>
              </w:rPr>
            </w:pPr>
          </w:p>
          <w:p w14:paraId="4870147B" w14:textId="77777777" w:rsidR="00465215" w:rsidRPr="005E6D70" w:rsidRDefault="00465215" w:rsidP="009170D4">
            <w:pPr>
              <w:jc w:val="center"/>
              <w:rPr>
                <w:rFonts w:ascii="Times New Roman" w:eastAsia="Arial" w:hAnsi="Times New Roman" w:cs="Times New Roman"/>
                <w:sz w:val="18"/>
                <w:szCs w:val="18"/>
              </w:rPr>
            </w:pPr>
          </w:p>
          <w:p w14:paraId="0ECE9059" w14:textId="77777777" w:rsidR="00465215" w:rsidRPr="005E6D70" w:rsidRDefault="00465215" w:rsidP="009170D4">
            <w:pPr>
              <w:jc w:val="center"/>
              <w:rPr>
                <w:rFonts w:ascii="Times New Roman" w:eastAsia="Arial" w:hAnsi="Times New Roman" w:cs="Times New Roman"/>
                <w:sz w:val="18"/>
                <w:szCs w:val="18"/>
              </w:rPr>
            </w:pPr>
          </w:p>
          <w:p w14:paraId="25845BC2" w14:textId="77777777" w:rsidR="00465215" w:rsidRPr="005E6D70" w:rsidRDefault="00465215" w:rsidP="009170D4">
            <w:pPr>
              <w:jc w:val="center"/>
              <w:rPr>
                <w:rFonts w:ascii="Times New Roman" w:eastAsia="Arial" w:hAnsi="Times New Roman" w:cs="Times New Roman"/>
                <w:sz w:val="18"/>
                <w:szCs w:val="18"/>
              </w:rPr>
            </w:pPr>
          </w:p>
          <w:p w14:paraId="61C0E882" w14:textId="77777777" w:rsidR="00465215" w:rsidRPr="005E6D70" w:rsidRDefault="00465215" w:rsidP="009170D4">
            <w:pPr>
              <w:jc w:val="center"/>
              <w:rPr>
                <w:rFonts w:ascii="Times New Roman" w:eastAsia="Arial" w:hAnsi="Times New Roman" w:cs="Times New Roman"/>
                <w:sz w:val="18"/>
                <w:szCs w:val="18"/>
              </w:rPr>
            </w:pPr>
          </w:p>
          <w:p w14:paraId="40A4A48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40(3)</w:t>
            </w:r>
          </w:p>
        </w:tc>
        <w:tc>
          <w:tcPr>
            <w:tcW w:w="4680" w:type="dxa"/>
            <w:gridSpan w:val="2"/>
          </w:tcPr>
          <w:p w14:paraId="0749D9EB"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2. Where entities and constituent entities of two or more groups form part of a multi-parented multinational enterprise group, the entities and constituent entities of each group shall be treated as members of a single multi-parented multinational enterprise group. </w:t>
            </w:r>
          </w:p>
          <w:p w14:paraId="3739C94A" w14:textId="77777777" w:rsidR="00465215" w:rsidRPr="005E6D70" w:rsidRDefault="00465215" w:rsidP="009170D4">
            <w:pPr>
              <w:jc w:val="both"/>
              <w:rPr>
                <w:rFonts w:ascii="Times New Roman" w:eastAsia="Arial" w:hAnsi="Times New Roman" w:cs="Times New Roman"/>
                <w:sz w:val="18"/>
                <w:szCs w:val="18"/>
              </w:rPr>
            </w:pPr>
          </w:p>
          <w:p w14:paraId="3EEBE93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 An entity (other than an excluded entity) shall be treated as a constituent entity of a multi-parented multinational enterprise group if it is consolidated on a line-by-line basis in the multi-parented multinational enterprise group’s consolidated financial statements or if its controlling interests are held by entities of the multi-parented multinational enterprise group and it is consolidated on a line-by-line basis in the financial statements of the multi-parented multinational enterprise group.</w:t>
            </w:r>
          </w:p>
        </w:tc>
        <w:tc>
          <w:tcPr>
            <w:tcW w:w="1800" w:type="dxa"/>
            <w:gridSpan w:val="2"/>
          </w:tcPr>
          <w:p w14:paraId="7B5E817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7399FC62"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Structural separation. The EU paragraph is codified as two distinct numbered paragraphs.</w:t>
            </w:r>
          </w:p>
        </w:tc>
      </w:tr>
      <w:tr w:rsidR="00465215" w:rsidRPr="005E6D70" w14:paraId="4E6CEEED" w14:textId="77777777" w:rsidTr="009170D4">
        <w:trPr>
          <w:trHeight w:val="152"/>
        </w:trPr>
        <w:tc>
          <w:tcPr>
            <w:tcW w:w="810" w:type="dxa"/>
          </w:tcPr>
          <w:p w14:paraId="078E9AE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37(3)</w:t>
            </w:r>
          </w:p>
        </w:tc>
        <w:tc>
          <w:tcPr>
            <w:tcW w:w="5040" w:type="dxa"/>
            <w:gridSpan w:val="2"/>
          </w:tcPr>
          <w:p w14:paraId="04DA5BA1"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The consolidated financial statements of the multi-parented MNE group or large-scale domestic group shall be the combined consolidated financial statements referred to in the definitions of a stapled structure or a dual-listed arrangement in paragraph 1, prepared under an acceptable financial accounting standard, which is deemed to be the accounting standard of the ultimate parent entity.</w:t>
            </w:r>
          </w:p>
        </w:tc>
        <w:tc>
          <w:tcPr>
            <w:tcW w:w="990" w:type="dxa"/>
            <w:gridSpan w:val="2"/>
          </w:tcPr>
          <w:p w14:paraId="47F9E7A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593A074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40(4)</w:t>
            </w:r>
          </w:p>
        </w:tc>
        <w:tc>
          <w:tcPr>
            <w:tcW w:w="4680" w:type="dxa"/>
            <w:gridSpan w:val="2"/>
          </w:tcPr>
          <w:p w14:paraId="22352AE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 The consolidated financial statements of the multi-parented multinational enterprise group shall be the combined consolidated financial statements referred to in the definitions of a stapled structure or a dual-listed arrangement in paragraph 1, of this Article, prepared under an acceptable financial accounting standard, which is deemed to be the accounting standard of the ultimate parent entity.</w:t>
            </w:r>
          </w:p>
        </w:tc>
        <w:tc>
          <w:tcPr>
            <w:tcW w:w="1800" w:type="dxa"/>
            <w:gridSpan w:val="2"/>
          </w:tcPr>
          <w:p w14:paraId="6CBC5F3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119CFB9A"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6BBF1A90" w14:textId="77777777" w:rsidTr="009170D4">
        <w:trPr>
          <w:trHeight w:val="152"/>
        </w:trPr>
        <w:tc>
          <w:tcPr>
            <w:tcW w:w="810" w:type="dxa"/>
          </w:tcPr>
          <w:p w14:paraId="4416EBD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37(4)</w:t>
            </w:r>
          </w:p>
        </w:tc>
        <w:tc>
          <w:tcPr>
            <w:tcW w:w="5040" w:type="dxa"/>
            <w:gridSpan w:val="2"/>
          </w:tcPr>
          <w:p w14:paraId="3E62669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 The ultimate parent entities of the separate groups that compose the multi-parented MNE group or large-scale domestic group shall be the ultimate parent entities of the multi-parented MNE group or large-scale domestic group. When applying this Directive in respect of a multi-parented MNE group or large-scale domestic group, any references to an ultimate parent entity shall apply, as required, as if they are references to multiple ultimate parent entities.</w:t>
            </w:r>
          </w:p>
        </w:tc>
        <w:tc>
          <w:tcPr>
            <w:tcW w:w="990" w:type="dxa"/>
            <w:gridSpan w:val="2"/>
          </w:tcPr>
          <w:p w14:paraId="6007176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0B1ACFF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40(5)</w:t>
            </w:r>
          </w:p>
        </w:tc>
        <w:tc>
          <w:tcPr>
            <w:tcW w:w="4680" w:type="dxa"/>
            <w:gridSpan w:val="2"/>
          </w:tcPr>
          <w:p w14:paraId="1EA9445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 The ultimate parent entities of the separate groups that compose the multi-parented multinational enterprise group shall be the ultimate parent entities of the multi-parented multinational enterprise group. In applying this Law in respect of a multi-parented multinational enterprise group, any references to an ultimate parent entity shall apply, as required, to the ultimate parent entities of the multi-parented multinational enterprise group.</w:t>
            </w:r>
          </w:p>
        </w:tc>
        <w:tc>
          <w:tcPr>
            <w:tcW w:w="1800" w:type="dxa"/>
            <w:gridSpan w:val="2"/>
          </w:tcPr>
          <w:p w14:paraId="5EAFC95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18CC2BF5"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3AD8ACFF" w14:textId="77777777" w:rsidTr="009170D4">
        <w:trPr>
          <w:trHeight w:val="152"/>
        </w:trPr>
        <w:tc>
          <w:tcPr>
            <w:tcW w:w="810" w:type="dxa"/>
          </w:tcPr>
          <w:p w14:paraId="1D6AE7D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37(5)</w:t>
            </w:r>
          </w:p>
        </w:tc>
        <w:tc>
          <w:tcPr>
            <w:tcW w:w="5040" w:type="dxa"/>
            <w:gridSpan w:val="2"/>
          </w:tcPr>
          <w:p w14:paraId="294E1CA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5. The parent entities of the multi-parented MNE group or large-scale domestic group located in a Member State, including each ultimate parent entity, shall apply the IIR in accordance with Articles 5 to 10 with respect to their allocable share of the top-up tax of the low-taxed constituent entities.</w:t>
            </w:r>
          </w:p>
        </w:tc>
        <w:tc>
          <w:tcPr>
            <w:tcW w:w="990" w:type="dxa"/>
            <w:gridSpan w:val="2"/>
          </w:tcPr>
          <w:p w14:paraId="34AEB0F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2CC82D0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40(6)</w:t>
            </w:r>
          </w:p>
        </w:tc>
        <w:tc>
          <w:tcPr>
            <w:tcW w:w="4680" w:type="dxa"/>
            <w:gridSpan w:val="2"/>
          </w:tcPr>
          <w:p w14:paraId="167446F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6. The parent entities of the multi-parented multinational enterprise group located in the Republic of Albania (including each ultimate parent entity) shall apply the Income Inclusion Rule (IIR) in accordance with Articles 6 to 11, of this Law, with respect to their allocable share of the top-up tax of the low-taxed constituent entities.</w:t>
            </w:r>
          </w:p>
        </w:tc>
        <w:tc>
          <w:tcPr>
            <w:tcW w:w="1800" w:type="dxa"/>
            <w:gridSpan w:val="2"/>
          </w:tcPr>
          <w:p w14:paraId="05D2B73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7FCB71C6"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with local drafting adaptations (Member State replaced with Republic of Albania).</w:t>
            </w:r>
          </w:p>
        </w:tc>
      </w:tr>
      <w:tr w:rsidR="00465215" w:rsidRPr="005E6D70" w14:paraId="27A4247C" w14:textId="77777777" w:rsidTr="009170D4">
        <w:trPr>
          <w:trHeight w:val="152"/>
        </w:trPr>
        <w:tc>
          <w:tcPr>
            <w:tcW w:w="810" w:type="dxa"/>
          </w:tcPr>
          <w:p w14:paraId="2571740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37(6)</w:t>
            </w:r>
          </w:p>
        </w:tc>
        <w:tc>
          <w:tcPr>
            <w:tcW w:w="5040" w:type="dxa"/>
            <w:gridSpan w:val="2"/>
          </w:tcPr>
          <w:p w14:paraId="0C7DE02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6. The constituent entities of the multi-parented MNE group or large-scale domestic group located in a Member State shall apply </w:t>
            </w:r>
            <w:r w:rsidRPr="005E6D70">
              <w:rPr>
                <w:rFonts w:ascii="Times New Roman" w:eastAsia="Calibri" w:hAnsi="Times New Roman" w:cs="Times New Roman"/>
                <w:iCs/>
                <w:sz w:val="18"/>
                <w:szCs w:val="18"/>
                <w:lang w:val="en-US"/>
              </w:rPr>
              <w:lastRenderedPageBreak/>
              <w:t>the UTPR in accordance with Articles 12, 13 and 14, taking into account the top-up tax of each low-taxed constituent entity that is a member of the multi-parented MNE group or large-scale domestic group.</w:t>
            </w:r>
          </w:p>
        </w:tc>
        <w:tc>
          <w:tcPr>
            <w:tcW w:w="990" w:type="dxa"/>
            <w:gridSpan w:val="2"/>
          </w:tcPr>
          <w:p w14:paraId="540D124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148427E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40(7)</w:t>
            </w:r>
          </w:p>
        </w:tc>
        <w:tc>
          <w:tcPr>
            <w:tcW w:w="4680" w:type="dxa"/>
            <w:gridSpan w:val="2"/>
          </w:tcPr>
          <w:p w14:paraId="2CFAD20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7. The constituent entities of the multi-parented multinational enterprise group located in the Republic of Albania shall apply </w:t>
            </w:r>
            <w:r w:rsidRPr="005E6D70">
              <w:rPr>
                <w:rFonts w:ascii="Times New Roman" w:eastAsia="Arial" w:hAnsi="Times New Roman" w:cs="Times New Roman"/>
                <w:sz w:val="18"/>
                <w:szCs w:val="18"/>
              </w:rPr>
              <w:lastRenderedPageBreak/>
              <w:t>the Undertaxed Profit Rule (UTPR) in accordance with Articles 12 and 13, of this Law, taking into account the top-up tax of each low-taxed constituent entity that is a member of the multi-parented multinational enterprise group.</w:t>
            </w:r>
          </w:p>
        </w:tc>
        <w:tc>
          <w:tcPr>
            <w:tcW w:w="1800" w:type="dxa"/>
            <w:gridSpan w:val="2"/>
          </w:tcPr>
          <w:p w14:paraId="2D57667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0D022DCF"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Direct transposition </w:t>
            </w:r>
            <w:r w:rsidRPr="005E6D70">
              <w:rPr>
                <w:rFonts w:ascii="Times New Roman" w:eastAsia="Arial" w:hAnsi="Times New Roman" w:cs="Times New Roman"/>
                <w:sz w:val="18"/>
                <w:szCs w:val="18"/>
              </w:rPr>
              <w:lastRenderedPageBreak/>
              <w:t>with local drafting adaptations.</w:t>
            </w:r>
          </w:p>
        </w:tc>
      </w:tr>
      <w:tr w:rsidR="00465215" w:rsidRPr="005E6D70" w14:paraId="465E297B" w14:textId="77777777" w:rsidTr="009170D4">
        <w:trPr>
          <w:trHeight w:val="152"/>
        </w:trPr>
        <w:tc>
          <w:tcPr>
            <w:tcW w:w="810" w:type="dxa"/>
          </w:tcPr>
          <w:p w14:paraId="5F186B0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37(7)</w:t>
            </w:r>
          </w:p>
        </w:tc>
        <w:tc>
          <w:tcPr>
            <w:tcW w:w="5040" w:type="dxa"/>
            <w:gridSpan w:val="2"/>
          </w:tcPr>
          <w:p w14:paraId="46CFF94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7. The ultimate parent entities of the multi-parented MNE group or large-scale domestic group shall be required to file the top-up tax information return in accordance with Article 44 unless they appoint a single designated filing entity within the meaning of Article 44(3), point (b). That return shall include information concerning each of the groups that compose the multi-parented MNE group or large-scale domestic group.</w:t>
            </w:r>
          </w:p>
        </w:tc>
        <w:tc>
          <w:tcPr>
            <w:tcW w:w="990" w:type="dxa"/>
            <w:gridSpan w:val="2"/>
          </w:tcPr>
          <w:p w14:paraId="339A5EE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4436818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40(8)</w:t>
            </w:r>
          </w:p>
        </w:tc>
        <w:tc>
          <w:tcPr>
            <w:tcW w:w="4680" w:type="dxa"/>
            <w:gridSpan w:val="2"/>
          </w:tcPr>
          <w:p w14:paraId="7A14F7AE"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8. The ultimate parent entities of the multi-parented multinational enterprise group or large-scale domestic group shall each submit a top-up tax information return in accordance with Article 54, of this Law, unless they appoint a single designated filing entity. That return shall include information concerning each of the groups that comprises the multi-parented multinational enterprise group or large-scale domestic group.</w:t>
            </w:r>
          </w:p>
        </w:tc>
        <w:tc>
          <w:tcPr>
            <w:tcW w:w="1800" w:type="dxa"/>
            <w:gridSpan w:val="2"/>
          </w:tcPr>
          <w:p w14:paraId="116EB8E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5FB88F4B"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48B18F31" w14:textId="77777777" w:rsidTr="009170D4">
        <w:trPr>
          <w:trHeight w:val="152"/>
        </w:trPr>
        <w:tc>
          <w:tcPr>
            <w:tcW w:w="810" w:type="dxa"/>
            <w:shd w:val="clear" w:color="auto" w:fill="92D050"/>
          </w:tcPr>
          <w:p w14:paraId="256A297A"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92D050"/>
          </w:tcPr>
          <w:p w14:paraId="74C6065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CHAPTER VII </w:t>
            </w:r>
          </w:p>
          <w:p w14:paraId="6BEDE2F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TAX NEUTRALITY AND DISTRIBUTION REGIMES</w:t>
            </w:r>
          </w:p>
        </w:tc>
        <w:tc>
          <w:tcPr>
            <w:tcW w:w="990" w:type="dxa"/>
            <w:gridSpan w:val="2"/>
            <w:shd w:val="clear" w:color="auto" w:fill="92D050"/>
          </w:tcPr>
          <w:p w14:paraId="2029E45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92D050"/>
          </w:tcPr>
          <w:p w14:paraId="0229D51F" w14:textId="77777777" w:rsidR="00465215" w:rsidRPr="005E6D70" w:rsidRDefault="00465215" w:rsidP="009170D4">
            <w:pPr>
              <w:jc w:val="center"/>
              <w:rPr>
                <w:rFonts w:ascii="Times New Roman" w:eastAsia="Calibri" w:hAnsi="Times New Roman" w:cs="Times New Roman"/>
                <w:sz w:val="18"/>
                <w:szCs w:val="18"/>
                <w:lang w:val="en-US"/>
              </w:rPr>
            </w:pPr>
          </w:p>
        </w:tc>
        <w:tc>
          <w:tcPr>
            <w:tcW w:w="4680" w:type="dxa"/>
            <w:gridSpan w:val="2"/>
            <w:shd w:val="clear" w:color="auto" w:fill="92D050"/>
          </w:tcPr>
          <w:p w14:paraId="19E1AEE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CHAPTER VII. TAX NEUTRALITY AND DISTRIBUTION REGIMES</w:t>
            </w:r>
          </w:p>
        </w:tc>
        <w:tc>
          <w:tcPr>
            <w:tcW w:w="1800" w:type="dxa"/>
            <w:gridSpan w:val="2"/>
            <w:shd w:val="clear" w:color="auto" w:fill="92D050"/>
          </w:tcPr>
          <w:p w14:paraId="01FE8C1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92D050"/>
          </w:tcPr>
          <w:p w14:paraId="1D510821"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40952902" w14:textId="77777777" w:rsidTr="009170D4">
        <w:trPr>
          <w:trHeight w:val="152"/>
        </w:trPr>
        <w:tc>
          <w:tcPr>
            <w:tcW w:w="810" w:type="dxa"/>
            <w:shd w:val="clear" w:color="auto" w:fill="D9D9D9" w:themeFill="background1" w:themeFillShade="D9"/>
          </w:tcPr>
          <w:p w14:paraId="5ECF13EE"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493C761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38. Ultimate parent entity that is a flow-through entity</w:t>
            </w:r>
          </w:p>
        </w:tc>
        <w:tc>
          <w:tcPr>
            <w:tcW w:w="990" w:type="dxa"/>
            <w:gridSpan w:val="2"/>
            <w:shd w:val="clear" w:color="auto" w:fill="D9D9D9" w:themeFill="background1" w:themeFillShade="D9"/>
          </w:tcPr>
          <w:p w14:paraId="2F8B280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088B359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41</w:t>
            </w:r>
          </w:p>
        </w:tc>
        <w:tc>
          <w:tcPr>
            <w:tcW w:w="4680" w:type="dxa"/>
            <w:gridSpan w:val="2"/>
            <w:shd w:val="clear" w:color="auto" w:fill="D9D9D9" w:themeFill="background1" w:themeFillShade="D9"/>
          </w:tcPr>
          <w:p w14:paraId="5F93994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Article 41. Ultimate parent entity that is a flow-through entity</w:t>
            </w:r>
          </w:p>
        </w:tc>
        <w:tc>
          <w:tcPr>
            <w:tcW w:w="1800" w:type="dxa"/>
            <w:gridSpan w:val="2"/>
            <w:shd w:val="clear" w:color="auto" w:fill="D9D9D9" w:themeFill="background1" w:themeFillShade="D9"/>
          </w:tcPr>
          <w:p w14:paraId="3C6D08B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3DF379D1"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Transposition of EU Directive Article 38 into Article 41 of the domestic draft law.</w:t>
            </w:r>
          </w:p>
        </w:tc>
      </w:tr>
      <w:tr w:rsidR="00465215" w:rsidRPr="005E6D70" w14:paraId="77887D73" w14:textId="77777777" w:rsidTr="009170D4">
        <w:trPr>
          <w:trHeight w:val="152"/>
        </w:trPr>
        <w:tc>
          <w:tcPr>
            <w:tcW w:w="810" w:type="dxa"/>
          </w:tcPr>
          <w:p w14:paraId="355302A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38(1)</w:t>
            </w:r>
          </w:p>
        </w:tc>
        <w:tc>
          <w:tcPr>
            <w:tcW w:w="5040" w:type="dxa"/>
            <w:gridSpan w:val="2"/>
          </w:tcPr>
          <w:p w14:paraId="4C997AB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The qualifying income of a flow-through entity that is an ultimate parent entity shall be reduced, for the fiscal year, by the amount of qualifying income that is attributable to the holder of an ownership interest (the ‘ownership holder’) in the flow-through entity, provided that:</w:t>
            </w:r>
          </w:p>
        </w:tc>
        <w:tc>
          <w:tcPr>
            <w:tcW w:w="990" w:type="dxa"/>
            <w:gridSpan w:val="2"/>
          </w:tcPr>
          <w:p w14:paraId="370675B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0DDF754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41(1)</w:t>
            </w:r>
          </w:p>
        </w:tc>
        <w:tc>
          <w:tcPr>
            <w:tcW w:w="4680" w:type="dxa"/>
            <w:gridSpan w:val="2"/>
          </w:tcPr>
          <w:p w14:paraId="50A3FA2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1. The qualifying income of a flow-through entity that is an ultimate parent entity shall be reduced, for the fiscal year, by the amount of qualifying income that is attributable to the holder of an ownership interest (the “ownership holder”) in the flow-through entity, provided that one of the following conditions is met:</w:t>
            </w:r>
          </w:p>
        </w:tc>
        <w:tc>
          <w:tcPr>
            <w:tcW w:w="1800" w:type="dxa"/>
            <w:gridSpan w:val="2"/>
          </w:tcPr>
          <w:p w14:paraId="3DC10C6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3204A707"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6E241CD5" w14:textId="77777777" w:rsidTr="009170D4">
        <w:trPr>
          <w:trHeight w:val="152"/>
        </w:trPr>
        <w:tc>
          <w:tcPr>
            <w:tcW w:w="810" w:type="dxa"/>
          </w:tcPr>
          <w:p w14:paraId="4A4190A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38(1a)</w:t>
            </w:r>
          </w:p>
        </w:tc>
        <w:tc>
          <w:tcPr>
            <w:tcW w:w="5040" w:type="dxa"/>
            <w:gridSpan w:val="2"/>
          </w:tcPr>
          <w:p w14:paraId="505805E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the ownership holder is subject to tax on such income for a taxable period that ends within 12 months after the end of that fiscal year at a nominal rate that equals or exceeds the minimum tax rate; or</w:t>
            </w:r>
          </w:p>
        </w:tc>
        <w:tc>
          <w:tcPr>
            <w:tcW w:w="990" w:type="dxa"/>
            <w:gridSpan w:val="2"/>
          </w:tcPr>
          <w:p w14:paraId="5BE74C9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5371A58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41(1)(a)</w:t>
            </w:r>
          </w:p>
        </w:tc>
        <w:tc>
          <w:tcPr>
            <w:tcW w:w="4680" w:type="dxa"/>
            <w:gridSpan w:val="2"/>
          </w:tcPr>
          <w:p w14:paraId="49E8FF9E"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a) the ownership holder is subject to tax on such income for a taxable period that ends within 12 months after the end of that fiscal year at a nominal rate that equals or exceeds the minimum tax rate; or</w:t>
            </w:r>
          </w:p>
        </w:tc>
        <w:tc>
          <w:tcPr>
            <w:tcW w:w="1800" w:type="dxa"/>
            <w:gridSpan w:val="2"/>
          </w:tcPr>
          <w:p w14:paraId="0AA331B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31B7AAE7"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62548C60" w14:textId="77777777" w:rsidTr="009170D4">
        <w:trPr>
          <w:trHeight w:val="152"/>
        </w:trPr>
        <w:tc>
          <w:tcPr>
            <w:tcW w:w="810" w:type="dxa"/>
          </w:tcPr>
          <w:p w14:paraId="7A730B1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38(1b)</w:t>
            </w:r>
          </w:p>
        </w:tc>
        <w:tc>
          <w:tcPr>
            <w:tcW w:w="5040" w:type="dxa"/>
            <w:gridSpan w:val="2"/>
          </w:tcPr>
          <w:p w14:paraId="2A7C766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it can be reasonably expected that the aggregated amount of adjusted covered taxes of the ultimate parent entity and taxes paid by the ownership holder on such income within 12 months after the end of the fiscal year equals or exceeds an amount equal to that income multiplied by the minimum tax rate.</w:t>
            </w:r>
          </w:p>
        </w:tc>
        <w:tc>
          <w:tcPr>
            <w:tcW w:w="990" w:type="dxa"/>
            <w:gridSpan w:val="2"/>
          </w:tcPr>
          <w:p w14:paraId="03D6FE3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69E2A78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41(1)(b)</w:t>
            </w:r>
          </w:p>
        </w:tc>
        <w:tc>
          <w:tcPr>
            <w:tcW w:w="4680" w:type="dxa"/>
            <w:gridSpan w:val="2"/>
          </w:tcPr>
          <w:p w14:paraId="37416D9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b) it can be reasonably expected that the aggregated amount of adjusted covered taxes of the ultimate parent entity and taxes paid by the ownership holder on such income within 12 months after the end of the fiscal year equals or exceeds an amount equal to that income multiplied by the minimum tax rate.</w:t>
            </w:r>
          </w:p>
        </w:tc>
        <w:tc>
          <w:tcPr>
            <w:tcW w:w="1800" w:type="dxa"/>
            <w:gridSpan w:val="2"/>
          </w:tcPr>
          <w:p w14:paraId="6416E0C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5CB9E35F"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6A0DEEA7" w14:textId="77777777" w:rsidTr="009170D4">
        <w:trPr>
          <w:trHeight w:val="152"/>
        </w:trPr>
        <w:tc>
          <w:tcPr>
            <w:tcW w:w="810" w:type="dxa"/>
          </w:tcPr>
          <w:p w14:paraId="609A290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38(2)</w:t>
            </w:r>
          </w:p>
        </w:tc>
        <w:tc>
          <w:tcPr>
            <w:tcW w:w="5040" w:type="dxa"/>
            <w:gridSpan w:val="2"/>
          </w:tcPr>
          <w:p w14:paraId="152599F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2. The qualifying income of a flow-through entity that is an ultimate parent entity shall also be reduced, for the fiscal year, by the amount </w:t>
            </w:r>
            <w:r w:rsidRPr="005E6D70">
              <w:rPr>
                <w:rFonts w:ascii="Times New Roman" w:eastAsia="Calibri" w:hAnsi="Times New Roman" w:cs="Times New Roman"/>
                <w:iCs/>
                <w:sz w:val="18"/>
                <w:szCs w:val="18"/>
                <w:lang w:val="en-US"/>
              </w:rPr>
              <w:lastRenderedPageBreak/>
              <w:t>of qualifying income that is allocated to the ownership holder in the flow-through entity provided that the ownership holder is:</w:t>
            </w:r>
          </w:p>
        </w:tc>
        <w:tc>
          <w:tcPr>
            <w:tcW w:w="990" w:type="dxa"/>
            <w:gridSpan w:val="2"/>
          </w:tcPr>
          <w:p w14:paraId="5E903BB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5E4FFB6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41(2)</w:t>
            </w:r>
          </w:p>
        </w:tc>
        <w:tc>
          <w:tcPr>
            <w:tcW w:w="4680" w:type="dxa"/>
            <w:gridSpan w:val="2"/>
          </w:tcPr>
          <w:p w14:paraId="3D6B838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2. The qualifying income of a flow-through entity that is an ultimate parent entity shall also be reduced, for the fiscal year, by the amount of qualifying income that is allocated to the </w:t>
            </w:r>
            <w:r w:rsidRPr="005E6D70">
              <w:rPr>
                <w:rFonts w:ascii="Times New Roman" w:eastAsia="Arial" w:hAnsi="Times New Roman" w:cs="Times New Roman"/>
                <w:sz w:val="18"/>
                <w:szCs w:val="18"/>
              </w:rPr>
              <w:lastRenderedPageBreak/>
              <w:t>ownership holder in the flow-through entity provided that the ownership holder is one of the following:</w:t>
            </w:r>
          </w:p>
        </w:tc>
        <w:tc>
          <w:tcPr>
            <w:tcW w:w="1800" w:type="dxa"/>
            <w:gridSpan w:val="2"/>
          </w:tcPr>
          <w:p w14:paraId="60A2340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49B2C3CA"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3B037695" w14:textId="77777777" w:rsidTr="009170D4">
        <w:trPr>
          <w:trHeight w:val="152"/>
        </w:trPr>
        <w:tc>
          <w:tcPr>
            <w:tcW w:w="810" w:type="dxa"/>
          </w:tcPr>
          <w:p w14:paraId="3389677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38(2a)</w:t>
            </w:r>
          </w:p>
        </w:tc>
        <w:tc>
          <w:tcPr>
            <w:tcW w:w="5040" w:type="dxa"/>
            <w:gridSpan w:val="2"/>
          </w:tcPr>
          <w:p w14:paraId="39522DA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a natural person that is tax resident in the jurisdiction where the ultimate parent entity is located and that holds ownership interests representing a right to 5 % or less of the profits and assets of the ultimate parent entity; or</w:t>
            </w:r>
          </w:p>
        </w:tc>
        <w:tc>
          <w:tcPr>
            <w:tcW w:w="990" w:type="dxa"/>
            <w:gridSpan w:val="2"/>
          </w:tcPr>
          <w:p w14:paraId="20AEEE3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71F649F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41(2)(a)</w:t>
            </w:r>
          </w:p>
        </w:tc>
        <w:tc>
          <w:tcPr>
            <w:tcW w:w="4680" w:type="dxa"/>
            <w:gridSpan w:val="2"/>
          </w:tcPr>
          <w:p w14:paraId="10805E3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a) a natural person that is tax resident in the jurisdiction where the ultimate parent entity is located and that holds ownership interests representing a right to 5% or less of the profits and assets of the ultimate parent entity; or</w:t>
            </w:r>
          </w:p>
        </w:tc>
        <w:tc>
          <w:tcPr>
            <w:tcW w:w="1800" w:type="dxa"/>
            <w:gridSpan w:val="2"/>
          </w:tcPr>
          <w:p w14:paraId="27AB944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7C649DB7"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6F0B4BDE" w14:textId="77777777" w:rsidTr="009170D4">
        <w:trPr>
          <w:trHeight w:val="152"/>
        </w:trPr>
        <w:tc>
          <w:tcPr>
            <w:tcW w:w="810" w:type="dxa"/>
          </w:tcPr>
          <w:p w14:paraId="0EE90AC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38(2b)</w:t>
            </w:r>
          </w:p>
        </w:tc>
        <w:tc>
          <w:tcPr>
            <w:tcW w:w="5040" w:type="dxa"/>
            <w:gridSpan w:val="2"/>
          </w:tcPr>
          <w:p w14:paraId="1D4EFCD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a governmental entity, an international organisation, a non-profit organisation or a pension fund that is tax resident in the jurisdiction where the ultimate parent entity is located and that holds ownership interests representing a right to 5 % or less of the profits and assets of the ultimate parent entity.</w:t>
            </w:r>
          </w:p>
        </w:tc>
        <w:tc>
          <w:tcPr>
            <w:tcW w:w="990" w:type="dxa"/>
            <w:gridSpan w:val="2"/>
          </w:tcPr>
          <w:p w14:paraId="7A466C5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7AB7343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41(2)(b)</w:t>
            </w:r>
          </w:p>
        </w:tc>
        <w:tc>
          <w:tcPr>
            <w:tcW w:w="4680" w:type="dxa"/>
            <w:gridSpan w:val="2"/>
          </w:tcPr>
          <w:p w14:paraId="615A664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b) a governmental entity, an international organisation, a non-profit organisation or a pension fund that is tax resident in the jurisdiction where the ultimate parent entity is located and that holds ownership interests representing a right to 5% or less of the profits and assets of the ultimate parent entity.</w:t>
            </w:r>
          </w:p>
        </w:tc>
        <w:tc>
          <w:tcPr>
            <w:tcW w:w="1800" w:type="dxa"/>
            <w:gridSpan w:val="2"/>
          </w:tcPr>
          <w:p w14:paraId="6411FB2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20DD90DE"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78C1A244" w14:textId="77777777" w:rsidTr="009170D4">
        <w:trPr>
          <w:trHeight w:val="152"/>
        </w:trPr>
        <w:tc>
          <w:tcPr>
            <w:tcW w:w="810" w:type="dxa"/>
          </w:tcPr>
          <w:p w14:paraId="1F6A7ED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38(3)</w:t>
            </w:r>
          </w:p>
        </w:tc>
        <w:tc>
          <w:tcPr>
            <w:tcW w:w="5040" w:type="dxa"/>
            <w:gridSpan w:val="2"/>
          </w:tcPr>
          <w:p w14:paraId="53907C8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3. The qualifying loss of a flow-through entity that is an ultimate parent entity shall be reduced, for the fiscal year, by the amount of qualifying loss that is attributable to the ownership holder in the flow-through entity. </w:t>
            </w:r>
          </w:p>
          <w:p w14:paraId="69064E5C" w14:textId="77777777" w:rsidR="00465215" w:rsidRPr="005E6D70" w:rsidRDefault="00465215" w:rsidP="009170D4">
            <w:pPr>
              <w:jc w:val="both"/>
              <w:rPr>
                <w:rFonts w:ascii="Times New Roman" w:eastAsia="Calibri" w:hAnsi="Times New Roman" w:cs="Times New Roman"/>
                <w:iCs/>
                <w:sz w:val="18"/>
                <w:szCs w:val="18"/>
                <w:lang w:val="en-US"/>
              </w:rPr>
            </w:pPr>
          </w:p>
          <w:p w14:paraId="31F9214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The first subparagraph shall not apply to the extent the ownership holder is not allowed to use such loss for the computation of its taxable income.</w:t>
            </w:r>
          </w:p>
        </w:tc>
        <w:tc>
          <w:tcPr>
            <w:tcW w:w="990" w:type="dxa"/>
            <w:gridSpan w:val="2"/>
          </w:tcPr>
          <w:p w14:paraId="3D7E4BF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31349B1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41(3)</w:t>
            </w:r>
          </w:p>
        </w:tc>
        <w:tc>
          <w:tcPr>
            <w:tcW w:w="4680" w:type="dxa"/>
            <w:gridSpan w:val="2"/>
          </w:tcPr>
          <w:p w14:paraId="4A2EBE3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 The qualifying loss of a flow-through entity that is an ultimate parent entity shall be reduced, for the fiscal year, by the amount of qualifying loss that is attributable to the ownership holder in the flow-through entity, except to the extent that the ownership holder is not allowed to use such loss for the computation of its taxable income in the jurisdiction where the ownership holder is tax resident.</w:t>
            </w:r>
          </w:p>
        </w:tc>
        <w:tc>
          <w:tcPr>
            <w:tcW w:w="1800" w:type="dxa"/>
            <w:gridSpan w:val="2"/>
          </w:tcPr>
          <w:p w14:paraId="7E43027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6BC17C12"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Structural consolidation. The unnumbered exclusionary phrase is integrated directly into the core paragraph.</w:t>
            </w:r>
          </w:p>
        </w:tc>
      </w:tr>
      <w:tr w:rsidR="00465215" w:rsidRPr="005E6D70" w14:paraId="47215BF8" w14:textId="77777777" w:rsidTr="009170D4">
        <w:trPr>
          <w:trHeight w:val="152"/>
        </w:trPr>
        <w:tc>
          <w:tcPr>
            <w:tcW w:w="810" w:type="dxa"/>
          </w:tcPr>
          <w:p w14:paraId="377B01E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38(4)</w:t>
            </w:r>
          </w:p>
        </w:tc>
        <w:tc>
          <w:tcPr>
            <w:tcW w:w="5040" w:type="dxa"/>
            <w:gridSpan w:val="2"/>
          </w:tcPr>
          <w:p w14:paraId="0505478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 The covered taxes of a flow-through entity that is an ultimate parent entity shall be reduced proportionally to the amount of qualifying income reduced in accordance with paragraphs 1 and 2.</w:t>
            </w:r>
          </w:p>
        </w:tc>
        <w:tc>
          <w:tcPr>
            <w:tcW w:w="990" w:type="dxa"/>
            <w:gridSpan w:val="2"/>
          </w:tcPr>
          <w:p w14:paraId="3696A20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4BD283B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41(4)</w:t>
            </w:r>
          </w:p>
        </w:tc>
        <w:tc>
          <w:tcPr>
            <w:tcW w:w="4680" w:type="dxa"/>
            <w:gridSpan w:val="2"/>
          </w:tcPr>
          <w:p w14:paraId="6612EA0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 The covered taxes of a flow-through entity that is an ultimate parent entity shall be reduced proportionally to the amount of qualifying income reduced in accordance with paragraphs 1 and 2, of this Article.</w:t>
            </w:r>
          </w:p>
        </w:tc>
        <w:tc>
          <w:tcPr>
            <w:tcW w:w="1800" w:type="dxa"/>
            <w:gridSpan w:val="2"/>
          </w:tcPr>
          <w:p w14:paraId="7EA8E86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30E7C946"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5D696CA0" w14:textId="77777777" w:rsidTr="009170D4">
        <w:trPr>
          <w:trHeight w:val="152"/>
        </w:trPr>
        <w:tc>
          <w:tcPr>
            <w:tcW w:w="810" w:type="dxa"/>
          </w:tcPr>
          <w:p w14:paraId="65D2154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38(5)</w:t>
            </w:r>
          </w:p>
        </w:tc>
        <w:tc>
          <w:tcPr>
            <w:tcW w:w="5040" w:type="dxa"/>
            <w:gridSpan w:val="2"/>
          </w:tcPr>
          <w:p w14:paraId="4786487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5. Paragraphs 1 to 4 shall apply to a permanent establishment through which a flow-through entity that is an ultimate parent entity wholly or partly carries out its business or through which the business of a tax transparent entity is wholly or partly carried out, provided that the ultimate parent entity’s ownership interest in that tax transparent entity is held directly or through a chain of tax transparent entities.</w:t>
            </w:r>
          </w:p>
        </w:tc>
        <w:tc>
          <w:tcPr>
            <w:tcW w:w="990" w:type="dxa"/>
            <w:gridSpan w:val="2"/>
          </w:tcPr>
          <w:p w14:paraId="0597B02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274D088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41(5)</w:t>
            </w:r>
          </w:p>
        </w:tc>
        <w:tc>
          <w:tcPr>
            <w:tcW w:w="4680" w:type="dxa"/>
            <w:gridSpan w:val="2"/>
          </w:tcPr>
          <w:p w14:paraId="514E014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 Paragraphs 1 to 4, of this Article, shall apply to a permanent establishment through which a flow-through entity that is an ultimate parent entity wholly or partly carries out its business or through which the business of a tax transparent entity is wholly or partly carried out, provided that the ultimate parent entity’s ownership interest in that tax transparent entity is held directly or through a chain of tax transparent entities.</w:t>
            </w:r>
          </w:p>
        </w:tc>
        <w:tc>
          <w:tcPr>
            <w:tcW w:w="1800" w:type="dxa"/>
            <w:gridSpan w:val="2"/>
          </w:tcPr>
          <w:p w14:paraId="38931A5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7E67565F"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66614485" w14:textId="77777777" w:rsidTr="009170D4">
        <w:trPr>
          <w:trHeight w:val="152"/>
        </w:trPr>
        <w:tc>
          <w:tcPr>
            <w:tcW w:w="810" w:type="dxa"/>
            <w:shd w:val="clear" w:color="auto" w:fill="D9D9D9" w:themeFill="background1" w:themeFillShade="D9"/>
          </w:tcPr>
          <w:p w14:paraId="3079288B"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33151DF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39 . Ultimate parent entity subject to a deductible dividend regime</w:t>
            </w:r>
          </w:p>
        </w:tc>
        <w:tc>
          <w:tcPr>
            <w:tcW w:w="990" w:type="dxa"/>
            <w:gridSpan w:val="2"/>
            <w:shd w:val="clear" w:color="auto" w:fill="D9D9D9" w:themeFill="background1" w:themeFillShade="D9"/>
          </w:tcPr>
          <w:p w14:paraId="4C2C1CF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535F45E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42</w:t>
            </w:r>
          </w:p>
        </w:tc>
        <w:tc>
          <w:tcPr>
            <w:tcW w:w="4680" w:type="dxa"/>
            <w:gridSpan w:val="2"/>
            <w:shd w:val="clear" w:color="auto" w:fill="D9D9D9" w:themeFill="background1" w:themeFillShade="D9"/>
          </w:tcPr>
          <w:p w14:paraId="090AA96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Article 42. Ultimate parent entity subject to a deductible dividend regime</w:t>
            </w:r>
          </w:p>
        </w:tc>
        <w:tc>
          <w:tcPr>
            <w:tcW w:w="1800" w:type="dxa"/>
            <w:gridSpan w:val="2"/>
            <w:shd w:val="clear" w:color="auto" w:fill="D9D9D9" w:themeFill="background1" w:themeFillShade="D9"/>
          </w:tcPr>
          <w:p w14:paraId="7910D9F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16877A08"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Transposition of EU Directive Article 39 into Article 42 of the domestic draft law.</w:t>
            </w:r>
          </w:p>
        </w:tc>
      </w:tr>
      <w:tr w:rsidR="00465215" w:rsidRPr="005E6D70" w14:paraId="2D300F66" w14:textId="77777777" w:rsidTr="009170D4">
        <w:trPr>
          <w:trHeight w:val="152"/>
        </w:trPr>
        <w:tc>
          <w:tcPr>
            <w:tcW w:w="810" w:type="dxa"/>
          </w:tcPr>
          <w:p w14:paraId="3C8E845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39(1)</w:t>
            </w:r>
          </w:p>
        </w:tc>
        <w:tc>
          <w:tcPr>
            <w:tcW w:w="5040" w:type="dxa"/>
            <w:gridSpan w:val="2"/>
          </w:tcPr>
          <w:p w14:paraId="42772E1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For the purposes of this Article, the following definitions apply:</w:t>
            </w:r>
          </w:p>
        </w:tc>
        <w:tc>
          <w:tcPr>
            <w:tcW w:w="990" w:type="dxa"/>
            <w:gridSpan w:val="2"/>
          </w:tcPr>
          <w:p w14:paraId="7130A65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726B0E7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42(1)</w:t>
            </w:r>
          </w:p>
        </w:tc>
        <w:tc>
          <w:tcPr>
            <w:tcW w:w="4680" w:type="dxa"/>
            <w:gridSpan w:val="2"/>
          </w:tcPr>
          <w:p w14:paraId="101776A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1. For the purposes of this Article, the following definitions apply:</w:t>
            </w:r>
          </w:p>
        </w:tc>
        <w:tc>
          <w:tcPr>
            <w:tcW w:w="1800" w:type="dxa"/>
            <w:gridSpan w:val="2"/>
          </w:tcPr>
          <w:p w14:paraId="6F2FA2C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1184C2C1"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089403AB" w14:textId="77777777" w:rsidTr="009170D4">
        <w:trPr>
          <w:trHeight w:val="152"/>
        </w:trPr>
        <w:tc>
          <w:tcPr>
            <w:tcW w:w="810" w:type="dxa"/>
          </w:tcPr>
          <w:p w14:paraId="27CB991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39(1a)</w:t>
            </w:r>
          </w:p>
        </w:tc>
        <w:tc>
          <w:tcPr>
            <w:tcW w:w="5040" w:type="dxa"/>
            <w:gridSpan w:val="2"/>
          </w:tcPr>
          <w:p w14:paraId="48BDDE4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‘deductible dividend regime’ means a tax regime that applies a single level of taxation on the income of the owners of an entity by deducting or excluding from the income of the entity the profits distributed to the owners or by exempting a cooperative from taxation;</w:t>
            </w:r>
          </w:p>
        </w:tc>
        <w:tc>
          <w:tcPr>
            <w:tcW w:w="990" w:type="dxa"/>
            <w:gridSpan w:val="2"/>
          </w:tcPr>
          <w:p w14:paraId="370617F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7FD289C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42(1)(a)</w:t>
            </w:r>
          </w:p>
        </w:tc>
        <w:tc>
          <w:tcPr>
            <w:tcW w:w="4680" w:type="dxa"/>
            <w:gridSpan w:val="2"/>
          </w:tcPr>
          <w:p w14:paraId="4AFCFE8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a) “deductible dividend regime” means a tax regime that applies a single level of taxation on the income of the owners of an entity by deducting or excluding from the income of the entity the profits distributed to the owners or by exempting a cooperative from taxation;</w:t>
            </w:r>
          </w:p>
        </w:tc>
        <w:tc>
          <w:tcPr>
            <w:tcW w:w="1800" w:type="dxa"/>
            <w:gridSpan w:val="2"/>
          </w:tcPr>
          <w:p w14:paraId="66BD232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00F9C1FF"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5134D5E3" w14:textId="77777777" w:rsidTr="009170D4">
        <w:trPr>
          <w:trHeight w:val="152"/>
        </w:trPr>
        <w:tc>
          <w:tcPr>
            <w:tcW w:w="810" w:type="dxa"/>
          </w:tcPr>
          <w:p w14:paraId="315D7B2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39(1b)</w:t>
            </w:r>
          </w:p>
        </w:tc>
        <w:tc>
          <w:tcPr>
            <w:tcW w:w="5040" w:type="dxa"/>
            <w:gridSpan w:val="2"/>
          </w:tcPr>
          <w:p w14:paraId="6A4A902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‘deductible dividend’ means, with respect to a constituent entity that is subject to a deductible dividend regime:</w:t>
            </w:r>
          </w:p>
          <w:p w14:paraId="4989D9FD"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487C939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a distribution of profits to the holder of an ownership interest in the constituent entity that is deductible from the taxable income of the constituent entity under the laws of the jurisdiction in which it is located; or</w:t>
            </w:r>
          </w:p>
          <w:p w14:paraId="6E36785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3AB3B12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 a patronage dividend to a member of a cooperative; and</w:t>
            </w:r>
          </w:p>
        </w:tc>
        <w:tc>
          <w:tcPr>
            <w:tcW w:w="990" w:type="dxa"/>
            <w:gridSpan w:val="2"/>
          </w:tcPr>
          <w:p w14:paraId="1AA0995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1E2836F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42(1)(b)</w:t>
            </w:r>
          </w:p>
        </w:tc>
        <w:tc>
          <w:tcPr>
            <w:tcW w:w="4680" w:type="dxa"/>
            <w:gridSpan w:val="2"/>
          </w:tcPr>
          <w:p w14:paraId="07D25637"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b) “deductible dividend” means, with respect to a constituent entity that is subject to a deductible dividend regime: </w:t>
            </w:r>
          </w:p>
          <w:p w14:paraId="2B422857" w14:textId="77777777" w:rsidR="00465215" w:rsidRPr="005E6D70" w:rsidRDefault="00465215" w:rsidP="009170D4">
            <w:pPr>
              <w:jc w:val="both"/>
              <w:rPr>
                <w:rFonts w:ascii="Times New Roman" w:eastAsia="Arial" w:hAnsi="Times New Roman" w:cs="Times New Roman"/>
                <w:sz w:val="18"/>
                <w:szCs w:val="18"/>
              </w:rPr>
            </w:pPr>
          </w:p>
          <w:p w14:paraId="24125977"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 a distribution of profits to the holder of an ownership interest in the constituent entity that is deductible from the taxable income of the constituent entity under the laws of the jurisdiction in which it is located; or </w:t>
            </w:r>
          </w:p>
          <w:p w14:paraId="6EFEE51F" w14:textId="77777777" w:rsidR="00465215" w:rsidRPr="005E6D70" w:rsidRDefault="00465215" w:rsidP="009170D4">
            <w:pPr>
              <w:jc w:val="both"/>
              <w:rPr>
                <w:rFonts w:ascii="Times New Roman" w:eastAsia="Arial" w:hAnsi="Times New Roman" w:cs="Times New Roman"/>
                <w:sz w:val="18"/>
                <w:szCs w:val="18"/>
              </w:rPr>
            </w:pPr>
          </w:p>
          <w:p w14:paraId="43A8CD9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(ii) a patronage dividend to a member of a cooperative; and</w:t>
            </w:r>
          </w:p>
        </w:tc>
        <w:tc>
          <w:tcPr>
            <w:tcW w:w="1800" w:type="dxa"/>
            <w:gridSpan w:val="2"/>
          </w:tcPr>
          <w:p w14:paraId="3DE5343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1D11DC15"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6B9BD806" w14:textId="77777777" w:rsidTr="009170D4">
        <w:trPr>
          <w:trHeight w:val="152"/>
        </w:trPr>
        <w:tc>
          <w:tcPr>
            <w:tcW w:w="810" w:type="dxa"/>
          </w:tcPr>
          <w:p w14:paraId="72FE518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39(1c)</w:t>
            </w:r>
          </w:p>
        </w:tc>
        <w:tc>
          <w:tcPr>
            <w:tcW w:w="5040" w:type="dxa"/>
            <w:gridSpan w:val="2"/>
          </w:tcPr>
          <w:p w14:paraId="2189E59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‘cooperative’ means an entity that collectively markets or acquires goods or services on behalf of its members and that is subject to a tax regime in the jurisdiction where it is located that ensures the tax neutrality in respect of goods or services that are sold or acquired by its members through the cooperative.</w:t>
            </w:r>
          </w:p>
        </w:tc>
        <w:tc>
          <w:tcPr>
            <w:tcW w:w="990" w:type="dxa"/>
            <w:gridSpan w:val="2"/>
          </w:tcPr>
          <w:p w14:paraId="42395A9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2D56694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42(1)(c)</w:t>
            </w:r>
          </w:p>
        </w:tc>
        <w:tc>
          <w:tcPr>
            <w:tcW w:w="4680" w:type="dxa"/>
            <w:gridSpan w:val="2"/>
          </w:tcPr>
          <w:p w14:paraId="671137E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c) “cooperative” means an entity that collectively markets or acquires goods or services on behalf of its members and that is subject to a tax regime in the jurisdiction where it is located that ensures the tax neutrality in respect of goods or services that are sold or acquired by its members through the cooperative.</w:t>
            </w:r>
          </w:p>
        </w:tc>
        <w:tc>
          <w:tcPr>
            <w:tcW w:w="1800" w:type="dxa"/>
            <w:gridSpan w:val="2"/>
          </w:tcPr>
          <w:p w14:paraId="1A9BAAB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60EFD3C3"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252FA722" w14:textId="77777777" w:rsidTr="009170D4">
        <w:trPr>
          <w:trHeight w:val="152"/>
        </w:trPr>
        <w:tc>
          <w:tcPr>
            <w:tcW w:w="810" w:type="dxa"/>
          </w:tcPr>
          <w:p w14:paraId="54BB458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39(2)</w:t>
            </w:r>
          </w:p>
        </w:tc>
        <w:tc>
          <w:tcPr>
            <w:tcW w:w="5040" w:type="dxa"/>
            <w:gridSpan w:val="2"/>
          </w:tcPr>
          <w:p w14:paraId="2F66524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 An ultimate parent entity of an MNE group or of a large-scale domestic group that is subject to a deductible dividend regime shall reduce, up to zero, for the fiscal year, its qualifying income by the amount that is distributed as deductible dividend within 12 months after the end of the fiscal year, provided that:</w:t>
            </w:r>
          </w:p>
        </w:tc>
        <w:tc>
          <w:tcPr>
            <w:tcW w:w="990" w:type="dxa"/>
            <w:gridSpan w:val="2"/>
          </w:tcPr>
          <w:p w14:paraId="036F8DF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69A70A1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42(2)</w:t>
            </w:r>
          </w:p>
        </w:tc>
        <w:tc>
          <w:tcPr>
            <w:tcW w:w="4680" w:type="dxa"/>
            <w:gridSpan w:val="2"/>
          </w:tcPr>
          <w:p w14:paraId="483ACC6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2. An ultimate parent entity of a multinational enterprise group or of a large-scale domestic group that is subject to a deductible dividend regime shall reduce, up to zero, for the fiscal year, its qualifying income by the amount that is distributed as deductible dividend within 12 months after the end of the fiscal year, provided that one of the following conditions is met:</w:t>
            </w:r>
          </w:p>
        </w:tc>
        <w:tc>
          <w:tcPr>
            <w:tcW w:w="1800" w:type="dxa"/>
            <w:gridSpan w:val="2"/>
          </w:tcPr>
          <w:p w14:paraId="12C0602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7935EF70"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5C468169" w14:textId="77777777" w:rsidTr="009170D4">
        <w:trPr>
          <w:trHeight w:val="152"/>
        </w:trPr>
        <w:tc>
          <w:tcPr>
            <w:tcW w:w="810" w:type="dxa"/>
          </w:tcPr>
          <w:p w14:paraId="302B782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39(2a)</w:t>
            </w:r>
          </w:p>
        </w:tc>
        <w:tc>
          <w:tcPr>
            <w:tcW w:w="5040" w:type="dxa"/>
            <w:gridSpan w:val="2"/>
          </w:tcPr>
          <w:p w14:paraId="0EAE325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the dividend is subject to tax in the hands of the recipient for a taxable period that ends within 12 months after the end of the fiscal year at a nominal rate that equals or exceeds the minimum tax rate; or</w:t>
            </w:r>
          </w:p>
        </w:tc>
        <w:tc>
          <w:tcPr>
            <w:tcW w:w="990" w:type="dxa"/>
            <w:gridSpan w:val="2"/>
          </w:tcPr>
          <w:p w14:paraId="4BCECF5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57F5D16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42(2)(a)</w:t>
            </w:r>
          </w:p>
        </w:tc>
        <w:tc>
          <w:tcPr>
            <w:tcW w:w="4680" w:type="dxa"/>
            <w:gridSpan w:val="2"/>
          </w:tcPr>
          <w:p w14:paraId="0C6EC26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a) the dividend is subject to tax in the hands of the recipient for a taxable period that ends within 12 months after the end of the fiscal year at a nominal rate that equals or exceeds the minimum tax rate; or</w:t>
            </w:r>
          </w:p>
        </w:tc>
        <w:tc>
          <w:tcPr>
            <w:tcW w:w="1800" w:type="dxa"/>
            <w:gridSpan w:val="2"/>
          </w:tcPr>
          <w:p w14:paraId="10255B9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043765BC"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53A5B3C3" w14:textId="77777777" w:rsidTr="009170D4">
        <w:trPr>
          <w:trHeight w:val="152"/>
        </w:trPr>
        <w:tc>
          <w:tcPr>
            <w:tcW w:w="810" w:type="dxa"/>
          </w:tcPr>
          <w:p w14:paraId="17DF881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39(2b)</w:t>
            </w:r>
          </w:p>
        </w:tc>
        <w:tc>
          <w:tcPr>
            <w:tcW w:w="5040" w:type="dxa"/>
            <w:gridSpan w:val="2"/>
          </w:tcPr>
          <w:p w14:paraId="75759AB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it can be reasonably expected that the aggregate amount of adjusted covered taxes and taxes of the ultimate parent entity paid by the recipient on such dividend equals or exceeds that income multiplied by the minimum tax rate.</w:t>
            </w:r>
          </w:p>
        </w:tc>
        <w:tc>
          <w:tcPr>
            <w:tcW w:w="990" w:type="dxa"/>
            <w:gridSpan w:val="2"/>
          </w:tcPr>
          <w:p w14:paraId="3BBE85E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1723B3C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42(2)(b)</w:t>
            </w:r>
          </w:p>
        </w:tc>
        <w:tc>
          <w:tcPr>
            <w:tcW w:w="4680" w:type="dxa"/>
            <w:gridSpan w:val="2"/>
          </w:tcPr>
          <w:p w14:paraId="4FB4B05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b) it can be reasonably expected that the aggregate amount of adjusted covered taxes of the ultimate parent entity and taxes paid by the recipient on such dividend equals or exceeds that income multiplied by the minimum tax rate.</w:t>
            </w:r>
          </w:p>
        </w:tc>
        <w:tc>
          <w:tcPr>
            <w:tcW w:w="1800" w:type="dxa"/>
            <w:gridSpan w:val="2"/>
          </w:tcPr>
          <w:p w14:paraId="61DE95C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3325FE9E"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50501C86" w14:textId="77777777" w:rsidTr="009170D4">
        <w:trPr>
          <w:trHeight w:val="152"/>
        </w:trPr>
        <w:tc>
          <w:tcPr>
            <w:tcW w:w="810" w:type="dxa"/>
          </w:tcPr>
          <w:p w14:paraId="16EE1AC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39(3)</w:t>
            </w:r>
          </w:p>
        </w:tc>
        <w:tc>
          <w:tcPr>
            <w:tcW w:w="5040" w:type="dxa"/>
            <w:gridSpan w:val="2"/>
          </w:tcPr>
          <w:p w14:paraId="478717F1"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3. An ultimate parent entity of an MNE group or of a large-scale domestic group that is subject to a deductible dividend regime shall also reduce, up to zero, for the fiscal year, its qualifying income by </w:t>
            </w:r>
            <w:r w:rsidRPr="005E6D70">
              <w:rPr>
                <w:rFonts w:ascii="Times New Roman" w:eastAsia="Calibri" w:hAnsi="Times New Roman" w:cs="Times New Roman"/>
                <w:iCs/>
                <w:sz w:val="18"/>
                <w:szCs w:val="18"/>
                <w:lang w:val="en-US"/>
              </w:rPr>
              <w:lastRenderedPageBreak/>
              <w:t>the amount that it distributes as deductible dividend within 12 months after the end of the fiscal year, provided that the recipient is:</w:t>
            </w:r>
          </w:p>
        </w:tc>
        <w:tc>
          <w:tcPr>
            <w:tcW w:w="990" w:type="dxa"/>
            <w:gridSpan w:val="2"/>
          </w:tcPr>
          <w:p w14:paraId="24AE60D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50C65F0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42(3)</w:t>
            </w:r>
          </w:p>
        </w:tc>
        <w:tc>
          <w:tcPr>
            <w:tcW w:w="4680" w:type="dxa"/>
            <w:gridSpan w:val="2"/>
          </w:tcPr>
          <w:p w14:paraId="6538E64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3. An ultimate parent entity of a multinational enterprise group or of a large-scale domestic group that is subject to a deductible dividend regime shall also reduce, up to zero, for </w:t>
            </w:r>
            <w:r w:rsidRPr="005E6D70">
              <w:rPr>
                <w:rFonts w:ascii="Times New Roman" w:eastAsia="Arial" w:hAnsi="Times New Roman" w:cs="Times New Roman"/>
                <w:sz w:val="18"/>
                <w:szCs w:val="18"/>
              </w:rPr>
              <w:lastRenderedPageBreak/>
              <w:t>the fiscal year, its qualifying income by the amount that it distributes as deductible dividend within 12 months after the end of the fiscal year, provided that the recipient is one of the following:</w:t>
            </w:r>
          </w:p>
        </w:tc>
        <w:tc>
          <w:tcPr>
            <w:tcW w:w="1800" w:type="dxa"/>
            <w:gridSpan w:val="2"/>
          </w:tcPr>
          <w:p w14:paraId="52E76EB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138E2C8F"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52CB7866" w14:textId="77777777" w:rsidTr="009170D4">
        <w:trPr>
          <w:trHeight w:val="152"/>
        </w:trPr>
        <w:tc>
          <w:tcPr>
            <w:tcW w:w="810" w:type="dxa"/>
          </w:tcPr>
          <w:p w14:paraId="2C6331D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39(3a)</w:t>
            </w:r>
          </w:p>
        </w:tc>
        <w:tc>
          <w:tcPr>
            <w:tcW w:w="5040" w:type="dxa"/>
            <w:gridSpan w:val="2"/>
          </w:tcPr>
          <w:p w14:paraId="747B29C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a natural person, and the dividend received is a patronage dividend from a supply cooperative;</w:t>
            </w:r>
          </w:p>
        </w:tc>
        <w:tc>
          <w:tcPr>
            <w:tcW w:w="990" w:type="dxa"/>
            <w:gridSpan w:val="2"/>
          </w:tcPr>
          <w:p w14:paraId="33FE344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3A29174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42(3)(a)</w:t>
            </w:r>
          </w:p>
        </w:tc>
        <w:tc>
          <w:tcPr>
            <w:tcW w:w="4680" w:type="dxa"/>
            <w:gridSpan w:val="2"/>
          </w:tcPr>
          <w:p w14:paraId="556E1C0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a) a natural person, and the dividend received is a patronage dividend from a supply cooperative;</w:t>
            </w:r>
          </w:p>
        </w:tc>
        <w:tc>
          <w:tcPr>
            <w:tcW w:w="1800" w:type="dxa"/>
            <w:gridSpan w:val="2"/>
          </w:tcPr>
          <w:p w14:paraId="7C36760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505B1F45"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43384534" w14:textId="77777777" w:rsidTr="009170D4">
        <w:trPr>
          <w:trHeight w:val="152"/>
        </w:trPr>
        <w:tc>
          <w:tcPr>
            <w:tcW w:w="810" w:type="dxa"/>
          </w:tcPr>
          <w:p w14:paraId="62D6D53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39(3b)</w:t>
            </w:r>
          </w:p>
        </w:tc>
        <w:tc>
          <w:tcPr>
            <w:tcW w:w="5040" w:type="dxa"/>
            <w:gridSpan w:val="2"/>
          </w:tcPr>
          <w:p w14:paraId="66BDA77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a natural person that is tax resident in the same jurisdiction where the ultimate parent entity is located and that holds ownership interests representing a right to 5 % or less of the profits and assets of the ultimate parent entity; or</w:t>
            </w:r>
          </w:p>
        </w:tc>
        <w:tc>
          <w:tcPr>
            <w:tcW w:w="990" w:type="dxa"/>
            <w:gridSpan w:val="2"/>
          </w:tcPr>
          <w:p w14:paraId="14CE8B4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52C2C13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42(3)(b)</w:t>
            </w:r>
          </w:p>
        </w:tc>
        <w:tc>
          <w:tcPr>
            <w:tcW w:w="4680" w:type="dxa"/>
            <w:gridSpan w:val="2"/>
          </w:tcPr>
          <w:p w14:paraId="147C512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b) a natural person that is tax resident in the same jurisdiction where the ultimate parent entity is located and that holds ownership interests representing a right to 5% or less of the profits and assets of the ultimate parent entity; or</w:t>
            </w:r>
          </w:p>
        </w:tc>
        <w:tc>
          <w:tcPr>
            <w:tcW w:w="1800" w:type="dxa"/>
            <w:gridSpan w:val="2"/>
          </w:tcPr>
          <w:p w14:paraId="0042E32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2111CED3"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413ED3F9" w14:textId="77777777" w:rsidTr="009170D4">
        <w:trPr>
          <w:trHeight w:val="152"/>
        </w:trPr>
        <w:tc>
          <w:tcPr>
            <w:tcW w:w="810" w:type="dxa"/>
          </w:tcPr>
          <w:p w14:paraId="60C3A7D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39(3c)</w:t>
            </w:r>
          </w:p>
        </w:tc>
        <w:tc>
          <w:tcPr>
            <w:tcW w:w="5040" w:type="dxa"/>
            <w:gridSpan w:val="2"/>
          </w:tcPr>
          <w:p w14:paraId="4D0BD08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a governmental entity, an international organisation, a non-profit organisation or a pension fund other than a pension services entity, that is tax resident in the jurisdiction where the ultimate parent entity is located.</w:t>
            </w:r>
          </w:p>
        </w:tc>
        <w:tc>
          <w:tcPr>
            <w:tcW w:w="990" w:type="dxa"/>
            <w:gridSpan w:val="2"/>
          </w:tcPr>
          <w:p w14:paraId="594BC5E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4AF4EAB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42(3)(c)</w:t>
            </w:r>
          </w:p>
        </w:tc>
        <w:tc>
          <w:tcPr>
            <w:tcW w:w="4680" w:type="dxa"/>
            <w:gridSpan w:val="2"/>
          </w:tcPr>
          <w:p w14:paraId="30DE461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c) a governmental entity, an international organisation, a non-profit organisation or a pension fund other than a pension services entity, that is tax resident in the jurisdiction where the ultimate parent entity is located.</w:t>
            </w:r>
          </w:p>
        </w:tc>
        <w:tc>
          <w:tcPr>
            <w:tcW w:w="1800" w:type="dxa"/>
            <w:gridSpan w:val="2"/>
          </w:tcPr>
          <w:p w14:paraId="5A342D6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1EBFDAEF"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43C4DACA" w14:textId="77777777" w:rsidTr="009170D4">
        <w:trPr>
          <w:trHeight w:val="152"/>
        </w:trPr>
        <w:tc>
          <w:tcPr>
            <w:tcW w:w="810" w:type="dxa"/>
          </w:tcPr>
          <w:p w14:paraId="2256C66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39(4)</w:t>
            </w:r>
          </w:p>
        </w:tc>
        <w:tc>
          <w:tcPr>
            <w:tcW w:w="5040" w:type="dxa"/>
            <w:gridSpan w:val="2"/>
          </w:tcPr>
          <w:p w14:paraId="7607550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 The covered taxes of an ultimate parent entity, other than the taxes for which the dividend deduction was allowed, shall be reduced proportionally to the amount of qualifying income reduced in accordance with paragraphs 2 and 3.</w:t>
            </w:r>
          </w:p>
        </w:tc>
        <w:tc>
          <w:tcPr>
            <w:tcW w:w="990" w:type="dxa"/>
            <w:gridSpan w:val="2"/>
          </w:tcPr>
          <w:p w14:paraId="1256036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08CD44B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42(4)</w:t>
            </w:r>
          </w:p>
        </w:tc>
        <w:tc>
          <w:tcPr>
            <w:tcW w:w="4680" w:type="dxa"/>
            <w:gridSpan w:val="2"/>
          </w:tcPr>
          <w:p w14:paraId="45D0C53E"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 The covered taxes of an ultimate parent entity, other than the taxes for which the dividend deduction was allowed, shall be reduced proportionally to the amount of qualifying income reduced in accordance with paragraphs 2 and 3, of this Article.</w:t>
            </w:r>
          </w:p>
        </w:tc>
        <w:tc>
          <w:tcPr>
            <w:tcW w:w="1800" w:type="dxa"/>
            <w:gridSpan w:val="2"/>
          </w:tcPr>
          <w:p w14:paraId="752BA2E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26166246"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2FFEB061" w14:textId="77777777" w:rsidTr="009170D4">
        <w:trPr>
          <w:trHeight w:val="152"/>
        </w:trPr>
        <w:tc>
          <w:tcPr>
            <w:tcW w:w="810" w:type="dxa"/>
          </w:tcPr>
          <w:p w14:paraId="720A5C8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39(5)</w:t>
            </w:r>
          </w:p>
        </w:tc>
        <w:tc>
          <w:tcPr>
            <w:tcW w:w="5040" w:type="dxa"/>
            <w:gridSpan w:val="2"/>
          </w:tcPr>
          <w:p w14:paraId="128CD5D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5. Where the ultimate parent entity holds an ownership interest in another constituent entity that is subject to a deductible dividend regime, directly or through a chain of such constituent entities, paragraphs 2, 3 and 4 shall apply to any other constituent entity located in the jurisdiction of the ultimate parent entity that is subject to the deductible dividend regime, to the extent that its qualifying income is further distributed by the ultimate parent entity to recipients that meet the requirements set out in paragraphs 2 and 3.</w:t>
            </w:r>
          </w:p>
        </w:tc>
        <w:tc>
          <w:tcPr>
            <w:tcW w:w="990" w:type="dxa"/>
            <w:gridSpan w:val="2"/>
          </w:tcPr>
          <w:p w14:paraId="3FF4DD3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2FD6883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42(5)</w:t>
            </w:r>
          </w:p>
        </w:tc>
        <w:tc>
          <w:tcPr>
            <w:tcW w:w="4680" w:type="dxa"/>
            <w:gridSpan w:val="2"/>
          </w:tcPr>
          <w:p w14:paraId="5433FFD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 Where the ultimate parent entity holds an ownership interest in another constituent entity that is subject to a deductible dividend regime, directly or through a chain of such constituent entities, paragraphs 2, 3 and 4, of this Article, shall apply to any other constituent entity located in the jurisdiction of the ultimate parent entity that is subject to the deductible dividend regime, to the extent that its qualifying income is further distributed by the ultimate parent entity to recipients that meet the requirements set out in paragraphs 2 and 3, of this Article.</w:t>
            </w:r>
          </w:p>
        </w:tc>
        <w:tc>
          <w:tcPr>
            <w:tcW w:w="1800" w:type="dxa"/>
            <w:gridSpan w:val="2"/>
          </w:tcPr>
          <w:p w14:paraId="69EAC9D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6F4E7580"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3E4F4446" w14:textId="77777777" w:rsidTr="009170D4">
        <w:trPr>
          <w:trHeight w:val="152"/>
        </w:trPr>
        <w:tc>
          <w:tcPr>
            <w:tcW w:w="810" w:type="dxa"/>
          </w:tcPr>
          <w:p w14:paraId="58C13CE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39(6)</w:t>
            </w:r>
          </w:p>
        </w:tc>
        <w:tc>
          <w:tcPr>
            <w:tcW w:w="5040" w:type="dxa"/>
            <w:gridSpan w:val="2"/>
          </w:tcPr>
          <w:p w14:paraId="084A1E3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6. For the purposes of paragraph 2, a patronage dividend distributed by a supply cooperative shall be treated as subject to tax in the hands of the recipient insofar as such dividend reduces a deductible expense or cost in the computation of the recipient’s taxable income or loss.</w:t>
            </w:r>
          </w:p>
        </w:tc>
        <w:tc>
          <w:tcPr>
            <w:tcW w:w="990" w:type="dxa"/>
            <w:gridSpan w:val="2"/>
          </w:tcPr>
          <w:p w14:paraId="1E761BF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341ABEF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42(6)</w:t>
            </w:r>
          </w:p>
        </w:tc>
        <w:tc>
          <w:tcPr>
            <w:tcW w:w="4680" w:type="dxa"/>
            <w:gridSpan w:val="2"/>
          </w:tcPr>
          <w:p w14:paraId="011D28C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6. For the purposes of paragraph 2, of this Article, a patronage dividend distributed by a supply cooperative shall be treated as subject to tax in the hands of the recipient insofar as such dividend reduces a deductible expense or cost in the computation of the recipient’s taxable income or loss.</w:t>
            </w:r>
          </w:p>
        </w:tc>
        <w:tc>
          <w:tcPr>
            <w:tcW w:w="1800" w:type="dxa"/>
            <w:gridSpan w:val="2"/>
          </w:tcPr>
          <w:p w14:paraId="56B3323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339A377B"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18F68BF6" w14:textId="77777777" w:rsidTr="009170D4">
        <w:trPr>
          <w:trHeight w:val="152"/>
        </w:trPr>
        <w:tc>
          <w:tcPr>
            <w:tcW w:w="810" w:type="dxa"/>
            <w:shd w:val="clear" w:color="auto" w:fill="D9D9D9" w:themeFill="background1" w:themeFillShade="D9"/>
          </w:tcPr>
          <w:p w14:paraId="01FAFC10"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14A4A1F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40. Eligible distribution tax systems</w:t>
            </w:r>
          </w:p>
        </w:tc>
        <w:tc>
          <w:tcPr>
            <w:tcW w:w="990" w:type="dxa"/>
            <w:gridSpan w:val="2"/>
            <w:shd w:val="clear" w:color="auto" w:fill="D9D9D9" w:themeFill="background1" w:themeFillShade="D9"/>
          </w:tcPr>
          <w:p w14:paraId="0AE75F4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693DD9C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43</w:t>
            </w:r>
          </w:p>
        </w:tc>
        <w:tc>
          <w:tcPr>
            <w:tcW w:w="4680" w:type="dxa"/>
            <w:gridSpan w:val="2"/>
            <w:shd w:val="clear" w:color="auto" w:fill="D9D9D9" w:themeFill="background1" w:themeFillShade="D9"/>
          </w:tcPr>
          <w:p w14:paraId="04D8F56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Article 43. Constituent entity subject to an eligible distribution tax system</w:t>
            </w:r>
          </w:p>
        </w:tc>
        <w:tc>
          <w:tcPr>
            <w:tcW w:w="1800" w:type="dxa"/>
            <w:gridSpan w:val="2"/>
            <w:shd w:val="clear" w:color="auto" w:fill="D9D9D9" w:themeFill="background1" w:themeFillShade="D9"/>
          </w:tcPr>
          <w:p w14:paraId="124BFE5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086800E2"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Transposition of EU Directive Article 40 into Article 43 of the domestic draft law.</w:t>
            </w:r>
          </w:p>
        </w:tc>
      </w:tr>
      <w:tr w:rsidR="00465215" w:rsidRPr="005E6D70" w14:paraId="112DDFBE" w14:textId="77777777" w:rsidTr="009170D4">
        <w:trPr>
          <w:trHeight w:val="152"/>
        </w:trPr>
        <w:tc>
          <w:tcPr>
            <w:tcW w:w="810" w:type="dxa"/>
          </w:tcPr>
          <w:p w14:paraId="4564162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40(1)</w:t>
            </w:r>
          </w:p>
        </w:tc>
        <w:tc>
          <w:tcPr>
            <w:tcW w:w="5040" w:type="dxa"/>
            <w:gridSpan w:val="2"/>
          </w:tcPr>
          <w:p w14:paraId="2BB2184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A filing constituent entity may make an election for itself or with respect to another constituent entity that is subject to an eligible distribution tax system to include the amount determined as a deemed distribution tax in accordance with paragraph 2 in the adjusted covered taxes of the constituent entity for the fiscal year. The election shall be made annually in accordance with Article 45(2) and shall apply to all the constituent entities that are located in a jurisdiction.</w:t>
            </w:r>
          </w:p>
        </w:tc>
        <w:tc>
          <w:tcPr>
            <w:tcW w:w="990" w:type="dxa"/>
            <w:gridSpan w:val="2"/>
          </w:tcPr>
          <w:p w14:paraId="6A5A344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21949BD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43(2)</w:t>
            </w:r>
          </w:p>
        </w:tc>
        <w:tc>
          <w:tcPr>
            <w:tcW w:w="4680" w:type="dxa"/>
            <w:gridSpan w:val="2"/>
          </w:tcPr>
          <w:p w14:paraId="5D2BD10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2. A filing constituent entity may make an election for itself or with respect to another constituent entity that is subject to an eligible distribution tax system to include an amount of deemed distribution tax in its adjusted covered taxes for the fiscal year, determined in accordance with paragraph 3, of this Article. The election shall apply to all the constituent entities that are located in the jurisdiction.</w:t>
            </w:r>
          </w:p>
        </w:tc>
        <w:tc>
          <w:tcPr>
            <w:tcW w:w="1800" w:type="dxa"/>
            <w:gridSpan w:val="2"/>
          </w:tcPr>
          <w:p w14:paraId="74FF341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7D7F214F"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Structural adaptation. In the domestic draft law, the definition of the “eligible distribution tax system” from EU Article 3 was moved to paragraph 1 of this article, shifting the election rule to paragraph 2.</w:t>
            </w:r>
          </w:p>
        </w:tc>
      </w:tr>
      <w:tr w:rsidR="00465215" w:rsidRPr="005E6D70" w14:paraId="65F51229" w14:textId="77777777" w:rsidTr="009170D4">
        <w:trPr>
          <w:trHeight w:val="152"/>
        </w:trPr>
        <w:tc>
          <w:tcPr>
            <w:tcW w:w="810" w:type="dxa"/>
          </w:tcPr>
          <w:p w14:paraId="27ED423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40(2)</w:t>
            </w:r>
          </w:p>
        </w:tc>
        <w:tc>
          <w:tcPr>
            <w:tcW w:w="5040" w:type="dxa"/>
            <w:gridSpan w:val="2"/>
          </w:tcPr>
          <w:p w14:paraId="5412B2D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The amount of deemed distribution tax shall be the lesser of:</w:t>
            </w:r>
          </w:p>
        </w:tc>
        <w:tc>
          <w:tcPr>
            <w:tcW w:w="990" w:type="dxa"/>
            <w:gridSpan w:val="2"/>
          </w:tcPr>
          <w:p w14:paraId="6C63C10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49F17BC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43(3)</w:t>
            </w:r>
          </w:p>
        </w:tc>
        <w:tc>
          <w:tcPr>
            <w:tcW w:w="4680" w:type="dxa"/>
            <w:gridSpan w:val="2"/>
          </w:tcPr>
          <w:p w14:paraId="5026E89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 The amount of deemed distribution tax referred to in paragraph 2, of this Article, shall be the lesser of:</w:t>
            </w:r>
          </w:p>
        </w:tc>
        <w:tc>
          <w:tcPr>
            <w:tcW w:w="1800" w:type="dxa"/>
            <w:gridSpan w:val="2"/>
          </w:tcPr>
          <w:p w14:paraId="7FB604D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04E52625"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Structural transposition (renumbered to paragraph 3).</w:t>
            </w:r>
          </w:p>
        </w:tc>
      </w:tr>
      <w:tr w:rsidR="00465215" w:rsidRPr="005E6D70" w14:paraId="6C2AE1EF" w14:textId="77777777" w:rsidTr="009170D4">
        <w:trPr>
          <w:trHeight w:val="152"/>
        </w:trPr>
        <w:tc>
          <w:tcPr>
            <w:tcW w:w="810" w:type="dxa"/>
          </w:tcPr>
          <w:p w14:paraId="05C69BF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40(2a)</w:t>
            </w:r>
          </w:p>
        </w:tc>
        <w:tc>
          <w:tcPr>
            <w:tcW w:w="5040" w:type="dxa"/>
            <w:gridSpan w:val="2"/>
          </w:tcPr>
          <w:p w14:paraId="2F5B24B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the amount of adjusted covered taxes necessary to increase the effective tax rate as computed in accordance with Article 27(2) for the jurisdiction for the fiscal year to the minimum tax rate; or</w:t>
            </w:r>
          </w:p>
        </w:tc>
        <w:tc>
          <w:tcPr>
            <w:tcW w:w="990" w:type="dxa"/>
            <w:gridSpan w:val="2"/>
          </w:tcPr>
          <w:p w14:paraId="569D026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60714B6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43(3)(a)</w:t>
            </w:r>
          </w:p>
        </w:tc>
        <w:tc>
          <w:tcPr>
            <w:tcW w:w="4680" w:type="dxa"/>
            <w:gridSpan w:val="2"/>
          </w:tcPr>
          <w:p w14:paraId="7565CA0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a) the amount of adjusted covered taxes necessary to increase the effective tax rate computed in accordance with Article 26, of this Law, for the jurisdiction for the fiscal year to the minimum tax rate; or</w:t>
            </w:r>
          </w:p>
        </w:tc>
        <w:tc>
          <w:tcPr>
            <w:tcW w:w="1800" w:type="dxa"/>
            <w:gridSpan w:val="2"/>
          </w:tcPr>
          <w:p w14:paraId="5D03C60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74D00A5F"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Cross-reference updated to Article 26 of the domestic draft law.</w:t>
            </w:r>
          </w:p>
        </w:tc>
      </w:tr>
      <w:tr w:rsidR="00465215" w:rsidRPr="005E6D70" w14:paraId="15285BD5" w14:textId="77777777" w:rsidTr="009170D4">
        <w:trPr>
          <w:trHeight w:val="152"/>
        </w:trPr>
        <w:tc>
          <w:tcPr>
            <w:tcW w:w="810" w:type="dxa"/>
          </w:tcPr>
          <w:p w14:paraId="442A7EB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40(2b)</w:t>
            </w:r>
          </w:p>
        </w:tc>
        <w:tc>
          <w:tcPr>
            <w:tcW w:w="5040" w:type="dxa"/>
            <w:gridSpan w:val="2"/>
          </w:tcPr>
          <w:p w14:paraId="2D4D0EA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the amount of tax that would have been due if the constituent entities located in the jurisdiction had distributed all of their income that is subject to the eligible distribution tax system during such fiscal year.</w:t>
            </w:r>
          </w:p>
        </w:tc>
        <w:tc>
          <w:tcPr>
            <w:tcW w:w="990" w:type="dxa"/>
            <w:gridSpan w:val="2"/>
          </w:tcPr>
          <w:p w14:paraId="0038B98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1B32FA4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43(3)(b)</w:t>
            </w:r>
          </w:p>
        </w:tc>
        <w:tc>
          <w:tcPr>
            <w:tcW w:w="4680" w:type="dxa"/>
            <w:gridSpan w:val="2"/>
          </w:tcPr>
          <w:p w14:paraId="0DB7C45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b) the amount of tax that would have been due if the constituent entities located in the jurisdiction had distributed all of their income that is subject to the eligible distribution tax system during such fiscal year.</w:t>
            </w:r>
          </w:p>
        </w:tc>
        <w:tc>
          <w:tcPr>
            <w:tcW w:w="1800" w:type="dxa"/>
            <w:gridSpan w:val="2"/>
          </w:tcPr>
          <w:p w14:paraId="5DF42A5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7B08A17E"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15FAB75B" w14:textId="77777777" w:rsidTr="009170D4">
        <w:trPr>
          <w:trHeight w:val="152"/>
        </w:trPr>
        <w:tc>
          <w:tcPr>
            <w:tcW w:w="810" w:type="dxa"/>
          </w:tcPr>
          <w:p w14:paraId="4857B40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40(3)</w:t>
            </w:r>
          </w:p>
        </w:tc>
        <w:tc>
          <w:tcPr>
            <w:tcW w:w="5040" w:type="dxa"/>
            <w:gridSpan w:val="2"/>
          </w:tcPr>
          <w:p w14:paraId="67A131A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3. Where an election is made under paragraph 1, a deemed distribution tax recapture account shall be established for each fiscal year in which such election applies. The amount of deemed distribution tax determined in accordance with paragraph 2 for the jurisdiction shall be added to the deemed distribution tax recapture account for the fiscal year in which it was established. </w:t>
            </w:r>
          </w:p>
          <w:p w14:paraId="2DF9A7D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At the end of each subsequent fiscal year, the outstanding balances in the deemed distribution tax recapture accounts established for prior fiscal years shall be reduced in chronological order, up to zero, </w:t>
            </w:r>
            <w:r w:rsidRPr="005E6D70">
              <w:rPr>
                <w:rFonts w:ascii="Times New Roman" w:eastAsia="Calibri" w:hAnsi="Times New Roman" w:cs="Times New Roman"/>
                <w:iCs/>
                <w:sz w:val="18"/>
                <w:szCs w:val="18"/>
                <w:lang w:val="en-US"/>
              </w:rPr>
              <w:lastRenderedPageBreak/>
              <w:t>by the taxes paid by the constituent entities during the fiscal year in relation to actual or deemed distributions.</w:t>
            </w:r>
          </w:p>
          <w:p w14:paraId="5DA96981" w14:textId="77777777" w:rsidR="00465215" w:rsidRPr="005E6D70" w:rsidRDefault="00465215" w:rsidP="009170D4">
            <w:pPr>
              <w:jc w:val="both"/>
              <w:rPr>
                <w:rFonts w:ascii="Times New Roman" w:eastAsia="Calibri" w:hAnsi="Times New Roman" w:cs="Times New Roman"/>
                <w:iCs/>
                <w:sz w:val="18"/>
                <w:szCs w:val="18"/>
                <w:lang w:val="en-US"/>
              </w:rPr>
            </w:pPr>
          </w:p>
          <w:p w14:paraId="474157C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Any residual amount in the deemed distribution tax recapture accounts remaining after the application of the second subparagraph shall be reduced, up to zero, by an amount equal to the net qualifying loss of a jurisdiction multiplied by the minimum tax rate.</w:t>
            </w:r>
          </w:p>
        </w:tc>
        <w:tc>
          <w:tcPr>
            <w:tcW w:w="990" w:type="dxa"/>
            <w:gridSpan w:val="2"/>
          </w:tcPr>
          <w:p w14:paraId="30D02B1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3D117F4C"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43(5)</w:t>
            </w:r>
          </w:p>
          <w:p w14:paraId="634D6910" w14:textId="77777777" w:rsidR="00465215" w:rsidRPr="005E6D70" w:rsidRDefault="00465215" w:rsidP="009170D4">
            <w:pPr>
              <w:jc w:val="center"/>
              <w:rPr>
                <w:rFonts w:ascii="Times New Roman" w:eastAsia="Arial" w:hAnsi="Times New Roman" w:cs="Times New Roman"/>
                <w:sz w:val="18"/>
                <w:szCs w:val="18"/>
              </w:rPr>
            </w:pPr>
          </w:p>
          <w:p w14:paraId="2BC47E94" w14:textId="77777777" w:rsidR="00465215" w:rsidRPr="005E6D70" w:rsidRDefault="00465215" w:rsidP="009170D4">
            <w:pPr>
              <w:jc w:val="center"/>
              <w:rPr>
                <w:rFonts w:ascii="Times New Roman" w:eastAsia="Arial" w:hAnsi="Times New Roman" w:cs="Times New Roman"/>
                <w:sz w:val="18"/>
                <w:szCs w:val="18"/>
              </w:rPr>
            </w:pPr>
          </w:p>
          <w:p w14:paraId="2C38BF98" w14:textId="77777777" w:rsidR="00465215" w:rsidRPr="005E6D70" w:rsidRDefault="00465215" w:rsidP="009170D4">
            <w:pPr>
              <w:jc w:val="center"/>
              <w:rPr>
                <w:rFonts w:ascii="Times New Roman" w:eastAsia="Arial" w:hAnsi="Times New Roman" w:cs="Times New Roman"/>
                <w:sz w:val="18"/>
                <w:szCs w:val="18"/>
              </w:rPr>
            </w:pPr>
          </w:p>
          <w:p w14:paraId="181AFD2B" w14:textId="77777777" w:rsidR="00465215" w:rsidRPr="005E6D70" w:rsidRDefault="00465215" w:rsidP="009170D4">
            <w:pPr>
              <w:jc w:val="center"/>
              <w:rPr>
                <w:rFonts w:ascii="Times New Roman" w:eastAsia="Arial" w:hAnsi="Times New Roman" w:cs="Times New Roman"/>
                <w:sz w:val="18"/>
                <w:szCs w:val="18"/>
              </w:rPr>
            </w:pPr>
          </w:p>
          <w:p w14:paraId="5E6F1104" w14:textId="77777777" w:rsidR="00465215" w:rsidRPr="005E6D70" w:rsidRDefault="00465215" w:rsidP="009170D4">
            <w:pPr>
              <w:jc w:val="center"/>
              <w:rPr>
                <w:rFonts w:ascii="Times New Roman" w:eastAsia="Arial" w:hAnsi="Times New Roman" w:cs="Times New Roman"/>
                <w:sz w:val="18"/>
                <w:szCs w:val="18"/>
              </w:rPr>
            </w:pPr>
          </w:p>
          <w:p w14:paraId="65ECC1B5" w14:textId="77777777" w:rsidR="00465215" w:rsidRPr="005E6D70" w:rsidRDefault="00465215" w:rsidP="009170D4">
            <w:pPr>
              <w:jc w:val="center"/>
              <w:rPr>
                <w:rFonts w:ascii="Times New Roman" w:eastAsia="Arial" w:hAnsi="Times New Roman" w:cs="Times New Roman"/>
                <w:sz w:val="18"/>
                <w:szCs w:val="18"/>
              </w:rPr>
            </w:pPr>
          </w:p>
          <w:p w14:paraId="46D0353D"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43(6)</w:t>
            </w:r>
          </w:p>
          <w:p w14:paraId="3C9741FF" w14:textId="77777777" w:rsidR="00465215" w:rsidRPr="005E6D70" w:rsidRDefault="00465215" w:rsidP="009170D4">
            <w:pPr>
              <w:jc w:val="center"/>
              <w:rPr>
                <w:rFonts w:ascii="Times New Roman" w:eastAsia="Arial" w:hAnsi="Times New Roman" w:cs="Times New Roman"/>
                <w:sz w:val="18"/>
                <w:szCs w:val="18"/>
              </w:rPr>
            </w:pPr>
          </w:p>
          <w:p w14:paraId="11CBAF80" w14:textId="77777777" w:rsidR="00465215" w:rsidRPr="005E6D70" w:rsidRDefault="00465215" w:rsidP="009170D4">
            <w:pPr>
              <w:jc w:val="center"/>
              <w:rPr>
                <w:rFonts w:ascii="Times New Roman" w:eastAsia="Arial" w:hAnsi="Times New Roman" w:cs="Times New Roman"/>
                <w:sz w:val="18"/>
                <w:szCs w:val="18"/>
              </w:rPr>
            </w:pPr>
          </w:p>
          <w:p w14:paraId="4E188F80" w14:textId="77777777" w:rsidR="00465215" w:rsidRPr="005E6D70" w:rsidRDefault="00465215" w:rsidP="009170D4">
            <w:pPr>
              <w:jc w:val="center"/>
              <w:rPr>
                <w:rFonts w:ascii="Times New Roman" w:eastAsia="Arial" w:hAnsi="Times New Roman" w:cs="Times New Roman"/>
                <w:sz w:val="18"/>
                <w:szCs w:val="18"/>
              </w:rPr>
            </w:pPr>
          </w:p>
          <w:p w14:paraId="1F45FEB7" w14:textId="77777777" w:rsidR="00465215" w:rsidRPr="005E6D70" w:rsidRDefault="00465215" w:rsidP="009170D4">
            <w:pPr>
              <w:jc w:val="center"/>
              <w:rPr>
                <w:rFonts w:ascii="Times New Roman" w:eastAsia="Arial" w:hAnsi="Times New Roman" w:cs="Times New Roman"/>
                <w:sz w:val="18"/>
                <w:szCs w:val="18"/>
              </w:rPr>
            </w:pPr>
          </w:p>
          <w:p w14:paraId="5B496475" w14:textId="77777777" w:rsidR="00465215" w:rsidRPr="005E6D70" w:rsidRDefault="00465215" w:rsidP="009170D4">
            <w:pPr>
              <w:jc w:val="center"/>
              <w:rPr>
                <w:rFonts w:ascii="Times New Roman" w:eastAsia="Arial" w:hAnsi="Times New Roman" w:cs="Times New Roman"/>
                <w:sz w:val="18"/>
                <w:szCs w:val="18"/>
              </w:rPr>
            </w:pPr>
          </w:p>
          <w:p w14:paraId="299FBC44" w14:textId="77777777" w:rsidR="00465215" w:rsidRPr="005E6D70" w:rsidRDefault="00465215" w:rsidP="009170D4">
            <w:pPr>
              <w:jc w:val="center"/>
              <w:rPr>
                <w:rFonts w:ascii="Times New Roman" w:eastAsia="Arial" w:hAnsi="Times New Roman" w:cs="Times New Roman"/>
                <w:sz w:val="18"/>
                <w:szCs w:val="18"/>
              </w:rPr>
            </w:pPr>
          </w:p>
          <w:p w14:paraId="7006356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43(7)</w:t>
            </w:r>
          </w:p>
        </w:tc>
        <w:tc>
          <w:tcPr>
            <w:tcW w:w="4680" w:type="dxa"/>
            <w:gridSpan w:val="2"/>
          </w:tcPr>
          <w:p w14:paraId="393C5D55"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lastRenderedPageBreak/>
              <w:t xml:space="preserve">5. Where an election is made under paragraph 2, of this Article, a deemed distribution tax recapture account shall be established for each fiscal year in which such election applies. The amount of deemed distribution tax determined under paragraph 3, of this Article, for the jurisdiction shall be added to such account. </w:t>
            </w:r>
          </w:p>
          <w:p w14:paraId="5BD54B56" w14:textId="77777777" w:rsidR="00465215" w:rsidRPr="005E6D70" w:rsidRDefault="00465215" w:rsidP="009170D4">
            <w:pPr>
              <w:jc w:val="both"/>
              <w:rPr>
                <w:rFonts w:ascii="Times New Roman" w:eastAsia="Arial" w:hAnsi="Times New Roman" w:cs="Times New Roman"/>
                <w:sz w:val="18"/>
                <w:szCs w:val="18"/>
              </w:rPr>
            </w:pPr>
          </w:p>
          <w:p w14:paraId="20B80AB2"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6. At the end of each succeeding fiscal year, the outstanding balances in the deemed distribution tax recapture accounts established for prior fiscal years shall be reduced, in </w:t>
            </w:r>
            <w:r w:rsidRPr="005E6D70">
              <w:rPr>
                <w:rFonts w:ascii="Times New Roman" w:eastAsia="Arial" w:hAnsi="Times New Roman" w:cs="Times New Roman"/>
                <w:sz w:val="18"/>
                <w:szCs w:val="18"/>
              </w:rPr>
              <w:lastRenderedPageBreak/>
              <w:t xml:space="preserve">chronological order, up to zero, by the amount of taxes actually paid by the constituent entities during the fiscal year in relation to actual or deemed distributions. </w:t>
            </w:r>
          </w:p>
          <w:p w14:paraId="4F7F0A15" w14:textId="77777777" w:rsidR="00465215" w:rsidRPr="005E6D70" w:rsidRDefault="00465215" w:rsidP="009170D4">
            <w:pPr>
              <w:jc w:val="both"/>
              <w:rPr>
                <w:rFonts w:ascii="Times New Roman" w:eastAsia="Arial" w:hAnsi="Times New Roman" w:cs="Times New Roman"/>
                <w:sz w:val="18"/>
                <w:szCs w:val="18"/>
              </w:rPr>
            </w:pPr>
          </w:p>
          <w:p w14:paraId="57B2A30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7. Any residual amount in the deemed distribution tax recapture accounts remaining after the application of paragraph 6, of this Article, shall be reduced, up to zero, by an amount equal to the net qualifying loss for a jurisdiction multiplied by the minimum tax rate.</w:t>
            </w:r>
          </w:p>
        </w:tc>
        <w:tc>
          <w:tcPr>
            <w:tcW w:w="1800" w:type="dxa"/>
            <w:gridSpan w:val="2"/>
          </w:tcPr>
          <w:p w14:paraId="7B25A78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6E999BCB"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Structural separation. The EU paragraph is separated into three distinct numbered paragraphs (5, 6, and 7) for legislative </w:t>
            </w:r>
            <w:r w:rsidRPr="005E6D70">
              <w:rPr>
                <w:rFonts w:ascii="Times New Roman" w:eastAsia="Arial" w:hAnsi="Times New Roman" w:cs="Times New Roman"/>
                <w:sz w:val="18"/>
                <w:szCs w:val="18"/>
              </w:rPr>
              <w:lastRenderedPageBreak/>
              <w:t>clarity in the domestic law.</w:t>
            </w:r>
          </w:p>
        </w:tc>
      </w:tr>
      <w:tr w:rsidR="00465215" w:rsidRPr="005E6D70" w14:paraId="7396F5E0" w14:textId="77777777" w:rsidTr="009170D4">
        <w:trPr>
          <w:trHeight w:val="152"/>
        </w:trPr>
        <w:tc>
          <w:tcPr>
            <w:tcW w:w="810" w:type="dxa"/>
          </w:tcPr>
          <w:p w14:paraId="4E58D43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40(4)</w:t>
            </w:r>
          </w:p>
        </w:tc>
        <w:tc>
          <w:tcPr>
            <w:tcW w:w="5040" w:type="dxa"/>
            <w:gridSpan w:val="2"/>
          </w:tcPr>
          <w:p w14:paraId="40D2C1C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 Any residual amount of net qualifying loss multiplied by the minimum tax rate remaining after the application of paragraph 3, third subparagraph, for the jurisdiction, shall be carried forward to the following fiscal years and shall reduce any residual amount in the deemed distribution tax recapture accounts remaining after the application of paragraph 3.</w:t>
            </w:r>
          </w:p>
        </w:tc>
        <w:tc>
          <w:tcPr>
            <w:tcW w:w="990" w:type="dxa"/>
            <w:gridSpan w:val="2"/>
          </w:tcPr>
          <w:p w14:paraId="70611A8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5842A29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43(8)</w:t>
            </w:r>
          </w:p>
        </w:tc>
        <w:tc>
          <w:tcPr>
            <w:tcW w:w="4680" w:type="dxa"/>
            <w:gridSpan w:val="2"/>
          </w:tcPr>
          <w:p w14:paraId="0F63C7D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8. Any residual amount of net qualifying loss multiplied by the minimum tax rate remaining after the application of paragraph 7, of this Article, shall be carried forward to the following fiscal years and shall reduce any residual amount in the deemed distribution tax recapture accounts remaining after the application of paragraph 6, of this Article.</w:t>
            </w:r>
          </w:p>
        </w:tc>
        <w:tc>
          <w:tcPr>
            <w:tcW w:w="1800" w:type="dxa"/>
            <w:gridSpan w:val="2"/>
          </w:tcPr>
          <w:p w14:paraId="01F5F57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53D6D42F"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Renumbered to paragraph 8.</w:t>
            </w:r>
          </w:p>
        </w:tc>
      </w:tr>
      <w:tr w:rsidR="00465215" w:rsidRPr="005E6D70" w14:paraId="2AB091C6" w14:textId="77777777" w:rsidTr="009170D4">
        <w:trPr>
          <w:trHeight w:val="152"/>
        </w:trPr>
        <w:tc>
          <w:tcPr>
            <w:tcW w:w="810" w:type="dxa"/>
          </w:tcPr>
          <w:p w14:paraId="01638B5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40(5)</w:t>
            </w:r>
          </w:p>
        </w:tc>
        <w:tc>
          <w:tcPr>
            <w:tcW w:w="5040" w:type="dxa"/>
            <w:gridSpan w:val="2"/>
          </w:tcPr>
          <w:p w14:paraId="62E43621"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5. The outstanding balance, if any, of the deemed distribution tax recapture account on the last day of the fourth fiscal year after the fiscal year for which such account was established shall be treated as a reduction to the adjusted covered taxes previously determined for such fiscal year. The effective tax rate and top-up tax for such fiscal year shall be recomputed accordingly, in accordance with Article 29(1).</w:t>
            </w:r>
          </w:p>
        </w:tc>
        <w:tc>
          <w:tcPr>
            <w:tcW w:w="990" w:type="dxa"/>
            <w:gridSpan w:val="2"/>
          </w:tcPr>
          <w:p w14:paraId="67FD876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0441341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43(9)</w:t>
            </w:r>
          </w:p>
        </w:tc>
        <w:tc>
          <w:tcPr>
            <w:tcW w:w="4680" w:type="dxa"/>
            <w:gridSpan w:val="2"/>
          </w:tcPr>
          <w:p w14:paraId="5477575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9. The outstanding balance, if any, of the deemed distribution tax recapture account on the last day of the fourth fiscal year after the fiscal year for which such account was established shall be treated as a reduction to the adjusted covered taxes previously determined for such fiscal year. The effective tax rate and the top-up tax for that fiscal year shall be recomputed accordingly in accordance with Article 32, of this Law.</w:t>
            </w:r>
          </w:p>
        </w:tc>
        <w:tc>
          <w:tcPr>
            <w:tcW w:w="1800" w:type="dxa"/>
            <w:gridSpan w:val="2"/>
          </w:tcPr>
          <w:p w14:paraId="015EF61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33143E8E"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Cross-reference updated to Article 32.</w:t>
            </w:r>
          </w:p>
        </w:tc>
      </w:tr>
      <w:tr w:rsidR="00465215" w:rsidRPr="005E6D70" w14:paraId="5920AAA5" w14:textId="77777777" w:rsidTr="009170D4">
        <w:trPr>
          <w:trHeight w:val="152"/>
        </w:trPr>
        <w:tc>
          <w:tcPr>
            <w:tcW w:w="810" w:type="dxa"/>
          </w:tcPr>
          <w:p w14:paraId="52D5232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40(6)</w:t>
            </w:r>
          </w:p>
        </w:tc>
        <w:tc>
          <w:tcPr>
            <w:tcW w:w="5040" w:type="dxa"/>
            <w:gridSpan w:val="2"/>
          </w:tcPr>
          <w:p w14:paraId="55B22C3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6. Taxes that are paid during the fiscal year in relation to actual or deemed distributions shall not be included in adjusted covered taxes to the extent they reduce a deemed distribution tax recapture account in accordance with paragraphs 3 and 4.</w:t>
            </w:r>
          </w:p>
        </w:tc>
        <w:tc>
          <w:tcPr>
            <w:tcW w:w="990" w:type="dxa"/>
            <w:gridSpan w:val="2"/>
          </w:tcPr>
          <w:p w14:paraId="2F569C4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28B75F3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43(10)</w:t>
            </w:r>
          </w:p>
        </w:tc>
        <w:tc>
          <w:tcPr>
            <w:tcW w:w="4680" w:type="dxa"/>
            <w:gridSpan w:val="2"/>
          </w:tcPr>
          <w:p w14:paraId="1DCD672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10. Taxes paid during a fiscal year in relation to actual or deemed distributions shall not be included in adjusted covered taxes to the extent they reduce a deemed distribution tax recapture account in accordance with paragraphs 6 and 7, of this Article.</w:t>
            </w:r>
          </w:p>
        </w:tc>
        <w:tc>
          <w:tcPr>
            <w:tcW w:w="1800" w:type="dxa"/>
            <w:gridSpan w:val="2"/>
          </w:tcPr>
          <w:p w14:paraId="6BFAFB4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16872199"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Internal cross-references updated to reflect the new paragraph numbering.</w:t>
            </w:r>
          </w:p>
        </w:tc>
      </w:tr>
      <w:tr w:rsidR="00465215" w:rsidRPr="005E6D70" w14:paraId="08AB26B2" w14:textId="77777777" w:rsidTr="009170D4">
        <w:trPr>
          <w:trHeight w:val="152"/>
        </w:trPr>
        <w:tc>
          <w:tcPr>
            <w:tcW w:w="810" w:type="dxa"/>
          </w:tcPr>
          <w:p w14:paraId="553F616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40(7)</w:t>
            </w:r>
          </w:p>
        </w:tc>
        <w:tc>
          <w:tcPr>
            <w:tcW w:w="5040" w:type="dxa"/>
            <w:gridSpan w:val="2"/>
          </w:tcPr>
          <w:p w14:paraId="7B88374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7. Where a constituent entity that is subject to an election under paragraph 1 leaves the MNE group or large-scale domestic group or substantially all of its assets are transferred to a person that is not a constituent entity of the same MNE group or large-scale domestic group located in the same jurisdiction, any outstanding balance of the deemed distribution tax recapture accounts in previous fiscal years in which such account was established shall be treated as a reduction to the adjusted covered taxes for each of those fiscal years in accordance with Article 29(1).</w:t>
            </w:r>
          </w:p>
          <w:p w14:paraId="33BDABF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0E7AB7F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Any additional top-up tax amount due shall be multiplied by the following ratio to determine the additional top-up tax due for the jurisdiction:</w:t>
            </w:r>
          </w:p>
          <w:p w14:paraId="14EF352D" w14:textId="77777777" w:rsidR="00465215" w:rsidRPr="005E6D70" w:rsidRDefault="00465215" w:rsidP="009170D4">
            <w:pPr>
              <w:jc w:val="both"/>
              <w:rPr>
                <w:rFonts w:ascii="Times New Roman" w:eastAsia="Calibri" w:hAnsi="Times New Roman" w:cs="Times New Roman"/>
                <w:iCs/>
                <w:sz w:val="18"/>
                <w:szCs w:val="18"/>
                <w:lang w:val="en-US"/>
              </w:rPr>
            </w:pPr>
          </w:p>
          <w:p w14:paraId="37D7C1A9" w14:textId="77777777" w:rsidR="00465215" w:rsidRPr="005E6D70" w:rsidRDefault="00465215" w:rsidP="009170D4">
            <w:pPr>
              <w:jc w:val="both"/>
              <w:rPr>
                <w:rFonts w:ascii="Times New Roman" w:eastAsia="Calibri" w:hAnsi="Times New Roman" w:cs="Times New Roman"/>
                <w:i/>
                <w:sz w:val="18"/>
                <w:szCs w:val="18"/>
                <w:u w:val="single"/>
                <w:lang w:val="en-US"/>
              </w:rPr>
            </w:pPr>
            <w:r w:rsidRPr="005E6D70">
              <w:rPr>
                <w:rFonts w:ascii="Times New Roman" w:eastAsia="Calibri" w:hAnsi="Times New Roman" w:cs="Times New Roman"/>
                <w:i/>
                <w:sz w:val="18"/>
                <w:szCs w:val="18"/>
                <w:u w:val="single"/>
                <w:lang w:val="en-US"/>
              </w:rPr>
              <w:t>Qualifying income of the constituent entity</w:t>
            </w:r>
          </w:p>
          <w:p w14:paraId="6B2D40B7" w14:textId="77777777" w:rsidR="00465215" w:rsidRPr="005E6D70" w:rsidRDefault="00465215" w:rsidP="009170D4">
            <w:pPr>
              <w:jc w:val="both"/>
              <w:rPr>
                <w:rFonts w:ascii="Times New Roman" w:eastAsia="Calibri" w:hAnsi="Times New Roman" w:cs="Times New Roman"/>
                <w:i/>
                <w:sz w:val="18"/>
                <w:szCs w:val="18"/>
                <w:lang w:val="en-US"/>
              </w:rPr>
            </w:pPr>
            <w:r w:rsidRPr="005E6D70">
              <w:rPr>
                <w:rFonts w:ascii="Times New Roman" w:eastAsia="Calibri" w:hAnsi="Times New Roman" w:cs="Times New Roman"/>
                <w:i/>
                <w:sz w:val="18"/>
                <w:szCs w:val="18"/>
                <w:lang w:val="en-US"/>
              </w:rPr>
              <w:t>Net qualifying income of the jurisdiction</w:t>
            </w:r>
          </w:p>
          <w:p w14:paraId="4218A1E5" w14:textId="77777777" w:rsidR="00465215" w:rsidRPr="005E6D70" w:rsidRDefault="00465215" w:rsidP="009170D4">
            <w:pPr>
              <w:rPr>
                <w:rFonts w:ascii="Times New Roman" w:eastAsia="Calibri" w:hAnsi="Times New Roman" w:cs="Times New Roman"/>
                <w:i/>
                <w:sz w:val="18"/>
                <w:szCs w:val="18"/>
                <w:lang w:val="en-US"/>
              </w:rPr>
            </w:pPr>
          </w:p>
          <w:p w14:paraId="460799F2"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where:</w:t>
            </w:r>
          </w:p>
        </w:tc>
        <w:tc>
          <w:tcPr>
            <w:tcW w:w="990" w:type="dxa"/>
            <w:gridSpan w:val="2"/>
          </w:tcPr>
          <w:p w14:paraId="2CA9A4E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03279FB7"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43(11)</w:t>
            </w:r>
          </w:p>
          <w:p w14:paraId="2226DDA3" w14:textId="77777777" w:rsidR="00465215" w:rsidRPr="005E6D70" w:rsidRDefault="00465215" w:rsidP="009170D4">
            <w:pPr>
              <w:jc w:val="center"/>
              <w:rPr>
                <w:rFonts w:ascii="Times New Roman" w:eastAsia="Arial" w:hAnsi="Times New Roman" w:cs="Times New Roman"/>
                <w:sz w:val="18"/>
                <w:szCs w:val="18"/>
              </w:rPr>
            </w:pPr>
          </w:p>
          <w:p w14:paraId="48118BDC" w14:textId="77777777" w:rsidR="00465215" w:rsidRPr="005E6D70" w:rsidRDefault="00465215" w:rsidP="009170D4">
            <w:pPr>
              <w:jc w:val="center"/>
              <w:rPr>
                <w:rFonts w:ascii="Times New Roman" w:eastAsia="Arial" w:hAnsi="Times New Roman" w:cs="Times New Roman"/>
                <w:sz w:val="18"/>
                <w:szCs w:val="18"/>
              </w:rPr>
            </w:pPr>
          </w:p>
          <w:p w14:paraId="642F5900" w14:textId="77777777" w:rsidR="00465215" w:rsidRPr="005E6D70" w:rsidRDefault="00465215" w:rsidP="009170D4">
            <w:pPr>
              <w:jc w:val="center"/>
              <w:rPr>
                <w:rFonts w:ascii="Times New Roman" w:eastAsia="Arial" w:hAnsi="Times New Roman" w:cs="Times New Roman"/>
                <w:sz w:val="18"/>
                <w:szCs w:val="18"/>
              </w:rPr>
            </w:pPr>
          </w:p>
          <w:p w14:paraId="07764C4A" w14:textId="77777777" w:rsidR="00465215" w:rsidRPr="005E6D70" w:rsidRDefault="00465215" w:rsidP="009170D4">
            <w:pPr>
              <w:jc w:val="center"/>
              <w:rPr>
                <w:rFonts w:ascii="Times New Roman" w:eastAsia="Arial" w:hAnsi="Times New Roman" w:cs="Times New Roman"/>
                <w:sz w:val="18"/>
                <w:szCs w:val="18"/>
              </w:rPr>
            </w:pPr>
          </w:p>
          <w:p w14:paraId="60596CF3" w14:textId="77777777" w:rsidR="00465215" w:rsidRPr="005E6D70" w:rsidRDefault="00465215" w:rsidP="009170D4">
            <w:pPr>
              <w:jc w:val="center"/>
              <w:rPr>
                <w:rFonts w:ascii="Times New Roman" w:eastAsia="Arial" w:hAnsi="Times New Roman" w:cs="Times New Roman"/>
                <w:sz w:val="18"/>
                <w:szCs w:val="18"/>
              </w:rPr>
            </w:pPr>
          </w:p>
          <w:p w14:paraId="61B59DB6" w14:textId="77777777" w:rsidR="00465215" w:rsidRPr="005E6D70" w:rsidRDefault="00465215" w:rsidP="009170D4">
            <w:pPr>
              <w:jc w:val="center"/>
              <w:rPr>
                <w:rFonts w:ascii="Times New Roman" w:eastAsia="Arial" w:hAnsi="Times New Roman" w:cs="Times New Roman"/>
                <w:sz w:val="18"/>
                <w:szCs w:val="18"/>
              </w:rPr>
            </w:pPr>
          </w:p>
          <w:p w14:paraId="0F703D7D" w14:textId="77777777" w:rsidR="00465215" w:rsidRPr="005E6D70" w:rsidRDefault="00465215" w:rsidP="009170D4">
            <w:pPr>
              <w:jc w:val="center"/>
              <w:rPr>
                <w:rFonts w:ascii="Times New Roman" w:eastAsia="Arial" w:hAnsi="Times New Roman" w:cs="Times New Roman"/>
                <w:sz w:val="18"/>
                <w:szCs w:val="18"/>
              </w:rPr>
            </w:pPr>
          </w:p>
          <w:p w14:paraId="5FF3AD3D" w14:textId="77777777" w:rsidR="00465215" w:rsidRPr="005E6D70" w:rsidRDefault="00465215" w:rsidP="009170D4">
            <w:pPr>
              <w:jc w:val="center"/>
              <w:rPr>
                <w:rFonts w:ascii="Times New Roman" w:eastAsia="Arial" w:hAnsi="Times New Roman" w:cs="Times New Roman"/>
                <w:sz w:val="18"/>
                <w:szCs w:val="18"/>
              </w:rPr>
            </w:pPr>
          </w:p>
          <w:p w14:paraId="2249EC48" w14:textId="77777777" w:rsidR="00465215" w:rsidRPr="005E6D70" w:rsidRDefault="00465215" w:rsidP="009170D4">
            <w:pPr>
              <w:jc w:val="center"/>
              <w:rPr>
                <w:rFonts w:ascii="Times New Roman" w:eastAsia="Arial" w:hAnsi="Times New Roman" w:cs="Times New Roman"/>
                <w:sz w:val="18"/>
                <w:szCs w:val="18"/>
              </w:rPr>
            </w:pPr>
          </w:p>
          <w:p w14:paraId="08FA47F2" w14:textId="77777777" w:rsidR="00465215" w:rsidRPr="005E6D70" w:rsidRDefault="00465215" w:rsidP="009170D4">
            <w:pPr>
              <w:jc w:val="center"/>
              <w:rPr>
                <w:rFonts w:ascii="Times New Roman" w:eastAsia="Arial" w:hAnsi="Times New Roman" w:cs="Times New Roman"/>
                <w:sz w:val="18"/>
                <w:szCs w:val="18"/>
              </w:rPr>
            </w:pPr>
          </w:p>
          <w:p w14:paraId="04A6D4D3" w14:textId="77777777" w:rsidR="00465215" w:rsidRPr="005E6D70" w:rsidRDefault="00465215" w:rsidP="009170D4">
            <w:pPr>
              <w:jc w:val="center"/>
              <w:rPr>
                <w:rFonts w:ascii="Times New Roman" w:eastAsia="Arial" w:hAnsi="Times New Roman" w:cs="Times New Roman"/>
                <w:sz w:val="18"/>
                <w:szCs w:val="18"/>
              </w:rPr>
            </w:pPr>
          </w:p>
          <w:p w14:paraId="0F3F683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43(12)</w:t>
            </w:r>
          </w:p>
        </w:tc>
        <w:tc>
          <w:tcPr>
            <w:tcW w:w="4680" w:type="dxa"/>
            <w:gridSpan w:val="2"/>
          </w:tcPr>
          <w:p w14:paraId="0E8CC27F"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lastRenderedPageBreak/>
              <w:t xml:space="preserve">11. Where a constituent entity that was subject to an election under paragraph 2, of this Article, leaves the multinational enterprise group or large-scale domestic group, or substantially all of its assets are transferred to a person that is not a constituent entity of the same multinational enterprise group or large-scale domestic group located in the same jurisdiction, any outstanding balance of the deemed distribution tax recapture accounts in previous fiscal years in which such an account was established shall be treated as a reduction to the adjusted covered taxes for each of those fiscal years in accordance with Article 32, of this Law. </w:t>
            </w:r>
          </w:p>
          <w:p w14:paraId="490E396F" w14:textId="77777777" w:rsidR="00465215" w:rsidRPr="005E6D70" w:rsidRDefault="00465215" w:rsidP="009170D4">
            <w:pPr>
              <w:jc w:val="both"/>
              <w:rPr>
                <w:rFonts w:ascii="Times New Roman" w:eastAsia="Arial" w:hAnsi="Times New Roman" w:cs="Times New Roman"/>
                <w:sz w:val="18"/>
                <w:szCs w:val="18"/>
              </w:rPr>
            </w:pPr>
          </w:p>
          <w:p w14:paraId="41BE331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12. Any additional top-up tax amount due pursuant to paragraph 11, of this Article, shall be determined by multiplying that amount by a fraction, the numerator of which is the qualifying income of the constituent entity and the denominator of which is the net qualifying income of the jurisdiction, where:</w:t>
            </w:r>
          </w:p>
        </w:tc>
        <w:tc>
          <w:tcPr>
            <w:tcW w:w="1800" w:type="dxa"/>
            <w:gridSpan w:val="2"/>
          </w:tcPr>
          <w:p w14:paraId="38BBA69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11F1EA03"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Structural separation. The unnumbered subparagraphs containing the ratio logic are condensed and codified into a single distinct paragraph (12). Cross-</w:t>
            </w:r>
            <w:r w:rsidRPr="005E6D70">
              <w:rPr>
                <w:rFonts w:ascii="Times New Roman" w:eastAsia="Arial" w:hAnsi="Times New Roman" w:cs="Times New Roman"/>
                <w:sz w:val="18"/>
                <w:szCs w:val="18"/>
              </w:rPr>
              <w:lastRenderedPageBreak/>
              <w:t>references updated.</w:t>
            </w:r>
          </w:p>
        </w:tc>
      </w:tr>
      <w:tr w:rsidR="00465215" w:rsidRPr="005E6D70" w14:paraId="14402EAC" w14:textId="77777777" w:rsidTr="009170D4">
        <w:trPr>
          <w:trHeight w:val="152"/>
        </w:trPr>
        <w:tc>
          <w:tcPr>
            <w:tcW w:w="810" w:type="dxa"/>
          </w:tcPr>
          <w:p w14:paraId="28F8379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40(7a)</w:t>
            </w:r>
          </w:p>
        </w:tc>
        <w:tc>
          <w:tcPr>
            <w:tcW w:w="5040" w:type="dxa"/>
            <w:gridSpan w:val="2"/>
          </w:tcPr>
          <w:p w14:paraId="55791C7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the qualifying income of the constituent entity is determined in accordance with Chapter III for each fiscal year in which there is an outstanding balance of the deemed distribution tax recapture accounts for the jurisdiction; and</w:t>
            </w:r>
          </w:p>
        </w:tc>
        <w:tc>
          <w:tcPr>
            <w:tcW w:w="990" w:type="dxa"/>
            <w:gridSpan w:val="2"/>
          </w:tcPr>
          <w:p w14:paraId="2245795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5E4DBBD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43(12)(a)</w:t>
            </w:r>
          </w:p>
        </w:tc>
        <w:tc>
          <w:tcPr>
            <w:tcW w:w="4680" w:type="dxa"/>
            <w:gridSpan w:val="2"/>
          </w:tcPr>
          <w:p w14:paraId="672C769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a) the qualifying income of the constituent entity is determined in accordance with Chapter III, of this Law, for each fiscal year in which there is an outstanding balance of the deemed distribution tax recapture accounts for the jurisdiction; and</w:t>
            </w:r>
          </w:p>
        </w:tc>
        <w:tc>
          <w:tcPr>
            <w:tcW w:w="1800" w:type="dxa"/>
            <w:gridSpan w:val="2"/>
          </w:tcPr>
          <w:p w14:paraId="2FCE0A8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0E775D3A"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Structural integration as letter (a) within paragraph 12.</w:t>
            </w:r>
          </w:p>
        </w:tc>
      </w:tr>
      <w:tr w:rsidR="00465215" w:rsidRPr="005E6D70" w14:paraId="763C4A32" w14:textId="77777777" w:rsidTr="009170D4">
        <w:trPr>
          <w:trHeight w:val="152"/>
        </w:trPr>
        <w:tc>
          <w:tcPr>
            <w:tcW w:w="810" w:type="dxa"/>
          </w:tcPr>
          <w:p w14:paraId="7D4B439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40(7b)</w:t>
            </w:r>
          </w:p>
        </w:tc>
        <w:tc>
          <w:tcPr>
            <w:tcW w:w="5040" w:type="dxa"/>
            <w:gridSpan w:val="2"/>
          </w:tcPr>
          <w:p w14:paraId="4B6CE02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the net qualifying income of the jurisdiction is determined in accordance with Article 26(2) for each fiscal year in which there is an outstanding balance of the deemed distribution tax recapture accounts for the jurisdiction.</w:t>
            </w:r>
          </w:p>
        </w:tc>
        <w:tc>
          <w:tcPr>
            <w:tcW w:w="990" w:type="dxa"/>
            <w:gridSpan w:val="2"/>
          </w:tcPr>
          <w:p w14:paraId="2AE0326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75F9708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43(12)(b)</w:t>
            </w:r>
          </w:p>
        </w:tc>
        <w:tc>
          <w:tcPr>
            <w:tcW w:w="4680" w:type="dxa"/>
            <w:gridSpan w:val="2"/>
          </w:tcPr>
          <w:p w14:paraId="7D5EDB3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b) the net qualifying income of the jurisdiction is determined in accordance with paragraph 2, of Article 26, of this Law, for each fiscal year in which there is an outstanding balance of the deemed distribution tax recapture accounts for the jurisdiction.</w:t>
            </w:r>
          </w:p>
        </w:tc>
        <w:tc>
          <w:tcPr>
            <w:tcW w:w="1800" w:type="dxa"/>
            <w:gridSpan w:val="2"/>
          </w:tcPr>
          <w:p w14:paraId="3B0C7D4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69301FAE"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Cross-reference updated to Article 26(2) of the domestic draft law.</w:t>
            </w:r>
          </w:p>
        </w:tc>
      </w:tr>
      <w:tr w:rsidR="00465215" w:rsidRPr="005E6D70" w14:paraId="2C80898F" w14:textId="77777777" w:rsidTr="009170D4">
        <w:trPr>
          <w:trHeight w:val="152"/>
        </w:trPr>
        <w:tc>
          <w:tcPr>
            <w:tcW w:w="810" w:type="dxa"/>
            <w:shd w:val="clear" w:color="auto" w:fill="D9D9D9" w:themeFill="background1" w:themeFillShade="D9"/>
          </w:tcPr>
          <w:p w14:paraId="01F76744"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0B413C0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41. Determination of the effective tax rate and top-up tax of an investment entity</w:t>
            </w:r>
          </w:p>
        </w:tc>
        <w:tc>
          <w:tcPr>
            <w:tcW w:w="990" w:type="dxa"/>
            <w:gridSpan w:val="2"/>
            <w:shd w:val="clear" w:color="auto" w:fill="D9D9D9" w:themeFill="background1" w:themeFillShade="D9"/>
          </w:tcPr>
          <w:p w14:paraId="60A78A7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1678E0F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44</w:t>
            </w:r>
          </w:p>
        </w:tc>
        <w:tc>
          <w:tcPr>
            <w:tcW w:w="4680" w:type="dxa"/>
            <w:gridSpan w:val="2"/>
            <w:shd w:val="clear" w:color="auto" w:fill="D9D9D9" w:themeFill="background1" w:themeFillShade="D9"/>
          </w:tcPr>
          <w:p w14:paraId="365B9FE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Article 44. Determination of the effective tax rate and top-up tax of an investment entity</w:t>
            </w:r>
          </w:p>
        </w:tc>
        <w:tc>
          <w:tcPr>
            <w:tcW w:w="1800" w:type="dxa"/>
            <w:gridSpan w:val="2"/>
            <w:shd w:val="clear" w:color="auto" w:fill="D9D9D9" w:themeFill="background1" w:themeFillShade="D9"/>
          </w:tcPr>
          <w:p w14:paraId="7411320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52B95F0E"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Transposition of EU Directive Article 41 into Article 44 of the domestic draft law.</w:t>
            </w:r>
          </w:p>
        </w:tc>
      </w:tr>
      <w:tr w:rsidR="00465215" w:rsidRPr="005E6D70" w14:paraId="6FCD15A7" w14:textId="77777777" w:rsidTr="009170D4">
        <w:trPr>
          <w:trHeight w:val="152"/>
        </w:trPr>
        <w:tc>
          <w:tcPr>
            <w:tcW w:w="810" w:type="dxa"/>
          </w:tcPr>
          <w:p w14:paraId="5A29F4E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41(1)</w:t>
            </w:r>
          </w:p>
        </w:tc>
        <w:tc>
          <w:tcPr>
            <w:tcW w:w="5040" w:type="dxa"/>
            <w:gridSpan w:val="2"/>
          </w:tcPr>
          <w:p w14:paraId="16A47C5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Where a constituent entity of an MNE group or of a large-scale domestic group is an investment entity that is not a tax transparent entity and that has not made an election in accordance with Articles 42 and 43, the effective tax rate of such investment entity shall be computed separately from the effective tax rate of the jurisdiction in which it is located.</w:t>
            </w:r>
          </w:p>
        </w:tc>
        <w:tc>
          <w:tcPr>
            <w:tcW w:w="990" w:type="dxa"/>
            <w:gridSpan w:val="2"/>
          </w:tcPr>
          <w:p w14:paraId="3F41C65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59635AD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44(1)</w:t>
            </w:r>
          </w:p>
        </w:tc>
        <w:tc>
          <w:tcPr>
            <w:tcW w:w="4680" w:type="dxa"/>
            <w:gridSpan w:val="2"/>
          </w:tcPr>
          <w:p w14:paraId="53A1A6E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1. Where a constituent entity of a multinational enterprise group or of a large-scale domestic group is an investment entity that is not a tax transparent entity and that has not made an election in accordance with Articles 45 and 46, of this Law, the effective tax rate of such investment entity shall be computed separately from the effective tax rate of the jurisdiction in which it is located.</w:t>
            </w:r>
          </w:p>
        </w:tc>
        <w:tc>
          <w:tcPr>
            <w:tcW w:w="1800" w:type="dxa"/>
            <w:gridSpan w:val="2"/>
          </w:tcPr>
          <w:p w14:paraId="7B8CC4D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6268F6B3"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with cross-references updated to Articles 45 and 46 of the domestic draft law.</w:t>
            </w:r>
          </w:p>
        </w:tc>
      </w:tr>
      <w:tr w:rsidR="00465215" w:rsidRPr="005E6D70" w14:paraId="7D79DFD5" w14:textId="77777777" w:rsidTr="009170D4">
        <w:trPr>
          <w:trHeight w:val="152"/>
        </w:trPr>
        <w:tc>
          <w:tcPr>
            <w:tcW w:w="810" w:type="dxa"/>
          </w:tcPr>
          <w:p w14:paraId="29C4A5B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41(2)</w:t>
            </w:r>
          </w:p>
        </w:tc>
        <w:tc>
          <w:tcPr>
            <w:tcW w:w="5040" w:type="dxa"/>
            <w:gridSpan w:val="2"/>
          </w:tcPr>
          <w:p w14:paraId="78158B9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The effective tax rate of the investment entity as referred to in paragraph 1 shall be equal to its adjusted covered taxes divided by an amount equal to the allocable share of the MNE group or large-</w:t>
            </w:r>
            <w:r w:rsidRPr="005E6D70">
              <w:rPr>
                <w:rFonts w:ascii="Times New Roman" w:eastAsia="Calibri" w:hAnsi="Times New Roman" w:cs="Times New Roman"/>
                <w:iCs/>
                <w:sz w:val="18"/>
                <w:szCs w:val="18"/>
                <w:lang w:val="en-US"/>
              </w:rPr>
              <w:lastRenderedPageBreak/>
              <w:t xml:space="preserve">scale domestic group in the qualifying income or loss of that investment entity. </w:t>
            </w:r>
          </w:p>
          <w:p w14:paraId="6D98BEE0" w14:textId="77777777" w:rsidR="00465215" w:rsidRPr="005E6D70" w:rsidRDefault="00465215" w:rsidP="009170D4">
            <w:pPr>
              <w:jc w:val="both"/>
              <w:rPr>
                <w:rFonts w:ascii="Times New Roman" w:eastAsia="Calibri" w:hAnsi="Times New Roman" w:cs="Times New Roman"/>
                <w:iCs/>
                <w:sz w:val="18"/>
                <w:szCs w:val="18"/>
                <w:lang w:val="en-US"/>
              </w:rPr>
            </w:pPr>
          </w:p>
          <w:p w14:paraId="17DF790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Where more than one investment entity is located in a jurisdiction, their effective tax rate shall be computed by combining their adjusted covered taxes as well as the allocable share of the MNE group or large-scale domestic group in their qualifying income or loss.</w:t>
            </w:r>
          </w:p>
        </w:tc>
        <w:tc>
          <w:tcPr>
            <w:tcW w:w="990" w:type="dxa"/>
            <w:gridSpan w:val="2"/>
          </w:tcPr>
          <w:p w14:paraId="73320F4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6280F08E"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44(2)</w:t>
            </w:r>
          </w:p>
          <w:p w14:paraId="079968CE" w14:textId="77777777" w:rsidR="00465215" w:rsidRPr="005E6D70" w:rsidRDefault="00465215" w:rsidP="009170D4">
            <w:pPr>
              <w:jc w:val="center"/>
              <w:rPr>
                <w:rFonts w:ascii="Times New Roman" w:eastAsia="Arial" w:hAnsi="Times New Roman" w:cs="Times New Roman"/>
                <w:sz w:val="18"/>
                <w:szCs w:val="18"/>
              </w:rPr>
            </w:pPr>
          </w:p>
          <w:p w14:paraId="23566BEC" w14:textId="77777777" w:rsidR="00465215" w:rsidRPr="005E6D70" w:rsidRDefault="00465215" w:rsidP="009170D4">
            <w:pPr>
              <w:jc w:val="center"/>
              <w:rPr>
                <w:rFonts w:ascii="Times New Roman" w:eastAsia="Arial" w:hAnsi="Times New Roman" w:cs="Times New Roman"/>
                <w:sz w:val="18"/>
                <w:szCs w:val="18"/>
              </w:rPr>
            </w:pPr>
          </w:p>
          <w:p w14:paraId="45770258" w14:textId="77777777" w:rsidR="00465215" w:rsidRPr="005E6D70" w:rsidRDefault="00465215" w:rsidP="009170D4">
            <w:pPr>
              <w:jc w:val="center"/>
              <w:rPr>
                <w:rFonts w:ascii="Times New Roman" w:eastAsia="Arial" w:hAnsi="Times New Roman" w:cs="Times New Roman"/>
                <w:sz w:val="18"/>
                <w:szCs w:val="18"/>
              </w:rPr>
            </w:pPr>
          </w:p>
          <w:p w14:paraId="01A1B9FF" w14:textId="77777777" w:rsidR="00465215" w:rsidRPr="005E6D70" w:rsidRDefault="00465215" w:rsidP="009170D4">
            <w:pPr>
              <w:jc w:val="center"/>
              <w:rPr>
                <w:rFonts w:ascii="Times New Roman" w:eastAsia="Arial" w:hAnsi="Times New Roman" w:cs="Times New Roman"/>
                <w:sz w:val="18"/>
                <w:szCs w:val="18"/>
              </w:rPr>
            </w:pPr>
          </w:p>
          <w:p w14:paraId="34691ED0" w14:textId="77777777" w:rsidR="00465215" w:rsidRPr="005E6D70" w:rsidRDefault="00465215" w:rsidP="009170D4">
            <w:pPr>
              <w:jc w:val="center"/>
              <w:rPr>
                <w:rFonts w:ascii="Times New Roman" w:eastAsia="Arial" w:hAnsi="Times New Roman" w:cs="Times New Roman"/>
                <w:sz w:val="18"/>
                <w:szCs w:val="18"/>
              </w:rPr>
            </w:pPr>
          </w:p>
          <w:p w14:paraId="3FCFEDBA" w14:textId="77777777" w:rsidR="00465215" w:rsidRPr="005E6D70" w:rsidRDefault="00465215" w:rsidP="009170D4">
            <w:pPr>
              <w:jc w:val="center"/>
              <w:rPr>
                <w:rFonts w:ascii="Times New Roman" w:eastAsia="Arial" w:hAnsi="Times New Roman" w:cs="Times New Roman"/>
                <w:sz w:val="18"/>
                <w:szCs w:val="18"/>
              </w:rPr>
            </w:pPr>
          </w:p>
          <w:p w14:paraId="26DFC79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44(3)</w:t>
            </w:r>
          </w:p>
        </w:tc>
        <w:tc>
          <w:tcPr>
            <w:tcW w:w="4680" w:type="dxa"/>
            <w:gridSpan w:val="2"/>
          </w:tcPr>
          <w:p w14:paraId="71F87A8A"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lastRenderedPageBreak/>
              <w:t xml:space="preserve">2. The effective tax rate of the investment entity as referred to in paragraph 1, of this Article, shall be equal to its adjusted covered taxes divided by an amount equal to the allocable </w:t>
            </w:r>
            <w:r w:rsidRPr="005E6D70">
              <w:rPr>
                <w:rFonts w:ascii="Times New Roman" w:eastAsia="Arial" w:hAnsi="Times New Roman" w:cs="Times New Roman"/>
                <w:sz w:val="18"/>
                <w:szCs w:val="18"/>
              </w:rPr>
              <w:lastRenderedPageBreak/>
              <w:t xml:space="preserve">share of the multinational enterprise group or large-scale domestic group in the qualifying income or loss of that investment entity. </w:t>
            </w:r>
          </w:p>
          <w:p w14:paraId="6481F10C" w14:textId="77777777" w:rsidR="00465215" w:rsidRPr="005E6D70" w:rsidRDefault="00465215" w:rsidP="009170D4">
            <w:pPr>
              <w:jc w:val="both"/>
              <w:rPr>
                <w:rFonts w:ascii="Times New Roman" w:eastAsia="Arial" w:hAnsi="Times New Roman" w:cs="Times New Roman"/>
                <w:sz w:val="18"/>
                <w:szCs w:val="18"/>
              </w:rPr>
            </w:pPr>
          </w:p>
          <w:p w14:paraId="68094F5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 Where more than one investment entity is located in a jurisdiction, their effective tax rate shall be computed by combining their adjusted covered taxes as well as the allocable share of the multinational enterprise group or large-scale domestic group in their qualifying income or loss.</w:t>
            </w:r>
          </w:p>
        </w:tc>
        <w:tc>
          <w:tcPr>
            <w:tcW w:w="1800" w:type="dxa"/>
            <w:gridSpan w:val="2"/>
          </w:tcPr>
          <w:p w14:paraId="4836CC9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7952EDCE"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Structural separation. The EU paragraph </w:t>
            </w:r>
            <w:r w:rsidRPr="005E6D70">
              <w:rPr>
                <w:rFonts w:ascii="Times New Roman" w:eastAsia="Arial" w:hAnsi="Times New Roman" w:cs="Times New Roman"/>
                <w:sz w:val="18"/>
                <w:szCs w:val="18"/>
              </w:rPr>
              <w:lastRenderedPageBreak/>
              <w:t>is separated into two numbered paragraphs (2 and 3).</w:t>
            </w:r>
          </w:p>
        </w:tc>
      </w:tr>
      <w:tr w:rsidR="00465215" w:rsidRPr="005E6D70" w14:paraId="69383BA4" w14:textId="77777777" w:rsidTr="009170D4">
        <w:trPr>
          <w:trHeight w:val="152"/>
        </w:trPr>
        <w:tc>
          <w:tcPr>
            <w:tcW w:w="810" w:type="dxa"/>
          </w:tcPr>
          <w:p w14:paraId="478CF31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41(3)</w:t>
            </w:r>
          </w:p>
        </w:tc>
        <w:tc>
          <w:tcPr>
            <w:tcW w:w="5040" w:type="dxa"/>
            <w:gridSpan w:val="2"/>
          </w:tcPr>
          <w:p w14:paraId="0556141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The adjusted covered taxes of an investment entity as referred to in paragraph 1 shall be the adjusted covered taxes that are attributable to the allocable share of the MNE group or large-scale domestic group in the qualifying income of the investment entity and the covered taxes allocated to the investment entity in accordance with Article 24. The investment entity’s adjusted covered taxes shall not include any covered taxes accrued by the investment entity attributable to income that is not part of the MNE group or large-scale domestic group’s allocable share of the investment entity’s income.</w:t>
            </w:r>
          </w:p>
        </w:tc>
        <w:tc>
          <w:tcPr>
            <w:tcW w:w="990" w:type="dxa"/>
            <w:gridSpan w:val="2"/>
          </w:tcPr>
          <w:p w14:paraId="524E922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2B4A8292"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44(4)</w:t>
            </w:r>
          </w:p>
          <w:p w14:paraId="647FD3AF" w14:textId="77777777" w:rsidR="00465215" w:rsidRPr="005E6D70" w:rsidRDefault="00465215" w:rsidP="009170D4">
            <w:pPr>
              <w:jc w:val="center"/>
              <w:rPr>
                <w:rFonts w:ascii="Times New Roman" w:eastAsia="Arial" w:hAnsi="Times New Roman" w:cs="Times New Roman"/>
                <w:sz w:val="18"/>
                <w:szCs w:val="18"/>
              </w:rPr>
            </w:pPr>
          </w:p>
          <w:p w14:paraId="16E8C6B4" w14:textId="77777777" w:rsidR="00465215" w:rsidRPr="005E6D70" w:rsidRDefault="00465215" w:rsidP="009170D4">
            <w:pPr>
              <w:jc w:val="center"/>
              <w:rPr>
                <w:rFonts w:ascii="Times New Roman" w:eastAsia="Arial" w:hAnsi="Times New Roman" w:cs="Times New Roman"/>
                <w:sz w:val="18"/>
                <w:szCs w:val="18"/>
              </w:rPr>
            </w:pPr>
          </w:p>
          <w:p w14:paraId="7B1BB0F8" w14:textId="77777777" w:rsidR="00465215" w:rsidRPr="005E6D70" w:rsidRDefault="00465215" w:rsidP="009170D4">
            <w:pPr>
              <w:jc w:val="center"/>
              <w:rPr>
                <w:rFonts w:ascii="Times New Roman" w:eastAsia="Arial" w:hAnsi="Times New Roman" w:cs="Times New Roman"/>
                <w:sz w:val="18"/>
                <w:szCs w:val="18"/>
              </w:rPr>
            </w:pPr>
          </w:p>
          <w:p w14:paraId="7061022B" w14:textId="77777777" w:rsidR="00465215" w:rsidRPr="005E6D70" w:rsidRDefault="00465215" w:rsidP="009170D4">
            <w:pPr>
              <w:jc w:val="center"/>
              <w:rPr>
                <w:rFonts w:ascii="Times New Roman" w:eastAsia="Arial" w:hAnsi="Times New Roman" w:cs="Times New Roman"/>
                <w:sz w:val="18"/>
                <w:szCs w:val="18"/>
              </w:rPr>
            </w:pPr>
          </w:p>
          <w:p w14:paraId="549D1100" w14:textId="77777777" w:rsidR="00465215" w:rsidRPr="005E6D70" w:rsidRDefault="00465215" w:rsidP="009170D4">
            <w:pPr>
              <w:jc w:val="center"/>
              <w:rPr>
                <w:rFonts w:ascii="Times New Roman" w:eastAsia="Arial" w:hAnsi="Times New Roman" w:cs="Times New Roman"/>
                <w:sz w:val="18"/>
                <w:szCs w:val="18"/>
              </w:rPr>
            </w:pPr>
          </w:p>
          <w:p w14:paraId="28A1FDB3" w14:textId="77777777" w:rsidR="00465215" w:rsidRPr="005E6D70" w:rsidRDefault="00465215" w:rsidP="009170D4">
            <w:pPr>
              <w:jc w:val="center"/>
              <w:rPr>
                <w:rFonts w:ascii="Times New Roman" w:eastAsia="Arial" w:hAnsi="Times New Roman" w:cs="Times New Roman"/>
                <w:sz w:val="18"/>
                <w:szCs w:val="18"/>
              </w:rPr>
            </w:pPr>
          </w:p>
          <w:p w14:paraId="698E878E" w14:textId="77777777" w:rsidR="00465215" w:rsidRPr="005E6D70" w:rsidRDefault="00465215" w:rsidP="009170D4">
            <w:pPr>
              <w:jc w:val="center"/>
              <w:rPr>
                <w:rFonts w:ascii="Times New Roman" w:eastAsia="Arial" w:hAnsi="Times New Roman" w:cs="Times New Roman"/>
                <w:sz w:val="18"/>
                <w:szCs w:val="18"/>
              </w:rPr>
            </w:pPr>
          </w:p>
          <w:p w14:paraId="1BF33006" w14:textId="77777777" w:rsidR="00465215" w:rsidRPr="005E6D70" w:rsidRDefault="00465215" w:rsidP="009170D4">
            <w:pPr>
              <w:jc w:val="center"/>
              <w:rPr>
                <w:rFonts w:ascii="Times New Roman" w:eastAsia="Arial" w:hAnsi="Times New Roman" w:cs="Times New Roman"/>
                <w:sz w:val="18"/>
                <w:szCs w:val="18"/>
              </w:rPr>
            </w:pPr>
          </w:p>
          <w:p w14:paraId="5B861D0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44(5)</w:t>
            </w:r>
          </w:p>
        </w:tc>
        <w:tc>
          <w:tcPr>
            <w:tcW w:w="4680" w:type="dxa"/>
            <w:gridSpan w:val="2"/>
          </w:tcPr>
          <w:p w14:paraId="4315C235"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4. The adjusted covered taxes of an investment entity as referred to in paragraph 1, of this Article, shall be the adjusted covered taxes that are attributable to the allocable share of the multinational enterprise group or large-scale domestic group in the qualifying income of the investment entity and the covered taxes allocated to the investment entity in accordance with Article 24, of this Law. </w:t>
            </w:r>
          </w:p>
          <w:p w14:paraId="34C84B76" w14:textId="77777777" w:rsidR="00465215" w:rsidRPr="005E6D70" w:rsidRDefault="00465215" w:rsidP="009170D4">
            <w:pPr>
              <w:jc w:val="both"/>
              <w:rPr>
                <w:rFonts w:ascii="Times New Roman" w:eastAsia="Arial" w:hAnsi="Times New Roman" w:cs="Times New Roman"/>
                <w:sz w:val="18"/>
                <w:szCs w:val="18"/>
              </w:rPr>
            </w:pPr>
          </w:p>
          <w:p w14:paraId="0303D067" w14:textId="77777777" w:rsidR="00465215" w:rsidRPr="005E6D70" w:rsidRDefault="00465215" w:rsidP="009170D4">
            <w:pPr>
              <w:jc w:val="both"/>
              <w:rPr>
                <w:rFonts w:ascii="Times New Roman" w:eastAsia="Arial" w:hAnsi="Times New Roman" w:cs="Times New Roman"/>
                <w:sz w:val="18"/>
                <w:szCs w:val="18"/>
              </w:rPr>
            </w:pPr>
          </w:p>
          <w:p w14:paraId="445EAD6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 The investment entity’s adjusted covered taxes referred to in paragraph 4, of this Article, shall not include any covered taxes accrued by the investment entity attributable to income that is not part of the multinational enterprise group or large-scale domestic group’s allocable share of the investment entity’s income.</w:t>
            </w:r>
          </w:p>
        </w:tc>
        <w:tc>
          <w:tcPr>
            <w:tcW w:w="1800" w:type="dxa"/>
            <w:gridSpan w:val="2"/>
          </w:tcPr>
          <w:p w14:paraId="7F2FF64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6E08F8A8"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Structural separation. The EU paragraph is separated into two numbered paragraphs (4 and 5).</w:t>
            </w:r>
          </w:p>
        </w:tc>
      </w:tr>
      <w:tr w:rsidR="00465215" w:rsidRPr="005E6D70" w14:paraId="0FC166B3" w14:textId="77777777" w:rsidTr="009170D4">
        <w:trPr>
          <w:trHeight w:val="152"/>
        </w:trPr>
        <w:tc>
          <w:tcPr>
            <w:tcW w:w="810" w:type="dxa"/>
          </w:tcPr>
          <w:p w14:paraId="2D54F11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41(4)</w:t>
            </w:r>
          </w:p>
        </w:tc>
        <w:tc>
          <w:tcPr>
            <w:tcW w:w="5040" w:type="dxa"/>
            <w:gridSpan w:val="2"/>
          </w:tcPr>
          <w:p w14:paraId="2EB222D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The top-up tax of an investment entity as referred to in paragraph 1 shall be an amount equal to the top-up tax percentage of the investment entity multiplied by an amount equal to the difference between the allocable share of the MNE group or large-scale domestic group in the qualifying income of the investment entity and the substance-based income exclusion computed for the investment entity.</w:t>
            </w:r>
          </w:p>
          <w:p w14:paraId="02EFC5B6" w14:textId="77777777" w:rsidR="00465215" w:rsidRPr="005E6D70" w:rsidRDefault="00465215" w:rsidP="009170D4">
            <w:pPr>
              <w:jc w:val="both"/>
              <w:rPr>
                <w:rFonts w:ascii="Times New Roman" w:eastAsia="Calibri" w:hAnsi="Times New Roman" w:cs="Times New Roman"/>
                <w:iCs/>
                <w:sz w:val="18"/>
                <w:szCs w:val="18"/>
                <w:lang w:val="en-US"/>
              </w:rPr>
            </w:pPr>
          </w:p>
          <w:p w14:paraId="438099A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The top-up tax percentage of an investment entity shall be a positive amount equal to the difference between the minimum tax rate and the effective tax rate of such investment entity. </w:t>
            </w:r>
          </w:p>
          <w:p w14:paraId="379380E6" w14:textId="77777777" w:rsidR="00465215" w:rsidRPr="005E6D70" w:rsidRDefault="00465215" w:rsidP="009170D4">
            <w:pPr>
              <w:jc w:val="both"/>
              <w:rPr>
                <w:rFonts w:ascii="Times New Roman" w:eastAsia="Calibri" w:hAnsi="Times New Roman" w:cs="Times New Roman"/>
                <w:iCs/>
                <w:sz w:val="18"/>
                <w:szCs w:val="18"/>
                <w:lang w:val="en-US"/>
              </w:rPr>
            </w:pPr>
          </w:p>
          <w:p w14:paraId="30C4D13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Where more than one investment entity is located in a jurisdiction, their effective tax rate shall be computed by combining their substance-based income exclusion amounts as well as the allocable share of the MNE group or large-scale domestic group in their qualifying income or loss. </w:t>
            </w:r>
          </w:p>
          <w:p w14:paraId="099C21A0" w14:textId="77777777" w:rsidR="00465215" w:rsidRPr="005E6D70" w:rsidRDefault="00465215" w:rsidP="009170D4">
            <w:pPr>
              <w:jc w:val="both"/>
              <w:rPr>
                <w:rFonts w:ascii="Times New Roman" w:eastAsia="Calibri" w:hAnsi="Times New Roman" w:cs="Times New Roman"/>
                <w:iCs/>
                <w:sz w:val="18"/>
                <w:szCs w:val="18"/>
                <w:lang w:val="en-US"/>
              </w:rPr>
            </w:pPr>
          </w:p>
          <w:p w14:paraId="45C2B26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The substance-based income exclusion of an investment entity shall be determined in accordance with Article 28(1) to (7). The eligible payroll costs of eligible employees and eligible tangible assets taken into account for such investment entity shall be reduced in proportion to the allocable share of the MNE group or large-scale domestic group in the qualifying income of the investment entity divided by the total qualifying income of such investment entity.</w:t>
            </w:r>
          </w:p>
        </w:tc>
        <w:tc>
          <w:tcPr>
            <w:tcW w:w="990" w:type="dxa"/>
            <w:gridSpan w:val="2"/>
          </w:tcPr>
          <w:p w14:paraId="59429A2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6B21366A"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44(6)</w:t>
            </w:r>
          </w:p>
          <w:p w14:paraId="743175B1" w14:textId="77777777" w:rsidR="00465215" w:rsidRPr="005E6D70" w:rsidRDefault="00465215" w:rsidP="009170D4">
            <w:pPr>
              <w:jc w:val="center"/>
              <w:rPr>
                <w:rFonts w:ascii="Times New Roman" w:eastAsia="Arial" w:hAnsi="Times New Roman" w:cs="Times New Roman"/>
                <w:sz w:val="18"/>
                <w:szCs w:val="18"/>
              </w:rPr>
            </w:pPr>
          </w:p>
          <w:p w14:paraId="287D0ACD" w14:textId="77777777" w:rsidR="00465215" w:rsidRPr="005E6D70" w:rsidRDefault="00465215" w:rsidP="009170D4">
            <w:pPr>
              <w:jc w:val="center"/>
              <w:rPr>
                <w:rFonts w:ascii="Times New Roman" w:eastAsia="Arial" w:hAnsi="Times New Roman" w:cs="Times New Roman"/>
                <w:sz w:val="18"/>
                <w:szCs w:val="18"/>
              </w:rPr>
            </w:pPr>
          </w:p>
          <w:p w14:paraId="60142BEB" w14:textId="77777777" w:rsidR="00465215" w:rsidRPr="005E6D70" w:rsidRDefault="00465215" w:rsidP="009170D4">
            <w:pPr>
              <w:jc w:val="center"/>
              <w:rPr>
                <w:rFonts w:ascii="Times New Roman" w:eastAsia="Arial" w:hAnsi="Times New Roman" w:cs="Times New Roman"/>
                <w:sz w:val="18"/>
                <w:szCs w:val="18"/>
              </w:rPr>
            </w:pPr>
          </w:p>
          <w:p w14:paraId="00E5C139" w14:textId="77777777" w:rsidR="00465215" w:rsidRPr="005E6D70" w:rsidRDefault="00465215" w:rsidP="009170D4">
            <w:pPr>
              <w:jc w:val="center"/>
              <w:rPr>
                <w:rFonts w:ascii="Times New Roman" w:eastAsia="Arial" w:hAnsi="Times New Roman" w:cs="Times New Roman"/>
                <w:sz w:val="18"/>
                <w:szCs w:val="18"/>
              </w:rPr>
            </w:pPr>
          </w:p>
          <w:p w14:paraId="09325BF0" w14:textId="77777777" w:rsidR="00465215" w:rsidRPr="005E6D70" w:rsidRDefault="00465215" w:rsidP="009170D4">
            <w:pPr>
              <w:jc w:val="center"/>
              <w:rPr>
                <w:rFonts w:ascii="Times New Roman" w:eastAsia="Arial" w:hAnsi="Times New Roman" w:cs="Times New Roman"/>
                <w:sz w:val="18"/>
                <w:szCs w:val="18"/>
              </w:rPr>
            </w:pPr>
          </w:p>
          <w:p w14:paraId="6BFDAA74" w14:textId="77777777" w:rsidR="00465215" w:rsidRPr="005E6D70" w:rsidRDefault="00465215" w:rsidP="009170D4">
            <w:pPr>
              <w:jc w:val="center"/>
              <w:rPr>
                <w:rFonts w:ascii="Times New Roman" w:eastAsia="Arial" w:hAnsi="Times New Roman" w:cs="Times New Roman"/>
                <w:sz w:val="18"/>
                <w:szCs w:val="18"/>
              </w:rPr>
            </w:pPr>
          </w:p>
          <w:p w14:paraId="7D81062E" w14:textId="77777777" w:rsidR="00465215" w:rsidRPr="005E6D70" w:rsidRDefault="00465215" w:rsidP="009170D4">
            <w:pPr>
              <w:jc w:val="center"/>
              <w:rPr>
                <w:rFonts w:ascii="Times New Roman" w:eastAsia="Arial" w:hAnsi="Times New Roman" w:cs="Times New Roman"/>
                <w:sz w:val="18"/>
                <w:szCs w:val="18"/>
              </w:rPr>
            </w:pPr>
          </w:p>
          <w:p w14:paraId="59D719CE" w14:textId="77777777" w:rsidR="00465215" w:rsidRPr="005E6D70" w:rsidRDefault="00465215" w:rsidP="009170D4">
            <w:pPr>
              <w:jc w:val="center"/>
              <w:rPr>
                <w:rFonts w:ascii="Times New Roman" w:eastAsia="Arial" w:hAnsi="Times New Roman" w:cs="Times New Roman"/>
                <w:sz w:val="18"/>
                <w:szCs w:val="18"/>
              </w:rPr>
            </w:pPr>
          </w:p>
          <w:p w14:paraId="2C05E0DC"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44(7)</w:t>
            </w:r>
          </w:p>
          <w:p w14:paraId="78901669" w14:textId="77777777" w:rsidR="00465215" w:rsidRPr="005E6D70" w:rsidRDefault="00465215" w:rsidP="009170D4">
            <w:pPr>
              <w:jc w:val="center"/>
              <w:rPr>
                <w:rFonts w:ascii="Times New Roman" w:eastAsia="Arial" w:hAnsi="Times New Roman" w:cs="Times New Roman"/>
                <w:sz w:val="18"/>
                <w:szCs w:val="18"/>
              </w:rPr>
            </w:pPr>
          </w:p>
          <w:p w14:paraId="4AB8A6B7" w14:textId="77777777" w:rsidR="00465215" w:rsidRPr="005E6D70" w:rsidRDefault="00465215" w:rsidP="009170D4">
            <w:pPr>
              <w:jc w:val="center"/>
              <w:rPr>
                <w:rFonts w:ascii="Times New Roman" w:eastAsia="Arial" w:hAnsi="Times New Roman" w:cs="Times New Roman"/>
                <w:sz w:val="18"/>
                <w:szCs w:val="18"/>
              </w:rPr>
            </w:pPr>
          </w:p>
          <w:p w14:paraId="28E09BF7" w14:textId="77777777" w:rsidR="00465215" w:rsidRPr="005E6D70" w:rsidRDefault="00465215" w:rsidP="009170D4">
            <w:pPr>
              <w:jc w:val="center"/>
              <w:rPr>
                <w:rFonts w:ascii="Times New Roman" w:eastAsia="Arial" w:hAnsi="Times New Roman" w:cs="Times New Roman"/>
                <w:sz w:val="18"/>
                <w:szCs w:val="18"/>
              </w:rPr>
            </w:pPr>
          </w:p>
          <w:p w14:paraId="4BCC1245"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44(8)</w:t>
            </w:r>
          </w:p>
          <w:p w14:paraId="6EE5BC1A" w14:textId="77777777" w:rsidR="00465215" w:rsidRPr="005E6D70" w:rsidRDefault="00465215" w:rsidP="009170D4">
            <w:pPr>
              <w:jc w:val="center"/>
              <w:rPr>
                <w:rFonts w:ascii="Times New Roman" w:eastAsia="Arial" w:hAnsi="Times New Roman" w:cs="Times New Roman"/>
                <w:sz w:val="18"/>
                <w:szCs w:val="18"/>
              </w:rPr>
            </w:pPr>
          </w:p>
          <w:p w14:paraId="7E6E25E1" w14:textId="77777777" w:rsidR="00465215" w:rsidRPr="005E6D70" w:rsidRDefault="00465215" w:rsidP="009170D4">
            <w:pPr>
              <w:jc w:val="center"/>
              <w:rPr>
                <w:rFonts w:ascii="Times New Roman" w:eastAsia="Arial" w:hAnsi="Times New Roman" w:cs="Times New Roman"/>
                <w:sz w:val="18"/>
                <w:szCs w:val="18"/>
              </w:rPr>
            </w:pPr>
          </w:p>
          <w:p w14:paraId="62B0336E" w14:textId="77777777" w:rsidR="00465215" w:rsidRPr="005E6D70" w:rsidRDefault="00465215" w:rsidP="009170D4">
            <w:pPr>
              <w:jc w:val="center"/>
              <w:rPr>
                <w:rFonts w:ascii="Times New Roman" w:eastAsia="Arial" w:hAnsi="Times New Roman" w:cs="Times New Roman"/>
                <w:sz w:val="18"/>
                <w:szCs w:val="18"/>
              </w:rPr>
            </w:pPr>
          </w:p>
          <w:p w14:paraId="1CB1E532" w14:textId="77777777" w:rsidR="00465215" w:rsidRPr="005E6D70" w:rsidRDefault="00465215" w:rsidP="009170D4">
            <w:pPr>
              <w:jc w:val="center"/>
              <w:rPr>
                <w:rFonts w:ascii="Times New Roman" w:eastAsia="Arial" w:hAnsi="Times New Roman" w:cs="Times New Roman"/>
                <w:sz w:val="18"/>
                <w:szCs w:val="18"/>
              </w:rPr>
            </w:pPr>
          </w:p>
          <w:p w14:paraId="6FB267A8" w14:textId="77777777" w:rsidR="00465215" w:rsidRPr="005E6D70" w:rsidRDefault="00465215" w:rsidP="009170D4">
            <w:pPr>
              <w:jc w:val="center"/>
              <w:rPr>
                <w:rFonts w:ascii="Times New Roman" w:eastAsia="Arial" w:hAnsi="Times New Roman" w:cs="Times New Roman"/>
                <w:sz w:val="18"/>
                <w:szCs w:val="18"/>
              </w:rPr>
            </w:pPr>
          </w:p>
          <w:p w14:paraId="2A3F9696" w14:textId="77777777" w:rsidR="00465215" w:rsidRPr="005E6D70" w:rsidRDefault="00465215" w:rsidP="009170D4">
            <w:pPr>
              <w:jc w:val="center"/>
              <w:rPr>
                <w:rFonts w:ascii="Times New Roman" w:eastAsia="Arial" w:hAnsi="Times New Roman" w:cs="Times New Roman"/>
                <w:sz w:val="18"/>
                <w:szCs w:val="18"/>
              </w:rPr>
            </w:pPr>
          </w:p>
          <w:p w14:paraId="6480CA6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44(9)</w:t>
            </w:r>
          </w:p>
        </w:tc>
        <w:tc>
          <w:tcPr>
            <w:tcW w:w="4680" w:type="dxa"/>
            <w:gridSpan w:val="2"/>
          </w:tcPr>
          <w:p w14:paraId="3BE12643"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lastRenderedPageBreak/>
              <w:t xml:space="preserve">6. The top-up tax of an investment entity as referred to in paragraph 1, of this Article, shall be an amount equal to the top-up tax percentage of the investment entity multiplied by an amount equal to the difference between the allocable share of the multinational enterprise group or large-scale domestic group in the qualifying income of the investment entity and the substance-based income exclusion computed for the investment entity. </w:t>
            </w:r>
          </w:p>
          <w:p w14:paraId="47859A34" w14:textId="77777777" w:rsidR="00465215" w:rsidRPr="005E6D70" w:rsidRDefault="00465215" w:rsidP="009170D4">
            <w:pPr>
              <w:jc w:val="both"/>
              <w:rPr>
                <w:rFonts w:ascii="Times New Roman" w:eastAsia="Arial" w:hAnsi="Times New Roman" w:cs="Times New Roman"/>
                <w:sz w:val="18"/>
                <w:szCs w:val="18"/>
              </w:rPr>
            </w:pPr>
          </w:p>
          <w:p w14:paraId="6B7989C4"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7. The top-up tax percentage of an investment entity shall be a positive amount equal to the difference between the minimum tax rate and the effective tax rate of such investment entity. </w:t>
            </w:r>
          </w:p>
          <w:p w14:paraId="30A70BFB" w14:textId="77777777" w:rsidR="00465215" w:rsidRPr="005E6D70" w:rsidRDefault="00465215" w:rsidP="009170D4">
            <w:pPr>
              <w:jc w:val="both"/>
              <w:rPr>
                <w:rFonts w:ascii="Times New Roman" w:eastAsia="Arial" w:hAnsi="Times New Roman" w:cs="Times New Roman"/>
                <w:sz w:val="18"/>
                <w:szCs w:val="18"/>
              </w:rPr>
            </w:pPr>
          </w:p>
          <w:p w14:paraId="138365B1"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8. Where more than one investment entity is located in a jurisdiction, their effective tax rate shall be computed by combining their substance-based income exclusion amounts as well as the allocable share of the multinational enterprise </w:t>
            </w:r>
            <w:r w:rsidRPr="005E6D70">
              <w:rPr>
                <w:rFonts w:ascii="Times New Roman" w:eastAsia="Arial" w:hAnsi="Times New Roman" w:cs="Times New Roman"/>
                <w:sz w:val="18"/>
                <w:szCs w:val="18"/>
              </w:rPr>
              <w:lastRenderedPageBreak/>
              <w:t xml:space="preserve">group or large-scale domestic group in their qualifying income or loss. </w:t>
            </w:r>
          </w:p>
          <w:p w14:paraId="32E0F20C" w14:textId="77777777" w:rsidR="00465215" w:rsidRPr="005E6D70" w:rsidRDefault="00465215" w:rsidP="009170D4">
            <w:pPr>
              <w:jc w:val="both"/>
              <w:rPr>
                <w:rFonts w:ascii="Times New Roman" w:eastAsia="Arial" w:hAnsi="Times New Roman" w:cs="Times New Roman"/>
                <w:sz w:val="18"/>
                <w:szCs w:val="18"/>
              </w:rPr>
            </w:pPr>
          </w:p>
          <w:p w14:paraId="7AB2796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9. The substance-based income exclusion of an investment entity shall be determined in accordance with paragraphs 1 to 7, of Article 28, of this Law. The eligible payroll costs of eligible employees and eligible tangible assets taken into account for such investment entity shall be reduced in proportion to the allocable share of the multinational enterprise group or large-scale domestic group in the qualifying income of the investment entity divided by the total qualifying income of such investment entity.</w:t>
            </w:r>
          </w:p>
        </w:tc>
        <w:tc>
          <w:tcPr>
            <w:tcW w:w="1800" w:type="dxa"/>
            <w:gridSpan w:val="2"/>
          </w:tcPr>
          <w:p w14:paraId="2BE8ED8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21ECAD4F"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Structural separation. The unnumbered subparagraphs of the EU provision are converted into sequentially numbered paragraphs (6 to 9).</w:t>
            </w:r>
          </w:p>
        </w:tc>
      </w:tr>
      <w:tr w:rsidR="00465215" w:rsidRPr="005E6D70" w14:paraId="690B4C39" w14:textId="77777777" w:rsidTr="009170D4">
        <w:trPr>
          <w:trHeight w:val="152"/>
        </w:trPr>
        <w:tc>
          <w:tcPr>
            <w:tcW w:w="810" w:type="dxa"/>
          </w:tcPr>
          <w:p w14:paraId="098DA0F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41(5)</w:t>
            </w:r>
          </w:p>
        </w:tc>
        <w:tc>
          <w:tcPr>
            <w:tcW w:w="5040" w:type="dxa"/>
            <w:gridSpan w:val="2"/>
          </w:tcPr>
          <w:p w14:paraId="1964151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5. For the purposes of this Article, the allocable share of the MNE group or large-scale domestic group in the qualifying income or loss of an investment entity shall be determined in accordance with Article 9, taking into account only interests that are not subject to an election in accordance with Article 42 or 43.</w:t>
            </w:r>
          </w:p>
        </w:tc>
        <w:tc>
          <w:tcPr>
            <w:tcW w:w="990" w:type="dxa"/>
            <w:gridSpan w:val="2"/>
          </w:tcPr>
          <w:p w14:paraId="2F890D0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37C4EBC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44(10)</w:t>
            </w:r>
          </w:p>
        </w:tc>
        <w:tc>
          <w:tcPr>
            <w:tcW w:w="4680" w:type="dxa"/>
            <w:gridSpan w:val="2"/>
          </w:tcPr>
          <w:p w14:paraId="18961A4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10. For the purposes of this Article, the allocable share of the multinational enterprise group or large-scale domestic group in the qualifying income or loss of an investment entity shall be determined in accordance with Article 10, of this Law, taking into account only interests that are not subject to an election in accordance with Article 45 or 46, of this Law.</w:t>
            </w:r>
          </w:p>
        </w:tc>
        <w:tc>
          <w:tcPr>
            <w:tcW w:w="1800" w:type="dxa"/>
            <w:gridSpan w:val="2"/>
          </w:tcPr>
          <w:p w14:paraId="517A8EE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65C8F27B"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Cross-references updated.</w:t>
            </w:r>
          </w:p>
        </w:tc>
      </w:tr>
      <w:tr w:rsidR="00465215" w:rsidRPr="005E6D70" w14:paraId="665D1FD5" w14:textId="77777777" w:rsidTr="009170D4">
        <w:trPr>
          <w:trHeight w:val="152"/>
        </w:trPr>
        <w:tc>
          <w:tcPr>
            <w:tcW w:w="810" w:type="dxa"/>
            <w:shd w:val="clear" w:color="auto" w:fill="D9D9D9" w:themeFill="background1" w:themeFillShade="D9"/>
          </w:tcPr>
          <w:p w14:paraId="717803FD"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243E069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42. Election to treat an investment entity as a tax transparent entity</w:t>
            </w:r>
          </w:p>
        </w:tc>
        <w:tc>
          <w:tcPr>
            <w:tcW w:w="990" w:type="dxa"/>
            <w:gridSpan w:val="2"/>
            <w:shd w:val="clear" w:color="auto" w:fill="D9D9D9" w:themeFill="background1" w:themeFillShade="D9"/>
          </w:tcPr>
          <w:p w14:paraId="7A8F5DC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690D07A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45</w:t>
            </w:r>
          </w:p>
        </w:tc>
        <w:tc>
          <w:tcPr>
            <w:tcW w:w="4680" w:type="dxa"/>
            <w:gridSpan w:val="2"/>
            <w:shd w:val="clear" w:color="auto" w:fill="D9D9D9" w:themeFill="background1" w:themeFillShade="D9"/>
          </w:tcPr>
          <w:p w14:paraId="33EBC81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Article 45. Election to treat an investment entity as a tax transparent entity</w:t>
            </w:r>
          </w:p>
        </w:tc>
        <w:tc>
          <w:tcPr>
            <w:tcW w:w="1800" w:type="dxa"/>
            <w:gridSpan w:val="2"/>
            <w:shd w:val="clear" w:color="auto" w:fill="D9D9D9" w:themeFill="background1" w:themeFillShade="D9"/>
          </w:tcPr>
          <w:p w14:paraId="77690C0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140030CF"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Transposition of EU Directive Article 42 into Article 45 of the domestic draft law.</w:t>
            </w:r>
          </w:p>
        </w:tc>
      </w:tr>
      <w:tr w:rsidR="00465215" w:rsidRPr="005E6D70" w14:paraId="45466515" w14:textId="77777777" w:rsidTr="009170D4">
        <w:trPr>
          <w:trHeight w:val="152"/>
        </w:trPr>
        <w:tc>
          <w:tcPr>
            <w:tcW w:w="810" w:type="dxa"/>
          </w:tcPr>
          <w:p w14:paraId="1D9B15C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42(1)</w:t>
            </w:r>
          </w:p>
        </w:tc>
        <w:tc>
          <w:tcPr>
            <w:tcW w:w="5040" w:type="dxa"/>
            <w:gridSpan w:val="2"/>
          </w:tcPr>
          <w:p w14:paraId="619F669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For the purposes of this Article, an ‘insurance investment entity’ means an entity that would meet the definition of an investment fund set out in Article 3, point (31), or a real estate investment vehicle set out in Article 3, point (32), if it had not been established in relation to liabilities under an insurance or annuity contract and if it were not wholly owned by an entity that is subject to regulation in the jurisdiction where it is located as an insurance company.</w:t>
            </w:r>
          </w:p>
        </w:tc>
        <w:tc>
          <w:tcPr>
            <w:tcW w:w="990" w:type="dxa"/>
            <w:gridSpan w:val="2"/>
          </w:tcPr>
          <w:p w14:paraId="3B30370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43BCD96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45(1)</w:t>
            </w:r>
          </w:p>
        </w:tc>
        <w:tc>
          <w:tcPr>
            <w:tcW w:w="4680" w:type="dxa"/>
            <w:gridSpan w:val="2"/>
          </w:tcPr>
          <w:p w14:paraId="3EECD23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1. For the purposes of this Article, an “insurance investment entity” means an entity that would meet the definition of an investment fund or a real estate investment vehicle set out in Article 4, of this Law, if it had not been established in relation to liabilities under an insurance or annuity contract and if it were not wholly owned by an entity that is subject to regulation in the jurisdiction where it is located as an insurance company.</w:t>
            </w:r>
          </w:p>
        </w:tc>
        <w:tc>
          <w:tcPr>
            <w:tcW w:w="1800" w:type="dxa"/>
            <w:gridSpan w:val="2"/>
          </w:tcPr>
          <w:p w14:paraId="1E48FEE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716831AB"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with local drafting adaptations.</w:t>
            </w:r>
          </w:p>
        </w:tc>
      </w:tr>
      <w:tr w:rsidR="00465215" w:rsidRPr="005E6D70" w14:paraId="4D937CDC" w14:textId="77777777" w:rsidTr="009170D4">
        <w:trPr>
          <w:trHeight w:val="152"/>
        </w:trPr>
        <w:tc>
          <w:tcPr>
            <w:tcW w:w="810" w:type="dxa"/>
          </w:tcPr>
          <w:p w14:paraId="38A0A92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42(2)</w:t>
            </w:r>
          </w:p>
        </w:tc>
        <w:tc>
          <w:tcPr>
            <w:tcW w:w="5040" w:type="dxa"/>
            <w:gridSpan w:val="2"/>
          </w:tcPr>
          <w:p w14:paraId="068509F1"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 At the election of the filing constituent entity, a constituent entity that is an investment entity or an insurance investment entity may be treated as a tax transparent entity if the constituent entity-owner is subject to tax in the jurisdiction in which it is located under a fair market value or a similar regime based on the annual changes in the fair value of its ownership interests in such entity and the tax rate applicable to the constituent entity-owner on such income equals or exceeds the minimum tax rate.</w:t>
            </w:r>
          </w:p>
        </w:tc>
        <w:tc>
          <w:tcPr>
            <w:tcW w:w="990" w:type="dxa"/>
            <w:gridSpan w:val="2"/>
          </w:tcPr>
          <w:p w14:paraId="38DB29C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4ADFBA1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45(2)</w:t>
            </w:r>
          </w:p>
        </w:tc>
        <w:tc>
          <w:tcPr>
            <w:tcW w:w="4680" w:type="dxa"/>
            <w:gridSpan w:val="2"/>
          </w:tcPr>
          <w:p w14:paraId="03F2368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2. At the election of the filing constituent entity, a constituent entity that is an investment entity or an insurance investment entity may be treated as a tax transparent entity if the constituent entity-owner is subject to tax in the jurisdiction in which it is located under a fair market value or a similar regime based on the annual changes in the fair value of its ownership interests in such entity and the tax rate applicable to the constituent entity-owner on such income equals or exceeds the minimum tax rate.</w:t>
            </w:r>
          </w:p>
        </w:tc>
        <w:tc>
          <w:tcPr>
            <w:tcW w:w="1800" w:type="dxa"/>
            <w:gridSpan w:val="2"/>
          </w:tcPr>
          <w:p w14:paraId="7E21D74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734C34D3"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5F697511" w14:textId="77777777" w:rsidTr="009170D4">
        <w:trPr>
          <w:trHeight w:val="152"/>
        </w:trPr>
        <w:tc>
          <w:tcPr>
            <w:tcW w:w="810" w:type="dxa"/>
          </w:tcPr>
          <w:p w14:paraId="2E29E7A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42(3)</w:t>
            </w:r>
          </w:p>
        </w:tc>
        <w:tc>
          <w:tcPr>
            <w:tcW w:w="5040" w:type="dxa"/>
            <w:gridSpan w:val="2"/>
          </w:tcPr>
          <w:p w14:paraId="18A8C27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A constituent entity that indirectly owns an ownership interest in an investment entity or in an insurance investment entity through a direct ownership interest in another investment entity or an insurance investment entity shall be considered to be subject to tax under a fair market value or similar regime with respect to its indirect ownership interest in the first-mentioned entity or insurance investment entity if it is subject to a fair market value or similar regime with respect to its direct ownership interest in the second-mentioned entity or insurance investment entity.</w:t>
            </w:r>
          </w:p>
        </w:tc>
        <w:tc>
          <w:tcPr>
            <w:tcW w:w="990" w:type="dxa"/>
            <w:gridSpan w:val="2"/>
          </w:tcPr>
          <w:p w14:paraId="1D383B8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1151432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45(3)</w:t>
            </w:r>
          </w:p>
        </w:tc>
        <w:tc>
          <w:tcPr>
            <w:tcW w:w="4680" w:type="dxa"/>
            <w:gridSpan w:val="2"/>
          </w:tcPr>
          <w:p w14:paraId="758ADC9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 A constituent entity that indirectly owns an ownership interest in an investment entity or in an insurance investment entity through a direct ownership interest in another investment entity or an insurance investment entity shall be considered to be subject to tax under a fair market value or similar regime with respect to its indirect ownership interest in the first-mentioned entity or insurance investment entity if it is subject to a fair market value or similar regime with respect to its direct ownership interest in the second-mentioned entity or insurance investment entity.</w:t>
            </w:r>
          </w:p>
        </w:tc>
        <w:tc>
          <w:tcPr>
            <w:tcW w:w="1800" w:type="dxa"/>
            <w:gridSpan w:val="2"/>
          </w:tcPr>
          <w:p w14:paraId="6B3DF62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431A34D4"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034F8B75" w14:textId="77777777" w:rsidTr="009170D4">
        <w:trPr>
          <w:trHeight w:val="152"/>
        </w:trPr>
        <w:tc>
          <w:tcPr>
            <w:tcW w:w="810" w:type="dxa"/>
          </w:tcPr>
          <w:p w14:paraId="6BBCF50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42(4)</w:t>
            </w:r>
          </w:p>
        </w:tc>
        <w:tc>
          <w:tcPr>
            <w:tcW w:w="5040" w:type="dxa"/>
            <w:gridSpan w:val="2"/>
          </w:tcPr>
          <w:p w14:paraId="4B10DDF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4. The election under paragraph 2 of this Article shall be made in accordance with Article 45(1).</w:t>
            </w:r>
          </w:p>
          <w:p w14:paraId="611F3CA4" w14:textId="77777777" w:rsidR="00465215" w:rsidRPr="005E6D70" w:rsidRDefault="00465215" w:rsidP="009170D4">
            <w:pPr>
              <w:jc w:val="both"/>
              <w:rPr>
                <w:rFonts w:ascii="Times New Roman" w:eastAsia="Calibri" w:hAnsi="Times New Roman" w:cs="Times New Roman"/>
                <w:iCs/>
                <w:sz w:val="18"/>
                <w:szCs w:val="18"/>
                <w:lang w:val="en-US"/>
              </w:rPr>
            </w:pPr>
          </w:p>
          <w:p w14:paraId="0666547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If the election is revoked, any gain or loss from the disposal of an asset or a liability held by the investment entity or an insurance investment entity shall be determined on the basis of the fair market value of the asset or liability on the first day of the year the revocation is made.</w:t>
            </w:r>
          </w:p>
        </w:tc>
        <w:tc>
          <w:tcPr>
            <w:tcW w:w="990" w:type="dxa"/>
            <w:gridSpan w:val="2"/>
          </w:tcPr>
          <w:p w14:paraId="1EC340D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439BF36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45(4)</w:t>
            </w:r>
          </w:p>
        </w:tc>
        <w:tc>
          <w:tcPr>
            <w:tcW w:w="4680" w:type="dxa"/>
            <w:gridSpan w:val="2"/>
          </w:tcPr>
          <w:p w14:paraId="50D60BE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 The election under paragraph 2, of this Article, shall be made in accordance with paragraph 1, of Article 55, of this Law. If the election is revoked, any gain or loss from the disposal of an asset or a liability held by the investment entity or an insurance investment entity shall be determined on the basis of the fair market value of the asset or liability on the first day of the year the revocation is made.</w:t>
            </w:r>
          </w:p>
        </w:tc>
        <w:tc>
          <w:tcPr>
            <w:tcW w:w="1800" w:type="dxa"/>
            <w:gridSpan w:val="2"/>
          </w:tcPr>
          <w:p w14:paraId="3E92F04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26180A4A"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38304BAD" w14:textId="77777777" w:rsidTr="009170D4">
        <w:trPr>
          <w:trHeight w:val="152"/>
        </w:trPr>
        <w:tc>
          <w:tcPr>
            <w:tcW w:w="810" w:type="dxa"/>
            <w:shd w:val="clear" w:color="auto" w:fill="D9D9D9" w:themeFill="background1" w:themeFillShade="D9"/>
          </w:tcPr>
          <w:p w14:paraId="1DA5C16D"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7AFA35B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43. Election to apply a taxable distribution method</w:t>
            </w:r>
          </w:p>
        </w:tc>
        <w:tc>
          <w:tcPr>
            <w:tcW w:w="990" w:type="dxa"/>
            <w:gridSpan w:val="2"/>
            <w:shd w:val="clear" w:color="auto" w:fill="D9D9D9" w:themeFill="background1" w:themeFillShade="D9"/>
          </w:tcPr>
          <w:p w14:paraId="6BEC548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6474646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46</w:t>
            </w:r>
          </w:p>
        </w:tc>
        <w:tc>
          <w:tcPr>
            <w:tcW w:w="4680" w:type="dxa"/>
            <w:gridSpan w:val="2"/>
            <w:shd w:val="clear" w:color="auto" w:fill="D9D9D9" w:themeFill="background1" w:themeFillShade="D9"/>
          </w:tcPr>
          <w:p w14:paraId="603C089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Article 46. Election to apply a taxable distribution method</w:t>
            </w:r>
          </w:p>
        </w:tc>
        <w:tc>
          <w:tcPr>
            <w:tcW w:w="1800" w:type="dxa"/>
            <w:gridSpan w:val="2"/>
            <w:shd w:val="clear" w:color="auto" w:fill="D9D9D9" w:themeFill="background1" w:themeFillShade="D9"/>
          </w:tcPr>
          <w:p w14:paraId="7A22BF3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220F189F"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Transposition of EU Directive Article 43 into Article 46 of the domestic draft law.</w:t>
            </w:r>
          </w:p>
        </w:tc>
      </w:tr>
      <w:tr w:rsidR="00465215" w:rsidRPr="005E6D70" w14:paraId="0EFE86E6" w14:textId="77777777" w:rsidTr="009170D4">
        <w:trPr>
          <w:trHeight w:val="152"/>
        </w:trPr>
        <w:tc>
          <w:tcPr>
            <w:tcW w:w="810" w:type="dxa"/>
          </w:tcPr>
          <w:p w14:paraId="2FD4035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43(1)</w:t>
            </w:r>
          </w:p>
        </w:tc>
        <w:tc>
          <w:tcPr>
            <w:tcW w:w="5040" w:type="dxa"/>
            <w:gridSpan w:val="2"/>
          </w:tcPr>
          <w:p w14:paraId="7391E69E"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At the election of the filing constituent entity, a constituent entity-owner of an investment entity may apply a taxable distribution method with respect to its ownership interest in the investment entity, provided that the constituent entity-owner is not an investment entity and can be reasonably expected to be subject to tax on distributions from the investment entity at a tax rate that equals or exceeds the minimum tax rate.</w:t>
            </w:r>
          </w:p>
        </w:tc>
        <w:tc>
          <w:tcPr>
            <w:tcW w:w="990" w:type="dxa"/>
            <w:gridSpan w:val="2"/>
          </w:tcPr>
          <w:p w14:paraId="3F49217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739521E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46(1)</w:t>
            </w:r>
          </w:p>
        </w:tc>
        <w:tc>
          <w:tcPr>
            <w:tcW w:w="4680" w:type="dxa"/>
            <w:gridSpan w:val="2"/>
          </w:tcPr>
          <w:p w14:paraId="3B426EB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1. At the election of the filing constituent entity, a constituent entity-owner of an investment entity may apply a taxable distribution method with respect to its ownership interest in the investment entity, provided that the constituent entity-owner is not an investment entity and can be reasonably expected to be subject to tax on distributions from that investment entity at a tax rate that equals or exceeds the minimum tax rate.</w:t>
            </w:r>
          </w:p>
        </w:tc>
        <w:tc>
          <w:tcPr>
            <w:tcW w:w="1800" w:type="dxa"/>
            <w:gridSpan w:val="2"/>
          </w:tcPr>
          <w:p w14:paraId="7E9D32C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6FB1B1CA"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7EC8EC14" w14:textId="77777777" w:rsidTr="009170D4">
        <w:trPr>
          <w:trHeight w:val="152"/>
        </w:trPr>
        <w:tc>
          <w:tcPr>
            <w:tcW w:w="810" w:type="dxa"/>
          </w:tcPr>
          <w:p w14:paraId="5589EA6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43(2)</w:t>
            </w:r>
          </w:p>
        </w:tc>
        <w:tc>
          <w:tcPr>
            <w:tcW w:w="5040" w:type="dxa"/>
            <w:gridSpan w:val="2"/>
          </w:tcPr>
          <w:p w14:paraId="26F2BB94"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 Under the taxable distribution method, distributions and deemed distributions of the qualifying income of an investment entity shall be included in the qualifying income of the constituent entity-owner that received the distribution, provided that it is not an investment entity. </w:t>
            </w:r>
          </w:p>
          <w:p w14:paraId="4912D2CA" w14:textId="77777777" w:rsidR="00465215" w:rsidRPr="005E6D70" w:rsidRDefault="00465215" w:rsidP="009170D4">
            <w:pPr>
              <w:jc w:val="both"/>
              <w:rPr>
                <w:rFonts w:ascii="Times New Roman" w:eastAsia="Calibri" w:hAnsi="Times New Roman" w:cs="Times New Roman"/>
                <w:iCs/>
                <w:sz w:val="18"/>
                <w:szCs w:val="18"/>
                <w:lang w:val="en-US"/>
              </w:rPr>
            </w:pPr>
          </w:p>
          <w:p w14:paraId="722D67C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The amount of covered taxes incurred by the investment entity that is creditable against the tax liability of the constituent entity-owner arising from the distribution of the investment entity shall be </w:t>
            </w:r>
            <w:r w:rsidRPr="005E6D70">
              <w:rPr>
                <w:rFonts w:ascii="Times New Roman" w:eastAsia="Calibri" w:hAnsi="Times New Roman" w:cs="Times New Roman"/>
                <w:iCs/>
                <w:sz w:val="18"/>
                <w:szCs w:val="18"/>
                <w:lang w:val="en-US"/>
              </w:rPr>
              <w:lastRenderedPageBreak/>
              <w:t xml:space="preserve">included in the qualifying income and adjusted covered taxes of the constituent entity-owner that received the distribution. </w:t>
            </w:r>
          </w:p>
          <w:p w14:paraId="52F3E3D6" w14:textId="77777777" w:rsidR="00465215" w:rsidRPr="005E6D70" w:rsidRDefault="00465215" w:rsidP="009170D4">
            <w:pPr>
              <w:jc w:val="both"/>
              <w:rPr>
                <w:rFonts w:ascii="Times New Roman" w:eastAsia="Calibri" w:hAnsi="Times New Roman" w:cs="Times New Roman"/>
                <w:iCs/>
                <w:sz w:val="18"/>
                <w:szCs w:val="18"/>
                <w:lang w:val="en-US"/>
              </w:rPr>
            </w:pPr>
          </w:p>
          <w:p w14:paraId="717863C7" w14:textId="77777777" w:rsidR="00465215" w:rsidRPr="005E6D70" w:rsidRDefault="00465215" w:rsidP="009170D4">
            <w:pPr>
              <w:jc w:val="both"/>
              <w:rPr>
                <w:rFonts w:ascii="Times New Roman" w:eastAsia="Calibri" w:hAnsi="Times New Roman" w:cs="Times New Roman"/>
                <w:iCs/>
                <w:sz w:val="18"/>
                <w:szCs w:val="18"/>
                <w:lang w:val="en-US"/>
              </w:rPr>
            </w:pPr>
          </w:p>
          <w:p w14:paraId="3298BDB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The share of the constituent entity-owner in the undistributed net qualifying income of the investment entity referred to in paragraph 3 arising in the third year preceding the fiscal year (the ‘tested year’) shall be treated as qualifying income of that investment entity for the fiscal year. The amount equal to such qualifying income multiplied by the minimum tax rate shall be treated as top-up tax of a low-taxed constituent entity for the fiscal year for the purposes of Chapter II. </w:t>
            </w:r>
          </w:p>
          <w:p w14:paraId="28B39344" w14:textId="77777777" w:rsidR="00465215" w:rsidRPr="005E6D70" w:rsidRDefault="00465215" w:rsidP="009170D4">
            <w:pPr>
              <w:jc w:val="both"/>
              <w:rPr>
                <w:rFonts w:ascii="Times New Roman" w:eastAsia="Calibri" w:hAnsi="Times New Roman" w:cs="Times New Roman"/>
                <w:iCs/>
                <w:sz w:val="18"/>
                <w:szCs w:val="18"/>
                <w:lang w:val="en-US"/>
              </w:rPr>
            </w:pPr>
          </w:p>
          <w:p w14:paraId="0C255380" w14:textId="77777777" w:rsidR="00465215" w:rsidRPr="005E6D70" w:rsidRDefault="00465215" w:rsidP="009170D4">
            <w:pPr>
              <w:jc w:val="both"/>
              <w:rPr>
                <w:rFonts w:ascii="Times New Roman" w:eastAsia="Calibri" w:hAnsi="Times New Roman" w:cs="Times New Roman"/>
                <w:iCs/>
                <w:sz w:val="18"/>
                <w:szCs w:val="18"/>
                <w:lang w:val="en-US"/>
              </w:rPr>
            </w:pPr>
          </w:p>
          <w:p w14:paraId="0F01070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The qualifying income or loss of an investment entity and the adjusted covered taxes attributable to such income for the fiscal year shall be excluded from the computation of the effective tax rate in accordance with Chapter V and with Article 41(1) to (4), except for the amount of covered taxes referred to in the second subparagraph of this paragraph.</w:t>
            </w:r>
          </w:p>
        </w:tc>
        <w:tc>
          <w:tcPr>
            <w:tcW w:w="990" w:type="dxa"/>
            <w:gridSpan w:val="2"/>
          </w:tcPr>
          <w:p w14:paraId="357773D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42A46A01"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46(2)</w:t>
            </w:r>
          </w:p>
          <w:p w14:paraId="38839336" w14:textId="77777777" w:rsidR="00465215" w:rsidRPr="005E6D70" w:rsidRDefault="00465215" w:rsidP="009170D4">
            <w:pPr>
              <w:jc w:val="center"/>
              <w:rPr>
                <w:rFonts w:ascii="Times New Roman" w:eastAsia="Arial" w:hAnsi="Times New Roman" w:cs="Times New Roman"/>
                <w:sz w:val="18"/>
                <w:szCs w:val="18"/>
              </w:rPr>
            </w:pPr>
          </w:p>
          <w:p w14:paraId="2AB35935" w14:textId="77777777" w:rsidR="00465215" w:rsidRPr="005E6D70" w:rsidRDefault="00465215" w:rsidP="009170D4">
            <w:pPr>
              <w:jc w:val="center"/>
              <w:rPr>
                <w:rFonts w:ascii="Times New Roman" w:eastAsia="Arial" w:hAnsi="Times New Roman" w:cs="Times New Roman"/>
                <w:sz w:val="18"/>
                <w:szCs w:val="18"/>
              </w:rPr>
            </w:pPr>
          </w:p>
          <w:p w14:paraId="3D7210E2" w14:textId="77777777" w:rsidR="00465215" w:rsidRPr="005E6D70" w:rsidRDefault="00465215" w:rsidP="009170D4">
            <w:pPr>
              <w:jc w:val="center"/>
              <w:rPr>
                <w:rFonts w:ascii="Times New Roman" w:eastAsia="Arial" w:hAnsi="Times New Roman" w:cs="Times New Roman"/>
                <w:sz w:val="18"/>
                <w:szCs w:val="18"/>
              </w:rPr>
            </w:pPr>
          </w:p>
          <w:p w14:paraId="5BFE84A4" w14:textId="77777777" w:rsidR="00465215" w:rsidRPr="005E6D70" w:rsidRDefault="00465215" w:rsidP="009170D4">
            <w:pPr>
              <w:jc w:val="center"/>
              <w:rPr>
                <w:rFonts w:ascii="Times New Roman" w:eastAsia="Arial" w:hAnsi="Times New Roman" w:cs="Times New Roman"/>
                <w:sz w:val="18"/>
                <w:szCs w:val="18"/>
              </w:rPr>
            </w:pPr>
          </w:p>
          <w:p w14:paraId="4E337FEA" w14:textId="77777777" w:rsidR="00465215" w:rsidRPr="005E6D70" w:rsidRDefault="00465215" w:rsidP="009170D4">
            <w:pPr>
              <w:jc w:val="center"/>
              <w:rPr>
                <w:rFonts w:ascii="Times New Roman" w:eastAsia="Arial" w:hAnsi="Times New Roman" w:cs="Times New Roman"/>
                <w:sz w:val="18"/>
                <w:szCs w:val="18"/>
              </w:rPr>
            </w:pPr>
          </w:p>
          <w:p w14:paraId="28BF02E9"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46(3)</w:t>
            </w:r>
          </w:p>
          <w:p w14:paraId="42DF6263" w14:textId="77777777" w:rsidR="00465215" w:rsidRPr="005E6D70" w:rsidRDefault="00465215" w:rsidP="009170D4">
            <w:pPr>
              <w:jc w:val="center"/>
              <w:rPr>
                <w:rFonts w:ascii="Times New Roman" w:eastAsia="Arial" w:hAnsi="Times New Roman" w:cs="Times New Roman"/>
                <w:sz w:val="18"/>
                <w:szCs w:val="18"/>
              </w:rPr>
            </w:pPr>
          </w:p>
          <w:p w14:paraId="0ECE3D38" w14:textId="77777777" w:rsidR="00465215" w:rsidRPr="005E6D70" w:rsidRDefault="00465215" w:rsidP="009170D4">
            <w:pPr>
              <w:jc w:val="center"/>
              <w:rPr>
                <w:rFonts w:ascii="Times New Roman" w:eastAsia="Arial" w:hAnsi="Times New Roman" w:cs="Times New Roman"/>
                <w:sz w:val="18"/>
                <w:szCs w:val="18"/>
              </w:rPr>
            </w:pPr>
          </w:p>
          <w:p w14:paraId="190F4B3D" w14:textId="77777777" w:rsidR="00465215" w:rsidRPr="005E6D70" w:rsidRDefault="00465215" w:rsidP="009170D4">
            <w:pPr>
              <w:jc w:val="center"/>
              <w:rPr>
                <w:rFonts w:ascii="Times New Roman" w:eastAsia="Arial" w:hAnsi="Times New Roman" w:cs="Times New Roman"/>
                <w:sz w:val="18"/>
                <w:szCs w:val="18"/>
              </w:rPr>
            </w:pPr>
          </w:p>
          <w:p w14:paraId="7AC617FB" w14:textId="77777777" w:rsidR="00465215" w:rsidRPr="005E6D70" w:rsidRDefault="00465215" w:rsidP="009170D4">
            <w:pPr>
              <w:jc w:val="center"/>
              <w:rPr>
                <w:rFonts w:ascii="Times New Roman" w:eastAsia="Arial" w:hAnsi="Times New Roman" w:cs="Times New Roman"/>
                <w:sz w:val="18"/>
                <w:szCs w:val="18"/>
              </w:rPr>
            </w:pPr>
          </w:p>
          <w:p w14:paraId="1C92FA90" w14:textId="77777777" w:rsidR="00465215" w:rsidRPr="005E6D70" w:rsidRDefault="00465215" w:rsidP="009170D4">
            <w:pPr>
              <w:jc w:val="center"/>
              <w:rPr>
                <w:rFonts w:ascii="Times New Roman" w:eastAsia="Arial" w:hAnsi="Times New Roman" w:cs="Times New Roman"/>
                <w:sz w:val="18"/>
                <w:szCs w:val="18"/>
              </w:rPr>
            </w:pPr>
          </w:p>
          <w:p w14:paraId="4DA31BE3" w14:textId="77777777" w:rsidR="00465215" w:rsidRPr="005E6D70" w:rsidRDefault="00465215" w:rsidP="009170D4">
            <w:pPr>
              <w:jc w:val="center"/>
              <w:rPr>
                <w:rFonts w:ascii="Times New Roman" w:eastAsia="Arial" w:hAnsi="Times New Roman" w:cs="Times New Roman"/>
                <w:sz w:val="18"/>
                <w:szCs w:val="18"/>
              </w:rPr>
            </w:pPr>
          </w:p>
          <w:p w14:paraId="0571A870"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46(4)</w:t>
            </w:r>
          </w:p>
          <w:p w14:paraId="74578369" w14:textId="77777777" w:rsidR="00465215" w:rsidRPr="005E6D70" w:rsidRDefault="00465215" w:rsidP="009170D4">
            <w:pPr>
              <w:jc w:val="center"/>
              <w:rPr>
                <w:rFonts w:ascii="Times New Roman" w:eastAsia="Arial" w:hAnsi="Times New Roman" w:cs="Times New Roman"/>
                <w:sz w:val="18"/>
                <w:szCs w:val="18"/>
              </w:rPr>
            </w:pPr>
          </w:p>
          <w:p w14:paraId="5C595239" w14:textId="77777777" w:rsidR="00465215" w:rsidRPr="005E6D70" w:rsidRDefault="00465215" w:rsidP="009170D4">
            <w:pPr>
              <w:jc w:val="center"/>
              <w:rPr>
                <w:rFonts w:ascii="Times New Roman" w:eastAsia="Arial" w:hAnsi="Times New Roman" w:cs="Times New Roman"/>
                <w:sz w:val="18"/>
                <w:szCs w:val="18"/>
              </w:rPr>
            </w:pPr>
          </w:p>
          <w:p w14:paraId="69B430F1" w14:textId="77777777" w:rsidR="00465215" w:rsidRPr="005E6D70" w:rsidRDefault="00465215" w:rsidP="009170D4">
            <w:pPr>
              <w:jc w:val="center"/>
              <w:rPr>
                <w:rFonts w:ascii="Times New Roman" w:eastAsia="Arial" w:hAnsi="Times New Roman" w:cs="Times New Roman"/>
                <w:sz w:val="18"/>
                <w:szCs w:val="18"/>
              </w:rPr>
            </w:pPr>
          </w:p>
          <w:p w14:paraId="40C67E65" w14:textId="77777777" w:rsidR="00465215" w:rsidRPr="005E6D70" w:rsidRDefault="00465215" w:rsidP="009170D4">
            <w:pPr>
              <w:jc w:val="center"/>
              <w:rPr>
                <w:rFonts w:ascii="Times New Roman" w:eastAsia="Arial" w:hAnsi="Times New Roman" w:cs="Times New Roman"/>
                <w:sz w:val="18"/>
                <w:szCs w:val="18"/>
              </w:rPr>
            </w:pPr>
          </w:p>
          <w:p w14:paraId="19EBB14D" w14:textId="77777777" w:rsidR="00465215" w:rsidRPr="005E6D70" w:rsidRDefault="00465215" w:rsidP="009170D4">
            <w:pPr>
              <w:jc w:val="center"/>
              <w:rPr>
                <w:rFonts w:ascii="Times New Roman" w:eastAsia="Arial" w:hAnsi="Times New Roman" w:cs="Times New Roman"/>
                <w:sz w:val="18"/>
                <w:szCs w:val="18"/>
              </w:rPr>
            </w:pPr>
          </w:p>
          <w:p w14:paraId="01FD8AD4" w14:textId="77777777" w:rsidR="00465215" w:rsidRPr="005E6D70" w:rsidRDefault="00465215" w:rsidP="009170D4">
            <w:pPr>
              <w:jc w:val="center"/>
              <w:rPr>
                <w:rFonts w:ascii="Times New Roman" w:eastAsia="Arial" w:hAnsi="Times New Roman" w:cs="Times New Roman"/>
                <w:sz w:val="18"/>
                <w:szCs w:val="18"/>
              </w:rPr>
            </w:pPr>
          </w:p>
          <w:p w14:paraId="76C38ECD" w14:textId="77777777" w:rsidR="00465215" w:rsidRPr="005E6D70" w:rsidRDefault="00465215" w:rsidP="009170D4">
            <w:pPr>
              <w:jc w:val="center"/>
              <w:rPr>
                <w:rFonts w:ascii="Times New Roman" w:eastAsia="Arial" w:hAnsi="Times New Roman" w:cs="Times New Roman"/>
                <w:sz w:val="18"/>
                <w:szCs w:val="18"/>
              </w:rPr>
            </w:pPr>
          </w:p>
          <w:p w14:paraId="474A399F" w14:textId="77777777" w:rsidR="00465215" w:rsidRPr="005E6D70" w:rsidRDefault="00465215" w:rsidP="009170D4">
            <w:pPr>
              <w:jc w:val="center"/>
              <w:rPr>
                <w:rFonts w:ascii="Times New Roman" w:eastAsia="Arial" w:hAnsi="Times New Roman" w:cs="Times New Roman"/>
                <w:sz w:val="18"/>
                <w:szCs w:val="18"/>
              </w:rPr>
            </w:pPr>
          </w:p>
          <w:p w14:paraId="05916FF1" w14:textId="77777777" w:rsidR="00465215" w:rsidRPr="005E6D70" w:rsidRDefault="00465215" w:rsidP="009170D4">
            <w:pPr>
              <w:jc w:val="center"/>
              <w:rPr>
                <w:rFonts w:ascii="Times New Roman" w:eastAsia="Arial" w:hAnsi="Times New Roman" w:cs="Times New Roman"/>
                <w:sz w:val="18"/>
                <w:szCs w:val="18"/>
              </w:rPr>
            </w:pPr>
          </w:p>
          <w:p w14:paraId="3780289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46(5)</w:t>
            </w:r>
          </w:p>
        </w:tc>
        <w:tc>
          <w:tcPr>
            <w:tcW w:w="4680" w:type="dxa"/>
            <w:gridSpan w:val="2"/>
          </w:tcPr>
          <w:p w14:paraId="4AA24A53"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lastRenderedPageBreak/>
              <w:t xml:space="preserve">2. Under the taxable distribution method, distributions and deemed distributions of the qualifying income of an investment entity shall be included in the qualifying income of the constituent entity-owner that received the distribution, provided that it is not an investment entity. </w:t>
            </w:r>
          </w:p>
          <w:p w14:paraId="4F0A3CB3" w14:textId="77777777" w:rsidR="00465215" w:rsidRPr="005E6D70" w:rsidRDefault="00465215" w:rsidP="009170D4">
            <w:pPr>
              <w:jc w:val="both"/>
              <w:rPr>
                <w:rFonts w:ascii="Times New Roman" w:eastAsia="Arial" w:hAnsi="Times New Roman" w:cs="Times New Roman"/>
                <w:sz w:val="18"/>
                <w:szCs w:val="18"/>
              </w:rPr>
            </w:pPr>
          </w:p>
          <w:p w14:paraId="56C7841B"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3. The amount of covered taxes incurred by the investment entity that is creditable against the tax liability of the constituent entity-owner arising from the distribution of the </w:t>
            </w:r>
            <w:r w:rsidRPr="005E6D70">
              <w:rPr>
                <w:rFonts w:ascii="Times New Roman" w:eastAsia="Arial" w:hAnsi="Times New Roman" w:cs="Times New Roman"/>
                <w:sz w:val="18"/>
                <w:szCs w:val="18"/>
              </w:rPr>
              <w:lastRenderedPageBreak/>
              <w:t xml:space="preserve">investment entity shall be included in the qualifying income and adjusted covered taxes of the constituent entity-owner that received the distribution. </w:t>
            </w:r>
          </w:p>
          <w:p w14:paraId="3F23DAEC" w14:textId="77777777" w:rsidR="00465215" w:rsidRPr="005E6D70" w:rsidRDefault="00465215" w:rsidP="009170D4">
            <w:pPr>
              <w:jc w:val="both"/>
              <w:rPr>
                <w:rFonts w:ascii="Times New Roman" w:eastAsia="Arial" w:hAnsi="Times New Roman" w:cs="Times New Roman"/>
                <w:sz w:val="18"/>
                <w:szCs w:val="18"/>
              </w:rPr>
            </w:pPr>
          </w:p>
          <w:p w14:paraId="5D9264C7"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4. The share of the constituent entity-owner in the undistributed net qualifying income of the investment entity referred to in paragraph 6, of this Article, arising in the third year preceding the fiscal year (the “tested year”) shall be treated as qualifying income of that investment entity for the fiscal year. The amount equal to such qualifying income multiplied by the minimum tax rate shall be treated as top-up tax of a low-taxed constituent entity for the fiscal year for the purposes of Chapter II, of this Law. </w:t>
            </w:r>
          </w:p>
          <w:p w14:paraId="5431065A" w14:textId="77777777" w:rsidR="00465215" w:rsidRPr="005E6D70" w:rsidRDefault="00465215" w:rsidP="009170D4">
            <w:pPr>
              <w:jc w:val="both"/>
              <w:rPr>
                <w:rFonts w:ascii="Times New Roman" w:eastAsia="Arial" w:hAnsi="Times New Roman" w:cs="Times New Roman"/>
                <w:sz w:val="18"/>
                <w:szCs w:val="18"/>
              </w:rPr>
            </w:pPr>
          </w:p>
          <w:p w14:paraId="77CD7F4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 The qualifying income or loss of an investment entity and the adjusted covered taxes attributable to such income for the fiscal year shall be excluded from the computation of the effective tax rate in accordance with Chapter V, of this Law, and with Article 44, of this Law, except for the amount of covered taxes referred to in paragraph 3, of this Article.</w:t>
            </w:r>
          </w:p>
        </w:tc>
        <w:tc>
          <w:tcPr>
            <w:tcW w:w="1800" w:type="dxa"/>
            <w:gridSpan w:val="2"/>
          </w:tcPr>
          <w:p w14:paraId="2199167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0900CD19"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Structural separation. The unnumbered subparagraphs of the EU provision are sequentially numbered (2 through 5) in </w:t>
            </w:r>
            <w:r w:rsidRPr="005E6D70">
              <w:rPr>
                <w:rFonts w:ascii="Times New Roman" w:eastAsia="Arial" w:hAnsi="Times New Roman" w:cs="Times New Roman"/>
                <w:sz w:val="18"/>
                <w:szCs w:val="18"/>
              </w:rPr>
              <w:lastRenderedPageBreak/>
              <w:t>the domestic law.</w:t>
            </w:r>
          </w:p>
        </w:tc>
      </w:tr>
      <w:tr w:rsidR="00465215" w:rsidRPr="005E6D70" w14:paraId="54E3DD01" w14:textId="77777777" w:rsidTr="009170D4">
        <w:trPr>
          <w:trHeight w:val="152"/>
        </w:trPr>
        <w:tc>
          <w:tcPr>
            <w:tcW w:w="810" w:type="dxa"/>
          </w:tcPr>
          <w:p w14:paraId="7D15BDB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43(3)</w:t>
            </w:r>
          </w:p>
        </w:tc>
        <w:tc>
          <w:tcPr>
            <w:tcW w:w="5040" w:type="dxa"/>
            <w:gridSpan w:val="2"/>
          </w:tcPr>
          <w:p w14:paraId="461BF87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The undistributed net qualifying income of an investment entity for the tested year shall be the amount of qualifying income of that investment entity for the tested year reduced, up to zero, by:</w:t>
            </w:r>
          </w:p>
        </w:tc>
        <w:tc>
          <w:tcPr>
            <w:tcW w:w="990" w:type="dxa"/>
            <w:gridSpan w:val="2"/>
          </w:tcPr>
          <w:p w14:paraId="3A179EC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373254C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46(6)</w:t>
            </w:r>
          </w:p>
        </w:tc>
        <w:tc>
          <w:tcPr>
            <w:tcW w:w="4680" w:type="dxa"/>
            <w:gridSpan w:val="2"/>
          </w:tcPr>
          <w:p w14:paraId="20EB9AD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6. The undistributed net qualifying income of an investment entity for the tested year shall be the amount of qualifying income of that investment entity for the tested year reduced, up to zero, by:</w:t>
            </w:r>
          </w:p>
        </w:tc>
        <w:tc>
          <w:tcPr>
            <w:tcW w:w="1800" w:type="dxa"/>
            <w:gridSpan w:val="2"/>
          </w:tcPr>
          <w:p w14:paraId="099FA1D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4C1175E0"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172B41CD" w14:textId="77777777" w:rsidTr="009170D4">
        <w:trPr>
          <w:trHeight w:val="152"/>
        </w:trPr>
        <w:tc>
          <w:tcPr>
            <w:tcW w:w="810" w:type="dxa"/>
          </w:tcPr>
          <w:p w14:paraId="44A245E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43(3a)</w:t>
            </w:r>
          </w:p>
        </w:tc>
        <w:tc>
          <w:tcPr>
            <w:tcW w:w="5040" w:type="dxa"/>
            <w:gridSpan w:val="2"/>
          </w:tcPr>
          <w:p w14:paraId="2060A741"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the covered taxes of the investment entity;</w:t>
            </w:r>
          </w:p>
        </w:tc>
        <w:tc>
          <w:tcPr>
            <w:tcW w:w="990" w:type="dxa"/>
            <w:gridSpan w:val="2"/>
          </w:tcPr>
          <w:p w14:paraId="36FD378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2B4780B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46(6)(a)</w:t>
            </w:r>
          </w:p>
        </w:tc>
        <w:tc>
          <w:tcPr>
            <w:tcW w:w="4680" w:type="dxa"/>
            <w:gridSpan w:val="2"/>
          </w:tcPr>
          <w:p w14:paraId="7120F9E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a) the amount of covered taxes of the investment entity;</w:t>
            </w:r>
          </w:p>
        </w:tc>
        <w:tc>
          <w:tcPr>
            <w:tcW w:w="1800" w:type="dxa"/>
            <w:gridSpan w:val="2"/>
          </w:tcPr>
          <w:p w14:paraId="19206A4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0B9967AE"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2EFD9E0B" w14:textId="77777777" w:rsidTr="009170D4">
        <w:trPr>
          <w:trHeight w:val="152"/>
        </w:trPr>
        <w:tc>
          <w:tcPr>
            <w:tcW w:w="810" w:type="dxa"/>
          </w:tcPr>
          <w:p w14:paraId="718802C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43(3b)</w:t>
            </w:r>
          </w:p>
        </w:tc>
        <w:tc>
          <w:tcPr>
            <w:tcW w:w="5040" w:type="dxa"/>
            <w:gridSpan w:val="2"/>
          </w:tcPr>
          <w:p w14:paraId="09E06E8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distributions and deemed distributions to shareholders that are not investment entities during the period starting with the first day of the third year preceding the fiscal year and ending with the last day of the reporting fiscal year in which the ownership interest was held (the ‘testing period’);</w:t>
            </w:r>
          </w:p>
        </w:tc>
        <w:tc>
          <w:tcPr>
            <w:tcW w:w="990" w:type="dxa"/>
            <w:gridSpan w:val="2"/>
          </w:tcPr>
          <w:p w14:paraId="01FE0FA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0AAA8FB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46(6)(b)</w:t>
            </w:r>
          </w:p>
        </w:tc>
        <w:tc>
          <w:tcPr>
            <w:tcW w:w="4680" w:type="dxa"/>
            <w:gridSpan w:val="2"/>
          </w:tcPr>
          <w:p w14:paraId="4C5865D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b) distributions and deemed distributions to shareholders that are not investment entities during the period starting with the first day of the third year preceding the fiscal year and ending with the last day of the reporting fiscal year in which the ownership interest was held (the “testing period”);</w:t>
            </w:r>
          </w:p>
        </w:tc>
        <w:tc>
          <w:tcPr>
            <w:tcW w:w="1800" w:type="dxa"/>
            <w:gridSpan w:val="2"/>
          </w:tcPr>
          <w:p w14:paraId="76475AA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2A6CE799"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42FDD135" w14:textId="77777777" w:rsidTr="009170D4">
        <w:trPr>
          <w:trHeight w:val="152"/>
        </w:trPr>
        <w:tc>
          <w:tcPr>
            <w:tcW w:w="810" w:type="dxa"/>
          </w:tcPr>
          <w:p w14:paraId="52A4CE1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43(3c)</w:t>
            </w:r>
          </w:p>
        </w:tc>
        <w:tc>
          <w:tcPr>
            <w:tcW w:w="5040" w:type="dxa"/>
            <w:gridSpan w:val="2"/>
          </w:tcPr>
          <w:p w14:paraId="1782DD6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qualifying losses arising during the testing period; and</w:t>
            </w:r>
          </w:p>
        </w:tc>
        <w:tc>
          <w:tcPr>
            <w:tcW w:w="990" w:type="dxa"/>
            <w:gridSpan w:val="2"/>
          </w:tcPr>
          <w:p w14:paraId="1274E08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28D7988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46(6)(c)</w:t>
            </w:r>
          </w:p>
        </w:tc>
        <w:tc>
          <w:tcPr>
            <w:tcW w:w="4680" w:type="dxa"/>
            <w:gridSpan w:val="2"/>
          </w:tcPr>
          <w:p w14:paraId="72025C6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c) qualifying losses arising during the testing period; and</w:t>
            </w:r>
          </w:p>
        </w:tc>
        <w:tc>
          <w:tcPr>
            <w:tcW w:w="1800" w:type="dxa"/>
            <w:gridSpan w:val="2"/>
          </w:tcPr>
          <w:p w14:paraId="5FA10AC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40276942"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1F893601" w14:textId="77777777" w:rsidTr="009170D4">
        <w:trPr>
          <w:trHeight w:val="152"/>
        </w:trPr>
        <w:tc>
          <w:tcPr>
            <w:tcW w:w="810" w:type="dxa"/>
          </w:tcPr>
          <w:p w14:paraId="1E4FBBF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43(3d)</w:t>
            </w:r>
          </w:p>
        </w:tc>
        <w:tc>
          <w:tcPr>
            <w:tcW w:w="5040" w:type="dxa"/>
            <w:gridSpan w:val="2"/>
          </w:tcPr>
          <w:p w14:paraId="73EBBBA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 any residual amount of qualifying losses that has not already reduced the undistributed net qualifying income of that investment entity for a previous tested year, namely the investment loss carry-forward.</w:t>
            </w:r>
          </w:p>
          <w:p w14:paraId="358B5208" w14:textId="77777777" w:rsidR="00465215" w:rsidRPr="005E6D70" w:rsidRDefault="00465215" w:rsidP="009170D4">
            <w:pPr>
              <w:jc w:val="both"/>
              <w:rPr>
                <w:rFonts w:ascii="Times New Roman" w:eastAsia="Calibri" w:hAnsi="Times New Roman" w:cs="Times New Roman"/>
                <w:iCs/>
                <w:sz w:val="18"/>
                <w:szCs w:val="18"/>
                <w:lang w:val="en-US"/>
              </w:rPr>
            </w:pPr>
          </w:p>
          <w:p w14:paraId="3CD6DEB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The undistributed net qualifying income of an investment entity shall not be reduced by distributions or deemed distributions that already reduced the undistributed net qualifying income of that </w:t>
            </w:r>
            <w:r w:rsidRPr="005E6D70">
              <w:rPr>
                <w:rFonts w:ascii="Times New Roman" w:eastAsia="Calibri" w:hAnsi="Times New Roman" w:cs="Times New Roman"/>
                <w:iCs/>
                <w:sz w:val="18"/>
                <w:szCs w:val="18"/>
                <w:lang w:val="en-US"/>
              </w:rPr>
              <w:lastRenderedPageBreak/>
              <w:t>investment entity for a previous tested year in application of the first subparagraph, point (b).</w:t>
            </w:r>
          </w:p>
          <w:p w14:paraId="1A29E15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53B70440" w14:textId="77777777" w:rsidR="00465215" w:rsidRPr="005E6D70" w:rsidRDefault="00465215" w:rsidP="009170D4">
            <w:pPr>
              <w:jc w:val="both"/>
              <w:rPr>
                <w:rFonts w:ascii="Times New Roman" w:eastAsia="Calibri" w:hAnsi="Times New Roman" w:cs="Times New Roman"/>
                <w:iCs/>
                <w:sz w:val="18"/>
                <w:szCs w:val="18"/>
                <w:lang w:val="en-US"/>
              </w:rPr>
            </w:pPr>
          </w:p>
          <w:p w14:paraId="2F2ADAD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The undistributed net qualifying income of an investment entity shall not be reduced by the amount of qualifying losses that already reduced the undistributed net qualifying income of that investment entity for a previous tested year in application of the first subparagraph, point (c).</w:t>
            </w:r>
          </w:p>
        </w:tc>
        <w:tc>
          <w:tcPr>
            <w:tcW w:w="990" w:type="dxa"/>
            <w:gridSpan w:val="2"/>
          </w:tcPr>
          <w:p w14:paraId="1A19A6B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651EBBE9"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46(6)(d)</w:t>
            </w:r>
          </w:p>
          <w:p w14:paraId="671BC145" w14:textId="77777777" w:rsidR="00465215" w:rsidRPr="005E6D70" w:rsidRDefault="00465215" w:rsidP="009170D4">
            <w:pPr>
              <w:jc w:val="center"/>
              <w:rPr>
                <w:rFonts w:ascii="Times New Roman" w:eastAsia="Arial" w:hAnsi="Times New Roman" w:cs="Times New Roman"/>
                <w:sz w:val="18"/>
                <w:szCs w:val="18"/>
              </w:rPr>
            </w:pPr>
          </w:p>
          <w:p w14:paraId="2ED255ED" w14:textId="77777777" w:rsidR="00465215" w:rsidRPr="005E6D70" w:rsidRDefault="00465215" w:rsidP="009170D4">
            <w:pPr>
              <w:jc w:val="center"/>
              <w:rPr>
                <w:rFonts w:ascii="Times New Roman" w:eastAsia="Arial" w:hAnsi="Times New Roman" w:cs="Times New Roman"/>
                <w:sz w:val="18"/>
                <w:szCs w:val="18"/>
              </w:rPr>
            </w:pPr>
          </w:p>
          <w:p w14:paraId="5637211D" w14:textId="77777777" w:rsidR="00465215" w:rsidRPr="005E6D70" w:rsidRDefault="00465215" w:rsidP="009170D4">
            <w:pPr>
              <w:jc w:val="center"/>
              <w:rPr>
                <w:rFonts w:ascii="Times New Roman" w:eastAsia="Arial" w:hAnsi="Times New Roman" w:cs="Times New Roman"/>
                <w:sz w:val="18"/>
                <w:szCs w:val="18"/>
              </w:rPr>
            </w:pPr>
          </w:p>
          <w:p w14:paraId="1BFE4255"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46(7)</w:t>
            </w:r>
          </w:p>
          <w:p w14:paraId="044386D5" w14:textId="77777777" w:rsidR="00465215" w:rsidRPr="005E6D70" w:rsidRDefault="00465215" w:rsidP="009170D4">
            <w:pPr>
              <w:jc w:val="center"/>
              <w:rPr>
                <w:rFonts w:ascii="Times New Roman" w:eastAsia="Arial" w:hAnsi="Times New Roman" w:cs="Times New Roman"/>
                <w:sz w:val="18"/>
                <w:szCs w:val="18"/>
              </w:rPr>
            </w:pPr>
          </w:p>
          <w:p w14:paraId="2D984597" w14:textId="77777777" w:rsidR="00465215" w:rsidRPr="005E6D70" w:rsidRDefault="00465215" w:rsidP="009170D4">
            <w:pPr>
              <w:jc w:val="center"/>
              <w:rPr>
                <w:rFonts w:ascii="Times New Roman" w:eastAsia="Arial" w:hAnsi="Times New Roman" w:cs="Times New Roman"/>
                <w:sz w:val="18"/>
                <w:szCs w:val="18"/>
              </w:rPr>
            </w:pPr>
          </w:p>
          <w:p w14:paraId="45B26BC6" w14:textId="77777777" w:rsidR="00465215" w:rsidRPr="005E6D70" w:rsidRDefault="00465215" w:rsidP="009170D4">
            <w:pPr>
              <w:jc w:val="center"/>
              <w:rPr>
                <w:rFonts w:ascii="Times New Roman" w:eastAsia="Arial" w:hAnsi="Times New Roman" w:cs="Times New Roman"/>
                <w:sz w:val="18"/>
                <w:szCs w:val="18"/>
              </w:rPr>
            </w:pPr>
          </w:p>
          <w:p w14:paraId="68DD746D" w14:textId="77777777" w:rsidR="00465215" w:rsidRPr="005E6D70" w:rsidRDefault="00465215" w:rsidP="009170D4">
            <w:pPr>
              <w:jc w:val="center"/>
              <w:rPr>
                <w:rFonts w:ascii="Times New Roman" w:eastAsia="Arial" w:hAnsi="Times New Roman" w:cs="Times New Roman"/>
                <w:sz w:val="18"/>
                <w:szCs w:val="18"/>
              </w:rPr>
            </w:pPr>
          </w:p>
          <w:p w14:paraId="12C87036" w14:textId="77777777" w:rsidR="00465215" w:rsidRPr="005E6D70" w:rsidRDefault="00465215" w:rsidP="009170D4">
            <w:pPr>
              <w:jc w:val="center"/>
              <w:rPr>
                <w:rFonts w:ascii="Times New Roman" w:eastAsia="Arial" w:hAnsi="Times New Roman" w:cs="Times New Roman"/>
                <w:sz w:val="18"/>
                <w:szCs w:val="18"/>
              </w:rPr>
            </w:pPr>
          </w:p>
          <w:p w14:paraId="2E858FB3" w14:textId="77777777" w:rsidR="00465215" w:rsidRPr="005E6D70" w:rsidRDefault="00465215" w:rsidP="009170D4">
            <w:pPr>
              <w:jc w:val="center"/>
              <w:rPr>
                <w:rFonts w:ascii="Times New Roman" w:eastAsia="Arial" w:hAnsi="Times New Roman" w:cs="Times New Roman"/>
                <w:sz w:val="18"/>
                <w:szCs w:val="18"/>
              </w:rPr>
            </w:pPr>
          </w:p>
          <w:p w14:paraId="54E695D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 46(8)</w:t>
            </w:r>
          </w:p>
        </w:tc>
        <w:tc>
          <w:tcPr>
            <w:tcW w:w="4680" w:type="dxa"/>
            <w:gridSpan w:val="2"/>
          </w:tcPr>
          <w:p w14:paraId="2D0EAAA7"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lastRenderedPageBreak/>
              <w:t xml:space="preserve">d) any residual amount of qualifying losses that has not already reduced the undistributed net qualifying income of that investment entity for a previous tested year (the “investment loss carry-forward”). </w:t>
            </w:r>
          </w:p>
          <w:p w14:paraId="26B58AD5" w14:textId="77777777" w:rsidR="00465215" w:rsidRPr="005E6D70" w:rsidRDefault="00465215" w:rsidP="009170D4">
            <w:pPr>
              <w:jc w:val="both"/>
              <w:rPr>
                <w:rFonts w:ascii="Times New Roman" w:eastAsia="Arial" w:hAnsi="Times New Roman" w:cs="Times New Roman"/>
                <w:sz w:val="18"/>
                <w:szCs w:val="18"/>
              </w:rPr>
            </w:pPr>
          </w:p>
          <w:p w14:paraId="1D9BCFC5"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7. The undistributed net qualifying income of an investment entity shall not be reduced by distributions or deemed distributions that already reduced the undistributed net </w:t>
            </w:r>
            <w:r w:rsidRPr="005E6D70">
              <w:rPr>
                <w:rFonts w:ascii="Times New Roman" w:eastAsia="Arial" w:hAnsi="Times New Roman" w:cs="Times New Roman"/>
                <w:sz w:val="18"/>
                <w:szCs w:val="18"/>
              </w:rPr>
              <w:lastRenderedPageBreak/>
              <w:t xml:space="preserve">qualifying income of that investment entity for a previous tested year in application of letter “b”, of paragraph 6, of this Article. </w:t>
            </w:r>
          </w:p>
          <w:p w14:paraId="7D7E697E" w14:textId="77777777" w:rsidR="00465215" w:rsidRPr="005E6D70" w:rsidRDefault="00465215" w:rsidP="009170D4">
            <w:pPr>
              <w:jc w:val="both"/>
              <w:rPr>
                <w:rFonts w:ascii="Times New Roman" w:eastAsia="Arial" w:hAnsi="Times New Roman" w:cs="Times New Roman"/>
                <w:sz w:val="18"/>
                <w:szCs w:val="18"/>
              </w:rPr>
            </w:pPr>
          </w:p>
          <w:p w14:paraId="75A1F81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8. The undistributed net qualifying income of an investment entity shall not be reduced by the amount of qualifying losses that already reduced the undistributed net qualifying income of that investment entity for a previous tested year in application of letter “c”, of paragraph 6, of this Article.</w:t>
            </w:r>
          </w:p>
        </w:tc>
        <w:tc>
          <w:tcPr>
            <w:tcW w:w="1800" w:type="dxa"/>
            <w:gridSpan w:val="2"/>
          </w:tcPr>
          <w:p w14:paraId="61B6703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2EFC48FF"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Structural separation. The qualifying limits set in the EU subparagraphs are established as distinct </w:t>
            </w:r>
            <w:r w:rsidRPr="005E6D70">
              <w:rPr>
                <w:rFonts w:ascii="Times New Roman" w:eastAsia="Arial" w:hAnsi="Times New Roman" w:cs="Times New Roman"/>
                <w:sz w:val="18"/>
                <w:szCs w:val="18"/>
              </w:rPr>
              <w:lastRenderedPageBreak/>
              <w:t>numbered paragraphs (7 and 8) in the domestic law.</w:t>
            </w:r>
          </w:p>
        </w:tc>
      </w:tr>
      <w:tr w:rsidR="00465215" w:rsidRPr="005E6D70" w14:paraId="444DA445" w14:textId="77777777" w:rsidTr="009170D4">
        <w:trPr>
          <w:trHeight w:val="152"/>
        </w:trPr>
        <w:tc>
          <w:tcPr>
            <w:tcW w:w="810" w:type="dxa"/>
          </w:tcPr>
          <w:p w14:paraId="6DE9964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43(4)</w:t>
            </w:r>
          </w:p>
        </w:tc>
        <w:tc>
          <w:tcPr>
            <w:tcW w:w="5040" w:type="dxa"/>
            <w:gridSpan w:val="2"/>
          </w:tcPr>
          <w:p w14:paraId="3536504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 For the purposes of this Article, a deemed distribution shall arise when a direct or indirect ownership interest in the investment entity is transferred to an entity that does not belong to the MNE group or large-scale domestic group and is equal to the share of the undistributed net qualifying income attributable to such ownership interest on the date of such transfer, determined without regard to the deemed distribution.</w:t>
            </w:r>
          </w:p>
        </w:tc>
        <w:tc>
          <w:tcPr>
            <w:tcW w:w="990" w:type="dxa"/>
            <w:gridSpan w:val="2"/>
          </w:tcPr>
          <w:p w14:paraId="7FB24F4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7698BD1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46(9)</w:t>
            </w:r>
          </w:p>
        </w:tc>
        <w:tc>
          <w:tcPr>
            <w:tcW w:w="4680" w:type="dxa"/>
            <w:gridSpan w:val="2"/>
          </w:tcPr>
          <w:p w14:paraId="5C9C363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9. For the purposes of this Article, a deemed distribution shall arise when a direct or indirect ownership interest in the investment entity is transferred to an entity that does not belong to the multinational enterprise group or large-scale domestic group and is equal to the share of the undistributed net qualifying income attributable to such ownership interest on the date of such transfer, determined without regard to the deemed distribution.</w:t>
            </w:r>
          </w:p>
        </w:tc>
        <w:tc>
          <w:tcPr>
            <w:tcW w:w="1800" w:type="dxa"/>
            <w:gridSpan w:val="2"/>
          </w:tcPr>
          <w:p w14:paraId="6FD7A6E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3F29DE9B"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5502F56C" w14:textId="77777777" w:rsidTr="009170D4">
        <w:trPr>
          <w:trHeight w:val="152"/>
        </w:trPr>
        <w:tc>
          <w:tcPr>
            <w:tcW w:w="810" w:type="dxa"/>
          </w:tcPr>
          <w:p w14:paraId="71A3BB3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43(5)</w:t>
            </w:r>
          </w:p>
        </w:tc>
        <w:tc>
          <w:tcPr>
            <w:tcW w:w="5040" w:type="dxa"/>
            <w:gridSpan w:val="2"/>
          </w:tcPr>
          <w:p w14:paraId="3152FAA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5. The election under paragraph 1 of this Article shall be made in accordance with Article 45(1).</w:t>
            </w:r>
          </w:p>
          <w:p w14:paraId="5766133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01FBC9D9" w14:textId="77777777" w:rsidR="00465215" w:rsidRPr="005E6D70" w:rsidRDefault="00465215" w:rsidP="009170D4">
            <w:pPr>
              <w:jc w:val="both"/>
              <w:rPr>
                <w:rFonts w:ascii="Times New Roman" w:eastAsia="Calibri" w:hAnsi="Times New Roman" w:cs="Times New Roman"/>
                <w:iCs/>
                <w:sz w:val="18"/>
                <w:szCs w:val="18"/>
                <w:lang w:val="en-US"/>
              </w:rPr>
            </w:pPr>
          </w:p>
          <w:p w14:paraId="337B4B6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If the election is revoked, the share of the constituent entity-owner in the undistributed net qualifying income of the investment entity for the tested year at the end of the fiscal year preceding the fiscal year the revocation is made shall be treated as qualifying income of the investment entity for the fiscal year. The amount equal to such qualifying income multiplied by the minimum tax rate shall be treated as top-up tax of a low-taxed constituent entity for the fiscal year for the purposes of Chapter II.</w:t>
            </w:r>
          </w:p>
        </w:tc>
        <w:tc>
          <w:tcPr>
            <w:tcW w:w="990" w:type="dxa"/>
            <w:gridSpan w:val="2"/>
          </w:tcPr>
          <w:p w14:paraId="1C08391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0281DD5A"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46(10)</w:t>
            </w:r>
          </w:p>
          <w:p w14:paraId="4B15848F" w14:textId="77777777" w:rsidR="00465215" w:rsidRPr="005E6D70" w:rsidRDefault="00465215" w:rsidP="009170D4">
            <w:pPr>
              <w:jc w:val="center"/>
              <w:rPr>
                <w:rFonts w:ascii="Times New Roman" w:eastAsia="Arial" w:hAnsi="Times New Roman" w:cs="Times New Roman"/>
                <w:sz w:val="18"/>
                <w:szCs w:val="18"/>
              </w:rPr>
            </w:pPr>
          </w:p>
          <w:p w14:paraId="138B4B01" w14:textId="77777777" w:rsidR="00465215" w:rsidRPr="005E6D70" w:rsidRDefault="00465215" w:rsidP="009170D4">
            <w:pPr>
              <w:jc w:val="center"/>
              <w:rPr>
                <w:rFonts w:ascii="Times New Roman" w:eastAsia="Arial" w:hAnsi="Times New Roman" w:cs="Times New Roman"/>
                <w:sz w:val="18"/>
                <w:szCs w:val="18"/>
              </w:rPr>
            </w:pPr>
          </w:p>
          <w:p w14:paraId="61C922CE" w14:textId="77777777" w:rsidR="00465215" w:rsidRPr="005E6D70" w:rsidRDefault="00465215" w:rsidP="009170D4">
            <w:pPr>
              <w:jc w:val="center"/>
              <w:rPr>
                <w:rFonts w:ascii="Times New Roman" w:eastAsia="Arial" w:hAnsi="Times New Roman" w:cs="Times New Roman"/>
                <w:sz w:val="18"/>
                <w:szCs w:val="18"/>
              </w:rPr>
            </w:pPr>
          </w:p>
          <w:p w14:paraId="7C49109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46(11)</w:t>
            </w:r>
          </w:p>
        </w:tc>
        <w:tc>
          <w:tcPr>
            <w:tcW w:w="4680" w:type="dxa"/>
            <w:gridSpan w:val="2"/>
          </w:tcPr>
          <w:p w14:paraId="1A0DCC25"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10. The election under paragraph 1, of this Article, shall be made in accordance with paragraph 1, of Article 55, of this Law. </w:t>
            </w:r>
          </w:p>
          <w:p w14:paraId="1E5D5AEB" w14:textId="77777777" w:rsidR="00465215" w:rsidRPr="005E6D70" w:rsidRDefault="00465215" w:rsidP="009170D4">
            <w:pPr>
              <w:jc w:val="both"/>
              <w:rPr>
                <w:rFonts w:ascii="Times New Roman" w:eastAsia="Arial" w:hAnsi="Times New Roman" w:cs="Times New Roman"/>
                <w:sz w:val="18"/>
                <w:szCs w:val="18"/>
              </w:rPr>
            </w:pPr>
          </w:p>
          <w:p w14:paraId="7E75BB0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11. If the election is revoked, the share of the constituent entity-owner in the undistributed net qualifying income of the investment entity for the tested year at the end of the fiscal year preceding the fiscal year the revocation is made shall be treated as qualifying income of the investment entity for the fiscal year. The amount equal to such qualifying income multiplied by the minimum tax rate shall be treated as top-up tax of a low-taxed constituent entity for the fiscal year for the purposes of Chapter II, of this Law.</w:t>
            </w:r>
          </w:p>
        </w:tc>
        <w:tc>
          <w:tcPr>
            <w:tcW w:w="1800" w:type="dxa"/>
            <w:gridSpan w:val="2"/>
          </w:tcPr>
          <w:p w14:paraId="05956E6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50B89A44"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Structural separation. The EU paragraph is separated into two numbered paragraphs (10 and 11) in the domestic law.</w:t>
            </w:r>
          </w:p>
        </w:tc>
      </w:tr>
      <w:tr w:rsidR="00465215" w:rsidRPr="005E6D70" w14:paraId="4BF9528A" w14:textId="77777777" w:rsidTr="009170D4">
        <w:trPr>
          <w:trHeight w:val="152"/>
        </w:trPr>
        <w:tc>
          <w:tcPr>
            <w:tcW w:w="810" w:type="dxa"/>
            <w:shd w:val="clear" w:color="auto" w:fill="92D050"/>
          </w:tcPr>
          <w:p w14:paraId="6D8E1E74"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92D050"/>
          </w:tcPr>
          <w:p w14:paraId="0033296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CHAPTER VIII </w:t>
            </w:r>
          </w:p>
          <w:p w14:paraId="45C7FF3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ADMINISTRATIVE PROVISIONS</w:t>
            </w:r>
          </w:p>
        </w:tc>
        <w:tc>
          <w:tcPr>
            <w:tcW w:w="990" w:type="dxa"/>
            <w:gridSpan w:val="2"/>
            <w:shd w:val="clear" w:color="auto" w:fill="92D050"/>
          </w:tcPr>
          <w:p w14:paraId="24963CD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92D050"/>
          </w:tcPr>
          <w:p w14:paraId="32A9E3BF" w14:textId="77777777" w:rsidR="00465215" w:rsidRPr="005E6D70" w:rsidRDefault="00465215" w:rsidP="009170D4">
            <w:pPr>
              <w:jc w:val="center"/>
              <w:rPr>
                <w:rFonts w:ascii="Times New Roman" w:eastAsia="Calibri" w:hAnsi="Times New Roman" w:cs="Times New Roman"/>
                <w:sz w:val="18"/>
                <w:szCs w:val="18"/>
                <w:lang w:val="en-US"/>
              </w:rPr>
            </w:pPr>
          </w:p>
        </w:tc>
        <w:tc>
          <w:tcPr>
            <w:tcW w:w="4680" w:type="dxa"/>
            <w:gridSpan w:val="2"/>
            <w:shd w:val="clear" w:color="auto" w:fill="92D050"/>
          </w:tcPr>
          <w:p w14:paraId="3A92DAB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CHAPTER IX. ADMINISTRATIVE PROVISIONS</w:t>
            </w:r>
          </w:p>
        </w:tc>
        <w:tc>
          <w:tcPr>
            <w:tcW w:w="1800" w:type="dxa"/>
            <w:gridSpan w:val="2"/>
            <w:shd w:val="clear" w:color="auto" w:fill="92D050"/>
          </w:tcPr>
          <w:p w14:paraId="2EDDB7D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92D050"/>
          </w:tcPr>
          <w:p w14:paraId="0AE345CC"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Structural alignment. The domestic draft law numbers this chapter as IX due to the insertion of the domestic QDMTT provisions in Chapter VIII.</w:t>
            </w:r>
          </w:p>
        </w:tc>
      </w:tr>
      <w:tr w:rsidR="00465215" w:rsidRPr="005E6D70" w14:paraId="37792F8D" w14:textId="77777777" w:rsidTr="009170D4">
        <w:trPr>
          <w:trHeight w:val="152"/>
        </w:trPr>
        <w:tc>
          <w:tcPr>
            <w:tcW w:w="810" w:type="dxa"/>
            <w:shd w:val="clear" w:color="auto" w:fill="D9D9D9" w:themeFill="background1" w:themeFillShade="D9"/>
          </w:tcPr>
          <w:p w14:paraId="36E05126"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5695F08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44. Filing obligations</w:t>
            </w:r>
          </w:p>
        </w:tc>
        <w:tc>
          <w:tcPr>
            <w:tcW w:w="990" w:type="dxa"/>
            <w:gridSpan w:val="2"/>
            <w:shd w:val="clear" w:color="auto" w:fill="D9D9D9" w:themeFill="background1" w:themeFillShade="D9"/>
          </w:tcPr>
          <w:p w14:paraId="513A319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408CEB3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54</w:t>
            </w:r>
          </w:p>
        </w:tc>
        <w:tc>
          <w:tcPr>
            <w:tcW w:w="4680" w:type="dxa"/>
            <w:gridSpan w:val="2"/>
            <w:shd w:val="clear" w:color="auto" w:fill="D9D9D9" w:themeFill="background1" w:themeFillShade="D9"/>
          </w:tcPr>
          <w:p w14:paraId="792928E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Article 54. Filing of the top-up tax information return</w:t>
            </w:r>
          </w:p>
        </w:tc>
        <w:tc>
          <w:tcPr>
            <w:tcW w:w="1800" w:type="dxa"/>
            <w:gridSpan w:val="2"/>
            <w:shd w:val="clear" w:color="auto" w:fill="D9D9D9" w:themeFill="background1" w:themeFillShade="D9"/>
          </w:tcPr>
          <w:p w14:paraId="3B13D48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02CE17F1"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Transposition of EU Directive Article 44 into Article 54 of the domestic draft law.</w:t>
            </w:r>
          </w:p>
        </w:tc>
      </w:tr>
      <w:tr w:rsidR="00465215" w:rsidRPr="005E6D70" w14:paraId="48C4FCBE" w14:textId="77777777" w:rsidTr="009170D4">
        <w:trPr>
          <w:trHeight w:val="152"/>
        </w:trPr>
        <w:tc>
          <w:tcPr>
            <w:tcW w:w="810" w:type="dxa"/>
          </w:tcPr>
          <w:p w14:paraId="3F21F42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44(1)</w:t>
            </w:r>
          </w:p>
        </w:tc>
        <w:tc>
          <w:tcPr>
            <w:tcW w:w="5040" w:type="dxa"/>
            <w:gridSpan w:val="2"/>
          </w:tcPr>
          <w:p w14:paraId="149FD13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For the purposes of this Article, the following definitions apply:</w:t>
            </w:r>
          </w:p>
        </w:tc>
        <w:tc>
          <w:tcPr>
            <w:tcW w:w="990" w:type="dxa"/>
            <w:gridSpan w:val="2"/>
          </w:tcPr>
          <w:p w14:paraId="522AC19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4D50983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4(42) and 4(43)</w:t>
            </w:r>
          </w:p>
        </w:tc>
        <w:tc>
          <w:tcPr>
            <w:tcW w:w="4680" w:type="dxa"/>
            <w:gridSpan w:val="2"/>
          </w:tcPr>
          <w:p w14:paraId="27EB5257"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[Definitions codified in Article 4 of the domestic draft law.]</w:t>
            </w:r>
          </w:p>
        </w:tc>
        <w:tc>
          <w:tcPr>
            <w:tcW w:w="1800" w:type="dxa"/>
            <w:gridSpan w:val="2"/>
          </w:tcPr>
          <w:p w14:paraId="09C2927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0879EEA6"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Structural displacement. The definitions are centralized in the general definitions article (Article 4) of the domestic law.</w:t>
            </w:r>
          </w:p>
        </w:tc>
      </w:tr>
      <w:tr w:rsidR="00465215" w:rsidRPr="005E6D70" w14:paraId="019A7A63" w14:textId="77777777" w:rsidTr="009170D4">
        <w:trPr>
          <w:trHeight w:val="152"/>
        </w:trPr>
        <w:tc>
          <w:tcPr>
            <w:tcW w:w="810" w:type="dxa"/>
          </w:tcPr>
          <w:p w14:paraId="4820E5D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44(1a)</w:t>
            </w:r>
          </w:p>
        </w:tc>
        <w:tc>
          <w:tcPr>
            <w:tcW w:w="5040" w:type="dxa"/>
            <w:gridSpan w:val="2"/>
          </w:tcPr>
          <w:p w14:paraId="311DE9EE"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‘designated local entity’ means the constituent entity of an MNE group or of a large-scale domestic group that is located in a Member State and has been appointed by the other constituent entities of the MNE group or large-scale domestic group located in the same Member State to file the top-up tax information return or submit the notifications in accordance with this Article on their behalf;</w:t>
            </w:r>
          </w:p>
        </w:tc>
        <w:tc>
          <w:tcPr>
            <w:tcW w:w="990" w:type="dxa"/>
            <w:gridSpan w:val="2"/>
          </w:tcPr>
          <w:p w14:paraId="63A4293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2BCE60C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4(42)</w:t>
            </w:r>
          </w:p>
        </w:tc>
        <w:tc>
          <w:tcPr>
            <w:tcW w:w="4680" w:type="dxa"/>
            <w:gridSpan w:val="2"/>
          </w:tcPr>
          <w:p w14:paraId="27636971"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42. “Designated local entity” means the constituent entity of a multinational enterprise group or a large-scale domestic group that is located in the Republic of Albania and that has been appointed by the other constituent entities of the multinational enterprise group or large-scale domestic group located in the Republic of Albania to file the top-up tax information return or to submit the notifications in accordance with Article 54, of this Law, on their behalf.</w:t>
            </w:r>
          </w:p>
        </w:tc>
        <w:tc>
          <w:tcPr>
            <w:tcW w:w="1800" w:type="dxa"/>
            <w:gridSpan w:val="2"/>
          </w:tcPr>
          <w:p w14:paraId="2BD0E1E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07772A32"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Transposed within Article 4.</w:t>
            </w:r>
          </w:p>
        </w:tc>
      </w:tr>
      <w:tr w:rsidR="00465215" w:rsidRPr="005E6D70" w14:paraId="486D5AD3" w14:textId="77777777" w:rsidTr="009170D4">
        <w:trPr>
          <w:trHeight w:val="152"/>
        </w:trPr>
        <w:tc>
          <w:tcPr>
            <w:tcW w:w="810" w:type="dxa"/>
          </w:tcPr>
          <w:p w14:paraId="1E55E09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44(1b)</w:t>
            </w:r>
          </w:p>
        </w:tc>
        <w:tc>
          <w:tcPr>
            <w:tcW w:w="5040" w:type="dxa"/>
            <w:gridSpan w:val="2"/>
          </w:tcPr>
          <w:p w14:paraId="5F96A6C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‘qualifying competent authority agreement’ means a bilateral or multilateral agreement or arrangement between two or more competent authorities that provides for the automatic exchange of annual top-up tax information returns.</w:t>
            </w:r>
          </w:p>
        </w:tc>
        <w:tc>
          <w:tcPr>
            <w:tcW w:w="990" w:type="dxa"/>
            <w:gridSpan w:val="2"/>
          </w:tcPr>
          <w:p w14:paraId="3189DB8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10B8A6E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4(43)</w:t>
            </w:r>
          </w:p>
        </w:tc>
        <w:tc>
          <w:tcPr>
            <w:tcW w:w="4680" w:type="dxa"/>
            <w:gridSpan w:val="2"/>
          </w:tcPr>
          <w:p w14:paraId="16E807B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43. “Qualifying competent authority agreement” means a bilateral or multilateral agreement or arrangement between two or more competent authorities that provides for the automatic exchange of annual top-up tax information returns.</w:t>
            </w:r>
          </w:p>
        </w:tc>
        <w:tc>
          <w:tcPr>
            <w:tcW w:w="1800" w:type="dxa"/>
            <w:gridSpan w:val="2"/>
          </w:tcPr>
          <w:p w14:paraId="5E7C035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56990BFA"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Transposed within Article 4.</w:t>
            </w:r>
          </w:p>
        </w:tc>
      </w:tr>
      <w:tr w:rsidR="00465215" w:rsidRPr="005E6D70" w14:paraId="0CD33597" w14:textId="77777777" w:rsidTr="009170D4">
        <w:trPr>
          <w:trHeight w:val="152"/>
        </w:trPr>
        <w:tc>
          <w:tcPr>
            <w:tcW w:w="810" w:type="dxa"/>
          </w:tcPr>
          <w:p w14:paraId="264224C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44(2)</w:t>
            </w:r>
          </w:p>
        </w:tc>
        <w:tc>
          <w:tcPr>
            <w:tcW w:w="5040" w:type="dxa"/>
            <w:gridSpan w:val="2"/>
          </w:tcPr>
          <w:p w14:paraId="528A7F4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 A constituent entity located in a Member State shall file a top-up tax information return with its tax administration in accordance with paragraph 5. Such return may be filed by a designated local entity on behalf of the constituent entity.</w:t>
            </w:r>
          </w:p>
        </w:tc>
        <w:tc>
          <w:tcPr>
            <w:tcW w:w="990" w:type="dxa"/>
            <w:gridSpan w:val="2"/>
          </w:tcPr>
          <w:p w14:paraId="2641801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39DCB0A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54(1)</w:t>
            </w:r>
          </w:p>
        </w:tc>
        <w:tc>
          <w:tcPr>
            <w:tcW w:w="4680" w:type="dxa"/>
            <w:gridSpan w:val="2"/>
          </w:tcPr>
          <w:p w14:paraId="6271C18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1. A constituent entity located in the Republic of Albania shall file a top-up tax information return with the tax administration in accordance with this Article. Such return may be filed by a designated local entity on behalf of the constituent entity.</w:t>
            </w:r>
          </w:p>
        </w:tc>
        <w:tc>
          <w:tcPr>
            <w:tcW w:w="1800" w:type="dxa"/>
            <w:gridSpan w:val="2"/>
          </w:tcPr>
          <w:p w14:paraId="4119F6C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1C1C82D0"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390FE286" w14:textId="77777777" w:rsidTr="009170D4">
        <w:trPr>
          <w:trHeight w:val="152"/>
        </w:trPr>
        <w:tc>
          <w:tcPr>
            <w:tcW w:w="810" w:type="dxa"/>
          </w:tcPr>
          <w:p w14:paraId="1DBB950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44(3)</w:t>
            </w:r>
          </w:p>
        </w:tc>
        <w:tc>
          <w:tcPr>
            <w:tcW w:w="5040" w:type="dxa"/>
            <w:gridSpan w:val="2"/>
          </w:tcPr>
          <w:p w14:paraId="40513011"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3. By way of derogation from paragraph 2, a constituent entity shall not have the obligation to file a top-up tax information return with its tax administration if such return has been filed, in accordance with the requirements set out in paragraph 5, by: (a) the ultimate parent entity located in a jurisdiction that has, for the reporting fiscal year, a qualifying competent authority agreement in effect with the Member State in which the constituent entity is located; or (b) the designated filing entity located in a jurisdiction that has, for the reporting fiscal year, a qualifying competent authority </w:t>
            </w:r>
            <w:r w:rsidRPr="005E6D70">
              <w:rPr>
                <w:rFonts w:ascii="Times New Roman" w:eastAsia="Calibri" w:hAnsi="Times New Roman" w:cs="Times New Roman"/>
                <w:iCs/>
                <w:sz w:val="18"/>
                <w:szCs w:val="18"/>
                <w:lang w:val="en-US"/>
              </w:rPr>
              <w:lastRenderedPageBreak/>
              <w:t>agreement in effect with the Member State in which the constituent entity is located.</w:t>
            </w:r>
          </w:p>
        </w:tc>
        <w:tc>
          <w:tcPr>
            <w:tcW w:w="990" w:type="dxa"/>
            <w:gridSpan w:val="2"/>
          </w:tcPr>
          <w:p w14:paraId="05ADE60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7B5F4D7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54(2)</w:t>
            </w:r>
          </w:p>
        </w:tc>
        <w:tc>
          <w:tcPr>
            <w:tcW w:w="4680" w:type="dxa"/>
            <w:gridSpan w:val="2"/>
          </w:tcPr>
          <w:p w14:paraId="122B0E9F"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2. By way of derogation from paragraph 1, of this Article, a constituent entity shall not be required to file a top-up tax information return if such return has been filed by: </w:t>
            </w:r>
          </w:p>
          <w:p w14:paraId="18DC9526" w14:textId="77777777" w:rsidR="00465215" w:rsidRPr="005E6D70" w:rsidRDefault="00465215" w:rsidP="009170D4">
            <w:pPr>
              <w:jc w:val="both"/>
              <w:rPr>
                <w:rFonts w:ascii="Times New Roman" w:eastAsia="Arial" w:hAnsi="Times New Roman" w:cs="Times New Roman"/>
                <w:sz w:val="18"/>
                <w:szCs w:val="18"/>
              </w:rPr>
            </w:pPr>
          </w:p>
          <w:p w14:paraId="61528CCC"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a) the ultimate parent entity located in a jurisdiction that has, for the reporting fiscal year, a qualifying competent authority agreement in effect with the Republic of Albania; or </w:t>
            </w:r>
          </w:p>
          <w:p w14:paraId="36F05E94" w14:textId="77777777" w:rsidR="00465215" w:rsidRPr="005E6D70" w:rsidRDefault="00465215" w:rsidP="009170D4">
            <w:pPr>
              <w:jc w:val="both"/>
              <w:rPr>
                <w:rFonts w:ascii="Times New Roman" w:eastAsia="Arial" w:hAnsi="Times New Roman" w:cs="Times New Roman"/>
                <w:sz w:val="18"/>
                <w:szCs w:val="18"/>
              </w:rPr>
            </w:pPr>
          </w:p>
          <w:p w14:paraId="3E691FE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lastRenderedPageBreak/>
              <w:t>b) the designated filing entity located in a jurisdiction that has, for the reporting fiscal year, a qualifying competent authority agreement in effect with the Republic of Albania.</w:t>
            </w:r>
          </w:p>
        </w:tc>
        <w:tc>
          <w:tcPr>
            <w:tcW w:w="1800" w:type="dxa"/>
            <w:gridSpan w:val="2"/>
          </w:tcPr>
          <w:p w14:paraId="61F95CA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36641895"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662859A2" w14:textId="77777777" w:rsidTr="009170D4">
        <w:trPr>
          <w:trHeight w:val="152"/>
        </w:trPr>
        <w:tc>
          <w:tcPr>
            <w:tcW w:w="810" w:type="dxa"/>
          </w:tcPr>
          <w:p w14:paraId="3171F2B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44(4)</w:t>
            </w:r>
          </w:p>
        </w:tc>
        <w:tc>
          <w:tcPr>
            <w:tcW w:w="5040" w:type="dxa"/>
            <w:gridSpan w:val="2"/>
          </w:tcPr>
          <w:p w14:paraId="7B792D9E"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4. Where paragraph 3 applies, the constituent entity located in a Member State, or the designated local entity on its behalf, shall notify its tax administration of the identity of the entity that is filing the top-up tax information return as well as the jurisdiction in which it is located.</w:t>
            </w:r>
          </w:p>
        </w:tc>
        <w:tc>
          <w:tcPr>
            <w:tcW w:w="990" w:type="dxa"/>
            <w:gridSpan w:val="2"/>
          </w:tcPr>
          <w:p w14:paraId="72D8101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65EF235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54(3)</w:t>
            </w:r>
          </w:p>
        </w:tc>
        <w:tc>
          <w:tcPr>
            <w:tcW w:w="4680" w:type="dxa"/>
            <w:gridSpan w:val="2"/>
          </w:tcPr>
          <w:p w14:paraId="222BB5B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 Where paragraph 2, of this Article, applies, the constituent entity located in the Republic of Albania, or the designated local entity acting on its behalf, shall notify the tax administration of the identity of the entity that is filing the top-up tax information return and the jurisdiction in which it is located.</w:t>
            </w:r>
          </w:p>
        </w:tc>
        <w:tc>
          <w:tcPr>
            <w:tcW w:w="1800" w:type="dxa"/>
            <w:gridSpan w:val="2"/>
          </w:tcPr>
          <w:p w14:paraId="01E72A0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1C438A96"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50B27AB4" w14:textId="77777777" w:rsidTr="009170D4">
        <w:trPr>
          <w:trHeight w:val="152"/>
        </w:trPr>
        <w:tc>
          <w:tcPr>
            <w:tcW w:w="810" w:type="dxa"/>
          </w:tcPr>
          <w:p w14:paraId="3503951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44(5)</w:t>
            </w:r>
          </w:p>
        </w:tc>
        <w:tc>
          <w:tcPr>
            <w:tcW w:w="5040" w:type="dxa"/>
            <w:gridSpan w:val="2"/>
          </w:tcPr>
          <w:p w14:paraId="657B42C8"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5. The top-up tax information return shall be filed in a standard template and include the following information with respect to the MNE group or large-scale domestic group:</w:t>
            </w:r>
          </w:p>
        </w:tc>
        <w:tc>
          <w:tcPr>
            <w:tcW w:w="990" w:type="dxa"/>
            <w:gridSpan w:val="2"/>
          </w:tcPr>
          <w:p w14:paraId="44BDF20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45FB150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54(4)</w:t>
            </w:r>
          </w:p>
        </w:tc>
        <w:tc>
          <w:tcPr>
            <w:tcW w:w="4680" w:type="dxa"/>
            <w:gridSpan w:val="2"/>
          </w:tcPr>
          <w:p w14:paraId="4C621AC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4. The top-up tax information return shall be filed in the standard template prescribed by the minister responsible for finance and shall include the following information:</w:t>
            </w:r>
          </w:p>
        </w:tc>
        <w:tc>
          <w:tcPr>
            <w:tcW w:w="1800" w:type="dxa"/>
            <w:gridSpan w:val="2"/>
          </w:tcPr>
          <w:p w14:paraId="6AAB67A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4CB4D73F"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with local administrative adaptation.</w:t>
            </w:r>
          </w:p>
        </w:tc>
      </w:tr>
      <w:tr w:rsidR="00465215" w:rsidRPr="005E6D70" w14:paraId="40A355FF" w14:textId="77777777" w:rsidTr="009170D4">
        <w:trPr>
          <w:trHeight w:val="152"/>
        </w:trPr>
        <w:tc>
          <w:tcPr>
            <w:tcW w:w="810" w:type="dxa"/>
          </w:tcPr>
          <w:p w14:paraId="6A1A3E0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44(5a)</w:t>
            </w:r>
          </w:p>
        </w:tc>
        <w:tc>
          <w:tcPr>
            <w:tcW w:w="5040" w:type="dxa"/>
            <w:gridSpan w:val="2"/>
          </w:tcPr>
          <w:p w14:paraId="0BCA8F4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(a) identification of the constituent entities, including their tax identification numbers, if any, the jurisdiction in which they are located and their status under the rules of this Directive;</w:t>
            </w:r>
          </w:p>
        </w:tc>
        <w:tc>
          <w:tcPr>
            <w:tcW w:w="990" w:type="dxa"/>
            <w:gridSpan w:val="2"/>
          </w:tcPr>
          <w:p w14:paraId="74E8410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0D12C0D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54(4)(a)</w:t>
            </w:r>
          </w:p>
        </w:tc>
        <w:tc>
          <w:tcPr>
            <w:tcW w:w="4680" w:type="dxa"/>
            <w:gridSpan w:val="2"/>
          </w:tcPr>
          <w:p w14:paraId="237DE81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a) identification of the constituent entities, including their tax identification numbers (NUIS), if any, the jurisdiction in which they are located and their status under the rules of this Law;</w:t>
            </w:r>
          </w:p>
        </w:tc>
        <w:tc>
          <w:tcPr>
            <w:tcW w:w="1800" w:type="dxa"/>
            <w:gridSpan w:val="2"/>
          </w:tcPr>
          <w:p w14:paraId="303D228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34627806"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09FA1B1B" w14:textId="77777777" w:rsidTr="009170D4">
        <w:trPr>
          <w:trHeight w:val="152"/>
        </w:trPr>
        <w:tc>
          <w:tcPr>
            <w:tcW w:w="810" w:type="dxa"/>
          </w:tcPr>
          <w:p w14:paraId="5526ECF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44(5b)</w:t>
            </w:r>
          </w:p>
        </w:tc>
        <w:tc>
          <w:tcPr>
            <w:tcW w:w="5040" w:type="dxa"/>
            <w:gridSpan w:val="2"/>
          </w:tcPr>
          <w:p w14:paraId="515E2EC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(b) information on the overall corporate structure of the MNE group or large-scale domestic group, including the controlling interests in the constituent entities held by other constituent entities;</w:t>
            </w:r>
          </w:p>
        </w:tc>
        <w:tc>
          <w:tcPr>
            <w:tcW w:w="990" w:type="dxa"/>
            <w:gridSpan w:val="2"/>
          </w:tcPr>
          <w:p w14:paraId="2534663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664276D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54(4)(b)</w:t>
            </w:r>
          </w:p>
        </w:tc>
        <w:tc>
          <w:tcPr>
            <w:tcW w:w="4680" w:type="dxa"/>
            <w:gridSpan w:val="2"/>
          </w:tcPr>
          <w:p w14:paraId="1ED50F2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b) information on the overall corporate structure of the multinational enterprise group or large-scale domestic group, including the controlling interests in the constituent entities held by other constituent entities;</w:t>
            </w:r>
          </w:p>
        </w:tc>
        <w:tc>
          <w:tcPr>
            <w:tcW w:w="1800" w:type="dxa"/>
            <w:gridSpan w:val="2"/>
          </w:tcPr>
          <w:p w14:paraId="6EB36C9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7458B3E4"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77CD150F" w14:textId="77777777" w:rsidTr="009170D4">
        <w:trPr>
          <w:trHeight w:val="152"/>
        </w:trPr>
        <w:tc>
          <w:tcPr>
            <w:tcW w:w="810" w:type="dxa"/>
          </w:tcPr>
          <w:p w14:paraId="5AEE963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44(5c)</w:t>
            </w:r>
          </w:p>
        </w:tc>
        <w:tc>
          <w:tcPr>
            <w:tcW w:w="5040" w:type="dxa"/>
            <w:gridSpan w:val="2"/>
          </w:tcPr>
          <w:p w14:paraId="0E060A7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(c) the information that is necessary in order to compute:</w:t>
            </w:r>
          </w:p>
          <w:p w14:paraId="18CD019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0BC3408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(i) the effective tax rate for each jurisdiction and the top-up tax of each constituent entity; </w:t>
            </w:r>
          </w:p>
          <w:p w14:paraId="5C8F0468" w14:textId="77777777" w:rsidR="00465215" w:rsidRPr="005E6D70" w:rsidRDefault="00465215" w:rsidP="009170D4">
            <w:pPr>
              <w:jc w:val="both"/>
              <w:rPr>
                <w:rFonts w:ascii="Times New Roman" w:eastAsia="Calibri" w:hAnsi="Times New Roman" w:cs="Times New Roman"/>
                <w:iCs/>
                <w:sz w:val="18"/>
                <w:szCs w:val="18"/>
                <w:lang w:val="en-US"/>
              </w:rPr>
            </w:pPr>
          </w:p>
          <w:p w14:paraId="75A8FEA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the top-up tax of a member of a joint venture group;</w:t>
            </w:r>
          </w:p>
          <w:p w14:paraId="6F3ECDB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5767FA51"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(iii) the allocation of top-up tax under the IIR and the UTPR top-up tax amount to each jurisdiction; and </w:t>
            </w:r>
          </w:p>
        </w:tc>
        <w:tc>
          <w:tcPr>
            <w:tcW w:w="990" w:type="dxa"/>
            <w:gridSpan w:val="2"/>
          </w:tcPr>
          <w:p w14:paraId="4AFADED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15441A7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54(4)(c)</w:t>
            </w:r>
          </w:p>
        </w:tc>
        <w:tc>
          <w:tcPr>
            <w:tcW w:w="4680" w:type="dxa"/>
            <w:gridSpan w:val="2"/>
          </w:tcPr>
          <w:p w14:paraId="70B88685"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c) the information that is necessary in order to compute: </w:t>
            </w:r>
          </w:p>
          <w:p w14:paraId="720D921A" w14:textId="77777777" w:rsidR="00465215" w:rsidRPr="005E6D70" w:rsidRDefault="00465215" w:rsidP="009170D4">
            <w:pPr>
              <w:jc w:val="both"/>
              <w:rPr>
                <w:rFonts w:ascii="Times New Roman" w:eastAsia="Arial" w:hAnsi="Times New Roman" w:cs="Times New Roman"/>
                <w:sz w:val="18"/>
                <w:szCs w:val="18"/>
              </w:rPr>
            </w:pPr>
          </w:p>
          <w:p w14:paraId="0DAADDF8"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 the effective tax rate for each jurisdiction and the top-up tax of each constituent entity; </w:t>
            </w:r>
          </w:p>
          <w:p w14:paraId="6F122392" w14:textId="77777777" w:rsidR="00465215" w:rsidRPr="005E6D70" w:rsidRDefault="00465215" w:rsidP="009170D4">
            <w:pPr>
              <w:jc w:val="both"/>
              <w:rPr>
                <w:rFonts w:ascii="Times New Roman" w:eastAsia="Arial" w:hAnsi="Times New Roman" w:cs="Times New Roman"/>
                <w:sz w:val="18"/>
                <w:szCs w:val="18"/>
              </w:rPr>
            </w:pPr>
          </w:p>
          <w:p w14:paraId="25EB85E3"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(ii) the top-up tax of a member of a joint venture group; and </w:t>
            </w:r>
          </w:p>
          <w:p w14:paraId="577C1407" w14:textId="77777777" w:rsidR="00465215" w:rsidRPr="005E6D70" w:rsidRDefault="00465215" w:rsidP="009170D4">
            <w:pPr>
              <w:jc w:val="both"/>
              <w:rPr>
                <w:rFonts w:ascii="Times New Roman" w:eastAsia="Arial" w:hAnsi="Times New Roman" w:cs="Times New Roman"/>
                <w:sz w:val="18"/>
                <w:szCs w:val="18"/>
              </w:rPr>
            </w:pPr>
          </w:p>
          <w:p w14:paraId="4E19441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(iii) the allocation of top-up tax under the Income Inclusion Rule (IIR) and the Undertaxed Profit Rule (UTPR) top-up tax amount to each jurisdiction; and</w:t>
            </w:r>
          </w:p>
        </w:tc>
        <w:tc>
          <w:tcPr>
            <w:tcW w:w="1800" w:type="dxa"/>
            <w:gridSpan w:val="2"/>
          </w:tcPr>
          <w:p w14:paraId="3A55B6E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05570E52"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7BC84DA5" w14:textId="77777777" w:rsidTr="009170D4">
        <w:trPr>
          <w:trHeight w:val="152"/>
        </w:trPr>
        <w:tc>
          <w:tcPr>
            <w:tcW w:w="810" w:type="dxa"/>
          </w:tcPr>
          <w:p w14:paraId="11ADE64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44(5d)</w:t>
            </w:r>
          </w:p>
        </w:tc>
        <w:tc>
          <w:tcPr>
            <w:tcW w:w="5040" w:type="dxa"/>
            <w:gridSpan w:val="2"/>
          </w:tcPr>
          <w:p w14:paraId="5767CEC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(d) a record of the elections made in accordance with this Directive.</w:t>
            </w:r>
          </w:p>
        </w:tc>
        <w:tc>
          <w:tcPr>
            <w:tcW w:w="990" w:type="dxa"/>
            <w:gridSpan w:val="2"/>
          </w:tcPr>
          <w:p w14:paraId="4475008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57A269D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54(4)(d)</w:t>
            </w:r>
          </w:p>
        </w:tc>
        <w:tc>
          <w:tcPr>
            <w:tcW w:w="4680" w:type="dxa"/>
            <w:gridSpan w:val="2"/>
          </w:tcPr>
          <w:p w14:paraId="0CC3A11F"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 a record of the elections made in accordance with the relevant provisions of this Law.</w:t>
            </w:r>
          </w:p>
        </w:tc>
        <w:tc>
          <w:tcPr>
            <w:tcW w:w="1800" w:type="dxa"/>
            <w:gridSpan w:val="2"/>
          </w:tcPr>
          <w:p w14:paraId="4808DC5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16F979F4"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4806D4C4" w14:textId="77777777" w:rsidTr="009170D4">
        <w:trPr>
          <w:trHeight w:val="152"/>
        </w:trPr>
        <w:tc>
          <w:tcPr>
            <w:tcW w:w="810" w:type="dxa"/>
          </w:tcPr>
          <w:p w14:paraId="4E57A22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44(6)</w:t>
            </w:r>
          </w:p>
        </w:tc>
        <w:tc>
          <w:tcPr>
            <w:tcW w:w="5040" w:type="dxa"/>
            <w:gridSpan w:val="2"/>
          </w:tcPr>
          <w:p w14:paraId="12F3E17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6. By way of derogation from paragraph 5, where a constituent entity is located in a Member State with an ultimate parent entity located in a third-country jurisdiction that applies rules which have been assessed as equivalent to the rules of this Directive pursuant to Article 52, the constituent entity or the designated local entity </w:t>
            </w:r>
            <w:r w:rsidRPr="005E6D70">
              <w:rPr>
                <w:rFonts w:ascii="Times New Roman" w:eastAsia="Calibri" w:hAnsi="Times New Roman" w:cs="Times New Roman"/>
                <w:iCs/>
                <w:sz w:val="18"/>
                <w:szCs w:val="18"/>
                <w:lang w:val="en-US"/>
              </w:rPr>
              <w:lastRenderedPageBreak/>
              <w:t>shall file a top-up tax information return containing the following information:</w:t>
            </w:r>
          </w:p>
        </w:tc>
        <w:tc>
          <w:tcPr>
            <w:tcW w:w="990" w:type="dxa"/>
            <w:gridSpan w:val="2"/>
          </w:tcPr>
          <w:p w14:paraId="311DA0B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58AC854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54(7)</w:t>
            </w:r>
          </w:p>
        </w:tc>
        <w:tc>
          <w:tcPr>
            <w:tcW w:w="4680" w:type="dxa"/>
            <w:gridSpan w:val="2"/>
          </w:tcPr>
          <w:p w14:paraId="6D827A2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7. By way of derogation from paragraph 4, where a constituent entity is located in the Republic of Albania with an ultimate parent entity located in a third-country jurisdiction that applies rules which have been assessed as equivalent to the rules of this Law, the constituent entity or the designated local entity </w:t>
            </w:r>
            <w:r w:rsidRPr="005E6D70">
              <w:rPr>
                <w:rFonts w:ascii="Times New Roman" w:eastAsia="Arial" w:hAnsi="Times New Roman" w:cs="Times New Roman"/>
                <w:sz w:val="18"/>
                <w:szCs w:val="18"/>
              </w:rPr>
              <w:lastRenderedPageBreak/>
              <w:t>shall file a top-up tax information return containing the following information:</w:t>
            </w:r>
          </w:p>
        </w:tc>
        <w:tc>
          <w:tcPr>
            <w:tcW w:w="1800" w:type="dxa"/>
            <w:gridSpan w:val="2"/>
          </w:tcPr>
          <w:p w14:paraId="4194A67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7EC433DE" w14:textId="49271DA0" w:rsidR="00465215" w:rsidRPr="005E6D70" w:rsidRDefault="00DD0B8F"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with local drafting adaptations.</w:t>
            </w:r>
          </w:p>
        </w:tc>
      </w:tr>
      <w:tr w:rsidR="00465215" w:rsidRPr="005E6D70" w14:paraId="4F844CFD" w14:textId="77777777" w:rsidTr="009170D4">
        <w:trPr>
          <w:trHeight w:val="152"/>
        </w:trPr>
        <w:tc>
          <w:tcPr>
            <w:tcW w:w="810" w:type="dxa"/>
          </w:tcPr>
          <w:p w14:paraId="491D4CA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44(6a)</w:t>
            </w:r>
          </w:p>
        </w:tc>
        <w:tc>
          <w:tcPr>
            <w:tcW w:w="5040" w:type="dxa"/>
            <w:gridSpan w:val="2"/>
          </w:tcPr>
          <w:p w14:paraId="041185C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(a) all information that is necessary for the application of Article 8, including:</w:t>
            </w:r>
          </w:p>
          <w:p w14:paraId="2F45A2C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1D822EF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identification of all the constituent entities in which a partiallyowned parent entity located in a Member State holds, directly or indirectly, an ownership interest at any time during the fiscal year and the structure of such ownership interests;</w:t>
            </w:r>
          </w:p>
          <w:p w14:paraId="26518E6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21D1E8B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all information that is necessary to compute the effective tax rate of the jurisdictions in which a partially-owned parent entity located in a Member State holds ownership interests in constituent entities identified under point (i) and the top-up tax due; and</w:t>
            </w:r>
          </w:p>
          <w:p w14:paraId="0CDA0E7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24691451"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(iii) all information that is relevant for that purpose in accordance with Article 9, 10 or 11;</w:t>
            </w:r>
          </w:p>
        </w:tc>
        <w:tc>
          <w:tcPr>
            <w:tcW w:w="990" w:type="dxa"/>
            <w:gridSpan w:val="2"/>
          </w:tcPr>
          <w:p w14:paraId="6E3D264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3AF2CDE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54(7)(a)</w:t>
            </w:r>
          </w:p>
        </w:tc>
        <w:tc>
          <w:tcPr>
            <w:tcW w:w="4680" w:type="dxa"/>
            <w:gridSpan w:val="2"/>
          </w:tcPr>
          <w:p w14:paraId="0FD316C7"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a) all information that is necessary for the application of Article 9, including: </w:t>
            </w:r>
          </w:p>
          <w:p w14:paraId="301D98AD" w14:textId="77777777" w:rsidR="00465215" w:rsidRPr="005E6D70" w:rsidRDefault="00465215" w:rsidP="009170D4">
            <w:pPr>
              <w:jc w:val="both"/>
              <w:rPr>
                <w:rFonts w:ascii="Times New Roman" w:eastAsia="Arial" w:hAnsi="Times New Roman" w:cs="Times New Roman"/>
                <w:sz w:val="18"/>
                <w:szCs w:val="18"/>
              </w:rPr>
            </w:pPr>
          </w:p>
          <w:p w14:paraId="7A76EA27"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 identification of all the constituent entities in which a partially-owned parent entity located in the Republic of Albania holds, directly or indirectly, an ownership interest at any time during the fiscal year and the structure of such ownership interests; </w:t>
            </w:r>
          </w:p>
          <w:p w14:paraId="3F01DB0C" w14:textId="77777777" w:rsidR="00465215" w:rsidRPr="005E6D70" w:rsidRDefault="00465215" w:rsidP="009170D4">
            <w:pPr>
              <w:jc w:val="both"/>
              <w:rPr>
                <w:rFonts w:ascii="Times New Roman" w:eastAsia="Arial" w:hAnsi="Times New Roman" w:cs="Times New Roman"/>
                <w:sz w:val="18"/>
                <w:szCs w:val="18"/>
              </w:rPr>
            </w:pPr>
          </w:p>
          <w:p w14:paraId="453D1F05"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(ii) all information that is necessary to compute the effective tax rate of the jurisdictions in which a partially-owned parent entity located in the Republic of Albania holds ownership interests in constituent entities identified under point (i) and the top-up tax due; and </w:t>
            </w:r>
          </w:p>
          <w:p w14:paraId="54DBDD7B" w14:textId="77777777" w:rsidR="00465215" w:rsidRPr="005E6D70" w:rsidRDefault="00465215" w:rsidP="009170D4">
            <w:pPr>
              <w:jc w:val="both"/>
              <w:rPr>
                <w:rFonts w:ascii="Times New Roman" w:eastAsia="Arial" w:hAnsi="Times New Roman" w:cs="Times New Roman"/>
                <w:sz w:val="18"/>
                <w:szCs w:val="18"/>
              </w:rPr>
            </w:pPr>
          </w:p>
          <w:p w14:paraId="11CC894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(iii) all information that is relevant for that purpose in accordance with Article 10, Article 11, or Chapter VIII, of this Law;</w:t>
            </w:r>
          </w:p>
        </w:tc>
        <w:tc>
          <w:tcPr>
            <w:tcW w:w="1800" w:type="dxa"/>
            <w:gridSpan w:val="2"/>
          </w:tcPr>
          <w:p w14:paraId="6EBB619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259B3D1D" w14:textId="31EF7F9C" w:rsidR="00465215" w:rsidRPr="005E6D70" w:rsidRDefault="00DD0B8F"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5F24A2BD" w14:textId="77777777" w:rsidTr="009170D4">
        <w:trPr>
          <w:trHeight w:val="152"/>
        </w:trPr>
        <w:tc>
          <w:tcPr>
            <w:tcW w:w="810" w:type="dxa"/>
          </w:tcPr>
          <w:p w14:paraId="218A5C6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44(6b)</w:t>
            </w:r>
          </w:p>
        </w:tc>
        <w:tc>
          <w:tcPr>
            <w:tcW w:w="5040" w:type="dxa"/>
            <w:gridSpan w:val="2"/>
          </w:tcPr>
          <w:p w14:paraId="5406C03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all information that is necessary for the application of Article 13, including:</w:t>
            </w:r>
          </w:p>
          <w:p w14:paraId="2209DD8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6F85013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 identification of all the constituent entities located in the ultimate parent entity jurisdiction and the structure of such ownership interests;</w:t>
            </w:r>
          </w:p>
          <w:p w14:paraId="5C8CDED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234DD71E"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(ii) all information that is necessary in order to compute the effective tax rate of the ultimate parent entity’s jurisdiction and its top-up tax due; and</w:t>
            </w:r>
          </w:p>
          <w:p w14:paraId="7C425AC8" w14:textId="77777777" w:rsidR="00465215" w:rsidRPr="005E6D70" w:rsidRDefault="00465215" w:rsidP="009170D4">
            <w:pPr>
              <w:jc w:val="both"/>
              <w:rPr>
                <w:rFonts w:ascii="Times New Roman" w:eastAsia="Calibri" w:hAnsi="Times New Roman" w:cs="Times New Roman"/>
                <w:iCs/>
                <w:sz w:val="18"/>
                <w:szCs w:val="18"/>
                <w:lang w:val="en-US"/>
              </w:rPr>
            </w:pPr>
          </w:p>
          <w:p w14:paraId="18A1B66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(iii) all information necessary for the allocation of such top-up tax based on the UTPR allocation formula set out in Article 14;</w:t>
            </w:r>
          </w:p>
        </w:tc>
        <w:tc>
          <w:tcPr>
            <w:tcW w:w="990" w:type="dxa"/>
            <w:gridSpan w:val="2"/>
          </w:tcPr>
          <w:p w14:paraId="0EDF37C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246AB2A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54(7)(b)</w:t>
            </w:r>
          </w:p>
        </w:tc>
        <w:tc>
          <w:tcPr>
            <w:tcW w:w="4680" w:type="dxa"/>
            <w:gridSpan w:val="2"/>
          </w:tcPr>
          <w:p w14:paraId="2C541B04"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b) all information that is necessary for the application of Article 12, of this Law, including: </w:t>
            </w:r>
          </w:p>
          <w:p w14:paraId="319D2F56" w14:textId="77777777" w:rsidR="00465215" w:rsidRPr="005E6D70" w:rsidRDefault="00465215" w:rsidP="009170D4">
            <w:pPr>
              <w:jc w:val="both"/>
              <w:rPr>
                <w:rFonts w:ascii="Times New Roman" w:eastAsia="Arial" w:hAnsi="Times New Roman" w:cs="Times New Roman"/>
                <w:sz w:val="18"/>
                <w:szCs w:val="18"/>
              </w:rPr>
            </w:pPr>
          </w:p>
          <w:p w14:paraId="762DC9A2"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 identification of all the constituent entities located in the ultimate parent entity jurisdiction and the structure of such ownership interests; </w:t>
            </w:r>
          </w:p>
          <w:p w14:paraId="559D526C" w14:textId="77777777" w:rsidR="00465215" w:rsidRPr="005E6D70" w:rsidRDefault="00465215" w:rsidP="009170D4">
            <w:pPr>
              <w:jc w:val="both"/>
              <w:rPr>
                <w:rFonts w:ascii="Times New Roman" w:eastAsia="Arial" w:hAnsi="Times New Roman" w:cs="Times New Roman"/>
                <w:sz w:val="18"/>
                <w:szCs w:val="18"/>
              </w:rPr>
            </w:pPr>
          </w:p>
          <w:p w14:paraId="0F6FDBC5"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(ii) all information that is necessary in order to compute the effective tax rate of the ultimate parent entity’s jurisdiction and its top-up tax due; and </w:t>
            </w:r>
          </w:p>
          <w:p w14:paraId="514EC292" w14:textId="77777777" w:rsidR="00465215" w:rsidRPr="005E6D70" w:rsidRDefault="00465215" w:rsidP="009170D4">
            <w:pPr>
              <w:jc w:val="both"/>
              <w:rPr>
                <w:rFonts w:ascii="Times New Roman" w:eastAsia="Arial" w:hAnsi="Times New Roman" w:cs="Times New Roman"/>
                <w:sz w:val="18"/>
                <w:szCs w:val="18"/>
              </w:rPr>
            </w:pPr>
          </w:p>
          <w:p w14:paraId="558B491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(iii) all information necessary for the allocation of such top-up tax based on the UTPR allocation formula set out in Article 13, of this Law;</w:t>
            </w:r>
          </w:p>
        </w:tc>
        <w:tc>
          <w:tcPr>
            <w:tcW w:w="1800" w:type="dxa"/>
            <w:gridSpan w:val="2"/>
          </w:tcPr>
          <w:p w14:paraId="5B808A7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6D4DDD03" w14:textId="654109E4" w:rsidR="00465215" w:rsidRPr="005E6D70" w:rsidRDefault="00DD0B8F"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DD0B8F" w:rsidRPr="005E6D70" w14:paraId="5EBF2245" w14:textId="77777777" w:rsidTr="009170D4">
        <w:trPr>
          <w:trHeight w:val="152"/>
        </w:trPr>
        <w:tc>
          <w:tcPr>
            <w:tcW w:w="810" w:type="dxa"/>
          </w:tcPr>
          <w:p w14:paraId="1B84272C" w14:textId="77777777" w:rsidR="00DD0B8F" w:rsidRPr="005E6D70" w:rsidRDefault="00DD0B8F" w:rsidP="00DD0B8F">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44(6c)</w:t>
            </w:r>
          </w:p>
        </w:tc>
        <w:tc>
          <w:tcPr>
            <w:tcW w:w="5040" w:type="dxa"/>
            <w:gridSpan w:val="2"/>
          </w:tcPr>
          <w:p w14:paraId="37DF75C9" w14:textId="77777777" w:rsidR="00DD0B8F" w:rsidRPr="005E6D70" w:rsidRDefault="00DD0B8F" w:rsidP="00DD0B8F">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(c) all information that is necessary for the application of a qualified domestic top-up tax by any Member State that has made the election to apply such a top-up tax, in accordance with Article 11.</w:t>
            </w:r>
          </w:p>
        </w:tc>
        <w:tc>
          <w:tcPr>
            <w:tcW w:w="990" w:type="dxa"/>
            <w:gridSpan w:val="2"/>
          </w:tcPr>
          <w:p w14:paraId="12B67FB5" w14:textId="77777777" w:rsidR="00DD0B8F" w:rsidRPr="005E6D70" w:rsidRDefault="00DD0B8F" w:rsidP="00DD0B8F">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7E4DF481" w14:textId="77777777" w:rsidR="00DD0B8F" w:rsidRPr="005E6D70" w:rsidRDefault="00DD0B8F" w:rsidP="00DD0B8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54(7)(c)</w:t>
            </w:r>
          </w:p>
        </w:tc>
        <w:tc>
          <w:tcPr>
            <w:tcW w:w="4680" w:type="dxa"/>
            <w:gridSpan w:val="2"/>
          </w:tcPr>
          <w:p w14:paraId="0FA9EA15" w14:textId="77777777" w:rsidR="00DD0B8F" w:rsidRPr="005E6D70" w:rsidRDefault="00DD0B8F" w:rsidP="00DD0B8F">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c) all information that is necessary for the application of a qualified domestic top-up tax by the Republic of Albania in accordance with Chapter VIII, of this Law.</w:t>
            </w:r>
          </w:p>
        </w:tc>
        <w:tc>
          <w:tcPr>
            <w:tcW w:w="1800" w:type="dxa"/>
            <w:gridSpan w:val="2"/>
          </w:tcPr>
          <w:p w14:paraId="0485ECCB" w14:textId="77777777" w:rsidR="00DD0B8F" w:rsidRPr="005E6D70" w:rsidRDefault="00DD0B8F" w:rsidP="00DD0B8F">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20D9CDF6" w14:textId="3200E31E" w:rsidR="00DD0B8F" w:rsidRPr="005E6D70" w:rsidRDefault="00DD0B8F" w:rsidP="00DD0B8F">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w:t>
            </w:r>
          </w:p>
        </w:tc>
      </w:tr>
      <w:tr w:rsidR="00465215" w:rsidRPr="005E6D70" w14:paraId="7D70F57C" w14:textId="77777777" w:rsidTr="009170D4">
        <w:trPr>
          <w:trHeight w:val="152"/>
        </w:trPr>
        <w:tc>
          <w:tcPr>
            <w:tcW w:w="810" w:type="dxa"/>
          </w:tcPr>
          <w:p w14:paraId="65928AF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44(7)</w:t>
            </w:r>
          </w:p>
        </w:tc>
        <w:tc>
          <w:tcPr>
            <w:tcW w:w="5040" w:type="dxa"/>
            <w:gridSpan w:val="2"/>
          </w:tcPr>
          <w:p w14:paraId="41EA97D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 xml:space="preserve">7. The top-up tax information return referred to in paragraphs 5 and 6 and any relevant notifications shall be filed with the tax administration of the Member State in which the constituent entity </w:t>
            </w:r>
            <w:r w:rsidRPr="005E6D70">
              <w:rPr>
                <w:rFonts w:ascii="Times New Roman" w:eastAsia="Calibri" w:hAnsi="Times New Roman" w:cs="Times New Roman"/>
                <w:iCs/>
                <w:sz w:val="18"/>
                <w:szCs w:val="18"/>
                <w:lang w:val="en-US"/>
              </w:rPr>
              <w:lastRenderedPageBreak/>
              <w:t>is located no later than 15 months after the last day of the reporting fiscal year.</w:t>
            </w:r>
          </w:p>
        </w:tc>
        <w:tc>
          <w:tcPr>
            <w:tcW w:w="990" w:type="dxa"/>
            <w:gridSpan w:val="2"/>
          </w:tcPr>
          <w:p w14:paraId="5FCF4EE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2F138256"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54(5)</w:t>
            </w:r>
          </w:p>
          <w:p w14:paraId="1A7BE57A" w14:textId="77777777" w:rsidR="00465215" w:rsidRPr="005E6D70" w:rsidRDefault="00465215" w:rsidP="009170D4">
            <w:pPr>
              <w:jc w:val="center"/>
              <w:rPr>
                <w:rFonts w:ascii="Times New Roman" w:eastAsia="Arial" w:hAnsi="Times New Roman" w:cs="Times New Roman"/>
                <w:sz w:val="18"/>
                <w:szCs w:val="18"/>
              </w:rPr>
            </w:pPr>
          </w:p>
          <w:p w14:paraId="1E1F30B2" w14:textId="77777777" w:rsidR="00465215" w:rsidRPr="005E6D70" w:rsidRDefault="00465215" w:rsidP="009170D4">
            <w:pPr>
              <w:jc w:val="center"/>
              <w:rPr>
                <w:rFonts w:ascii="Times New Roman" w:eastAsia="Arial" w:hAnsi="Times New Roman" w:cs="Times New Roman"/>
                <w:sz w:val="18"/>
                <w:szCs w:val="18"/>
              </w:rPr>
            </w:pPr>
          </w:p>
          <w:p w14:paraId="2D9BD90F" w14:textId="77777777" w:rsidR="00465215" w:rsidRPr="005E6D70" w:rsidRDefault="00465215" w:rsidP="009170D4">
            <w:pPr>
              <w:jc w:val="center"/>
              <w:rPr>
                <w:rFonts w:ascii="Times New Roman" w:eastAsia="Arial" w:hAnsi="Times New Roman" w:cs="Times New Roman"/>
                <w:sz w:val="18"/>
                <w:szCs w:val="18"/>
              </w:rPr>
            </w:pPr>
          </w:p>
          <w:p w14:paraId="4EE2D75C" w14:textId="77777777" w:rsidR="00465215" w:rsidRPr="005E6D70" w:rsidRDefault="00465215" w:rsidP="009170D4">
            <w:pPr>
              <w:jc w:val="center"/>
              <w:rPr>
                <w:rFonts w:ascii="Times New Roman" w:eastAsia="Arial" w:hAnsi="Times New Roman" w:cs="Times New Roman"/>
                <w:sz w:val="18"/>
                <w:szCs w:val="18"/>
              </w:rPr>
            </w:pPr>
          </w:p>
          <w:p w14:paraId="6F6CC620" w14:textId="77777777" w:rsidR="00465215" w:rsidRPr="005E6D70" w:rsidRDefault="00465215" w:rsidP="009170D4">
            <w:pPr>
              <w:jc w:val="center"/>
              <w:rPr>
                <w:rFonts w:ascii="Times New Roman" w:eastAsia="Arial" w:hAnsi="Times New Roman" w:cs="Times New Roman"/>
                <w:sz w:val="18"/>
                <w:szCs w:val="18"/>
              </w:rPr>
            </w:pPr>
          </w:p>
          <w:p w14:paraId="3AF9B46F" w14:textId="77777777" w:rsidR="00465215" w:rsidRPr="005E6D70" w:rsidRDefault="00465215" w:rsidP="009170D4">
            <w:pPr>
              <w:jc w:val="center"/>
              <w:rPr>
                <w:rFonts w:ascii="Times New Roman" w:eastAsia="Arial" w:hAnsi="Times New Roman" w:cs="Times New Roman"/>
                <w:sz w:val="18"/>
                <w:szCs w:val="18"/>
              </w:rPr>
            </w:pPr>
          </w:p>
          <w:p w14:paraId="188BD51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54(6)</w:t>
            </w:r>
          </w:p>
        </w:tc>
        <w:tc>
          <w:tcPr>
            <w:tcW w:w="4680" w:type="dxa"/>
            <w:gridSpan w:val="2"/>
          </w:tcPr>
          <w:p w14:paraId="477A1012"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lastRenderedPageBreak/>
              <w:t xml:space="preserve">5. By way of derogation from the deadlines prescribed in the law governing tax procedures in the Republic of Albania, the top-up tax information return and the notification referred to in paragraph 3, of this Article, shall be filed with the tax </w:t>
            </w:r>
            <w:r w:rsidRPr="005E6D70">
              <w:rPr>
                <w:rFonts w:ascii="Times New Roman" w:eastAsia="Arial" w:hAnsi="Times New Roman" w:cs="Times New Roman"/>
                <w:sz w:val="18"/>
                <w:szCs w:val="18"/>
              </w:rPr>
              <w:lastRenderedPageBreak/>
              <w:t xml:space="preserve">administration no later than 15 months after the last day of the reporting fiscal year. </w:t>
            </w:r>
          </w:p>
          <w:p w14:paraId="30C75809" w14:textId="77777777" w:rsidR="00465215" w:rsidRPr="005E6D70" w:rsidRDefault="00465215" w:rsidP="009170D4">
            <w:pPr>
              <w:jc w:val="both"/>
              <w:rPr>
                <w:rFonts w:ascii="Times New Roman" w:eastAsia="Arial" w:hAnsi="Times New Roman" w:cs="Times New Roman"/>
                <w:sz w:val="18"/>
                <w:szCs w:val="18"/>
              </w:rPr>
            </w:pPr>
          </w:p>
          <w:p w14:paraId="6A890E6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6. Notwithstanding paragraph 5, of this Article, in respect of the transition year (the first fiscal year in which the multinational enterprise group or large-scale domestic group falls within the scope of this Law), the top-up tax information return and the notification shall be filed no later than 18 months after the last day of the reporting fiscal year.</w:t>
            </w:r>
          </w:p>
        </w:tc>
        <w:tc>
          <w:tcPr>
            <w:tcW w:w="1800" w:type="dxa"/>
            <w:gridSpan w:val="2"/>
          </w:tcPr>
          <w:p w14:paraId="26FAB46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7AE6A5BB"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Direct transposition. The extended deadline for the </w:t>
            </w:r>
            <w:r w:rsidRPr="005E6D70">
              <w:rPr>
                <w:rFonts w:ascii="Times New Roman" w:eastAsia="Arial" w:hAnsi="Times New Roman" w:cs="Times New Roman"/>
                <w:sz w:val="18"/>
                <w:szCs w:val="18"/>
              </w:rPr>
              <w:lastRenderedPageBreak/>
              <w:t>transition year (derived from EU Article 51) is codified here as paragraph 6.</w:t>
            </w:r>
          </w:p>
        </w:tc>
      </w:tr>
      <w:tr w:rsidR="00465215" w:rsidRPr="005E6D70" w14:paraId="4155A9DE" w14:textId="77777777" w:rsidTr="009170D4">
        <w:trPr>
          <w:trHeight w:val="152"/>
        </w:trPr>
        <w:tc>
          <w:tcPr>
            <w:tcW w:w="810" w:type="dxa"/>
            <w:shd w:val="clear" w:color="auto" w:fill="D9D9D9" w:themeFill="background1" w:themeFillShade="D9"/>
          </w:tcPr>
          <w:p w14:paraId="71868E4E"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520E34B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45. Elections</w:t>
            </w:r>
          </w:p>
        </w:tc>
        <w:tc>
          <w:tcPr>
            <w:tcW w:w="990" w:type="dxa"/>
            <w:gridSpan w:val="2"/>
            <w:shd w:val="clear" w:color="auto" w:fill="D9D9D9" w:themeFill="background1" w:themeFillShade="D9"/>
          </w:tcPr>
          <w:p w14:paraId="0608CCA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1AA03F1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55</w:t>
            </w:r>
          </w:p>
        </w:tc>
        <w:tc>
          <w:tcPr>
            <w:tcW w:w="4680" w:type="dxa"/>
            <w:gridSpan w:val="2"/>
            <w:shd w:val="clear" w:color="auto" w:fill="D9D9D9" w:themeFill="background1" w:themeFillShade="D9"/>
          </w:tcPr>
          <w:p w14:paraId="10A245EE"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Article 55. Elections</w:t>
            </w:r>
          </w:p>
        </w:tc>
        <w:tc>
          <w:tcPr>
            <w:tcW w:w="1800" w:type="dxa"/>
            <w:gridSpan w:val="2"/>
            <w:shd w:val="clear" w:color="auto" w:fill="D9D9D9" w:themeFill="background1" w:themeFillShade="D9"/>
          </w:tcPr>
          <w:p w14:paraId="3C6181B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03BB3E67"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Transposition of EU Directive Article 45 into Article 55 of the domestic draft law.</w:t>
            </w:r>
          </w:p>
        </w:tc>
      </w:tr>
      <w:tr w:rsidR="00465215" w:rsidRPr="005E6D70" w14:paraId="74B4ED5A" w14:textId="77777777" w:rsidTr="009170D4">
        <w:trPr>
          <w:trHeight w:val="152"/>
        </w:trPr>
        <w:tc>
          <w:tcPr>
            <w:tcW w:w="810" w:type="dxa"/>
          </w:tcPr>
          <w:p w14:paraId="0E62892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45(1)</w:t>
            </w:r>
          </w:p>
        </w:tc>
        <w:tc>
          <w:tcPr>
            <w:tcW w:w="5040" w:type="dxa"/>
            <w:gridSpan w:val="2"/>
          </w:tcPr>
          <w:p w14:paraId="75359A4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1. The elections referred to in Article 2(3), second subparagraph, Article 16(3), (6), and (9), and Articles 42 and 43 shall be valid for a period of five years, starting from the year in which the election is made. The election shall be renewed automatically unless the filing constituent entity revokes the election at the end of the five-year period. A revocation of the election shall be valid for a period of five years, starting from the end of the year in which the revocation is made.</w:t>
            </w:r>
          </w:p>
        </w:tc>
        <w:tc>
          <w:tcPr>
            <w:tcW w:w="990" w:type="dxa"/>
            <w:gridSpan w:val="2"/>
          </w:tcPr>
          <w:p w14:paraId="246B82B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4B824487"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55(1)</w:t>
            </w:r>
          </w:p>
          <w:p w14:paraId="5F8BC2A9" w14:textId="77777777" w:rsidR="00465215" w:rsidRPr="005E6D70" w:rsidRDefault="00465215" w:rsidP="009170D4">
            <w:pPr>
              <w:jc w:val="center"/>
              <w:rPr>
                <w:rFonts w:ascii="Times New Roman" w:eastAsia="Arial" w:hAnsi="Times New Roman" w:cs="Times New Roman"/>
                <w:sz w:val="18"/>
                <w:szCs w:val="18"/>
              </w:rPr>
            </w:pPr>
          </w:p>
          <w:p w14:paraId="0FB7C283" w14:textId="77777777" w:rsidR="00465215" w:rsidRPr="005E6D70" w:rsidRDefault="00465215" w:rsidP="009170D4">
            <w:pPr>
              <w:jc w:val="center"/>
              <w:rPr>
                <w:rFonts w:ascii="Times New Roman" w:eastAsia="Arial" w:hAnsi="Times New Roman" w:cs="Times New Roman"/>
                <w:sz w:val="18"/>
                <w:szCs w:val="18"/>
              </w:rPr>
            </w:pPr>
          </w:p>
          <w:p w14:paraId="17ADCB66" w14:textId="77777777" w:rsidR="00465215" w:rsidRPr="005E6D70" w:rsidRDefault="00465215" w:rsidP="009170D4">
            <w:pPr>
              <w:jc w:val="center"/>
              <w:rPr>
                <w:rFonts w:ascii="Times New Roman" w:eastAsia="Arial" w:hAnsi="Times New Roman" w:cs="Times New Roman"/>
                <w:sz w:val="18"/>
                <w:szCs w:val="18"/>
              </w:rPr>
            </w:pPr>
          </w:p>
          <w:p w14:paraId="0160B730" w14:textId="77777777" w:rsidR="00465215" w:rsidRPr="005E6D70" w:rsidRDefault="00465215" w:rsidP="009170D4">
            <w:pPr>
              <w:jc w:val="center"/>
              <w:rPr>
                <w:rFonts w:ascii="Times New Roman" w:eastAsia="Arial" w:hAnsi="Times New Roman" w:cs="Times New Roman"/>
                <w:sz w:val="18"/>
                <w:szCs w:val="18"/>
              </w:rPr>
            </w:pPr>
          </w:p>
          <w:p w14:paraId="76606993" w14:textId="77777777" w:rsidR="00465215" w:rsidRPr="005E6D70" w:rsidRDefault="00465215" w:rsidP="009170D4">
            <w:pPr>
              <w:jc w:val="center"/>
              <w:rPr>
                <w:rFonts w:ascii="Times New Roman" w:eastAsia="Arial" w:hAnsi="Times New Roman" w:cs="Times New Roman"/>
                <w:sz w:val="18"/>
                <w:szCs w:val="18"/>
              </w:rPr>
            </w:pPr>
          </w:p>
          <w:p w14:paraId="6BBF34FF" w14:textId="77777777" w:rsidR="00465215" w:rsidRPr="005E6D70" w:rsidRDefault="00465215" w:rsidP="009170D4">
            <w:pPr>
              <w:jc w:val="center"/>
              <w:rPr>
                <w:rFonts w:ascii="Times New Roman" w:eastAsia="Arial" w:hAnsi="Times New Roman" w:cs="Times New Roman"/>
                <w:sz w:val="18"/>
                <w:szCs w:val="18"/>
              </w:rPr>
            </w:pPr>
          </w:p>
          <w:p w14:paraId="2161051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55(2)</w:t>
            </w:r>
          </w:p>
        </w:tc>
        <w:tc>
          <w:tcPr>
            <w:tcW w:w="4680" w:type="dxa"/>
            <w:gridSpan w:val="2"/>
          </w:tcPr>
          <w:p w14:paraId="220DE15C"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1. The elections referred to in paragraph 4, of Article 2, paragraphs 3, 6 and 9, of Article 15, Article 45, and Article 46, of this Law, shall apply for a period of five years, starting from the fiscal year in which the election is made. The election shall be automatically renewed unless revoked by the filing constituent entity at the end of the five-year period. </w:t>
            </w:r>
          </w:p>
          <w:p w14:paraId="098B4644" w14:textId="77777777" w:rsidR="00465215" w:rsidRPr="005E6D70" w:rsidRDefault="00465215" w:rsidP="009170D4">
            <w:pPr>
              <w:jc w:val="both"/>
              <w:rPr>
                <w:rFonts w:ascii="Times New Roman" w:eastAsia="Arial" w:hAnsi="Times New Roman" w:cs="Times New Roman"/>
                <w:sz w:val="18"/>
                <w:szCs w:val="18"/>
              </w:rPr>
            </w:pPr>
          </w:p>
          <w:p w14:paraId="3F1348E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2. If the election referred to in paragraph 1, of this Article, is revoked, a new election concerning the same subject matter cannot be made for a period of five years starting from the fiscal year in which the revocation became effective.</w:t>
            </w:r>
          </w:p>
        </w:tc>
        <w:tc>
          <w:tcPr>
            <w:tcW w:w="1800" w:type="dxa"/>
            <w:gridSpan w:val="2"/>
          </w:tcPr>
          <w:p w14:paraId="61E0106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6BE2BE8C"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with structural separation.</w:t>
            </w:r>
          </w:p>
        </w:tc>
      </w:tr>
      <w:tr w:rsidR="00465215" w:rsidRPr="005E6D70" w14:paraId="4EFA9AD0" w14:textId="77777777" w:rsidTr="009170D4">
        <w:trPr>
          <w:trHeight w:val="152"/>
        </w:trPr>
        <w:tc>
          <w:tcPr>
            <w:tcW w:w="810" w:type="dxa"/>
          </w:tcPr>
          <w:p w14:paraId="5C02967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45(2)</w:t>
            </w:r>
          </w:p>
        </w:tc>
        <w:tc>
          <w:tcPr>
            <w:tcW w:w="5040" w:type="dxa"/>
            <w:gridSpan w:val="2"/>
          </w:tcPr>
          <w:p w14:paraId="6A54694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2. The elections referred to in Article 16(7), Article 22(1), point (b), Article 25(1), Article 28(2), Article 30(1) and Article 40(1) shall be valid for a period of one year. The election shall be renewed automatically unless the filing constituent entity revokes the election at the end of the year.</w:t>
            </w:r>
          </w:p>
        </w:tc>
        <w:tc>
          <w:tcPr>
            <w:tcW w:w="990" w:type="dxa"/>
            <w:gridSpan w:val="2"/>
          </w:tcPr>
          <w:p w14:paraId="43573B7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0490C49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55(3)</w:t>
            </w:r>
          </w:p>
        </w:tc>
        <w:tc>
          <w:tcPr>
            <w:tcW w:w="4680" w:type="dxa"/>
            <w:gridSpan w:val="2"/>
          </w:tcPr>
          <w:p w14:paraId="40D344A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3. The elections referred to in paragraph 7, of Article 15, paragraph 1, letter “b”, of Article 22, paragraph 1, of Article 25, paragraph 1, of Article 28, Article 33, Article 35, and paragraph 2, of Article 43, of this Law, shall be annual elections. The election shall be renewed automatically unless the filing constituent entity revokes the election at the end of the year.</w:t>
            </w:r>
          </w:p>
        </w:tc>
        <w:tc>
          <w:tcPr>
            <w:tcW w:w="1800" w:type="dxa"/>
            <w:gridSpan w:val="2"/>
          </w:tcPr>
          <w:p w14:paraId="03FC918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0B68CFDA"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Cross-references updated.</w:t>
            </w:r>
          </w:p>
        </w:tc>
      </w:tr>
      <w:tr w:rsidR="00465215" w:rsidRPr="005E6D70" w14:paraId="2AD4AAA6" w14:textId="77777777" w:rsidTr="009170D4">
        <w:trPr>
          <w:trHeight w:val="152"/>
        </w:trPr>
        <w:tc>
          <w:tcPr>
            <w:tcW w:w="810" w:type="dxa"/>
          </w:tcPr>
          <w:p w14:paraId="7F11F56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45(3)</w:t>
            </w:r>
          </w:p>
        </w:tc>
        <w:tc>
          <w:tcPr>
            <w:tcW w:w="5040" w:type="dxa"/>
            <w:gridSpan w:val="2"/>
          </w:tcPr>
          <w:p w14:paraId="6EFF5F94"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3. The elections referred to in Article 2(3), second subparagraph, Article 16(3), (6), (7), and (9), Article 22(1), point (b), Article 25(1), Article 28(2), Article 30(1), Article 40(1), and Articles 42 and 43 shall be made to the tax administration of the Member State in which the filing constituent entity is located.</w:t>
            </w:r>
          </w:p>
        </w:tc>
        <w:tc>
          <w:tcPr>
            <w:tcW w:w="990" w:type="dxa"/>
            <w:gridSpan w:val="2"/>
          </w:tcPr>
          <w:p w14:paraId="5602ACC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3FAAF315"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55(4)</w:t>
            </w:r>
          </w:p>
          <w:p w14:paraId="1C3C4D97" w14:textId="77777777" w:rsidR="00465215" w:rsidRPr="005E6D70" w:rsidRDefault="00465215" w:rsidP="009170D4">
            <w:pPr>
              <w:jc w:val="center"/>
              <w:rPr>
                <w:rFonts w:ascii="Times New Roman" w:eastAsia="Arial" w:hAnsi="Times New Roman" w:cs="Times New Roman"/>
                <w:sz w:val="18"/>
                <w:szCs w:val="18"/>
              </w:rPr>
            </w:pPr>
          </w:p>
          <w:p w14:paraId="50794EFB" w14:textId="77777777" w:rsidR="00465215" w:rsidRPr="005E6D70" w:rsidRDefault="00465215" w:rsidP="009170D4">
            <w:pPr>
              <w:jc w:val="center"/>
              <w:rPr>
                <w:rFonts w:ascii="Times New Roman" w:eastAsia="Arial" w:hAnsi="Times New Roman" w:cs="Times New Roman"/>
                <w:sz w:val="18"/>
                <w:szCs w:val="18"/>
              </w:rPr>
            </w:pPr>
          </w:p>
          <w:p w14:paraId="58D7C4B4" w14:textId="77777777" w:rsidR="00465215" w:rsidRPr="005E6D70" w:rsidRDefault="00465215" w:rsidP="009170D4">
            <w:pPr>
              <w:jc w:val="center"/>
              <w:rPr>
                <w:rFonts w:ascii="Times New Roman" w:eastAsia="Arial" w:hAnsi="Times New Roman" w:cs="Times New Roman"/>
                <w:sz w:val="18"/>
                <w:szCs w:val="18"/>
              </w:rPr>
            </w:pPr>
          </w:p>
          <w:p w14:paraId="68A21F3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55(5)</w:t>
            </w:r>
          </w:p>
        </w:tc>
        <w:tc>
          <w:tcPr>
            <w:tcW w:w="4680" w:type="dxa"/>
            <w:gridSpan w:val="2"/>
          </w:tcPr>
          <w:p w14:paraId="2E940AB9"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4. The elections shall be made by the filing constituent entity to the tax administration as part of the top-up tax information return referred to in Article 54, of this Law. </w:t>
            </w:r>
          </w:p>
          <w:p w14:paraId="006C2637" w14:textId="77777777" w:rsidR="00465215" w:rsidRPr="005E6D70" w:rsidRDefault="00465215" w:rsidP="009170D4">
            <w:pPr>
              <w:jc w:val="both"/>
              <w:rPr>
                <w:rFonts w:ascii="Times New Roman" w:eastAsia="Arial" w:hAnsi="Times New Roman" w:cs="Times New Roman"/>
                <w:sz w:val="18"/>
                <w:szCs w:val="18"/>
              </w:rPr>
            </w:pPr>
          </w:p>
          <w:p w14:paraId="5002B8A3"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5. Where an election is made by a designated filing entity located in another jurisdiction acting on behalf of the constituent entity located in the Republic of Albania, such </w:t>
            </w:r>
            <w:r w:rsidRPr="005E6D70">
              <w:rPr>
                <w:rFonts w:ascii="Times New Roman" w:eastAsia="Arial" w:hAnsi="Times New Roman" w:cs="Times New Roman"/>
                <w:sz w:val="18"/>
                <w:szCs w:val="18"/>
              </w:rPr>
              <w:lastRenderedPageBreak/>
              <w:t>election shall be binding on the constituent entity and the tax administration of the Republic of Albania for the purpose of calculating the top-up tax.</w:t>
            </w:r>
          </w:p>
        </w:tc>
        <w:tc>
          <w:tcPr>
            <w:tcW w:w="1800" w:type="dxa"/>
            <w:gridSpan w:val="2"/>
          </w:tcPr>
          <w:p w14:paraId="137228F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1D99A827"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 xml:space="preserve">Transposition with administrative adaptation regarding the procedural </w:t>
            </w:r>
            <w:r w:rsidRPr="005E6D70">
              <w:rPr>
                <w:rFonts w:ascii="Times New Roman" w:eastAsia="Arial" w:hAnsi="Times New Roman" w:cs="Times New Roman"/>
                <w:sz w:val="18"/>
                <w:szCs w:val="18"/>
              </w:rPr>
              <w:lastRenderedPageBreak/>
              <w:t>filing of the election.</w:t>
            </w:r>
          </w:p>
        </w:tc>
      </w:tr>
      <w:tr w:rsidR="00465215" w:rsidRPr="005E6D70" w14:paraId="41136B21" w14:textId="77777777" w:rsidTr="009170D4">
        <w:trPr>
          <w:trHeight w:val="152"/>
        </w:trPr>
        <w:tc>
          <w:tcPr>
            <w:tcW w:w="810" w:type="dxa"/>
            <w:shd w:val="clear" w:color="auto" w:fill="D9D9D9" w:themeFill="background1" w:themeFillShade="D9"/>
          </w:tcPr>
          <w:p w14:paraId="3BA36AE9"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D9D9D9" w:themeFill="background1" w:themeFillShade="D9"/>
          </w:tcPr>
          <w:p w14:paraId="074946DD"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b/>
                <w:bCs/>
                <w:iCs/>
                <w:sz w:val="18"/>
                <w:szCs w:val="18"/>
                <w:lang w:val="en-US"/>
              </w:rPr>
              <w:t>Article 46. Penalties</w:t>
            </w:r>
          </w:p>
        </w:tc>
        <w:tc>
          <w:tcPr>
            <w:tcW w:w="990" w:type="dxa"/>
            <w:gridSpan w:val="2"/>
            <w:shd w:val="clear" w:color="auto" w:fill="D9D9D9" w:themeFill="background1" w:themeFillShade="D9"/>
          </w:tcPr>
          <w:p w14:paraId="2130341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514A81B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56</w:t>
            </w:r>
          </w:p>
        </w:tc>
        <w:tc>
          <w:tcPr>
            <w:tcW w:w="4680" w:type="dxa"/>
            <w:gridSpan w:val="2"/>
            <w:shd w:val="clear" w:color="auto" w:fill="D9D9D9" w:themeFill="background1" w:themeFillShade="D9"/>
          </w:tcPr>
          <w:p w14:paraId="325E0D09"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Article 56. Penalties</w:t>
            </w:r>
          </w:p>
        </w:tc>
        <w:tc>
          <w:tcPr>
            <w:tcW w:w="1800" w:type="dxa"/>
            <w:gridSpan w:val="2"/>
            <w:shd w:val="clear" w:color="auto" w:fill="D9D9D9" w:themeFill="background1" w:themeFillShade="D9"/>
          </w:tcPr>
          <w:p w14:paraId="5D26F2C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3A3C9456"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Transposition of EU Directive Article 46 into Article 56 of the domestic draft law.</w:t>
            </w:r>
          </w:p>
        </w:tc>
      </w:tr>
      <w:tr w:rsidR="00465215" w:rsidRPr="005E6D70" w14:paraId="5E90158B" w14:textId="77777777" w:rsidTr="009170D4">
        <w:trPr>
          <w:trHeight w:val="152"/>
        </w:trPr>
        <w:tc>
          <w:tcPr>
            <w:tcW w:w="810" w:type="dxa"/>
          </w:tcPr>
          <w:p w14:paraId="21019A32"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tcPr>
          <w:p w14:paraId="55853566"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Member States shall lay down the rules on penalties applicable to infringements of national provisions adopted pursuant to this Directive, including those pertaining to the obligation of a constituent entity to file and pay its share of top-up tax or to have an additional cash tax expense, and shall take all measures necessary to ensure that they are implemented. The penalties provided for shall be effective, proportionate and dissuasive.</w:t>
            </w:r>
          </w:p>
        </w:tc>
        <w:tc>
          <w:tcPr>
            <w:tcW w:w="990" w:type="dxa"/>
            <w:gridSpan w:val="2"/>
          </w:tcPr>
          <w:p w14:paraId="725E5D9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tcPr>
          <w:p w14:paraId="2939A4BA"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56(1) to 56(6)</w:t>
            </w:r>
          </w:p>
        </w:tc>
        <w:tc>
          <w:tcPr>
            <w:tcW w:w="4680" w:type="dxa"/>
            <w:gridSpan w:val="2"/>
          </w:tcPr>
          <w:p w14:paraId="23714E03"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[Domestic penalty regime defined in Article 56]</w:t>
            </w:r>
          </w:p>
          <w:p w14:paraId="4CCA85C8" w14:textId="77777777" w:rsidR="00465215" w:rsidRPr="005E6D70" w:rsidRDefault="00465215" w:rsidP="009170D4">
            <w:pPr>
              <w:jc w:val="both"/>
              <w:rPr>
                <w:rFonts w:ascii="Times New Roman" w:eastAsia="Arial" w:hAnsi="Times New Roman" w:cs="Times New Roman"/>
                <w:sz w:val="18"/>
                <w:szCs w:val="18"/>
              </w:rPr>
            </w:pPr>
          </w:p>
          <w:p w14:paraId="107B287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 Unless otherwise provided in this Article, the provisions regarding penalties, interest, and enforced collection set out in the law governing tax procedures in the Republic of Albania, shall apply to the obligations arising from this Law.</w:t>
            </w:r>
          </w:p>
          <w:p w14:paraId="5FCB4845" w14:textId="77777777" w:rsidR="00465215" w:rsidRPr="005E6D70" w:rsidRDefault="00465215" w:rsidP="009170D4">
            <w:pPr>
              <w:jc w:val="both"/>
              <w:rPr>
                <w:rFonts w:ascii="Times New Roman" w:eastAsia="Calibri" w:hAnsi="Times New Roman" w:cs="Times New Roman"/>
                <w:sz w:val="18"/>
                <w:szCs w:val="18"/>
                <w:lang w:val="en-US"/>
              </w:rPr>
            </w:pPr>
          </w:p>
          <w:p w14:paraId="14A07B60"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2. Notwithstanding the specific amounts provided for in the law governing tax procedures in the Republic of Albania, the failure of a constituent entity to file the top-up tax information return or the notification referred to in Article 54, of this Law, or the domestic top-up tax return referred to in Article 52, of this Law, within the prescribed deadline, shall be punishable by a fine of ALL 2,500,000.</w:t>
            </w:r>
          </w:p>
          <w:p w14:paraId="6BA9D276" w14:textId="77777777" w:rsidR="00465215" w:rsidRPr="005E6D70" w:rsidRDefault="00465215" w:rsidP="009170D4">
            <w:pPr>
              <w:jc w:val="both"/>
              <w:rPr>
                <w:rFonts w:ascii="Times New Roman" w:eastAsia="Calibri" w:hAnsi="Times New Roman" w:cs="Times New Roman"/>
                <w:sz w:val="18"/>
                <w:szCs w:val="18"/>
                <w:lang w:val="en-US"/>
              </w:rPr>
            </w:pPr>
          </w:p>
          <w:p w14:paraId="6CFBE8B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3. Where a constituent entity files a top-up tax information return or a domestic top-up tax return that is incomplete or contains incorrect data which results or could result in a reduction of the top-up tax or domestic top-up tax liability, a penalty equal to 100% of the difference between the correct amount of tax and the declared amount shall apply.</w:t>
            </w:r>
          </w:p>
          <w:p w14:paraId="171C557B" w14:textId="77777777" w:rsidR="00465215" w:rsidRPr="005E6D70" w:rsidRDefault="00465215" w:rsidP="009170D4">
            <w:pPr>
              <w:jc w:val="both"/>
              <w:rPr>
                <w:rFonts w:ascii="Times New Roman" w:eastAsia="Calibri" w:hAnsi="Times New Roman" w:cs="Times New Roman"/>
                <w:sz w:val="18"/>
                <w:szCs w:val="18"/>
                <w:lang w:val="en-US"/>
              </w:rPr>
            </w:pPr>
          </w:p>
          <w:p w14:paraId="350819CA"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 Notwithstanding paragraphs 2 and 3, of this Article, and the relevant provisions of the law governing tax procedures in the Republic of Albania, no administrative penalties shall apply to a constituent entity for the failure to file or for the filing of an incorrect top-up tax information return or domestic top-up tax return in respect of the first three fiscal years beginning on or after the date of application of this Law, as determined in Article 62, of this Law (the “Transitional Period”).</w:t>
            </w:r>
          </w:p>
          <w:p w14:paraId="12D22683" w14:textId="77777777" w:rsidR="00465215" w:rsidRPr="005E6D70" w:rsidRDefault="00465215" w:rsidP="009170D4">
            <w:pPr>
              <w:jc w:val="both"/>
              <w:rPr>
                <w:rFonts w:ascii="Times New Roman" w:eastAsia="Calibri" w:hAnsi="Times New Roman" w:cs="Times New Roman"/>
                <w:sz w:val="18"/>
                <w:szCs w:val="18"/>
                <w:lang w:val="en-US"/>
              </w:rPr>
            </w:pPr>
          </w:p>
          <w:p w14:paraId="231C380C"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 xml:space="preserve">5. The relief provided in paragraph 4, of this Article, shall apply only if the constituent entity proves to the tax administration that it has acted in good faith and has taken reasonable measures to understand and comply with the requirements of this Law and the relevant administrative guidance. </w:t>
            </w:r>
          </w:p>
          <w:p w14:paraId="0C9EF0A4" w14:textId="77777777" w:rsidR="00465215" w:rsidRPr="005E6D70" w:rsidRDefault="00465215" w:rsidP="009170D4">
            <w:pPr>
              <w:jc w:val="both"/>
              <w:rPr>
                <w:rFonts w:ascii="Times New Roman" w:eastAsia="Calibri" w:hAnsi="Times New Roman" w:cs="Times New Roman"/>
                <w:sz w:val="18"/>
                <w:szCs w:val="18"/>
                <w:lang w:val="en-US"/>
              </w:rPr>
            </w:pPr>
          </w:p>
          <w:p w14:paraId="4882739B"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6. The tax administration shall notify the constituent entity of any errors or omissions identified during the Transitional Period and shall request their correction within a reasonable timeframe, without imposing penalties, provided that the entity cooperates and corrects the errors.</w:t>
            </w:r>
          </w:p>
        </w:tc>
        <w:tc>
          <w:tcPr>
            <w:tcW w:w="1800" w:type="dxa"/>
            <w:gridSpan w:val="2"/>
          </w:tcPr>
          <w:p w14:paraId="4F99EBB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5EF455E5"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The general EU directive on penalties is transposed by establishing specific fine amounts and a transitional relief period in the domestic draft law.</w:t>
            </w:r>
          </w:p>
        </w:tc>
      </w:tr>
      <w:tr w:rsidR="00465215" w:rsidRPr="005E6D70" w14:paraId="7DFB64F5" w14:textId="77777777" w:rsidTr="009170D4">
        <w:trPr>
          <w:trHeight w:val="152"/>
        </w:trPr>
        <w:tc>
          <w:tcPr>
            <w:tcW w:w="810" w:type="dxa"/>
            <w:shd w:val="clear" w:color="auto" w:fill="92D050"/>
          </w:tcPr>
          <w:p w14:paraId="58977027" w14:textId="77777777" w:rsidR="00465215" w:rsidRPr="005E6D70" w:rsidRDefault="00465215" w:rsidP="009170D4">
            <w:pPr>
              <w:jc w:val="both"/>
              <w:rPr>
                <w:rFonts w:ascii="Times New Roman" w:eastAsia="Calibri" w:hAnsi="Times New Roman" w:cs="Times New Roman"/>
                <w:sz w:val="18"/>
                <w:szCs w:val="18"/>
                <w:lang w:val="en-US"/>
              </w:rPr>
            </w:pPr>
          </w:p>
        </w:tc>
        <w:tc>
          <w:tcPr>
            <w:tcW w:w="5040" w:type="dxa"/>
            <w:gridSpan w:val="2"/>
            <w:shd w:val="clear" w:color="auto" w:fill="92D050"/>
          </w:tcPr>
          <w:p w14:paraId="44B66F4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CHAPTER IX </w:t>
            </w:r>
          </w:p>
          <w:p w14:paraId="25D78182"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Calibri" w:hAnsi="Times New Roman" w:cs="Times New Roman"/>
                <w:iCs/>
                <w:sz w:val="18"/>
                <w:szCs w:val="18"/>
                <w:lang w:val="en-US"/>
              </w:rPr>
              <w:t>TRANSITION RULES</w:t>
            </w:r>
          </w:p>
        </w:tc>
        <w:tc>
          <w:tcPr>
            <w:tcW w:w="990" w:type="dxa"/>
            <w:gridSpan w:val="2"/>
            <w:shd w:val="clear" w:color="auto" w:fill="92D050"/>
          </w:tcPr>
          <w:p w14:paraId="5790311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92D050"/>
          </w:tcPr>
          <w:p w14:paraId="51B82987" w14:textId="77777777" w:rsidR="00465215" w:rsidRPr="005E6D70" w:rsidRDefault="00465215" w:rsidP="009170D4">
            <w:pPr>
              <w:jc w:val="center"/>
              <w:rPr>
                <w:rFonts w:ascii="Times New Roman" w:eastAsia="Calibri" w:hAnsi="Times New Roman" w:cs="Times New Roman"/>
                <w:sz w:val="18"/>
                <w:szCs w:val="18"/>
                <w:lang w:val="en-US"/>
              </w:rPr>
            </w:pPr>
          </w:p>
        </w:tc>
        <w:tc>
          <w:tcPr>
            <w:tcW w:w="4680" w:type="dxa"/>
            <w:gridSpan w:val="2"/>
            <w:shd w:val="clear" w:color="auto" w:fill="92D050"/>
          </w:tcPr>
          <w:p w14:paraId="211E08A5" w14:textId="77777777" w:rsidR="00465215" w:rsidRPr="005E6D70" w:rsidRDefault="00465215" w:rsidP="009170D4">
            <w:pPr>
              <w:jc w:val="both"/>
              <w:rPr>
                <w:rFonts w:ascii="Times New Roman" w:eastAsia="Calibri" w:hAnsi="Times New Roman" w:cs="Times New Roman"/>
                <w:sz w:val="18"/>
                <w:szCs w:val="18"/>
                <w:lang w:val="en-US"/>
              </w:rPr>
            </w:pPr>
            <w:r w:rsidRPr="005E6D70">
              <w:rPr>
                <w:rFonts w:ascii="Times New Roman" w:eastAsia="Arial" w:hAnsi="Times New Roman" w:cs="Times New Roman"/>
                <w:b/>
                <w:bCs/>
                <w:sz w:val="18"/>
                <w:szCs w:val="18"/>
              </w:rPr>
              <w:t>CHAPTER X. TRANSITIONAL AND FINAL PROVISIONS</w:t>
            </w:r>
          </w:p>
        </w:tc>
        <w:tc>
          <w:tcPr>
            <w:tcW w:w="1800" w:type="dxa"/>
            <w:gridSpan w:val="2"/>
            <w:shd w:val="clear" w:color="auto" w:fill="92D050"/>
          </w:tcPr>
          <w:p w14:paraId="183E6B4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92D050"/>
          </w:tcPr>
          <w:p w14:paraId="2DA715C8" w14:textId="77777777" w:rsidR="00465215" w:rsidRPr="005E6D70" w:rsidRDefault="00465215" w:rsidP="009170D4">
            <w:pP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Direct transposition of the structural chapter.</w:t>
            </w:r>
          </w:p>
        </w:tc>
      </w:tr>
      <w:tr w:rsidR="00465215" w:rsidRPr="005E6D70" w14:paraId="71A41940" w14:textId="77777777" w:rsidTr="009170D4">
        <w:trPr>
          <w:trHeight w:val="152"/>
        </w:trPr>
        <w:tc>
          <w:tcPr>
            <w:tcW w:w="810" w:type="dxa"/>
            <w:shd w:val="clear" w:color="auto" w:fill="D9D9D9" w:themeFill="background1" w:themeFillShade="D9"/>
          </w:tcPr>
          <w:p w14:paraId="305CF9E6" w14:textId="77777777" w:rsidR="00465215" w:rsidRPr="005E6D70" w:rsidRDefault="00465215" w:rsidP="009170D4">
            <w:pPr>
              <w:jc w:val="both"/>
              <w:rPr>
                <w:rFonts w:ascii="Times New Roman" w:eastAsia="Calibri" w:hAnsi="Times New Roman" w:cs="Times New Roman"/>
                <w:b/>
                <w:bCs/>
                <w:sz w:val="18"/>
                <w:szCs w:val="18"/>
                <w:lang w:val="en-US"/>
              </w:rPr>
            </w:pPr>
          </w:p>
        </w:tc>
        <w:tc>
          <w:tcPr>
            <w:tcW w:w="5040" w:type="dxa"/>
            <w:gridSpan w:val="2"/>
            <w:shd w:val="clear" w:color="auto" w:fill="D9D9D9" w:themeFill="background1" w:themeFillShade="D9"/>
          </w:tcPr>
          <w:p w14:paraId="79EBBFCC"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b/>
                <w:bCs/>
                <w:iCs/>
                <w:sz w:val="18"/>
                <w:szCs w:val="18"/>
                <w:lang w:val="en-US"/>
              </w:rPr>
              <w:t>Article 47. Tax treatment of deferred tax assets, deferred tax liabilities and transferred assets upon transition</w:t>
            </w:r>
          </w:p>
        </w:tc>
        <w:tc>
          <w:tcPr>
            <w:tcW w:w="990" w:type="dxa"/>
            <w:gridSpan w:val="2"/>
            <w:shd w:val="clear" w:color="auto" w:fill="D9D9D9" w:themeFill="background1" w:themeFillShade="D9"/>
          </w:tcPr>
          <w:p w14:paraId="6429EDBE"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37927CF2"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b/>
                <w:bCs/>
                <w:sz w:val="18"/>
                <w:szCs w:val="18"/>
              </w:rPr>
              <w:t>57</w:t>
            </w:r>
          </w:p>
        </w:tc>
        <w:tc>
          <w:tcPr>
            <w:tcW w:w="4680" w:type="dxa"/>
            <w:gridSpan w:val="2"/>
            <w:shd w:val="clear" w:color="auto" w:fill="D9D9D9" w:themeFill="background1" w:themeFillShade="D9"/>
          </w:tcPr>
          <w:p w14:paraId="09D03179"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b/>
                <w:bCs/>
                <w:sz w:val="18"/>
                <w:szCs w:val="18"/>
              </w:rPr>
              <w:t>Article 57. Treatment of deferred tax assets, deferred tax liabilities and transferred assets upon transition</w:t>
            </w:r>
          </w:p>
        </w:tc>
        <w:tc>
          <w:tcPr>
            <w:tcW w:w="1800" w:type="dxa"/>
            <w:gridSpan w:val="2"/>
            <w:shd w:val="clear" w:color="auto" w:fill="D9D9D9" w:themeFill="background1" w:themeFillShade="D9"/>
          </w:tcPr>
          <w:p w14:paraId="1306B57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036C6D27"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Transposition of EU Directive Article 47 into Article 57 of the domestic draft law.</w:t>
            </w:r>
          </w:p>
        </w:tc>
      </w:tr>
      <w:tr w:rsidR="00465215" w:rsidRPr="005E6D70" w14:paraId="1C91F71B" w14:textId="77777777" w:rsidTr="009170D4">
        <w:trPr>
          <w:trHeight w:val="152"/>
        </w:trPr>
        <w:tc>
          <w:tcPr>
            <w:tcW w:w="810" w:type="dxa"/>
          </w:tcPr>
          <w:p w14:paraId="3F69B34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47(1)</w:t>
            </w:r>
          </w:p>
        </w:tc>
        <w:tc>
          <w:tcPr>
            <w:tcW w:w="5040" w:type="dxa"/>
            <w:gridSpan w:val="2"/>
          </w:tcPr>
          <w:p w14:paraId="550F4431"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1. For the purposes of this Article, a ‘transition year’ for a jurisdiction’ means the first fiscal year in which an MNE group or a large-scale domestic group falls within the scope of this Directive in respect of that jurisdiction.</w:t>
            </w:r>
          </w:p>
        </w:tc>
        <w:tc>
          <w:tcPr>
            <w:tcW w:w="990" w:type="dxa"/>
            <w:gridSpan w:val="2"/>
          </w:tcPr>
          <w:p w14:paraId="45B7FBBE"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3E419019"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57(1)</w:t>
            </w:r>
          </w:p>
        </w:tc>
        <w:tc>
          <w:tcPr>
            <w:tcW w:w="4680" w:type="dxa"/>
            <w:gridSpan w:val="2"/>
          </w:tcPr>
          <w:p w14:paraId="7441F462"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1. For the purpose of this Article, a transition year for a jurisdiction means the first fiscal year in which a multinational enterprise group or a large-scale domestic group falls within the scope of this Law in respect of that jurisdiction.</w:t>
            </w:r>
          </w:p>
        </w:tc>
        <w:tc>
          <w:tcPr>
            <w:tcW w:w="1800" w:type="dxa"/>
            <w:gridSpan w:val="2"/>
          </w:tcPr>
          <w:p w14:paraId="2149439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12B3F385"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Direct transposition.</w:t>
            </w:r>
          </w:p>
        </w:tc>
      </w:tr>
      <w:tr w:rsidR="00465215" w:rsidRPr="005E6D70" w14:paraId="46458CC0" w14:textId="77777777" w:rsidTr="009170D4">
        <w:trPr>
          <w:trHeight w:val="152"/>
        </w:trPr>
        <w:tc>
          <w:tcPr>
            <w:tcW w:w="810" w:type="dxa"/>
          </w:tcPr>
          <w:p w14:paraId="26C18CB8"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47(2)</w:t>
            </w:r>
          </w:p>
        </w:tc>
        <w:tc>
          <w:tcPr>
            <w:tcW w:w="5040" w:type="dxa"/>
            <w:gridSpan w:val="2"/>
          </w:tcPr>
          <w:p w14:paraId="6A40346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When determining the effective tax rate for a jurisdiction in a transition year, and for each subsequent fiscal year, the MNE group or a large-scale domestic group shall take into account all the deferred tax assets and deferred tax liabilities reflected or disclosed in the financial accounts of all the constituent entities in a jurisdiction for the transition year.</w:t>
            </w:r>
          </w:p>
          <w:p w14:paraId="3C26364B" w14:textId="77777777" w:rsidR="00465215" w:rsidRPr="005E6D70" w:rsidRDefault="00465215" w:rsidP="009170D4">
            <w:pPr>
              <w:jc w:val="both"/>
              <w:rPr>
                <w:rFonts w:ascii="Times New Roman" w:eastAsia="Calibri" w:hAnsi="Times New Roman" w:cs="Times New Roman"/>
                <w:iCs/>
                <w:sz w:val="18"/>
                <w:szCs w:val="18"/>
                <w:lang w:val="en-US"/>
              </w:rPr>
            </w:pPr>
          </w:p>
          <w:p w14:paraId="20FDB8E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Deferred tax assets and deferred tax liabilities shall be taken into account at the lower of the minimum tax rate and the applicable domestic tax rate. However, a deferred tax asset that has been recorded at a tax rate lower than the minimum tax rate may be taken into account at the minimum tax rate if the taxpayer is able to demonstrate that the deferred tax asset is attributable to a qualifying loss.</w:t>
            </w:r>
          </w:p>
          <w:p w14:paraId="40AB7812"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 xml:space="preserve"> </w:t>
            </w:r>
          </w:p>
          <w:p w14:paraId="0D2A1193" w14:textId="77777777" w:rsidR="00465215" w:rsidRPr="005E6D70" w:rsidRDefault="00465215" w:rsidP="009170D4">
            <w:pPr>
              <w:jc w:val="both"/>
              <w:rPr>
                <w:rFonts w:ascii="Times New Roman" w:eastAsia="Calibri" w:hAnsi="Times New Roman" w:cs="Times New Roman"/>
                <w:iCs/>
                <w:sz w:val="18"/>
                <w:szCs w:val="18"/>
                <w:lang w:val="en-US"/>
              </w:rPr>
            </w:pPr>
          </w:p>
          <w:p w14:paraId="21F0EF60" w14:textId="77777777" w:rsidR="00465215" w:rsidRPr="005E6D70" w:rsidRDefault="00465215" w:rsidP="009170D4">
            <w:pPr>
              <w:jc w:val="both"/>
              <w:rPr>
                <w:rFonts w:ascii="Times New Roman" w:eastAsia="Calibri" w:hAnsi="Times New Roman" w:cs="Times New Roman"/>
                <w:iCs/>
                <w:sz w:val="18"/>
                <w:szCs w:val="18"/>
                <w:lang w:val="en-US"/>
              </w:rPr>
            </w:pPr>
          </w:p>
          <w:p w14:paraId="331BE77B" w14:textId="77777777" w:rsidR="00465215" w:rsidRPr="005E6D70" w:rsidRDefault="00465215" w:rsidP="009170D4">
            <w:pPr>
              <w:jc w:val="both"/>
              <w:rPr>
                <w:rFonts w:ascii="Times New Roman" w:eastAsia="Calibri" w:hAnsi="Times New Roman" w:cs="Times New Roman"/>
                <w:iCs/>
                <w:sz w:val="18"/>
                <w:szCs w:val="18"/>
                <w:lang w:val="en-US"/>
              </w:rPr>
            </w:pPr>
          </w:p>
          <w:p w14:paraId="508C169A" w14:textId="77777777" w:rsidR="00465215" w:rsidRPr="005E6D70" w:rsidRDefault="00465215" w:rsidP="009170D4">
            <w:pPr>
              <w:jc w:val="both"/>
              <w:rPr>
                <w:rFonts w:ascii="Times New Roman" w:eastAsia="Calibri" w:hAnsi="Times New Roman" w:cs="Times New Roman"/>
                <w:iCs/>
                <w:sz w:val="18"/>
                <w:szCs w:val="18"/>
                <w:lang w:val="en-US"/>
              </w:rPr>
            </w:pPr>
          </w:p>
          <w:p w14:paraId="294BDF46" w14:textId="77777777" w:rsidR="00465215" w:rsidRPr="005E6D70" w:rsidRDefault="00465215" w:rsidP="009170D4">
            <w:pPr>
              <w:jc w:val="both"/>
              <w:rPr>
                <w:rFonts w:ascii="Times New Roman" w:eastAsia="Calibri" w:hAnsi="Times New Roman" w:cs="Times New Roman"/>
                <w:iCs/>
                <w:sz w:val="18"/>
                <w:szCs w:val="18"/>
                <w:lang w:val="en-US"/>
              </w:rPr>
            </w:pPr>
          </w:p>
          <w:p w14:paraId="5EC1454A" w14:textId="77777777" w:rsidR="00465215" w:rsidRPr="005E6D70" w:rsidRDefault="00465215" w:rsidP="009170D4">
            <w:pPr>
              <w:jc w:val="both"/>
              <w:rPr>
                <w:rFonts w:ascii="Times New Roman" w:eastAsia="Calibri" w:hAnsi="Times New Roman" w:cs="Times New Roman"/>
                <w:iCs/>
                <w:sz w:val="18"/>
                <w:szCs w:val="18"/>
                <w:lang w:val="en-US"/>
              </w:rPr>
            </w:pPr>
          </w:p>
          <w:p w14:paraId="378BFEF3" w14:textId="77777777" w:rsidR="00465215" w:rsidRPr="005E6D70" w:rsidRDefault="00465215" w:rsidP="009170D4">
            <w:pPr>
              <w:jc w:val="both"/>
              <w:rPr>
                <w:rFonts w:ascii="Times New Roman" w:eastAsia="Calibri" w:hAnsi="Times New Roman" w:cs="Times New Roman"/>
                <w:iCs/>
                <w:sz w:val="18"/>
                <w:szCs w:val="18"/>
                <w:lang w:val="en-US"/>
              </w:rPr>
            </w:pPr>
          </w:p>
          <w:p w14:paraId="10C08CAB" w14:textId="77777777" w:rsidR="00465215" w:rsidRPr="005E6D70" w:rsidRDefault="00465215" w:rsidP="009170D4">
            <w:pPr>
              <w:jc w:val="both"/>
              <w:rPr>
                <w:rFonts w:ascii="Times New Roman" w:eastAsia="Calibri" w:hAnsi="Times New Roman" w:cs="Times New Roman"/>
                <w:iCs/>
                <w:sz w:val="18"/>
                <w:szCs w:val="18"/>
                <w:lang w:val="en-US"/>
              </w:rPr>
            </w:pPr>
          </w:p>
          <w:p w14:paraId="45E12E2C"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The impact of any valuation adjustment or accounting recognition adjustment with respect to a deferred tax asset shall be disregarded.</w:t>
            </w:r>
          </w:p>
        </w:tc>
        <w:tc>
          <w:tcPr>
            <w:tcW w:w="990" w:type="dxa"/>
            <w:gridSpan w:val="2"/>
          </w:tcPr>
          <w:p w14:paraId="6AB534B5"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44B40515"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57(2) </w:t>
            </w:r>
          </w:p>
          <w:p w14:paraId="4933BDBC" w14:textId="77777777" w:rsidR="00465215" w:rsidRPr="005E6D70" w:rsidRDefault="00465215" w:rsidP="009170D4">
            <w:pPr>
              <w:jc w:val="center"/>
              <w:rPr>
                <w:rFonts w:ascii="Times New Roman" w:eastAsia="Arial" w:hAnsi="Times New Roman" w:cs="Times New Roman"/>
                <w:sz w:val="18"/>
                <w:szCs w:val="18"/>
              </w:rPr>
            </w:pPr>
          </w:p>
          <w:p w14:paraId="6102BD98" w14:textId="77777777" w:rsidR="00465215" w:rsidRPr="005E6D70" w:rsidRDefault="00465215" w:rsidP="009170D4">
            <w:pPr>
              <w:jc w:val="center"/>
              <w:rPr>
                <w:rFonts w:ascii="Times New Roman" w:eastAsia="Arial" w:hAnsi="Times New Roman" w:cs="Times New Roman"/>
                <w:sz w:val="18"/>
                <w:szCs w:val="18"/>
              </w:rPr>
            </w:pPr>
          </w:p>
          <w:p w14:paraId="41306A6D" w14:textId="77777777" w:rsidR="00465215" w:rsidRPr="005E6D70" w:rsidRDefault="00465215" w:rsidP="009170D4">
            <w:pPr>
              <w:jc w:val="center"/>
              <w:rPr>
                <w:rFonts w:ascii="Times New Roman" w:eastAsia="Arial" w:hAnsi="Times New Roman" w:cs="Times New Roman"/>
                <w:sz w:val="18"/>
                <w:szCs w:val="18"/>
              </w:rPr>
            </w:pPr>
          </w:p>
          <w:p w14:paraId="796FBB40" w14:textId="77777777" w:rsidR="00465215" w:rsidRPr="005E6D70" w:rsidRDefault="00465215" w:rsidP="009170D4">
            <w:pPr>
              <w:jc w:val="center"/>
              <w:rPr>
                <w:rFonts w:ascii="Times New Roman" w:eastAsia="Arial" w:hAnsi="Times New Roman" w:cs="Times New Roman"/>
                <w:sz w:val="18"/>
                <w:szCs w:val="18"/>
              </w:rPr>
            </w:pPr>
          </w:p>
          <w:p w14:paraId="4E6F766B" w14:textId="77777777" w:rsidR="00465215" w:rsidRPr="005E6D70" w:rsidRDefault="00465215" w:rsidP="009170D4">
            <w:pPr>
              <w:jc w:val="center"/>
              <w:rPr>
                <w:rFonts w:ascii="Times New Roman" w:eastAsia="Arial" w:hAnsi="Times New Roman" w:cs="Times New Roman"/>
                <w:sz w:val="18"/>
                <w:szCs w:val="18"/>
              </w:rPr>
            </w:pPr>
          </w:p>
          <w:p w14:paraId="251EBD91" w14:textId="77777777" w:rsidR="00465215" w:rsidRPr="005E6D70" w:rsidRDefault="00465215" w:rsidP="009170D4">
            <w:pPr>
              <w:jc w:val="center"/>
              <w:rPr>
                <w:rFonts w:ascii="Times New Roman" w:eastAsia="Arial" w:hAnsi="Times New Roman" w:cs="Times New Roman"/>
                <w:sz w:val="18"/>
                <w:szCs w:val="18"/>
              </w:rPr>
            </w:pPr>
          </w:p>
          <w:p w14:paraId="275B1D39" w14:textId="77777777" w:rsidR="00465215" w:rsidRPr="005E6D70" w:rsidRDefault="00465215" w:rsidP="009170D4">
            <w:pPr>
              <w:jc w:val="center"/>
              <w:rPr>
                <w:rFonts w:ascii="Times New Roman" w:eastAsia="Arial" w:hAnsi="Times New Roman" w:cs="Times New Roman"/>
                <w:sz w:val="18"/>
                <w:szCs w:val="18"/>
              </w:rPr>
            </w:pPr>
          </w:p>
          <w:p w14:paraId="6D7CDA5D"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57(3) </w:t>
            </w:r>
          </w:p>
          <w:p w14:paraId="69D206A3" w14:textId="77777777" w:rsidR="00465215" w:rsidRPr="005E6D70" w:rsidRDefault="00465215" w:rsidP="009170D4">
            <w:pPr>
              <w:jc w:val="center"/>
              <w:rPr>
                <w:rFonts w:ascii="Times New Roman" w:eastAsia="Arial" w:hAnsi="Times New Roman" w:cs="Times New Roman"/>
                <w:sz w:val="18"/>
                <w:szCs w:val="18"/>
              </w:rPr>
            </w:pPr>
          </w:p>
          <w:p w14:paraId="395587F0" w14:textId="77777777" w:rsidR="00465215" w:rsidRPr="005E6D70" w:rsidRDefault="00465215" w:rsidP="009170D4">
            <w:pPr>
              <w:jc w:val="center"/>
              <w:rPr>
                <w:rFonts w:ascii="Times New Roman" w:eastAsia="Arial" w:hAnsi="Times New Roman" w:cs="Times New Roman"/>
                <w:sz w:val="18"/>
                <w:szCs w:val="18"/>
              </w:rPr>
            </w:pPr>
          </w:p>
          <w:p w14:paraId="214CCB2B" w14:textId="77777777" w:rsidR="00465215" w:rsidRPr="005E6D70" w:rsidRDefault="00465215" w:rsidP="009170D4">
            <w:pPr>
              <w:jc w:val="center"/>
              <w:rPr>
                <w:rFonts w:ascii="Times New Roman" w:eastAsia="Arial" w:hAnsi="Times New Roman" w:cs="Times New Roman"/>
                <w:sz w:val="18"/>
                <w:szCs w:val="18"/>
              </w:rPr>
            </w:pPr>
          </w:p>
          <w:p w14:paraId="1A1B0751" w14:textId="77777777" w:rsidR="00465215" w:rsidRPr="005E6D70" w:rsidRDefault="00465215" w:rsidP="009170D4">
            <w:pPr>
              <w:jc w:val="center"/>
              <w:rPr>
                <w:rFonts w:ascii="Times New Roman" w:eastAsia="Arial" w:hAnsi="Times New Roman" w:cs="Times New Roman"/>
                <w:sz w:val="18"/>
                <w:szCs w:val="18"/>
              </w:rPr>
            </w:pPr>
          </w:p>
          <w:p w14:paraId="19F467F9" w14:textId="77777777" w:rsidR="00465215" w:rsidRPr="005E6D70" w:rsidRDefault="00465215" w:rsidP="009170D4">
            <w:pPr>
              <w:jc w:val="center"/>
              <w:rPr>
                <w:rFonts w:ascii="Times New Roman" w:eastAsia="Arial" w:hAnsi="Times New Roman" w:cs="Times New Roman"/>
                <w:sz w:val="18"/>
                <w:szCs w:val="18"/>
              </w:rPr>
            </w:pPr>
          </w:p>
          <w:p w14:paraId="5045821D" w14:textId="77777777" w:rsidR="00465215" w:rsidRPr="005E6D70" w:rsidRDefault="00465215" w:rsidP="009170D4">
            <w:pPr>
              <w:jc w:val="center"/>
              <w:rPr>
                <w:rFonts w:ascii="Times New Roman" w:eastAsia="Arial" w:hAnsi="Times New Roman" w:cs="Times New Roman"/>
                <w:sz w:val="18"/>
                <w:szCs w:val="18"/>
              </w:rPr>
            </w:pPr>
          </w:p>
          <w:p w14:paraId="159D7764" w14:textId="77777777" w:rsidR="00465215" w:rsidRPr="005E6D70" w:rsidRDefault="00465215" w:rsidP="009170D4">
            <w:pPr>
              <w:jc w:val="center"/>
              <w:rPr>
                <w:rFonts w:ascii="Times New Roman" w:eastAsia="Arial" w:hAnsi="Times New Roman" w:cs="Times New Roman"/>
                <w:sz w:val="18"/>
                <w:szCs w:val="18"/>
              </w:rPr>
            </w:pPr>
          </w:p>
          <w:p w14:paraId="54F9FD89" w14:textId="77777777" w:rsidR="00465215" w:rsidRPr="005E6D70" w:rsidRDefault="00465215" w:rsidP="009170D4">
            <w:pPr>
              <w:jc w:val="center"/>
              <w:rPr>
                <w:rFonts w:ascii="Times New Roman" w:eastAsia="Arial" w:hAnsi="Times New Roman" w:cs="Times New Roman"/>
                <w:sz w:val="18"/>
                <w:szCs w:val="18"/>
              </w:rPr>
            </w:pPr>
          </w:p>
          <w:p w14:paraId="1580522E"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57(4)</w:t>
            </w:r>
          </w:p>
          <w:p w14:paraId="76DD6747" w14:textId="77777777" w:rsidR="00465215" w:rsidRPr="005E6D70" w:rsidRDefault="00465215" w:rsidP="009170D4">
            <w:pPr>
              <w:jc w:val="center"/>
              <w:rPr>
                <w:rFonts w:ascii="Times New Roman" w:eastAsia="Arial" w:hAnsi="Times New Roman" w:cs="Times New Roman"/>
                <w:sz w:val="18"/>
                <w:szCs w:val="18"/>
              </w:rPr>
            </w:pPr>
          </w:p>
          <w:p w14:paraId="26D01451" w14:textId="77777777" w:rsidR="00465215" w:rsidRPr="005E6D70" w:rsidRDefault="00465215" w:rsidP="009170D4">
            <w:pPr>
              <w:jc w:val="center"/>
              <w:rPr>
                <w:rFonts w:ascii="Times New Roman" w:eastAsia="Arial" w:hAnsi="Times New Roman" w:cs="Times New Roman"/>
                <w:sz w:val="18"/>
                <w:szCs w:val="18"/>
              </w:rPr>
            </w:pPr>
          </w:p>
          <w:p w14:paraId="17A83547" w14:textId="77777777" w:rsidR="00465215" w:rsidRPr="005E6D70" w:rsidRDefault="00465215" w:rsidP="009170D4">
            <w:pPr>
              <w:jc w:val="center"/>
              <w:rPr>
                <w:rFonts w:ascii="Times New Roman" w:eastAsia="Arial" w:hAnsi="Times New Roman" w:cs="Times New Roman"/>
                <w:sz w:val="18"/>
                <w:szCs w:val="18"/>
              </w:rPr>
            </w:pPr>
          </w:p>
          <w:p w14:paraId="2B10B412" w14:textId="77777777" w:rsidR="00465215" w:rsidRPr="005E6D70" w:rsidRDefault="00465215" w:rsidP="009170D4">
            <w:pPr>
              <w:jc w:val="center"/>
              <w:rPr>
                <w:rFonts w:ascii="Times New Roman" w:eastAsia="Arial" w:hAnsi="Times New Roman" w:cs="Times New Roman"/>
                <w:sz w:val="18"/>
                <w:szCs w:val="18"/>
              </w:rPr>
            </w:pPr>
          </w:p>
          <w:p w14:paraId="3AD8D0C2" w14:textId="77777777" w:rsidR="00465215" w:rsidRPr="005E6D70" w:rsidRDefault="00465215" w:rsidP="009170D4">
            <w:pPr>
              <w:jc w:val="center"/>
              <w:rPr>
                <w:rFonts w:ascii="Times New Roman" w:eastAsia="Arial" w:hAnsi="Times New Roman" w:cs="Times New Roman"/>
                <w:sz w:val="18"/>
                <w:szCs w:val="18"/>
              </w:rPr>
            </w:pPr>
          </w:p>
          <w:p w14:paraId="2ACD817D"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57(5)</w:t>
            </w:r>
          </w:p>
        </w:tc>
        <w:tc>
          <w:tcPr>
            <w:tcW w:w="4680" w:type="dxa"/>
            <w:gridSpan w:val="2"/>
          </w:tcPr>
          <w:p w14:paraId="28ED582D"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lastRenderedPageBreak/>
              <w:t xml:space="preserve">2. For the purpose of determining the effective tax rate for a jurisdiction in a transition year, and for each subsequent fiscal year, the multinational enterprise group or large-scale domestic group shall take into account all deferred tax assets and deferred tax liabilities reflected or disclosed in the financial accounts of all the constituent entities in a jurisdiction for the transition year. </w:t>
            </w:r>
          </w:p>
          <w:p w14:paraId="345C7FEE" w14:textId="77777777" w:rsidR="00465215" w:rsidRPr="005E6D70" w:rsidRDefault="00465215" w:rsidP="009170D4">
            <w:pPr>
              <w:jc w:val="both"/>
              <w:rPr>
                <w:rFonts w:ascii="Times New Roman" w:eastAsia="Arial" w:hAnsi="Times New Roman" w:cs="Times New Roman"/>
                <w:sz w:val="18"/>
                <w:szCs w:val="18"/>
              </w:rPr>
            </w:pPr>
          </w:p>
          <w:p w14:paraId="5BA48F2C"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3. The deferred tax assets and deferred tax liabilities referred to in paragraph 2, of this Article, shall be taken into account at the lower of: </w:t>
            </w:r>
          </w:p>
          <w:p w14:paraId="53157049" w14:textId="77777777" w:rsidR="00465215" w:rsidRPr="005E6D70" w:rsidRDefault="00465215" w:rsidP="009170D4">
            <w:pPr>
              <w:jc w:val="both"/>
              <w:rPr>
                <w:rFonts w:ascii="Times New Roman" w:eastAsia="Arial" w:hAnsi="Times New Roman" w:cs="Times New Roman"/>
                <w:sz w:val="18"/>
                <w:szCs w:val="18"/>
              </w:rPr>
            </w:pPr>
          </w:p>
          <w:p w14:paraId="78819089"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a) the minimum tax rate (15%); or </w:t>
            </w:r>
          </w:p>
          <w:p w14:paraId="1D92C6D1"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lastRenderedPageBreak/>
              <w:t xml:space="preserve">b) the applicable domestic tax rate at which such deferred tax was recorded. </w:t>
            </w:r>
          </w:p>
          <w:p w14:paraId="22E1FAE5" w14:textId="77777777" w:rsidR="00465215" w:rsidRPr="005E6D70" w:rsidRDefault="00465215" w:rsidP="009170D4">
            <w:pPr>
              <w:jc w:val="both"/>
              <w:rPr>
                <w:rFonts w:ascii="Times New Roman" w:eastAsia="Arial" w:hAnsi="Times New Roman" w:cs="Times New Roman"/>
                <w:sz w:val="18"/>
                <w:szCs w:val="18"/>
              </w:rPr>
            </w:pPr>
          </w:p>
          <w:p w14:paraId="5262FB28"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4. By way of derogation from paragraph 3, of this Article, a deferred tax asset that has been recorded at a tax rate lower than the minimum tax rate may be taken into account at the minimum tax rate if the taxpayer is able to demonstrate that the deferred tax asset is attributable to a qualifying loss. </w:t>
            </w:r>
          </w:p>
          <w:p w14:paraId="3A4A10D0" w14:textId="77777777" w:rsidR="00465215" w:rsidRPr="005E6D70" w:rsidRDefault="00465215" w:rsidP="009170D4">
            <w:pPr>
              <w:jc w:val="both"/>
              <w:rPr>
                <w:rFonts w:ascii="Times New Roman" w:eastAsia="Arial" w:hAnsi="Times New Roman" w:cs="Times New Roman"/>
                <w:sz w:val="18"/>
                <w:szCs w:val="18"/>
              </w:rPr>
            </w:pPr>
          </w:p>
          <w:p w14:paraId="4673C8E3"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5. The impact of any valuation adjustment or accounting recognition adjustment with respect to a deferred tax asset shall be disregarded for the purposes of the calculation under paragraph 2, of this Article.</w:t>
            </w:r>
          </w:p>
        </w:tc>
        <w:tc>
          <w:tcPr>
            <w:tcW w:w="1800" w:type="dxa"/>
            <w:gridSpan w:val="2"/>
          </w:tcPr>
          <w:p w14:paraId="62EE97A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763E1200"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Structural separation. The EU paragraph is converted into four sequentially numbered paragraphs (2 to 5).</w:t>
            </w:r>
          </w:p>
        </w:tc>
      </w:tr>
      <w:tr w:rsidR="00465215" w:rsidRPr="005E6D70" w14:paraId="2BDCC12E" w14:textId="77777777" w:rsidTr="009170D4">
        <w:trPr>
          <w:trHeight w:val="152"/>
        </w:trPr>
        <w:tc>
          <w:tcPr>
            <w:tcW w:w="810" w:type="dxa"/>
          </w:tcPr>
          <w:p w14:paraId="75357A3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47(3)</w:t>
            </w:r>
          </w:p>
        </w:tc>
        <w:tc>
          <w:tcPr>
            <w:tcW w:w="5040" w:type="dxa"/>
            <w:gridSpan w:val="2"/>
          </w:tcPr>
          <w:p w14:paraId="1F9F63DC"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3. Deferred tax assets arising from items excluded from the computation of qualifying income or loss in accordance with Chapter III shall be excluded from the computation referred to in paragraph 2 when such deferred tax assets are generated in a transaction that takes place after 30 November 2021.</w:t>
            </w:r>
          </w:p>
        </w:tc>
        <w:tc>
          <w:tcPr>
            <w:tcW w:w="990" w:type="dxa"/>
            <w:gridSpan w:val="2"/>
          </w:tcPr>
          <w:p w14:paraId="40C69F67"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1EDDF9E7"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57(6)</w:t>
            </w:r>
          </w:p>
        </w:tc>
        <w:tc>
          <w:tcPr>
            <w:tcW w:w="4680" w:type="dxa"/>
            <w:gridSpan w:val="2"/>
          </w:tcPr>
          <w:p w14:paraId="44C8D155"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6. Paragraphs 2 to 4, of this Article, shall not apply to deferred tax assets arising from items excluded from the computation of qualifying income or loss under Chapter III, of this Law, when such deferred tax assets are generated in a transaction that takes place after 30 November 2021.</w:t>
            </w:r>
          </w:p>
        </w:tc>
        <w:tc>
          <w:tcPr>
            <w:tcW w:w="1800" w:type="dxa"/>
            <w:gridSpan w:val="2"/>
          </w:tcPr>
          <w:p w14:paraId="67138F7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74744735"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Direct transposition.</w:t>
            </w:r>
          </w:p>
        </w:tc>
      </w:tr>
      <w:tr w:rsidR="00465215" w:rsidRPr="005E6D70" w14:paraId="0788E91F" w14:textId="77777777" w:rsidTr="009170D4">
        <w:trPr>
          <w:trHeight w:val="152"/>
        </w:trPr>
        <w:tc>
          <w:tcPr>
            <w:tcW w:w="810" w:type="dxa"/>
          </w:tcPr>
          <w:p w14:paraId="4EEBBE2D"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47(4)</w:t>
            </w:r>
          </w:p>
        </w:tc>
        <w:tc>
          <w:tcPr>
            <w:tcW w:w="5040" w:type="dxa"/>
            <w:gridSpan w:val="2"/>
          </w:tcPr>
          <w:p w14:paraId="44EBB497"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4. In the case of a transfer of assets between constituent entities after 30 November 2021 and before the commencement of a transition year, the basis in the acquired assets, other than inventory, shall be based upon the disposing constituent entity’s carrying value of the transferred assets upon disposal with deferred tax assets and liabilities determined on that basis.</w:t>
            </w:r>
          </w:p>
        </w:tc>
        <w:tc>
          <w:tcPr>
            <w:tcW w:w="990" w:type="dxa"/>
            <w:gridSpan w:val="2"/>
          </w:tcPr>
          <w:p w14:paraId="217BE271"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28AADDDF"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57(7)</w:t>
            </w:r>
          </w:p>
        </w:tc>
        <w:tc>
          <w:tcPr>
            <w:tcW w:w="4680" w:type="dxa"/>
            <w:gridSpan w:val="2"/>
          </w:tcPr>
          <w:p w14:paraId="3E0E7F2A"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7. In the case of a transfer of assets (other than inventory) between constituent entities after 30 November 2021 and before the commencement of a transition year, the value of the acquired assets (including amortisable or depreciable assets) shall be based on the transferring entity’s carrying value of the transferred assets at the time of disposal, with deferred tax assets and liabilities determined on that basis. This paragraph shall not apply if the multinational enterprise group treats the tax paid on the transfer as a covered tax in the year of transfer and includes the gain in the computation of qualifying income.</w:t>
            </w:r>
          </w:p>
        </w:tc>
        <w:tc>
          <w:tcPr>
            <w:tcW w:w="1800" w:type="dxa"/>
            <w:gridSpan w:val="2"/>
          </w:tcPr>
          <w:p w14:paraId="4D314F3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77B8CC77"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Direct transposition.</w:t>
            </w:r>
          </w:p>
        </w:tc>
      </w:tr>
      <w:tr w:rsidR="00465215" w:rsidRPr="005E6D70" w14:paraId="072F9FAD" w14:textId="77777777" w:rsidTr="009170D4">
        <w:trPr>
          <w:trHeight w:val="152"/>
        </w:trPr>
        <w:tc>
          <w:tcPr>
            <w:tcW w:w="810" w:type="dxa"/>
            <w:shd w:val="clear" w:color="auto" w:fill="D9D9D9" w:themeFill="background1" w:themeFillShade="D9"/>
          </w:tcPr>
          <w:p w14:paraId="2A63EF5A" w14:textId="77777777" w:rsidR="00465215" w:rsidRPr="005E6D70" w:rsidRDefault="00465215" w:rsidP="009170D4">
            <w:pPr>
              <w:jc w:val="both"/>
              <w:rPr>
                <w:rFonts w:ascii="Times New Roman" w:eastAsia="Calibri" w:hAnsi="Times New Roman" w:cs="Times New Roman"/>
                <w:b/>
                <w:bCs/>
                <w:sz w:val="18"/>
                <w:szCs w:val="18"/>
                <w:lang w:val="en-US"/>
              </w:rPr>
            </w:pPr>
          </w:p>
        </w:tc>
        <w:tc>
          <w:tcPr>
            <w:tcW w:w="5040" w:type="dxa"/>
            <w:gridSpan w:val="2"/>
            <w:shd w:val="clear" w:color="auto" w:fill="D9D9D9" w:themeFill="background1" w:themeFillShade="D9"/>
          </w:tcPr>
          <w:p w14:paraId="56E22629"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b/>
                <w:bCs/>
                <w:iCs/>
                <w:sz w:val="18"/>
                <w:szCs w:val="18"/>
                <w:lang w:val="en-US"/>
              </w:rPr>
              <w:t>Article 48. Transitional relief for the substance-based income exclusion</w:t>
            </w:r>
          </w:p>
        </w:tc>
        <w:tc>
          <w:tcPr>
            <w:tcW w:w="990" w:type="dxa"/>
            <w:gridSpan w:val="2"/>
            <w:shd w:val="clear" w:color="auto" w:fill="D9D9D9" w:themeFill="background1" w:themeFillShade="D9"/>
          </w:tcPr>
          <w:p w14:paraId="3CDEE443"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4DE7B15C"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b/>
                <w:bCs/>
                <w:sz w:val="18"/>
                <w:szCs w:val="18"/>
              </w:rPr>
              <w:t>31</w:t>
            </w:r>
          </w:p>
        </w:tc>
        <w:tc>
          <w:tcPr>
            <w:tcW w:w="4680" w:type="dxa"/>
            <w:gridSpan w:val="2"/>
            <w:shd w:val="clear" w:color="auto" w:fill="D9D9D9" w:themeFill="background1" w:themeFillShade="D9"/>
          </w:tcPr>
          <w:p w14:paraId="4C8BFA27"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b/>
                <w:bCs/>
                <w:sz w:val="18"/>
                <w:szCs w:val="18"/>
              </w:rPr>
              <w:t>Article 31. Transitional relief for the substance-based income exclusion</w:t>
            </w:r>
          </w:p>
        </w:tc>
        <w:tc>
          <w:tcPr>
            <w:tcW w:w="1800" w:type="dxa"/>
            <w:gridSpan w:val="2"/>
            <w:shd w:val="clear" w:color="auto" w:fill="D9D9D9" w:themeFill="background1" w:themeFillShade="D9"/>
          </w:tcPr>
          <w:p w14:paraId="31087AF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2D61420C"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Transposition of EU Directive Article 48 into Article 31 of the domestic draft law.</w:t>
            </w:r>
          </w:p>
        </w:tc>
      </w:tr>
      <w:tr w:rsidR="00465215" w:rsidRPr="005E6D70" w14:paraId="447B4485" w14:textId="77777777" w:rsidTr="009170D4">
        <w:trPr>
          <w:trHeight w:val="152"/>
        </w:trPr>
        <w:tc>
          <w:tcPr>
            <w:tcW w:w="810" w:type="dxa"/>
          </w:tcPr>
          <w:p w14:paraId="490D771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48(1)</w:t>
            </w:r>
          </w:p>
        </w:tc>
        <w:tc>
          <w:tcPr>
            <w:tcW w:w="5040" w:type="dxa"/>
            <w:gridSpan w:val="2"/>
          </w:tcPr>
          <w:p w14:paraId="249F16A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1. For the purpose of applying Article 28(3), the value of 5 % shall be replaced, for each fiscal year beginning from 31 December of the following calendar years, with the values set out in the following table:</w:t>
            </w:r>
          </w:p>
          <w:p w14:paraId="0636032E" w14:textId="77777777" w:rsidR="00465215" w:rsidRPr="005E6D70" w:rsidRDefault="00465215" w:rsidP="009170D4">
            <w:pPr>
              <w:jc w:val="both"/>
              <w:rPr>
                <w:rFonts w:ascii="Times New Roman" w:eastAsia="Calibri" w:hAnsi="Times New Roman" w:cs="Times New Roman"/>
                <w:iCs/>
                <w:sz w:val="18"/>
                <w:szCs w:val="18"/>
                <w:lang w:val="en-US"/>
              </w:rPr>
            </w:pPr>
          </w:p>
          <w:p w14:paraId="6124B9C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2023 -  10 %; </w:t>
            </w:r>
          </w:p>
          <w:p w14:paraId="58F6E3E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lastRenderedPageBreak/>
              <w:t xml:space="preserve">2024 - 9,8 %; </w:t>
            </w:r>
          </w:p>
          <w:p w14:paraId="1290DC26"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2025 - 9,6 %; </w:t>
            </w:r>
          </w:p>
          <w:p w14:paraId="5A5A542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2026 - 9,4 %; </w:t>
            </w:r>
          </w:p>
          <w:p w14:paraId="565A43E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2027 - 9,2 %; </w:t>
            </w:r>
          </w:p>
          <w:p w14:paraId="5FEC3E4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2028 - 9,0 %; </w:t>
            </w:r>
          </w:p>
          <w:p w14:paraId="051CF9B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2029 - 8,2 %; </w:t>
            </w:r>
          </w:p>
          <w:p w14:paraId="43A49A80"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2030 - 7,4 %; </w:t>
            </w:r>
          </w:p>
          <w:p w14:paraId="1CC8031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2031 - 6,6 %; </w:t>
            </w:r>
          </w:p>
          <w:p w14:paraId="402BFE26"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2032 - 5,8 %;</w:t>
            </w:r>
          </w:p>
        </w:tc>
        <w:tc>
          <w:tcPr>
            <w:tcW w:w="990" w:type="dxa"/>
            <w:gridSpan w:val="2"/>
          </w:tcPr>
          <w:p w14:paraId="72C1BB63"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0D3EBF07"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31(1)</w:t>
            </w:r>
          </w:p>
        </w:tc>
        <w:tc>
          <w:tcPr>
            <w:tcW w:w="4680" w:type="dxa"/>
            <w:gridSpan w:val="2"/>
          </w:tcPr>
          <w:p w14:paraId="3B331EF9"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1. For the purposes of applying paragraph 2, of Article 28, and Article 29, of this Law, the value of 5% relating to eligible payroll costs shall be replaced, for each fiscal year beginning from 31 December of the following calendar years, with the values set out in the following table:</w:t>
            </w:r>
          </w:p>
          <w:p w14:paraId="33380F79" w14:textId="77777777" w:rsidR="00465215" w:rsidRPr="005E6D70" w:rsidRDefault="00465215" w:rsidP="009170D4">
            <w:pPr>
              <w:jc w:val="both"/>
              <w:rPr>
                <w:rFonts w:ascii="Times New Roman" w:eastAsia="Arial" w:hAnsi="Times New Roman" w:cs="Times New Roman"/>
                <w:sz w:val="18"/>
                <w:szCs w:val="18"/>
              </w:rPr>
            </w:pPr>
          </w:p>
          <w:p w14:paraId="08B666B5"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lastRenderedPageBreak/>
              <w:t xml:space="preserve">2028 - 9,0 %; </w:t>
            </w:r>
          </w:p>
          <w:p w14:paraId="588EE7BF"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2029 - 8,2 %; </w:t>
            </w:r>
          </w:p>
          <w:p w14:paraId="7D5D7ADA"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2030 - 7,4 %; </w:t>
            </w:r>
          </w:p>
          <w:p w14:paraId="063EEFB1"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2031 - 6,6 %; </w:t>
            </w:r>
          </w:p>
          <w:p w14:paraId="377DFB65"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2032 - 5,8 %;</w:t>
            </w:r>
          </w:p>
        </w:tc>
        <w:tc>
          <w:tcPr>
            <w:tcW w:w="1800" w:type="dxa"/>
            <w:gridSpan w:val="2"/>
          </w:tcPr>
          <w:p w14:paraId="77221DF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72E4897C"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 xml:space="preserve">Transposition adapted to the timeline of the domestic legislation </w:t>
            </w:r>
            <w:r w:rsidRPr="005E6D70">
              <w:rPr>
                <w:rFonts w:ascii="Times New Roman" w:eastAsia="Arial" w:hAnsi="Times New Roman" w:cs="Times New Roman"/>
                <w:sz w:val="18"/>
                <w:szCs w:val="18"/>
              </w:rPr>
              <w:lastRenderedPageBreak/>
              <w:t>(starting from 2028).</w:t>
            </w:r>
          </w:p>
        </w:tc>
      </w:tr>
      <w:tr w:rsidR="00465215" w:rsidRPr="005E6D70" w14:paraId="526DD3D6" w14:textId="77777777" w:rsidTr="009170D4">
        <w:trPr>
          <w:trHeight w:val="152"/>
        </w:trPr>
        <w:tc>
          <w:tcPr>
            <w:tcW w:w="810" w:type="dxa"/>
          </w:tcPr>
          <w:p w14:paraId="48008080"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48(2)</w:t>
            </w:r>
          </w:p>
        </w:tc>
        <w:tc>
          <w:tcPr>
            <w:tcW w:w="5040" w:type="dxa"/>
            <w:gridSpan w:val="2"/>
          </w:tcPr>
          <w:p w14:paraId="564E94B3"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For the purpose of applying Article 28(4), the value of 5 % shall be replaced, for each fiscal year beginning from 31 December of the following calendar years, with the values set out in the following table:</w:t>
            </w:r>
          </w:p>
          <w:p w14:paraId="1FAB8DF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 </w:t>
            </w:r>
          </w:p>
          <w:p w14:paraId="13711425"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2023 -  8 %; </w:t>
            </w:r>
          </w:p>
          <w:p w14:paraId="741E8EC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2024 - 7,8 %; </w:t>
            </w:r>
          </w:p>
          <w:p w14:paraId="53576E9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2025 - 7,6 %; </w:t>
            </w:r>
          </w:p>
          <w:p w14:paraId="5C3B311C"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2026 - 7,4 %; </w:t>
            </w:r>
          </w:p>
          <w:p w14:paraId="65D7E23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2027 - 7,2 %; </w:t>
            </w:r>
          </w:p>
          <w:p w14:paraId="260EA9DB"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2028 - 7,0 %; </w:t>
            </w:r>
          </w:p>
          <w:p w14:paraId="1B9707C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2029 - 6,6 %; </w:t>
            </w:r>
          </w:p>
          <w:p w14:paraId="0C12599A"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2030 - 6,2 %; </w:t>
            </w:r>
          </w:p>
          <w:p w14:paraId="3704298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2031 - 5,8 %; </w:t>
            </w:r>
          </w:p>
          <w:p w14:paraId="35BA3646"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2032 - 5,4 %.</w:t>
            </w:r>
          </w:p>
        </w:tc>
        <w:tc>
          <w:tcPr>
            <w:tcW w:w="990" w:type="dxa"/>
            <w:gridSpan w:val="2"/>
          </w:tcPr>
          <w:p w14:paraId="43C0FC89"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5DA4FD31"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31(2)</w:t>
            </w:r>
          </w:p>
        </w:tc>
        <w:tc>
          <w:tcPr>
            <w:tcW w:w="4680" w:type="dxa"/>
            <w:gridSpan w:val="2"/>
          </w:tcPr>
          <w:p w14:paraId="1D923072"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2. For the purposes of applying paragraph 2, of Article 28, and Article 30, of this Law, the value of 5% elating to eligible tangible assets shall be replaced, for each fiscal year beginning from 31 December of the following calendar years, with the values set out in the following table:</w:t>
            </w:r>
          </w:p>
          <w:p w14:paraId="0C59519F" w14:textId="77777777" w:rsidR="00465215" w:rsidRPr="005E6D70" w:rsidRDefault="00465215" w:rsidP="009170D4">
            <w:pPr>
              <w:jc w:val="both"/>
              <w:rPr>
                <w:rFonts w:ascii="Times New Roman" w:eastAsia="Arial" w:hAnsi="Times New Roman" w:cs="Times New Roman"/>
                <w:sz w:val="18"/>
                <w:szCs w:val="18"/>
              </w:rPr>
            </w:pPr>
          </w:p>
          <w:p w14:paraId="599CE9D2"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2028 - 7,0 %; </w:t>
            </w:r>
          </w:p>
          <w:p w14:paraId="73C30BCE"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2029 - 6,6 %; </w:t>
            </w:r>
          </w:p>
          <w:p w14:paraId="1CA8DAF8"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2030 - 6,2 %; </w:t>
            </w:r>
          </w:p>
          <w:p w14:paraId="14E51CC3"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2031 - 5,8 %; </w:t>
            </w:r>
          </w:p>
          <w:p w14:paraId="348D0EF3"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2032 - 5,4 %.</w:t>
            </w:r>
          </w:p>
        </w:tc>
        <w:tc>
          <w:tcPr>
            <w:tcW w:w="1800" w:type="dxa"/>
            <w:gridSpan w:val="2"/>
          </w:tcPr>
          <w:p w14:paraId="22835D4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249DBD24"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Transposition adapted to the timeline of the domestic legislation (starting from 2028).</w:t>
            </w:r>
          </w:p>
        </w:tc>
      </w:tr>
      <w:tr w:rsidR="00465215" w:rsidRPr="005E6D70" w14:paraId="154A5567" w14:textId="77777777" w:rsidTr="009170D4">
        <w:trPr>
          <w:trHeight w:val="152"/>
        </w:trPr>
        <w:tc>
          <w:tcPr>
            <w:tcW w:w="810" w:type="dxa"/>
            <w:shd w:val="clear" w:color="auto" w:fill="D9D9D9" w:themeFill="background1" w:themeFillShade="D9"/>
          </w:tcPr>
          <w:p w14:paraId="5A6496B3" w14:textId="77777777" w:rsidR="00465215" w:rsidRPr="005E6D70" w:rsidRDefault="00465215" w:rsidP="009170D4">
            <w:pPr>
              <w:jc w:val="both"/>
              <w:rPr>
                <w:rFonts w:ascii="Times New Roman" w:eastAsia="Calibri" w:hAnsi="Times New Roman" w:cs="Times New Roman"/>
                <w:b/>
                <w:bCs/>
                <w:sz w:val="18"/>
                <w:szCs w:val="18"/>
                <w:lang w:val="en-US"/>
              </w:rPr>
            </w:pPr>
          </w:p>
        </w:tc>
        <w:tc>
          <w:tcPr>
            <w:tcW w:w="5040" w:type="dxa"/>
            <w:gridSpan w:val="2"/>
            <w:shd w:val="clear" w:color="auto" w:fill="D9D9D9" w:themeFill="background1" w:themeFillShade="D9"/>
          </w:tcPr>
          <w:p w14:paraId="5FF648B0"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b/>
                <w:bCs/>
                <w:iCs/>
                <w:sz w:val="18"/>
                <w:szCs w:val="18"/>
                <w:lang w:val="en-US"/>
              </w:rPr>
              <w:t>Article 49. Initial phase of exclusion from the IIR and UTPR of MNE groups and large-scale domestic groups</w:t>
            </w:r>
          </w:p>
        </w:tc>
        <w:tc>
          <w:tcPr>
            <w:tcW w:w="990" w:type="dxa"/>
            <w:gridSpan w:val="2"/>
            <w:shd w:val="clear" w:color="auto" w:fill="D9D9D9" w:themeFill="background1" w:themeFillShade="D9"/>
          </w:tcPr>
          <w:p w14:paraId="064F64DA"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2EDCBBAA"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b/>
                <w:bCs/>
                <w:sz w:val="18"/>
                <w:szCs w:val="18"/>
              </w:rPr>
              <w:t>58</w:t>
            </w:r>
          </w:p>
        </w:tc>
        <w:tc>
          <w:tcPr>
            <w:tcW w:w="4680" w:type="dxa"/>
            <w:gridSpan w:val="2"/>
            <w:shd w:val="clear" w:color="auto" w:fill="D9D9D9" w:themeFill="background1" w:themeFillShade="D9"/>
          </w:tcPr>
          <w:p w14:paraId="651832A3"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b/>
                <w:bCs/>
                <w:sz w:val="18"/>
                <w:szCs w:val="18"/>
              </w:rPr>
              <w:t>Article 58. Initial phase of exclusion from the IIR and UTPR of multinational enterprise groups and large-scale domestic groups</w:t>
            </w:r>
          </w:p>
        </w:tc>
        <w:tc>
          <w:tcPr>
            <w:tcW w:w="1800" w:type="dxa"/>
            <w:gridSpan w:val="2"/>
            <w:shd w:val="clear" w:color="auto" w:fill="D9D9D9" w:themeFill="background1" w:themeFillShade="D9"/>
          </w:tcPr>
          <w:p w14:paraId="6C5B74C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0B9CB14C"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Transposition of EU Directive Article 49 into Article 58 of the domestic draft law.</w:t>
            </w:r>
          </w:p>
        </w:tc>
      </w:tr>
      <w:tr w:rsidR="00465215" w:rsidRPr="005E6D70" w14:paraId="415929D1" w14:textId="77777777" w:rsidTr="009170D4">
        <w:trPr>
          <w:trHeight w:val="152"/>
        </w:trPr>
        <w:tc>
          <w:tcPr>
            <w:tcW w:w="810" w:type="dxa"/>
          </w:tcPr>
          <w:p w14:paraId="5FBB0B0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49(1)</w:t>
            </w:r>
          </w:p>
        </w:tc>
        <w:tc>
          <w:tcPr>
            <w:tcW w:w="5040" w:type="dxa"/>
            <w:gridSpan w:val="2"/>
          </w:tcPr>
          <w:p w14:paraId="25A24D94"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1. The top-up tax due by an ultimate parent entity located in a Member State in accordance with Article 5(2), or by an intermediate parent entity located in a Member State in accordance with Article 7(2) when the ultimate parent entity is an excluded entity, shall be reduced to zero:</w:t>
            </w:r>
          </w:p>
        </w:tc>
        <w:tc>
          <w:tcPr>
            <w:tcW w:w="990" w:type="dxa"/>
            <w:gridSpan w:val="2"/>
          </w:tcPr>
          <w:p w14:paraId="5E86F849"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7AEFFA55"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58(1)</w:t>
            </w:r>
          </w:p>
        </w:tc>
        <w:tc>
          <w:tcPr>
            <w:tcW w:w="4680" w:type="dxa"/>
            <w:gridSpan w:val="2"/>
          </w:tcPr>
          <w:p w14:paraId="63638BB5"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1. The top-up tax due by an ultimate parent entity located in the Republic of Albania in accordance with Article 6, of this Law, or by an intermediate parent entity located in the Republic of Albania in accordance with Article 8, of this Law, when the ultimate parent entity is an excluded entity, shall be reduced to zero:</w:t>
            </w:r>
          </w:p>
        </w:tc>
        <w:tc>
          <w:tcPr>
            <w:tcW w:w="1800" w:type="dxa"/>
            <w:gridSpan w:val="2"/>
          </w:tcPr>
          <w:p w14:paraId="7CF3904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26F28807"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Direct transposition.</w:t>
            </w:r>
          </w:p>
        </w:tc>
      </w:tr>
      <w:tr w:rsidR="00465215" w:rsidRPr="005E6D70" w14:paraId="6AE0867F" w14:textId="77777777" w:rsidTr="009170D4">
        <w:trPr>
          <w:trHeight w:val="152"/>
        </w:trPr>
        <w:tc>
          <w:tcPr>
            <w:tcW w:w="810" w:type="dxa"/>
          </w:tcPr>
          <w:p w14:paraId="14A6166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49(1a)</w:t>
            </w:r>
          </w:p>
        </w:tc>
        <w:tc>
          <w:tcPr>
            <w:tcW w:w="5040" w:type="dxa"/>
            <w:gridSpan w:val="2"/>
          </w:tcPr>
          <w:p w14:paraId="42B5972D"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(a) in the first five years of the initial phase of the international activity of the MNE group, notwithstanding the requirements laid down in Chapter V;</w:t>
            </w:r>
          </w:p>
        </w:tc>
        <w:tc>
          <w:tcPr>
            <w:tcW w:w="990" w:type="dxa"/>
            <w:gridSpan w:val="2"/>
          </w:tcPr>
          <w:p w14:paraId="4B757090"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736C2EA2"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58(1)(a)</w:t>
            </w:r>
          </w:p>
        </w:tc>
        <w:tc>
          <w:tcPr>
            <w:tcW w:w="4680" w:type="dxa"/>
            <w:gridSpan w:val="2"/>
          </w:tcPr>
          <w:p w14:paraId="1845F364"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a) for the first five years of the initial phase of the international activity of the multinational enterprise group, notwithstanding the requirements laid down in Chapter V, of this Law;</w:t>
            </w:r>
          </w:p>
        </w:tc>
        <w:tc>
          <w:tcPr>
            <w:tcW w:w="1800" w:type="dxa"/>
            <w:gridSpan w:val="2"/>
          </w:tcPr>
          <w:p w14:paraId="4E97049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1297F6B7"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Direct transposition.</w:t>
            </w:r>
          </w:p>
        </w:tc>
      </w:tr>
      <w:tr w:rsidR="00465215" w:rsidRPr="005E6D70" w14:paraId="5E0C089B" w14:textId="77777777" w:rsidTr="009170D4">
        <w:trPr>
          <w:trHeight w:val="152"/>
        </w:trPr>
        <w:tc>
          <w:tcPr>
            <w:tcW w:w="810" w:type="dxa"/>
          </w:tcPr>
          <w:p w14:paraId="4294A2E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49(1b)</w:t>
            </w:r>
          </w:p>
        </w:tc>
        <w:tc>
          <w:tcPr>
            <w:tcW w:w="5040" w:type="dxa"/>
            <w:gridSpan w:val="2"/>
          </w:tcPr>
          <w:p w14:paraId="5B3B7AC5"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(b) in the first five years, starting from the first day of the fiscal year in which the large-scale domestic group falls within the scope of this Directive for the first time.</w:t>
            </w:r>
          </w:p>
        </w:tc>
        <w:tc>
          <w:tcPr>
            <w:tcW w:w="990" w:type="dxa"/>
            <w:gridSpan w:val="2"/>
          </w:tcPr>
          <w:p w14:paraId="13E1D081"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59089EC8"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58(1)(b)</w:t>
            </w:r>
          </w:p>
        </w:tc>
        <w:tc>
          <w:tcPr>
            <w:tcW w:w="4680" w:type="dxa"/>
            <w:gridSpan w:val="2"/>
          </w:tcPr>
          <w:p w14:paraId="3AC04828"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b) for the first five years, starting from the first day of the fiscal year in which the large-scale domestic group falls within the scope of this Law for the first time.</w:t>
            </w:r>
          </w:p>
        </w:tc>
        <w:tc>
          <w:tcPr>
            <w:tcW w:w="1800" w:type="dxa"/>
            <w:gridSpan w:val="2"/>
          </w:tcPr>
          <w:p w14:paraId="7D9CF6C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09B41EBE"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Direct transposition.</w:t>
            </w:r>
          </w:p>
        </w:tc>
      </w:tr>
      <w:tr w:rsidR="00465215" w:rsidRPr="005E6D70" w14:paraId="21D7E99D" w14:textId="77777777" w:rsidTr="009170D4">
        <w:trPr>
          <w:trHeight w:val="152"/>
        </w:trPr>
        <w:tc>
          <w:tcPr>
            <w:tcW w:w="810" w:type="dxa"/>
          </w:tcPr>
          <w:p w14:paraId="0EB31B3F"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49(2)</w:t>
            </w:r>
          </w:p>
        </w:tc>
        <w:tc>
          <w:tcPr>
            <w:tcW w:w="5040" w:type="dxa"/>
            <w:gridSpan w:val="2"/>
          </w:tcPr>
          <w:p w14:paraId="0828F9CF"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2. Where the ultimate parent entity of an MNE group is located in a third-country jurisdiction, the top-up tax due by a constituent entity located in a Member State in accordance with Article 14(2) shall be reduced to zero in the first five years of the initial phase of the international activity of that MNE group, notwithstanding the requirements laid down in Chapter V.</w:t>
            </w:r>
          </w:p>
        </w:tc>
        <w:tc>
          <w:tcPr>
            <w:tcW w:w="990" w:type="dxa"/>
            <w:gridSpan w:val="2"/>
          </w:tcPr>
          <w:p w14:paraId="27043D56"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68B1DC7D"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58(2)</w:t>
            </w:r>
          </w:p>
        </w:tc>
        <w:tc>
          <w:tcPr>
            <w:tcW w:w="4680" w:type="dxa"/>
            <w:gridSpan w:val="2"/>
          </w:tcPr>
          <w:p w14:paraId="0A6495DC"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2. Where the ultimate parent entity of a multinational enterprise group is located in a third-country jurisdiction, the top-up tax due by a constituent entity located in the Republic of Albania in accordance with Article 12, of this Law, shall be reduced to zero for the first five years of the initial phase of the international activity of that multinational enterprise group, notwithstanding the requirements laid down in Chapter V, of this Law.</w:t>
            </w:r>
          </w:p>
        </w:tc>
        <w:tc>
          <w:tcPr>
            <w:tcW w:w="1800" w:type="dxa"/>
            <w:gridSpan w:val="2"/>
          </w:tcPr>
          <w:p w14:paraId="4FD5C25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568E080E"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Direct transposition.</w:t>
            </w:r>
          </w:p>
        </w:tc>
      </w:tr>
      <w:tr w:rsidR="00465215" w:rsidRPr="005E6D70" w14:paraId="166E9EC2" w14:textId="77777777" w:rsidTr="009170D4">
        <w:trPr>
          <w:trHeight w:val="152"/>
        </w:trPr>
        <w:tc>
          <w:tcPr>
            <w:tcW w:w="810" w:type="dxa"/>
          </w:tcPr>
          <w:p w14:paraId="7329EE6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49(3)</w:t>
            </w:r>
          </w:p>
        </w:tc>
        <w:tc>
          <w:tcPr>
            <w:tcW w:w="5040" w:type="dxa"/>
            <w:gridSpan w:val="2"/>
          </w:tcPr>
          <w:p w14:paraId="2AAC7C87"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3. An MNE group shall be considered to be in the initial phase of its international activity if, for a fiscal year:</w:t>
            </w:r>
          </w:p>
        </w:tc>
        <w:tc>
          <w:tcPr>
            <w:tcW w:w="990" w:type="dxa"/>
            <w:gridSpan w:val="2"/>
          </w:tcPr>
          <w:p w14:paraId="3632120C"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39EB2961"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58(3)</w:t>
            </w:r>
          </w:p>
        </w:tc>
        <w:tc>
          <w:tcPr>
            <w:tcW w:w="4680" w:type="dxa"/>
            <w:gridSpan w:val="2"/>
          </w:tcPr>
          <w:p w14:paraId="0D9F51F9"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3. For the purposes of this Article, a multinational enterprise group shall be considered to be in the initial phase of its international activity if, for the fiscal year:</w:t>
            </w:r>
          </w:p>
        </w:tc>
        <w:tc>
          <w:tcPr>
            <w:tcW w:w="1800" w:type="dxa"/>
            <w:gridSpan w:val="2"/>
          </w:tcPr>
          <w:p w14:paraId="341867D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27558225"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Direct transposition.</w:t>
            </w:r>
          </w:p>
        </w:tc>
      </w:tr>
      <w:tr w:rsidR="00465215" w:rsidRPr="005E6D70" w14:paraId="4D8527DD" w14:textId="77777777" w:rsidTr="009170D4">
        <w:trPr>
          <w:trHeight w:val="152"/>
        </w:trPr>
        <w:tc>
          <w:tcPr>
            <w:tcW w:w="810" w:type="dxa"/>
          </w:tcPr>
          <w:p w14:paraId="2CCD3FBC"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49(3a)</w:t>
            </w:r>
          </w:p>
        </w:tc>
        <w:tc>
          <w:tcPr>
            <w:tcW w:w="5040" w:type="dxa"/>
            <w:gridSpan w:val="2"/>
          </w:tcPr>
          <w:p w14:paraId="5912DF2B"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(a) it has constituent entities in no more than six jurisdictions; and</w:t>
            </w:r>
          </w:p>
        </w:tc>
        <w:tc>
          <w:tcPr>
            <w:tcW w:w="990" w:type="dxa"/>
            <w:gridSpan w:val="2"/>
          </w:tcPr>
          <w:p w14:paraId="44086696"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11546CE6"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58(3)(a)</w:t>
            </w:r>
          </w:p>
        </w:tc>
        <w:tc>
          <w:tcPr>
            <w:tcW w:w="4680" w:type="dxa"/>
            <w:gridSpan w:val="2"/>
          </w:tcPr>
          <w:p w14:paraId="6EE27650"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a) it has constituent entities in no more than six jurisdictions; and</w:t>
            </w:r>
          </w:p>
        </w:tc>
        <w:tc>
          <w:tcPr>
            <w:tcW w:w="1800" w:type="dxa"/>
            <w:gridSpan w:val="2"/>
          </w:tcPr>
          <w:p w14:paraId="00E1D533"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72BCBBFF"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Direct transposition.</w:t>
            </w:r>
          </w:p>
        </w:tc>
      </w:tr>
      <w:tr w:rsidR="00465215" w:rsidRPr="005E6D70" w14:paraId="23E8086D" w14:textId="77777777" w:rsidTr="009170D4">
        <w:trPr>
          <w:trHeight w:val="152"/>
        </w:trPr>
        <w:tc>
          <w:tcPr>
            <w:tcW w:w="810" w:type="dxa"/>
          </w:tcPr>
          <w:p w14:paraId="085722D4"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49(3b)</w:t>
            </w:r>
          </w:p>
        </w:tc>
        <w:tc>
          <w:tcPr>
            <w:tcW w:w="5040" w:type="dxa"/>
            <w:gridSpan w:val="2"/>
          </w:tcPr>
          <w:p w14:paraId="11DFD4D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(b) the sum of the net book value of the tangible assets of all the constituent entities of the MNE group located in all jurisdictions other than the reference jurisdiction does not exceed EUR 50 000 000.</w:t>
            </w:r>
          </w:p>
          <w:p w14:paraId="52F4196F" w14:textId="77777777" w:rsidR="00465215" w:rsidRPr="005E6D70" w:rsidRDefault="00465215" w:rsidP="009170D4">
            <w:pPr>
              <w:jc w:val="both"/>
              <w:rPr>
                <w:rFonts w:ascii="Times New Roman" w:eastAsia="Calibri" w:hAnsi="Times New Roman" w:cs="Times New Roman"/>
                <w:iCs/>
                <w:sz w:val="18"/>
                <w:szCs w:val="18"/>
                <w:lang w:val="en-US"/>
              </w:rPr>
            </w:pPr>
          </w:p>
          <w:p w14:paraId="7980AA69"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For the purposes of the first subparagraph, point (b), ‘reference jurisdiction’ means the jurisdiction in which the constituent entities of the MNE group have the highest total value of tangible assets in the fiscal year in which the MNE group originally falls within the scope of this Directive. The total value of tangible assets in a jurisdiction shall be the sum of the net book values of all tangible assets of all the constituent entities of the MNE group that are located in that jurisdiction.</w:t>
            </w:r>
          </w:p>
        </w:tc>
        <w:tc>
          <w:tcPr>
            <w:tcW w:w="990" w:type="dxa"/>
            <w:gridSpan w:val="2"/>
          </w:tcPr>
          <w:p w14:paraId="58167E58"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71F9EE13"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58(3)(b)</w:t>
            </w:r>
          </w:p>
          <w:p w14:paraId="1C2F55A0" w14:textId="77777777" w:rsidR="00465215" w:rsidRPr="005E6D70" w:rsidRDefault="00465215" w:rsidP="009170D4">
            <w:pPr>
              <w:jc w:val="center"/>
              <w:rPr>
                <w:rFonts w:ascii="Times New Roman" w:eastAsia="Arial" w:hAnsi="Times New Roman" w:cs="Times New Roman"/>
                <w:sz w:val="18"/>
                <w:szCs w:val="18"/>
              </w:rPr>
            </w:pPr>
          </w:p>
          <w:p w14:paraId="5EF4A561" w14:textId="77777777" w:rsidR="00465215" w:rsidRPr="005E6D70" w:rsidRDefault="00465215" w:rsidP="009170D4">
            <w:pPr>
              <w:jc w:val="center"/>
              <w:rPr>
                <w:rFonts w:ascii="Times New Roman" w:eastAsia="Arial" w:hAnsi="Times New Roman" w:cs="Times New Roman"/>
                <w:sz w:val="18"/>
                <w:szCs w:val="18"/>
              </w:rPr>
            </w:pPr>
          </w:p>
          <w:p w14:paraId="6A79544D"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58(4)</w:t>
            </w:r>
          </w:p>
        </w:tc>
        <w:tc>
          <w:tcPr>
            <w:tcW w:w="4680" w:type="dxa"/>
            <w:gridSpan w:val="2"/>
          </w:tcPr>
          <w:p w14:paraId="4BA3F48D"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b) the sum of the net book value of tangible assets of all constituent entities located in all jurisdictions other than the reference jurisdiction does not exceed EUR 50 000 000. </w:t>
            </w:r>
          </w:p>
          <w:p w14:paraId="6BE9923F" w14:textId="77777777" w:rsidR="00465215" w:rsidRPr="005E6D70" w:rsidRDefault="00465215" w:rsidP="009170D4">
            <w:pPr>
              <w:jc w:val="both"/>
              <w:rPr>
                <w:rFonts w:ascii="Times New Roman" w:eastAsia="Arial" w:hAnsi="Times New Roman" w:cs="Times New Roman"/>
                <w:sz w:val="18"/>
                <w:szCs w:val="18"/>
              </w:rPr>
            </w:pPr>
          </w:p>
          <w:p w14:paraId="7A9C7099"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4. For the purposes of letter “b”, of paragraph 3, of this Article, “reference jurisdiction” means the jurisdiction in which the constituent entities of the multinational enterprise group have the highest total value of tangible assets in the fiscal year in which the multinational enterprise group originally falls within the scope of this Law. The total value of tangible assets in a jurisdiction is the sum of the net book value of all tangible assets of all the constituent entities of the multinational enterprise group that are located in that jurisdiction.</w:t>
            </w:r>
          </w:p>
        </w:tc>
        <w:tc>
          <w:tcPr>
            <w:tcW w:w="1800" w:type="dxa"/>
            <w:gridSpan w:val="2"/>
          </w:tcPr>
          <w:p w14:paraId="5E98853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1C3B2430"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Structural separation. The definitional portion is established as paragraph 4.</w:t>
            </w:r>
          </w:p>
        </w:tc>
      </w:tr>
      <w:tr w:rsidR="00465215" w:rsidRPr="005E6D70" w14:paraId="519613AD" w14:textId="77777777" w:rsidTr="009170D4">
        <w:trPr>
          <w:trHeight w:val="152"/>
        </w:trPr>
        <w:tc>
          <w:tcPr>
            <w:tcW w:w="810" w:type="dxa"/>
          </w:tcPr>
          <w:p w14:paraId="1797FFE9"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49(4)</w:t>
            </w:r>
          </w:p>
        </w:tc>
        <w:tc>
          <w:tcPr>
            <w:tcW w:w="5040" w:type="dxa"/>
            <w:gridSpan w:val="2"/>
          </w:tcPr>
          <w:p w14:paraId="3D415DF8"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4. The period of five years referred to in paragraph 1, point (a), and in paragraph 2 shall start from the beginning of the fiscal year in which the MNE group originally falls within the scope of this Directive. </w:t>
            </w:r>
          </w:p>
          <w:p w14:paraId="0FBEC225" w14:textId="77777777" w:rsidR="00465215" w:rsidRPr="005E6D70" w:rsidRDefault="00465215" w:rsidP="009170D4">
            <w:pPr>
              <w:jc w:val="both"/>
              <w:rPr>
                <w:rFonts w:ascii="Times New Roman" w:eastAsia="Calibri" w:hAnsi="Times New Roman" w:cs="Times New Roman"/>
                <w:iCs/>
                <w:sz w:val="18"/>
                <w:szCs w:val="18"/>
                <w:lang w:val="en-US"/>
              </w:rPr>
            </w:pPr>
          </w:p>
          <w:p w14:paraId="242AD11F"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For MNE groups that are within the scope of this Directive when it enters into force, the five-year period referred to in paragraph 1, point (a), shall start on 31 December 2023.</w:t>
            </w:r>
          </w:p>
          <w:p w14:paraId="19A55746" w14:textId="77777777" w:rsidR="00465215" w:rsidRPr="005E6D70" w:rsidRDefault="00465215" w:rsidP="009170D4">
            <w:pPr>
              <w:jc w:val="both"/>
              <w:rPr>
                <w:rFonts w:ascii="Times New Roman" w:eastAsia="Calibri" w:hAnsi="Times New Roman" w:cs="Times New Roman"/>
                <w:iCs/>
                <w:sz w:val="18"/>
                <w:szCs w:val="18"/>
                <w:lang w:val="en-US"/>
              </w:rPr>
            </w:pPr>
          </w:p>
          <w:p w14:paraId="7711D711"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For MNE groups that are within the scope of this Directive when it enters into force, the five-year period referred to in paragraph 2 shall start on 31 December 2024. </w:t>
            </w:r>
          </w:p>
          <w:p w14:paraId="0274A1B0" w14:textId="77777777" w:rsidR="00465215" w:rsidRPr="005E6D70" w:rsidRDefault="00465215" w:rsidP="009170D4">
            <w:pPr>
              <w:jc w:val="both"/>
              <w:rPr>
                <w:rFonts w:ascii="Times New Roman" w:eastAsia="Calibri" w:hAnsi="Times New Roman" w:cs="Times New Roman"/>
                <w:iCs/>
                <w:sz w:val="18"/>
                <w:szCs w:val="18"/>
                <w:lang w:val="en-US"/>
              </w:rPr>
            </w:pPr>
          </w:p>
          <w:p w14:paraId="4F6B8FD0"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For large-scale domestic groups that are within the scope of this Directive when it enters into force, the five-year period referred to in paragraph 1, point (b), shall start on 31 December 2023.</w:t>
            </w:r>
          </w:p>
        </w:tc>
        <w:tc>
          <w:tcPr>
            <w:tcW w:w="990" w:type="dxa"/>
            <w:gridSpan w:val="2"/>
          </w:tcPr>
          <w:p w14:paraId="6C790537"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79C9F9FA"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58(5)</w:t>
            </w:r>
          </w:p>
          <w:p w14:paraId="5487D458" w14:textId="77777777" w:rsidR="00465215" w:rsidRPr="005E6D70" w:rsidRDefault="00465215" w:rsidP="009170D4">
            <w:pPr>
              <w:jc w:val="center"/>
              <w:rPr>
                <w:rFonts w:ascii="Times New Roman" w:eastAsia="Arial" w:hAnsi="Times New Roman" w:cs="Times New Roman"/>
                <w:sz w:val="18"/>
                <w:szCs w:val="18"/>
              </w:rPr>
            </w:pPr>
          </w:p>
          <w:p w14:paraId="79EA1CCA" w14:textId="77777777" w:rsidR="00465215" w:rsidRPr="005E6D70" w:rsidRDefault="00465215" w:rsidP="009170D4">
            <w:pPr>
              <w:jc w:val="center"/>
              <w:rPr>
                <w:rFonts w:ascii="Times New Roman" w:eastAsia="Arial" w:hAnsi="Times New Roman" w:cs="Times New Roman"/>
                <w:sz w:val="18"/>
                <w:szCs w:val="18"/>
              </w:rPr>
            </w:pPr>
          </w:p>
          <w:p w14:paraId="255F7602" w14:textId="77777777" w:rsidR="00465215" w:rsidRPr="005E6D70" w:rsidRDefault="00465215" w:rsidP="009170D4">
            <w:pPr>
              <w:jc w:val="center"/>
              <w:rPr>
                <w:rFonts w:ascii="Times New Roman" w:eastAsia="Arial" w:hAnsi="Times New Roman" w:cs="Times New Roman"/>
                <w:sz w:val="18"/>
                <w:szCs w:val="18"/>
              </w:rPr>
            </w:pPr>
          </w:p>
          <w:p w14:paraId="5A3EF1AF" w14:textId="77777777" w:rsidR="00465215" w:rsidRPr="005E6D70" w:rsidRDefault="00465215" w:rsidP="009170D4">
            <w:pPr>
              <w:jc w:val="center"/>
              <w:rPr>
                <w:rFonts w:ascii="Times New Roman" w:eastAsia="Arial" w:hAnsi="Times New Roman" w:cs="Times New Roman"/>
                <w:sz w:val="18"/>
                <w:szCs w:val="18"/>
              </w:rPr>
            </w:pPr>
          </w:p>
          <w:p w14:paraId="3BCAA0F0"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58(6)</w:t>
            </w:r>
          </w:p>
        </w:tc>
        <w:tc>
          <w:tcPr>
            <w:tcW w:w="4680" w:type="dxa"/>
            <w:gridSpan w:val="2"/>
          </w:tcPr>
          <w:p w14:paraId="678CF346"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5. The period of five years referred to in letter “a”, of paragraph 1, and in paragraph 2, of this Article, shall start from the beginning of the fiscal year in which the multinational enterprise group originally falls within the scope of this Law. </w:t>
            </w:r>
          </w:p>
          <w:p w14:paraId="255DA756" w14:textId="77777777" w:rsidR="00465215" w:rsidRPr="005E6D70" w:rsidRDefault="00465215" w:rsidP="009170D4">
            <w:pPr>
              <w:jc w:val="both"/>
              <w:rPr>
                <w:rFonts w:ascii="Times New Roman" w:eastAsia="Arial" w:hAnsi="Times New Roman" w:cs="Times New Roman"/>
                <w:sz w:val="18"/>
                <w:szCs w:val="18"/>
              </w:rPr>
            </w:pPr>
          </w:p>
          <w:p w14:paraId="14E95F18"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6. For multinational enterprise groups and large-scale domestic groups that are within the scope of this Law when it enters into force, the five-year period referred to in paragraphs 1 and 2, of this Article, shall start from the first day of the first fiscal year beginning on or after the date of the accession of the Republic of Albania to the European Union, provided that the conditions of paragraph 3, of this Article, are met.</w:t>
            </w:r>
          </w:p>
        </w:tc>
        <w:tc>
          <w:tcPr>
            <w:tcW w:w="1800" w:type="dxa"/>
            <w:gridSpan w:val="2"/>
          </w:tcPr>
          <w:p w14:paraId="57F1CED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7298237B"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Transposition adapted to the legislative timeline and specific EU accession context of the Republic of Albania.</w:t>
            </w:r>
          </w:p>
        </w:tc>
      </w:tr>
      <w:tr w:rsidR="00465215" w:rsidRPr="005E6D70" w14:paraId="762CFF50" w14:textId="77777777" w:rsidTr="009170D4">
        <w:trPr>
          <w:trHeight w:val="152"/>
        </w:trPr>
        <w:tc>
          <w:tcPr>
            <w:tcW w:w="810" w:type="dxa"/>
          </w:tcPr>
          <w:p w14:paraId="057DC69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49(5)</w:t>
            </w:r>
          </w:p>
        </w:tc>
        <w:tc>
          <w:tcPr>
            <w:tcW w:w="5040" w:type="dxa"/>
            <w:gridSpan w:val="2"/>
          </w:tcPr>
          <w:p w14:paraId="45375FAC"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5. The designated filing entity referred to in Article 44 shall inform the tax administration of the Member State in which it is located of the start of the initial phase of the MNE group’s international activity.</w:t>
            </w:r>
          </w:p>
        </w:tc>
        <w:tc>
          <w:tcPr>
            <w:tcW w:w="990" w:type="dxa"/>
            <w:gridSpan w:val="2"/>
          </w:tcPr>
          <w:p w14:paraId="785E2FC2"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505B235B"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58(7)</w:t>
            </w:r>
          </w:p>
        </w:tc>
        <w:tc>
          <w:tcPr>
            <w:tcW w:w="4680" w:type="dxa"/>
            <w:gridSpan w:val="2"/>
          </w:tcPr>
          <w:p w14:paraId="536839E4"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7. The designated filing entity shall inform the tax administration of the start of the initial phase in the first top-up tax information return filed by the multinational enterprise group.</w:t>
            </w:r>
          </w:p>
        </w:tc>
        <w:tc>
          <w:tcPr>
            <w:tcW w:w="1800" w:type="dxa"/>
            <w:gridSpan w:val="2"/>
          </w:tcPr>
          <w:p w14:paraId="6081C5E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6D9131B6"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Direct transposition.</w:t>
            </w:r>
          </w:p>
        </w:tc>
      </w:tr>
      <w:tr w:rsidR="00465215" w:rsidRPr="005E6D70" w14:paraId="00642F22" w14:textId="77777777" w:rsidTr="009170D4">
        <w:trPr>
          <w:trHeight w:val="152"/>
        </w:trPr>
        <w:tc>
          <w:tcPr>
            <w:tcW w:w="810" w:type="dxa"/>
            <w:shd w:val="clear" w:color="auto" w:fill="D9D9D9" w:themeFill="background1" w:themeFillShade="D9"/>
          </w:tcPr>
          <w:p w14:paraId="374B84FE" w14:textId="77777777" w:rsidR="00465215" w:rsidRPr="005E6D70" w:rsidRDefault="00465215" w:rsidP="009170D4">
            <w:pPr>
              <w:jc w:val="both"/>
              <w:rPr>
                <w:rFonts w:ascii="Times New Roman" w:eastAsia="Calibri" w:hAnsi="Times New Roman" w:cs="Times New Roman"/>
                <w:b/>
                <w:bCs/>
                <w:sz w:val="18"/>
                <w:szCs w:val="18"/>
                <w:lang w:val="en-US"/>
              </w:rPr>
            </w:pPr>
          </w:p>
        </w:tc>
        <w:tc>
          <w:tcPr>
            <w:tcW w:w="5040" w:type="dxa"/>
            <w:gridSpan w:val="2"/>
            <w:shd w:val="clear" w:color="auto" w:fill="D9D9D9" w:themeFill="background1" w:themeFillShade="D9"/>
          </w:tcPr>
          <w:p w14:paraId="6739D186"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b/>
                <w:bCs/>
                <w:iCs/>
                <w:sz w:val="18"/>
                <w:szCs w:val="18"/>
                <w:lang w:val="en-US"/>
              </w:rPr>
              <w:t>Article 50. Election for a delayed application of the IIR and UTPR</w:t>
            </w:r>
          </w:p>
        </w:tc>
        <w:tc>
          <w:tcPr>
            <w:tcW w:w="990" w:type="dxa"/>
            <w:gridSpan w:val="2"/>
            <w:shd w:val="clear" w:color="auto" w:fill="D9D9D9" w:themeFill="background1" w:themeFillShade="D9"/>
          </w:tcPr>
          <w:p w14:paraId="3027E5EF"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05ACDD04"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b/>
                <w:bCs/>
                <w:sz w:val="18"/>
                <w:szCs w:val="18"/>
              </w:rPr>
              <w:t>59</w:t>
            </w:r>
          </w:p>
        </w:tc>
        <w:tc>
          <w:tcPr>
            <w:tcW w:w="4680" w:type="dxa"/>
            <w:gridSpan w:val="2"/>
            <w:shd w:val="clear" w:color="auto" w:fill="D9D9D9" w:themeFill="background1" w:themeFillShade="D9"/>
          </w:tcPr>
          <w:p w14:paraId="53A7981A"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b/>
                <w:bCs/>
                <w:sz w:val="18"/>
                <w:szCs w:val="18"/>
              </w:rPr>
              <w:t>Article 59. Election for a delayed application of the IIR and the UTPR</w:t>
            </w:r>
          </w:p>
        </w:tc>
        <w:tc>
          <w:tcPr>
            <w:tcW w:w="1800" w:type="dxa"/>
            <w:gridSpan w:val="2"/>
            <w:shd w:val="clear" w:color="auto" w:fill="D9D9D9" w:themeFill="background1" w:themeFillShade="D9"/>
          </w:tcPr>
          <w:p w14:paraId="5F82F961"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3EA5F992"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Transposition of EU Directive Article 50 into Article 59 of the domestic draft law.</w:t>
            </w:r>
          </w:p>
        </w:tc>
      </w:tr>
      <w:tr w:rsidR="00465215" w:rsidRPr="005E6D70" w14:paraId="6B644523" w14:textId="77777777" w:rsidTr="009170D4">
        <w:trPr>
          <w:trHeight w:val="152"/>
        </w:trPr>
        <w:tc>
          <w:tcPr>
            <w:tcW w:w="810" w:type="dxa"/>
          </w:tcPr>
          <w:p w14:paraId="1E70DDB5"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50(1)</w:t>
            </w:r>
          </w:p>
        </w:tc>
        <w:tc>
          <w:tcPr>
            <w:tcW w:w="5040" w:type="dxa"/>
            <w:gridSpan w:val="2"/>
          </w:tcPr>
          <w:p w14:paraId="6AF61EA0"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1. By way of derogation from Articles 5 to 14, Member States in which no more than twelve ultimate parent entities of groups within the scope of this Directive are located may elect not to apply the IIR and the UTPR for six consecutive fiscal years beginning from 31 December 2023. Member States that make such election shall notify the Commission by 31 December 2023.</w:t>
            </w:r>
          </w:p>
        </w:tc>
        <w:tc>
          <w:tcPr>
            <w:tcW w:w="990" w:type="dxa"/>
            <w:gridSpan w:val="2"/>
          </w:tcPr>
          <w:p w14:paraId="7F01DF5A"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05E26A06"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59(1)</w:t>
            </w:r>
          </w:p>
          <w:p w14:paraId="5A0A1210" w14:textId="77777777" w:rsidR="00465215" w:rsidRPr="005E6D70" w:rsidRDefault="00465215" w:rsidP="009170D4">
            <w:pPr>
              <w:jc w:val="center"/>
              <w:rPr>
                <w:rFonts w:ascii="Times New Roman" w:eastAsia="Arial" w:hAnsi="Times New Roman" w:cs="Times New Roman"/>
                <w:sz w:val="18"/>
                <w:szCs w:val="18"/>
              </w:rPr>
            </w:pPr>
          </w:p>
          <w:p w14:paraId="4F63DE42" w14:textId="77777777" w:rsidR="00465215" w:rsidRPr="005E6D70" w:rsidRDefault="00465215" w:rsidP="009170D4">
            <w:pPr>
              <w:jc w:val="center"/>
              <w:rPr>
                <w:rFonts w:ascii="Times New Roman" w:eastAsia="Arial" w:hAnsi="Times New Roman" w:cs="Times New Roman"/>
                <w:sz w:val="18"/>
                <w:szCs w:val="18"/>
              </w:rPr>
            </w:pPr>
          </w:p>
          <w:p w14:paraId="455259C6" w14:textId="77777777" w:rsidR="00465215" w:rsidRPr="005E6D70" w:rsidRDefault="00465215" w:rsidP="009170D4">
            <w:pPr>
              <w:jc w:val="center"/>
              <w:rPr>
                <w:rFonts w:ascii="Times New Roman" w:eastAsia="Arial" w:hAnsi="Times New Roman" w:cs="Times New Roman"/>
                <w:sz w:val="18"/>
                <w:szCs w:val="18"/>
              </w:rPr>
            </w:pPr>
          </w:p>
          <w:p w14:paraId="034AEBEE" w14:textId="77777777" w:rsidR="00465215" w:rsidRPr="005E6D70" w:rsidRDefault="00465215" w:rsidP="009170D4">
            <w:pPr>
              <w:jc w:val="center"/>
              <w:rPr>
                <w:rFonts w:ascii="Times New Roman" w:eastAsia="Arial" w:hAnsi="Times New Roman" w:cs="Times New Roman"/>
                <w:sz w:val="18"/>
                <w:szCs w:val="18"/>
              </w:rPr>
            </w:pPr>
          </w:p>
          <w:p w14:paraId="6C49CB9F" w14:textId="77777777" w:rsidR="00465215" w:rsidRPr="005E6D70" w:rsidRDefault="00465215" w:rsidP="009170D4">
            <w:pPr>
              <w:jc w:val="center"/>
              <w:rPr>
                <w:rFonts w:ascii="Times New Roman" w:eastAsia="Arial" w:hAnsi="Times New Roman" w:cs="Times New Roman"/>
                <w:sz w:val="18"/>
                <w:szCs w:val="18"/>
              </w:rPr>
            </w:pPr>
          </w:p>
          <w:p w14:paraId="66157B83" w14:textId="77777777" w:rsidR="00465215" w:rsidRPr="005E6D70" w:rsidRDefault="00465215" w:rsidP="009170D4">
            <w:pPr>
              <w:jc w:val="center"/>
              <w:rPr>
                <w:rFonts w:ascii="Times New Roman" w:eastAsia="Arial" w:hAnsi="Times New Roman" w:cs="Times New Roman"/>
                <w:sz w:val="18"/>
                <w:szCs w:val="18"/>
              </w:rPr>
            </w:pPr>
          </w:p>
          <w:p w14:paraId="61303EF5" w14:textId="77777777" w:rsidR="00465215" w:rsidRPr="005E6D70" w:rsidRDefault="00465215" w:rsidP="009170D4">
            <w:pPr>
              <w:jc w:val="center"/>
              <w:rPr>
                <w:rFonts w:ascii="Times New Roman" w:eastAsia="Arial" w:hAnsi="Times New Roman" w:cs="Times New Roman"/>
                <w:sz w:val="18"/>
                <w:szCs w:val="18"/>
              </w:rPr>
            </w:pPr>
          </w:p>
          <w:p w14:paraId="12EC2C33"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59(2)</w:t>
            </w:r>
          </w:p>
          <w:p w14:paraId="09686949" w14:textId="77777777" w:rsidR="00465215" w:rsidRPr="005E6D70" w:rsidRDefault="00465215" w:rsidP="009170D4">
            <w:pPr>
              <w:jc w:val="center"/>
              <w:rPr>
                <w:rFonts w:ascii="Times New Roman" w:eastAsia="Arial" w:hAnsi="Times New Roman" w:cs="Times New Roman"/>
                <w:sz w:val="18"/>
                <w:szCs w:val="18"/>
              </w:rPr>
            </w:pPr>
          </w:p>
          <w:p w14:paraId="059BD74F" w14:textId="77777777" w:rsidR="00465215" w:rsidRPr="005E6D70" w:rsidRDefault="00465215" w:rsidP="009170D4">
            <w:pPr>
              <w:jc w:val="center"/>
              <w:rPr>
                <w:rFonts w:ascii="Times New Roman" w:eastAsia="Arial" w:hAnsi="Times New Roman" w:cs="Times New Roman"/>
                <w:sz w:val="18"/>
                <w:szCs w:val="18"/>
              </w:rPr>
            </w:pPr>
          </w:p>
          <w:p w14:paraId="469FB79B" w14:textId="77777777" w:rsidR="00465215" w:rsidRPr="005E6D70" w:rsidRDefault="00465215" w:rsidP="009170D4">
            <w:pPr>
              <w:jc w:val="center"/>
              <w:rPr>
                <w:rFonts w:ascii="Times New Roman" w:eastAsia="Arial" w:hAnsi="Times New Roman" w:cs="Times New Roman"/>
                <w:sz w:val="18"/>
                <w:szCs w:val="18"/>
              </w:rPr>
            </w:pPr>
          </w:p>
          <w:p w14:paraId="7853A134" w14:textId="77777777" w:rsidR="00465215" w:rsidRPr="005E6D70" w:rsidRDefault="00465215" w:rsidP="009170D4">
            <w:pPr>
              <w:jc w:val="center"/>
              <w:rPr>
                <w:rFonts w:ascii="Times New Roman" w:eastAsia="Arial" w:hAnsi="Times New Roman" w:cs="Times New Roman"/>
                <w:sz w:val="18"/>
                <w:szCs w:val="18"/>
              </w:rPr>
            </w:pPr>
          </w:p>
          <w:p w14:paraId="3B5C374F" w14:textId="77777777" w:rsidR="00465215" w:rsidRPr="005E6D70" w:rsidRDefault="00465215" w:rsidP="009170D4">
            <w:pPr>
              <w:jc w:val="center"/>
              <w:rPr>
                <w:rFonts w:ascii="Times New Roman" w:eastAsia="Arial" w:hAnsi="Times New Roman" w:cs="Times New Roman"/>
                <w:sz w:val="18"/>
                <w:szCs w:val="18"/>
              </w:rPr>
            </w:pPr>
          </w:p>
          <w:p w14:paraId="5BC2AF6F" w14:textId="77777777" w:rsidR="00465215" w:rsidRPr="005E6D70" w:rsidRDefault="00465215" w:rsidP="009170D4">
            <w:pPr>
              <w:jc w:val="center"/>
              <w:rPr>
                <w:rFonts w:ascii="Times New Roman" w:eastAsia="Arial" w:hAnsi="Times New Roman" w:cs="Times New Roman"/>
                <w:sz w:val="18"/>
                <w:szCs w:val="18"/>
              </w:rPr>
            </w:pPr>
          </w:p>
          <w:p w14:paraId="56D11814" w14:textId="77777777" w:rsidR="00465215" w:rsidRPr="005E6D70" w:rsidRDefault="00465215" w:rsidP="009170D4">
            <w:pPr>
              <w:jc w:val="center"/>
              <w:rPr>
                <w:rFonts w:ascii="Times New Roman" w:eastAsia="Arial" w:hAnsi="Times New Roman" w:cs="Times New Roman"/>
                <w:sz w:val="18"/>
                <w:szCs w:val="18"/>
              </w:rPr>
            </w:pPr>
          </w:p>
          <w:p w14:paraId="2E95A08B" w14:textId="77777777" w:rsidR="00465215" w:rsidRPr="005E6D70" w:rsidRDefault="00465215" w:rsidP="009170D4">
            <w:pPr>
              <w:jc w:val="center"/>
              <w:rPr>
                <w:rFonts w:ascii="Times New Roman" w:eastAsia="Arial" w:hAnsi="Times New Roman" w:cs="Times New Roman"/>
                <w:sz w:val="18"/>
                <w:szCs w:val="18"/>
              </w:rPr>
            </w:pPr>
          </w:p>
          <w:p w14:paraId="3D3CAFD7" w14:textId="77777777" w:rsidR="00465215" w:rsidRPr="005E6D70" w:rsidRDefault="00465215" w:rsidP="009170D4">
            <w:pPr>
              <w:jc w:val="center"/>
              <w:rPr>
                <w:rFonts w:ascii="Times New Roman" w:eastAsia="Arial" w:hAnsi="Times New Roman" w:cs="Times New Roman"/>
                <w:sz w:val="18"/>
                <w:szCs w:val="18"/>
              </w:rPr>
            </w:pPr>
          </w:p>
          <w:p w14:paraId="5C329F8C" w14:textId="77777777" w:rsidR="00465215" w:rsidRPr="005E6D70" w:rsidRDefault="00465215" w:rsidP="009170D4">
            <w:pPr>
              <w:jc w:val="center"/>
              <w:rPr>
                <w:rFonts w:ascii="Times New Roman" w:eastAsia="Arial" w:hAnsi="Times New Roman" w:cs="Times New Roman"/>
                <w:sz w:val="18"/>
                <w:szCs w:val="18"/>
              </w:rPr>
            </w:pPr>
          </w:p>
          <w:p w14:paraId="1D1FB2E6" w14:textId="77777777" w:rsidR="00465215" w:rsidRPr="005E6D70" w:rsidRDefault="00465215" w:rsidP="009170D4">
            <w:pPr>
              <w:jc w:val="center"/>
              <w:rPr>
                <w:rFonts w:ascii="Times New Roman" w:eastAsia="Arial" w:hAnsi="Times New Roman" w:cs="Times New Roman"/>
                <w:sz w:val="18"/>
                <w:szCs w:val="18"/>
              </w:rPr>
            </w:pPr>
          </w:p>
          <w:p w14:paraId="641EF0C1" w14:textId="77777777" w:rsidR="00465215" w:rsidRPr="005E6D70" w:rsidRDefault="00465215" w:rsidP="009170D4">
            <w:pPr>
              <w:jc w:val="center"/>
              <w:rPr>
                <w:rFonts w:ascii="Times New Roman" w:eastAsia="Arial" w:hAnsi="Times New Roman" w:cs="Times New Roman"/>
                <w:sz w:val="18"/>
                <w:szCs w:val="18"/>
              </w:rPr>
            </w:pPr>
          </w:p>
          <w:p w14:paraId="1206F5BB" w14:textId="77777777" w:rsidR="00465215" w:rsidRPr="005E6D70" w:rsidRDefault="00465215" w:rsidP="009170D4">
            <w:pPr>
              <w:jc w:val="center"/>
              <w:rPr>
                <w:rFonts w:ascii="Times New Roman" w:eastAsia="Arial" w:hAnsi="Times New Roman" w:cs="Times New Roman"/>
                <w:sz w:val="18"/>
                <w:szCs w:val="18"/>
              </w:rPr>
            </w:pPr>
          </w:p>
          <w:p w14:paraId="300DC3B4" w14:textId="77777777" w:rsidR="00465215" w:rsidRPr="005E6D70" w:rsidRDefault="00465215" w:rsidP="009170D4">
            <w:pPr>
              <w:jc w:val="center"/>
              <w:rPr>
                <w:rFonts w:ascii="Times New Roman" w:eastAsia="Arial" w:hAnsi="Times New Roman" w:cs="Times New Roman"/>
                <w:sz w:val="18"/>
                <w:szCs w:val="18"/>
              </w:rPr>
            </w:pPr>
          </w:p>
          <w:p w14:paraId="1B198FC8" w14:textId="77777777" w:rsidR="00465215" w:rsidRPr="005E6D70" w:rsidRDefault="00465215" w:rsidP="009170D4">
            <w:pPr>
              <w:jc w:val="center"/>
              <w:rPr>
                <w:rFonts w:ascii="Times New Roman" w:eastAsia="Arial" w:hAnsi="Times New Roman" w:cs="Times New Roman"/>
                <w:sz w:val="18"/>
                <w:szCs w:val="18"/>
              </w:rPr>
            </w:pPr>
          </w:p>
          <w:p w14:paraId="3EADB8C2" w14:textId="77777777" w:rsidR="00465215" w:rsidRPr="005E6D70" w:rsidRDefault="00465215" w:rsidP="009170D4">
            <w:pPr>
              <w:jc w:val="center"/>
              <w:rPr>
                <w:rFonts w:ascii="Times New Roman" w:eastAsia="Arial" w:hAnsi="Times New Roman" w:cs="Times New Roman"/>
                <w:sz w:val="18"/>
                <w:szCs w:val="18"/>
              </w:rPr>
            </w:pPr>
            <w:r w:rsidRPr="005E6D70">
              <w:rPr>
                <w:rFonts w:ascii="Times New Roman" w:eastAsia="Arial" w:hAnsi="Times New Roman" w:cs="Times New Roman"/>
                <w:sz w:val="18"/>
                <w:szCs w:val="18"/>
              </w:rPr>
              <w:t>59(3)</w:t>
            </w:r>
          </w:p>
          <w:p w14:paraId="2995C0CC" w14:textId="77777777" w:rsidR="00465215" w:rsidRPr="005E6D70" w:rsidRDefault="00465215" w:rsidP="009170D4">
            <w:pPr>
              <w:jc w:val="center"/>
              <w:rPr>
                <w:rFonts w:ascii="Times New Roman" w:eastAsia="Calibri" w:hAnsi="Times New Roman" w:cs="Times New Roman"/>
                <w:b/>
                <w:bCs/>
                <w:sz w:val="18"/>
                <w:szCs w:val="18"/>
                <w:lang w:val="en-US"/>
              </w:rPr>
            </w:pPr>
          </w:p>
        </w:tc>
        <w:tc>
          <w:tcPr>
            <w:tcW w:w="4680" w:type="dxa"/>
            <w:gridSpan w:val="2"/>
          </w:tcPr>
          <w:p w14:paraId="71120F2C"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1. Considering that fewer than 12 ultimate parent entities of multinational enterprise groups within the scope of this Law are located in the territory of the Republic of Albania, the Republic of Albania elects to apply the option for a delayed application of the income inclusion rule (IIR) and the undertaxed profit rule (UTPR) for a period of six consecutive fiscal years ending on 31 December 2029. </w:t>
            </w:r>
          </w:p>
          <w:p w14:paraId="5CDD0C9C" w14:textId="77777777" w:rsidR="00465215" w:rsidRPr="005E6D70" w:rsidRDefault="00465215" w:rsidP="009170D4">
            <w:pPr>
              <w:jc w:val="both"/>
              <w:rPr>
                <w:rFonts w:ascii="Times New Roman" w:eastAsia="Arial" w:hAnsi="Times New Roman" w:cs="Times New Roman"/>
                <w:sz w:val="18"/>
                <w:szCs w:val="18"/>
              </w:rPr>
            </w:pPr>
          </w:p>
          <w:p w14:paraId="27399FCE"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2. In accordance with paragraph 1, of this Article, and notwithstanding Articles 6 to 13, of this Law, the ultimate parent entities and constituent entities located in the Republic of Albania shall not be required to apply the IIR and the UTPR for any fiscal year beginning before 1 January 2030.</w:t>
            </w:r>
          </w:p>
          <w:p w14:paraId="68B46139" w14:textId="77777777" w:rsidR="00465215" w:rsidRPr="005E6D70" w:rsidRDefault="00465215" w:rsidP="009170D4">
            <w:pPr>
              <w:jc w:val="both"/>
              <w:rPr>
                <w:rFonts w:ascii="Times New Roman" w:eastAsia="Arial" w:hAnsi="Times New Roman" w:cs="Times New Roman"/>
                <w:sz w:val="18"/>
                <w:szCs w:val="18"/>
              </w:rPr>
            </w:pPr>
          </w:p>
          <w:p w14:paraId="6B02BB2B" w14:textId="77777777" w:rsidR="00465215" w:rsidRPr="005E6D70" w:rsidRDefault="00465215" w:rsidP="009170D4">
            <w:pPr>
              <w:jc w:val="both"/>
              <w:rPr>
                <w:rFonts w:ascii="Times New Roman" w:eastAsia="Arial" w:hAnsi="Times New Roman" w:cs="Times New Roman"/>
                <w:sz w:val="18"/>
                <w:szCs w:val="18"/>
              </w:rPr>
            </w:pPr>
          </w:p>
          <w:p w14:paraId="62D35D4D" w14:textId="77777777" w:rsidR="00465215" w:rsidRPr="005E6D70" w:rsidRDefault="00465215" w:rsidP="009170D4">
            <w:pPr>
              <w:jc w:val="both"/>
              <w:rPr>
                <w:rFonts w:ascii="Times New Roman" w:eastAsia="Arial" w:hAnsi="Times New Roman" w:cs="Times New Roman"/>
                <w:sz w:val="18"/>
                <w:szCs w:val="18"/>
              </w:rPr>
            </w:pPr>
          </w:p>
          <w:p w14:paraId="61AF3667" w14:textId="77777777" w:rsidR="00465215" w:rsidRPr="005E6D70" w:rsidRDefault="00465215" w:rsidP="009170D4">
            <w:pPr>
              <w:jc w:val="both"/>
              <w:rPr>
                <w:rFonts w:ascii="Times New Roman" w:eastAsia="Arial" w:hAnsi="Times New Roman" w:cs="Times New Roman"/>
                <w:sz w:val="18"/>
                <w:szCs w:val="18"/>
              </w:rPr>
            </w:pPr>
          </w:p>
          <w:p w14:paraId="19C6E8AF" w14:textId="77777777" w:rsidR="00465215" w:rsidRPr="005E6D70" w:rsidRDefault="00465215" w:rsidP="009170D4">
            <w:pPr>
              <w:jc w:val="both"/>
              <w:rPr>
                <w:rFonts w:ascii="Times New Roman" w:eastAsia="Arial" w:hAnsi="Times New Roman" w:cs="Times New Roman"/>
                <w:sz w:val="18"/>
                <w:szCs w:val="18"/>
              </w:rPr>
            </w:pPr>
          </w:p>
          <w:p w14:paraId="7ED93E30" w14:textId="77777777" w:rsidR="00465215" w:rsidRPr="005E6D70" w:rsidRDefault="00465215" w:rsidP="009170D4">
            <w:pPr>
              <w:jc w:val="both"/>
              <w:rPr>
                <w:rFonts w:ascii="Times New Roman" w:eastAsia="Arial" w:hAnsi="Times New Roman" w:cs="Times New Roman"/>
                <w:sz w:val="18"/>
                <w:szCs w:val="18"/>
              </w:rPr>
            </w:pPr>
          </w:p>
          <w:p w14:paraId="6F33B59D" w14:textId="77777777" w:rsidR="00465215" w:rsidRPr="005E6D70" w:rsidRDefault="00465215" w:rsidP="009170D4">
            <w:pPr>
              <w:jc w:val="both"/>
              <w:rPr>
                <w:rFonts w:ascii="Times New Roman" w:eastAsia="Arial" w:hAnsi="Times New Roman" w:cs="Times New Roman"/>
                <w:sz w:val="18"/>
                <w:szCs w:val="18"/>
              </w:rPr>
            </w:pPr>
          </w:p>
          <w:p w14:paraId="2DCB43BE" w14:textId="77777777" w:rsidR="00465215" w:rsidRPr="005E6D70" w:rsidRDefault="00465215" w:rsidP="009170D4">
            <w:pPr>
              <w:jc w:val="both"/>
              <w:rPr>
                <w:rFonts w:ascii="Times New Roman" w:eastAsia="Arial" w:hAnsi="Times New Roman" w:cs="Times New Roman"/>
                <w:sz w:val="18"/>
                <w:szCs w:val="18"/>
              </w:rPr>
            </w:pPr>
          </w:p>
          <w:p w14:paraId="69F2A5AA" w14:textId="77777777" w:rsidR="00465215" w:rsidRPr="005E6D70" w:rsidRDefault="00465215" w:rsidP="009170D4">
            <w:pPr>
              <w:jc w:val="both"/>
              <w:rPr>
                <w:rFonts w:ascii="Times New Roman" w:eastAsia="Arial" w:hAnsi="Times New Roman" w:cs="Times New Roman"/>
                <w:sz w:val="18"/>
                <w:szCs w:val="18"/>
              </w:rPr>
            </w:pPr>
          </w:p>
          <w:p w14:paraId="1CCA5C34" w14:textId="77777777" w:rsidR="00465215" w:rsidRPr="005E6D70" w:rsidRDefault="00465215" w:rsidP="009170D4">
            <w:pPr>
              <w:jc w:val="both"/>
              <w:rPr>
                <w:rFonts w:ascii="Times New Roman" w:eastAsia="Arial" w:hAnsi="Times New Roman" w:cs="Times New Roman"/>
                <w:sz w:val="18"/>
                <w:szCs w:val="18"/>
              </w:rPr>
            </w:pPr>
          </w:p>
          <w:p w14:paraId="1A3FEA85" w14:textId="77777777" w:rsidR="00465215" w:rsidRPr="005E6D70" w:rsidRDefault="00465215" w:rsidP="009170D4">
            <w:pPr>
              <w:jc w:val="both"/>
              <w:rPr>
                <w:rFonts w:ascii="Times New Roman" w:eastAsia="Arial" w:hAnsi="Times New Roman" w:cs="Times New Roman"/>
                <w:sz w:val="18"/>
                <w:szCs w:val="18"/>
              </w:rPr>
            </w:pPr>
          </w:p>
          <w:p w14:paraId="2114A990" w14:textId="77777777" w:rsidR="00465215" w:rsidRPr="005E6D70" w:rsidRDefault="00465215" w:rsidP="009170D4">
            <w:pPr>
              <w:jc w:val="both"/>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3. Notwithstanding paragraph 2, of this Article, the constituent entities located in the Republic of Albania shall apply the </w:t>
            </w:r>
            <w:r w:rsidRPr="005E6D70">
              <w:rPr>
                <w:rFonts w:ascii="Times New Roman" w:eastAsia="Arial" w:hAnsi="Times New Roman" w:cs="Times New Roman"/>
                <w:sz w:val="18"/>
                <w:szCs w:val="18"/>
              </w:rPr>
              <w:lastRenderedPageBreak/>
              <w:t>qualified domestic top-up tax in accordance with Article 47, of this Law, for fiscal years beginning on or after the date of application of this Law, as determined in Article 62, of this Law.</w:t>
            </w:r>
          </w:p>
        </w:tc>
        <w:tc>
          <w:tcPr>
            <w:tcW w:w="1800" w:type="dxa"/>
            <w:gridSpan w:val="2"/>
          </w:tcPr>
          <w:p w14:paraId="30B9CA76"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F</w:t>
            </w:r>
          </w:p>
        </w:tc>
        <w:tc>
          <w:tcPr>
            <w:tcW w:w="1350" w:type="dxa"/>
          </w:tcPr>
          <w:p w14:paraId="6298DFD7" w14:textId="77777777" w:rsidR="00465215" w:rsidRPr="005E6D70" w:rsidRDefault="00465215" w:rsidP="009170D4">
            <w:pPr>
              <w:rPr>
                <w:rFonts w:ascii="Times New Roman" w:eastAsia="Arial" w:hAnsi="Times New Roman" w:cs="Times New Roman"/>
                <w:sz w:val="18"/>
                <w:szCs w:val="18"/>
              </w:rPr>
            </w:pPr>
            <w:r w:rsidRPr="005E6D70">
              <w:rPr>
                <w:rFonts w:ascii="Times New Roman" w:eastAsia="Arial" w:hAnsi="Times New Roman" w:cs="Times New Roman"/>
                <w:sz w:val="18"/>
                <w:szCs w:val="18"/>
              </w:rPr>
              <w:t>Transposition adjusted to assert the specific exercise of the election by the Republic of Albania directly within the text of the law. Cross-references updated to Articles 6 to 13 of the domestic draft law, and the timeline adapted to the domestic accession context.</w:t>
            </w:r>
          </w:p>
          <w:p w14:paraId="1DD0262E" w14:textId="77777777" w:rsidR="00465215" w:rsidRPr="005E6D70" w:rsidRDefault="00465215" w:rsidP="009170D4">
            <w:pPr>
              <w:rPr>
                <w:rFonts w:ascii="Times New Roman" w:eastAsia="Arial" w:hAnsi="Times New Roman" w:cs="Times New Roman"/>
                <w:sz w:val="18"/>
                <w:szCs w:val="18"/>
              </w:rPr>
            </w:pPr>
          </w:p>
          <w:p w14:paraId="55557BD7" w14:textId="77777777" w:rsidR="00465215" w:rsidRPr="005E6D70" w:rsidRDefault="00465215" w:rsidP="009170D4">
            <w:pPr>
              <w:rPr>
                <w:rFonts w:ascii="Times New Roman" w:eastAsia="Arial" w:hAnsi="Times New Roman" w:cs="Times New Roman"/>
                <w:sz w:val="18"/>
                <w:szCs w:val="18"/>
              </w:rPr>
            </w:pPr>
          </w:p>
          <w:p w14:paraId="4B7CCBBC" w14:textId="77777777" w:rsidR="00465215" w:rsidRPr="005E6D70" w:rsidRDefault="00465215" w:rsidP="009170D4">
            <w:pPr>
              <w:rPr>
                <w:rFonts w:ascii="Times New Roman" w:eastAsia="Arial" w:hAnsi="Times New Roman" w:cs="Times New Roman"/>
                <w:sz w:val="18"/>
                <w:szCs w:val="18"/>
              </w:rPr>
            </w:pPr>
          </w:p>
          <w:p w14:paraId="0DA0C2F7" w14:textId="77777777" w:rsidR="00465215" w:rsidRPr="005E6D70" w:rsidRDefault="00465215" w:rsidP="009170D4">
            <w:pPr>
              <w:rPr>
                <w:rFonts w:ascii="Times New Roman" w:eastAsia="Arial" w:hAnsi="Times New Roman" w:cs="Times New Roman"/>
                <w:sz w:val="18"/>
                <w:szCs w:val="18"/>
              </w:rPr>
            </w:pPr>
            <w:r w:rsidRPr="005E6D70">
              <w:rPr>
                <w:rFonts w:ascii="Times New Roman" w:eastAsia="Arial" w:hAnsi="Times New Roman" w:cs="Times New Roman"/>
                <w:sz w:val="18"/>
                <w:szCs w:val="18"/>
              </w:rPr>
              <w:t xml:space="preserve">Domestic addition. </w:t>
            </w:r>
            <w:r w:rsidRPr="005E6D70">
              <w:rPr>
                <w:rFonts w:ascii="Times New Roman" w:eastAsia="Arial" w:hAnsi="Times New Roman" w:cs="Times New Roman"/>
                <w:sz w:val="18"/>
                <w:szCs w:val="18"/>
              </w:rPr>
              <w:lastRenderedPageBreak/>
              <w:t>Clarifies the continued application of the QDMTT (Article 47) during the delayed application period of the IIR and UTPR.</w:t>
            </w:r>
          </w:p>
        </w:tc>
      </w:tr>
      <w:tr w:rsidR="00465215" w:rsidRPr="005E6D70" w14:paraId="049836B1" w14:textId="77777777" w:rsidTr="009170D4">
        <w:trPr>
          <w:trHeight w:val="152"/>
        </w:trPr>
        <w:tc>
          <w:tcPr>
            <w:tcW w:w="810" w:type="dxa"/>
          </w:tcPr>
          <w:p w14:paraId="00BD2D8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50(2)</w:t>
            </w:r>
          </w:p>
        </w:tc>
        <w:tc>
          <w:tcPr>
            <w:tcW w:w="5040" w:type="dxa"/>
            <w:gridSpan w:val="2"/>
          </w:tcPr>
          <w:p w14:paraId="74885767"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2. Where the ultimate parent entity of an MNE group is located in a Member State that has made an election pursuant to paragraph 1 of this Article, the Member States, other than the one in which the ultimate parent entity is located, shall ensure that the constituent entities of that MNE group are subject, in the Member State in which they are located, to the UTPR top-up tax amount allocated to that Member State for the fiscal years beginning from 31 December 2023 in accordance with Article 14.</w:t>
            </w:r>
          </w:p>
          <w:p w14:paraId="2D8DEF93" w14:textId="77777777" w:rsidR="00465215" w:rsidRPr="005E6D70" w:rsidRDefault="00465215" w:rsidP="009170D4">
            <w:pPr>
              <w:jc w:val="both"/>
              <w:rPr>
                <w:rFonts w:ascii="Times New Roman" w:eastAsia="Calibri" w:hAnsi="Times New Roman" w:cs="Times New Roman"/>
                <w:iCs/>
                <w:sz w:val="18"/>
                <w:szCs w:val="18"/>
                <w:lang w:val="en-US"/>
              </w:rPr>
            </w:pPr>
          </w:p>
          <w:p w14:paraId="392CA1A9" w14:textId="77777777" w:rsidR="00465215" w:rsidRPr="005E6D70" w:rsidRDefault="00465215" w:rsidP="009170D4">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The ultimate parent entity referred to in the first subparagraph shall nominate a designated filing entity in a Member State other than the Member State in which the ultimate parent entity is located or, if the MNE group has no constituent entity in another Member State, in a third-country jurisdiction that has, for the reporting fiscal year, a qualifying competent authority agreement in effect with the Member State in which the ultimate parent entity is located. </w:t>
            </w:r>
          </w:p>
          <w:p w14:paraId="0042A046" w14:textId="77777777" w:rsidR="00465215" w:rsidRPr="005E6D70" w:rsidRDefault="00465215" w:rsidP="009170D4">
            <w:pPr>
              <w:jc w:val="both"/>
              <w:rPr>
                <w:rFonts w:ascii="Times New Roman" w:eastAsia="Calibri" w:hAnsi="Times New Roman" w:cs="Times New Roman"/>
                <w:iCs/>
                <w:sz w:val="18"/>
                <w:szCs w:val="18"/>
                <w:lang w:val="en-US"/>
              </w:rPr>
            </w:pPr>
          </w:p>
          <w:p w14:paraId="170B42AC"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In such cases, the designated filing entity shall file a top-up tax information return in accordance with the requirements set out in Article 44(5). The constituent entities located in the Member State that has made an election pursuant to paragraph 1 of this Article shall provide the designated filing entity with information necessary to comply with Article 44(5) and shall be exempted from the filing obligation referred to in Article 44(2).</w:t>
            </w:r>
          </w:p>
        </w:tc>
        <w:tc>
          <w:tcPr>
            <w:tcW w:w="990" w:type="dxa"/>
            <w:gridSpan w:val="2"/>
          </w:tcPr>
          <w:p w14:paraId="26097E87"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5547D22C"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59(4)</w:t>
            </w:r>
          </w:p>
        </w:tc>
        <w:tc>
          <w:tcPr>
            <w:tcW w:w="4680" w:type="dxa"/>
            <w:gridSpan w:val="2"/>
          </w:tcPr>
          <w:p w14:paraId="3F56B8D4"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4. For the fiscal years in which the delay under paragraph 2, of this Article, applies, the ultimate parent entities of multinational enterprise groups located in the Republic of Albania shall designate a designated filing entity in another jurisdiction to file the top-up tax information return, provided that such jurisdiction has a qualifying competent authority agreement in effect with the Republic of Albania.</w:t>
            </w:r>
          </w:p>
        </w:tc>
        <w:tc>
          <w:tcPr>
            <w:tcW w:w="1800" w:type="dxa"/>
            <w:gridSpan w:val="2"/>
          </w:tcPr>
          <w:p w14:paraId="7CFD647E"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200540EB"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Structural consolidation. The obligation for the ultimate parent entity to nominate a foreign designated filing entity is transposed into paragraph 4. The directive’s instruction directed at other Member States to collect the tax is not applicable for direct transposition as a domestic obligation.</w:t>
            </w:r>
          </w:p>
        </w:tc>
      </w:tr>
      <w:tr w:rsidR="00465215" w:rsidRPr="005E6D70" w14:paraId="6BABA2F4" w14:textId="77777777" w:rsidTr="009170D4">
        <w:trPr>
          <w:trHeight w:val="152"/>
        </w:trPr>
        <w:tc>
          <w:tcPr>
            <w:tcW w:w="810" w:type="dxa"/>
          </w:tcPr>
          <w:p w14:paraId="5E76C41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50(3)</w:t>
            </w:r>
          </w:p>
        </w:tc>
        <w:tc>
          <w:tcPr>
            <w:tcW w:w="5040" w:type="dxa"/>
            <w:gridSpan w:val="2"/>
          </w:tcPr>
          <w:p w14:paraId="0D4CC0FB"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3. The UTPR percentage determined for a Member State that has made an election pursuant to paragraph 1 shall be deemed to be zero for the fiscal year.</w:t>
            </w:r>
          </w:p>
        </w:tc>
        <w:tc>
          <w:tcPr>
            <w:tcW w:w="990" w:type="dxa"/>
            <w:gridSpan w:val="2"/>
          </w:tcPr>
          <w:p w14:paraId="549419E0"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50B18529"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59(5)</w:t>
            </w:r>
          </w:p>
        </w:tc>
        <w:tc>
          <w:tcPr>
            <w:tcW w:w="4680" w:type="dxa"/>
            <w:gridSpan w:val="2"/>
          </w:tcPr>
          <w:p w14:paraId="454E471E"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5. The UTPR percentage determined for the Republic of Albania shall be deemed to be zero for the fiscal years in which the election under paragraph 1, of this Article, applies.</w:t>
            </w:r>
          </w:p>
        </w:tc>
        <w:tc>
          <w:tcPr>
            <w:tcW w:w="1800" w:type="dxa"/>
            <w:gridSpan w:val="2"/>
          </w:tcPr>
          <w:p w14:paraId="670B1FD7"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30D1620F"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 xml:space="preserve">Direct transposition with local drafting adaptations to ensure compliance </w:t>
            </w:r>
            <w:r w:rsidRPr="005E6D70">
              <w:rPr>
                <w:rFonts w:ascii="Times New Roman" w:eastAsia="Arial" w:hAnsi="Times New Roman" w:cs="Times New Roman"/>
                <w:sz w:val="18"/>
                <w:szCs w:val="18"/>
              </w:rPr>
              <w:lastRenderedPageBreak/>
              <w:t>with EU rules regarding the UTPR percentage during the delay.</w:t>
            </w:r>
          </w:p>
        </w:tc>
      </w:tr>
      <w:tr w:rsidR="00465215" w:rsidRPr="005E6D70" w14:paraId="79B9C88E" w14:textId="77777777" w:rsidTr="009170D4">
        <w:trPr>
          <w:trHeight w:val="152"/>
        </w:trPr>
        <w:tc>
          <w:tcPr>
            <w:tcW w:w="810" w:type="dxa"/>
            <w:shd w:val="clear" w:color="auto" w:fill="D9D9D9" w:themeFill="background1" w:themeFillShade="D9"/>
          </w:tcPr>
          <w:p w14:paraId="32974BC0" w14:textId="77777777" w:rsidR="00465215" w:rsidRPr="005E6D70" w:rsidRDefault="00465215" w:rsidP="009170D4">
            <w:pPr>
              <w:jc w:val="both"/>
              <w:rPr>
                <w:rFonts w:ascii="Times New Roman" w:eastAsia="Calibri" w:hAnsi="Times New Roman" w:cs="Times New Roman"/>
                <w:b/>
                <w:bCs/>
                <w:sz w:val="18"/>
                <w:szCs w:val="18"/>
                <w:lang w:val="en-US"/>
              </w:rPr>
            </w:pPr>
          </w:p>
        </w:tc>
        <w:tc>
          <w:tcPr>
            <w:tcW w:w="5040" w:type="dxa"/>
            <w:gridSpan w:val="2"/>
            <w:shd w:val="clear" w:color="auto" w:fill="D9D9D9" w:themeFill="background1" w:themeFillShade="D9"/>
          </w:tcPr>
          <w:p w14:paraId="7141C7CF"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b/>
                <w:bCs/>
                <w:iCs/>
                <w:sz w:val="18"/>
                <w:szCs w:val="18"/>
                <w:lang w:val="en-US"/>
              </w:rPr>
              <w:t>Article 51. Transitional relief for filing obligations</w:t>
            </w:r>
          </w:p>
        </w:tc>
        <w:tc>
          <w:tcPr>
            <w:tcW w:w="990" w:type="dxa"/>
            <w:gridSpan w:val="2"/>
            <w:shd w:val="clear" w:color="auto" w:fill="D9D9D9" w:themeFill="background1" w:themeFillShade="D9"/>
          </w:tcPr>
          <w:p w14:paraId="039B3FD9"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75ED0DD1"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b/>
                <w:bCs/>
                <w:sz w:val="18"/>
                <w:szCs w:val="18"/>
              </w:rPr>
              <w:t>54(6)</w:t>
            </w:r>
          </w:p>
        </w:tc>
        <w:tc>
          <w:tcPr>
            <w:tcW w:w="4680" w:type="dxa"/>
            <w:gridSpan w:val="2"/>
            <w:shd w:val="clear" w:color="auto" w:fill="D9D9D9" w:themeFill="background1" w:themeFillShade="D9"/>
          </w:tcPr>
          <w:p w14:paraId="22380EA7"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b/>
                <w:bCs/>
                <w:sz w:val="18"/>
                <w:szCs w:val="18"/>
              </w:rPr>
              <w:t>[Incorporated into Article 54, paragraph 6]</w:t>
            </w:r>
          </w:p>
        </w:tc>
        <w:tc>
          <w:tcPr>
            <w:tcW w:w="1800" w:type="dxa"/>
            <w:gridSpan w:val="2"/>
            <w:shd w:val="clear" w:color="auto" w:fill="D9D9D9" w:themeFill="background1" w:themeFillShade="D9"/>
          </w:tcPr>
          <w:p w14:paraId="5B96DCBB"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shd w:val="clear" w:color="auto" w:fill="D9D9D9" w:themeFill="background1" w:themeFillShade="D9"/>
          </w:tcPr>
          <w:p w14:paraId="459ED763"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Structurally codified within the filing obligations article of the domestic draft law.</w:t>
            </w:r>
          </w:p>
        </w:tc>
      </w:tr>
      <w:tr w:rsidR="00465215" w:rsidRPr="005E6D70" w14:paraId="64FDE0C8" w14:textId="77777777" w:rsidTr="009170D4">
        <w:trPr>
          <w:trHeight w:val="152"/>
        </w:trPr>
        <w:tc>
          <w:tcPr>
            <w:tcW w:w="810" w:type="dxa"/>
          </w:tcPr>
          <w:p w14:paraId="674FD663" w14:textId="77777777" w:rsidR="00465215" w:rsidRPr="005E6D70" w:rsidRDefault="00465215" w:rsidP="009170D4">
            <w:pPr>
              <w:jc w:val="both"/>
              <w:rPr>
                <w:rFonts w:ascii="Times New Roman" w:eastAsia="Calibri" w:hAnsi="Times New Roman" w:cs="Times New Roman"/>
                <w:b/>
                <w:bCs/>
                <w:sz w:val="18"/>
                <w:szCs w:val="18"/>
                <w:lang w:val="en-US"/>
              </w:rPr>
            </w:pPr>
          </w:p>
        </w:tc>
        <w:tc>
          <w:tcPr>
            <w:tcW w:w="5040" w:type="dxa"/>
            <w:gridSpan w:val="2"/>
          </w:tcPr>
          <w:p w14:paraId="7CE075E5"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Notwithstanding Article 44(7), the top-up tax information return and the notifications referred to in Article 44 shall be filed with the tax administration of the Member States no later than 18 months after the last day of the reporting fiscal year that is the transition year referred to in Article 47.</w:t>
            </w:r>
          </w:p>
        </w:tc>
        <w:tc>
          <w:tcPr>
            <w:tcW w:w="990" w:type="dxa"/>
            <w:gridSpan w:val="2"/>
          </w:tcPr>
          <w:p w14:paraId="4A17BB8A"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0B8285F6" w14:textId="77777777" w:rsidR="00465215" w:rsidRPr="005E6D70" w:rsidRDefault="00465215" w:rsidP="009170D4">
            <w:pPr>
              <w:jc w:val="cente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54(6)</w:t>
            </w:r>
          </w:p>
        </w:tc>
        <w:tc>
          <w:tcPr>
            <w:tcW w:w="4680" w:type="dxa"/>
            <w:gridSpan w:val="2"/>
          </w:tcPr>
          <w:p w14:paraId="2959E644" w14:textId="77777777" w:rsidR="00465215" w:rsidRPr="005E6D70" w:rsidRDefault="00465215" w:rsidP="009170D4">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6. Notwithstanding paragraph 5, of this Article, in respect of the transition year (the first fiscal year in which the multinational enterprise group or large-scale domestic group falls within the scope of this Law), the top-up tax information return and the notification shall be filed no later than 18 months after the last day of the reporting fiscal year.</w:t>
            </w:r>
          </w:p>
        </w:tc>
        <w:tc>
          <w:tcPr>
            <w:tcW w:w="1800" w:type="dxa"/>
            <w:gridSpan w:val="2"/>
          </w:tcPr>
          <w:p w14:paraId="78E38582" w14:textId="77777777" w:rsidR="00465215" w:rsidRPr="005E6D70" w:rsidRDefault="00465215" w:rsidP="009170D4">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F</w:t>
            </w:r>
          </w:p>
        </w:tc>
        <w:tc>
          <w:tcPr>
            <w:tcW w:w="1350" w:type="dxa"/>
          </w:tcPr>
          <w:p w14:paraId="4B85BF04" w14:textId="77777777" w:rsidR="00465215" w:rsidRPr="005E6D70" w:rsidRDefault="00465215" w:rsidP="009170D4">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Direct transposition.</w:t>
            </w:r>
          </w:p>
        </w:tc>
      </w:tr>
      <w:tr w:rsidR="00C746EF" w:rsidRPr="005E6D70" w14:paraId="499AE5CA" w14:textId="77777777" w:rsidTr="009170D4">
        <w:trPr>
          <w:trHeight w:val="152"/>
        </w:trPr>
        <w:tc>
          <w:tcPr>
            <w:tcW w:w="810" w:type="dxa"/>
            <w:shd w:val="clear" w:color="auto" w:fill="92D050"/>
          </w:tcPr>
          <w:p w14:paraId="7AA53ACF" w14:textId="77777777" w:rsidR="00C746EF" w:rsidRPr="005E6D70" w:rsidRDefault="00C746EF" w:rsidP="00C746EF">
            <w:pPr>
              <w:jc w:val="both"/>
              <w:rPr>
                <w:rFonts w:ascii="Times New Roman" w:eastAsia="Calibri" w:hAnsi="Times New Roman" w:cs="Times New Roman"/>
                <w:b/>
                <w:bCs/>
                <w:sz w:val="18"/>
                <w:szCs w:val="18"/>
                <w:lang w:val="en-US"/>
              </w:rPr>
            </w:pPr>
          </w:p>
        </w:tc>
        <w:tc>
          <w:tcPr>
            <w:tcW w:w="5040" w:type="dxa"/>
            <w:gridSpan w:val="2"/>
            <w:shd w:val="clear" w:color="auto" w:fill="92D050"/>
          </w:tcPr>
          <w:p w14:paraId="2FCE1574" w14:textId="77777777" w:rsidR="00C746EF" w:rsidRPr="005E6D70" w:rsidRDefault="00C746EF" w:rsidP="00C746EF">
            <w:pPr>
              <w:jc w:val="both"/>
              <w:rPr>
                <w:rFonts w:ascii="Times New Roman" w:eastAsia="Calibri" w:hAnsi="Times New Roman" w:cs="Times New Roman"/>
                <w:iCs/>
                <w:sz w:val="18"/>
                <w:szCs w:val="18"/>
                <w:lang w:val="en-US"/>
              </w:rPr>
            </w:pPr>
            <w:r w:rsidRPr="005E6D70">
              <w:rPr>
                <w:rFonts w:ascii="Times New Roman" w:eastAsia="Calibri" w:hAnsi="Times New Roman" w:cs="Times New Roman"/>
                <w:iCs/>
                <w:sz w:val="18"/>
                <w:szCs w:val="18"/>
                <w:lang w:val="en-US"/>
              </w:rPr>
              <w:t xml:space="preserve">CHAPTER X </w:t>
            </w:r>
          </w:p>
          <w:p w14:paraId="1019DF88"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FINAL PROVISIONS</w:t>
            </w:r>
          </w:p>
        </w:tc>
        <w:tc>
          <w:tcPr>
            <w:tcW w:w="990" w:type="dxa"/>
            <w:gridSpan w:val="2"/>
            <w:shd w:val="clear" w:color="auto" w:fill="92D050"/>
          </w:tcPr>
          <w:p w14:paraId="4BA11675"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92D050"/>
          </w:tcPr>
          <w:p w14:paraId="7DE76D3A"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shd w:val="clear" w:color="auto" w:fill="92D050"/>
          </w:tcPr>
          <w:p w14:paraId="32564B66"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shd w:val="clear" w:color="auto" w:fill="92D050"/>
          </w:tcPr>
          <w:p w14:paraId="33974F50" w14:textId="5C757DB6"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shd w:val="clear" w:color="auto" w:fill="92D050"/>
          </w:tcPr>
          <w:p w14:paraId="4ECA7FEF"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Domestic final provisions are established in Chapter X (Articles 60-62).</w:t>
            </w:r>
          </w:p>
        </w:tc>
      </w:tr>
      <w:tr w:rsidR="00C746EF" w:rsidRPr="005E6D70" w14:paraId="10E0973E" w14:textId="77777777" w:rsidTr="009170D4">
        <w:trPr>
          <w:trHeight w:val="152"/>
        </w:trPr>
        <w:tc>
          <w:tcPr>
            <w:tcW w:w="810" w:type="dxa"/>
            <w:shd w:val="clear" w:color="auto" w:fill="D9D9D9" w:themeFill="background1" w:themeFillShade="D9"/>
          </w:tcPr>
          <w:p w14:paraId="566E5AC9" w14:textId="77777777" w:rsidR="00C746EF" w:rsidRPr="005E6D70" w:rsidRDefault="00C746EF" w:rsidP="00C746EF">
            <w:pPr>
              <w:jc w:val="both"/>
              <w:rPr>
                <w:rFonts w:ascii="Times New Roman" w:eastAsia="Calibri" w:hAnsi="Times New Roman" w:cs="Times New Roman"/>
                <w:b/>
                <w:bCs/>
                <w:sz w:val="18"/>
                <w:szCs w:val="18"/>
                <w:lang w:val="en-US"/>
              </w:rPr>
            </w:pPr>
          </w:p>
        </w:tc>
        <w:tc>
          <w:tcPr>
            <w:tcW w:w="5040" w:type="dxa"/>
            <w:gridSpan w:val="2"/>
            <w:shd w:val="clear" w:color="auto" w:fill="D9D9D9" w:themeFill="background1" w:themeFillShade="D9"/>
          </w:tcPr>
          <w:p w14:paraId="629DBA24"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b/>
                <w:bCs/>
                <w:iCs/>
                <w:sz w:val="18"/>
                <w:szCs w:val="18"/>
                <w:lang w:val="en-US"/>
              </w:rPr>
              <w:t>Article 52. Assessment of equivalence</w:t>
            </w:r>
          </w:p>
        </w:tc>
        <w:tc>
          <w:tcPr>
            <w:tcW w:w="990" w:type="dxa"/>
            <w:gridSpan w:val="2"/>
            <w:shd w:val="clear" w:color="auto" w:fill="D9D9D9" w:themeFill="background1" w:themeFillShade="D9"/>
          </w:tcPr>
          <w:p w14:paraId="57FAF136"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5104814E" w14:textId="77777777"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N/A</w:t>
            </w:r>
          </w:p>
        </w:tc>
        <w:tc>
          <w:tcPr>
            <w:tcW w:w="4680" w:type="dxa"/>
            <w:gridSpan w:val="2"/>
            <w:shd w:val="clear" w:color="auto" w:fill="D9D9D9" w:themeFill="background1" w:themeFillShade="D9"/>
          </w:tcPr>
          <w:p w14:paraId="34E15B43" w14:textId="77777777" w:rsidR="00C746EF" w:rsidRPr="005E6D70" w:rsidRDefault="00C746EF" w:rsidP="00C746EF">
            <w:pPr>
              <w:jc w:val="both"/>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800" w:type="dxa"/>
            <w:gridSpan w:val="2"/>
            <w:shd w:val="clear" w:color="auto" w:fill="D9D9D9" w:themeFill="background1" w:themeFillShade="D9"/>
          </w:tcPr>
          <w:p w14:paraId="4476EF95" w14:textId="074B60A5"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shd w:val="clear" w:color="auto" w:fill="D9D9D9" w:themeFill="background1" w:themeFillShade="D9"/>
          </w:tcPr>
          <w:p w14:paraId="21D20398"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 Institutional EU provision omitted in domestic transposition.</w:t>
            </w:r>
          </w:p>
        </w:tc>
      </w:tr>
      <w:tr w:rsidR="00C746EF" w:rsidRPr="005E6D70" w14:paraId="44C56B3E" w14:textId="77777777" w:rsidTr="009170D4">
        <w:trPr>
          <w:trHeight w:val="152"/>
        </w:trPr>
        <w:tc>
          <w:tcPr>
            <w:tcW w:w="810" w:type="dxa"/>
          </w:tcPr>
          <w:p w14:paraId="1316E1C5" w14:textId="77777777"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52(1)</w:t>
            </w:r>
          </w:p>
        </w:tc>
        <w:tc>
          <w:tcPr>
            <w:tcW w:w="5040" w:type="dxa"/>
            <w:gridSpan w:val="2"/>
          </w:tcPr>
          <w:p w14:paraId="6FDFF78A"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1. The legal framework implemented in the domestic law of a thirdcountry jurisdiction shall be considered to be equivalent to a qualified IIR set out in Chapter II, and shall not be treated as a controlled foreign company tax regime, if it fulfils the following conditions:</w:t>
            </w:r>
          </w:p>
        </w:tc>
        <w:tc>
          <w:tcPr>
            <w:tcW w:w="990" w:type="dxa"/>
            <w:gridSpan w:val="2"/>
          </w:tcPr>
          <w:p w14:paraId="7E285314"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6C082079"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0ED2A5B1"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tcPr>
          <w:p w14:paraId="422B21C9" w14:textId="04092988"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tcPr>
          <w:p w14:paraId="0BBBF57D"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w:t>
            </w:r>
          </w:p>
        </w:tc>
      </w:tr>
      <w:tr w:rsidR="00C746EF" w:rsidRPr="005E6D70" w14:paraId="445552EC" w14:textId="77777777" w:rsidTr="009170D4">
        <w:trPr>
          <w:trHeight w:val="152"/>
        </w:trPr>
        <w:tc>
          <w:tcPr>
            <w:tcW w:w="810" w:type="dxa"/>
          </w:tcPr>
          <w:p w14:paraId="64AFF127" w14:textId="77777777"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52(1a)</w:t>
            </w:r>
          </w:p>
        </w:tc>
        <w:tc>
          <w:tcPr>
            <w:tcW w:w="5040" w:type="dxa"/>
            <w:gridSpan w:val="2"/>
          </w:tcPr>
          <w:p w14:paraId="4CC357E2"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(a) it enforces a set of rules in accordance with which the parent entity of an MNE group shall compute and pay its allocable share of top-up tax in respect of the low-taxed constituent entities of the MNE group;</w:t>
            </w:r>
          </w:p>
        </w:tc>
        <w:tc>
          <w:tcPr>
            <w:tcW w:w="990" w:type="dxa"/>
            <w:gridSpan w:val="2"/>
          </w:tcPr>
          <w:p w14:paraId="7D0F5675"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5074D325"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2CD50A09"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tcPr>
          <w:p w14:paraId="03EEBBB6" w14:textId="66111438"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tcPr>
          <w:p w14:paraId="78A3F0AF"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w:t>
            </w:r>
          </w:p>
        </w:tc>
      </w:tr>
      <w:tr w:rsidR="00C746EF" w:rsidRPr="005E6D70" w14:paraId="6E439B74" w14:textId="77777777" w:rsidTr="009170D4">
        <w:trPr>
          <w:trHeight w:val="152"/>
        </w:trPr>
        <w:tc>
          <w:tcPr>
            <w:tcW w:w="810" w:type="dxa"/>
          </w:tcPr>
          <w:p w14:paraId="185B1090" w14:textId="77777777"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52(1b)</w:t>
            </w:r>
          </w:p>
        </w:tc>
        <w:tc>
          <w:tcPr>
            <w:tcW w:w="5040" w:type="dxa"/>
            <w:gridSpan w:val="2"/>
          </w:tcPr>
          <w:p w14:paraId="78971C35"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(b) it establishes a minimum effective tax rate of at least 15 % below which a constituent entity is considered to be low-taxed;</w:t>
            </w:r>
          </w:p>
        </w:tc>
        <w:tc>
          <w:tcPr>
            <w:tcW w:w="990" w:type="dxa"/>
            <w:gridSpan w:val="2"/>
          </w:tcPr>
          <w:p w14:paraId="58220A6C"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2CF6C41A"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11CDDE62"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tcPr>
          <w:p w14:paraId="21D90D47" w14:textId="459086B6"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tcPr>
          <w:p w14:paraId="1EDF0EB3"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w:t>
            </w:r>
          </w:p>
        </w:tc>
      </w:tr>
      <w:tr w:rsidR="00C746EF" w:rsidRPr="005E6D70" w14:paraId="05617863" w14:textId="77777777" w:rsidTr="009170D4">
        <w:trPr>
          <w:trHeight w:val="152"/>
        </w:trPr>
        <w:tc>
          <w:tcPr>
            <w:tcW w:w="810" w:type="dxa"/>
          </w:tcPr>
          <w:p w14:paraId="32AF9459" w14:textId="77777777"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52(1c)</w:t>
            </w:r>
          </w:p>
        </w:tc>
        <w:tc>
          <w:tcPr>
            <w:tcW w:w="5040" w:type="dxa"/>
            <w:gridSpan w:val="2"/>
          </w:tcPr>
          <w:p w14:paraId="14DAE0B1"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(c) for the purpose of computing the minimum effective tax rate, it only allows the blending of income of entities located within the same jurisdiction; and</w:t>
            </w:r>
          </w:p>
        </w:tc>
        <w:tc>
          <w:tcPr>
            <w:tcW w:w="990" w:type="dxa"/>
            <w:gridSpan w:val="2"/>
          </w:tcPr>
          <w:p w14:paraId="2BEAAF48"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655333D9"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43F8EBBE"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tcPr>
          <w:p w14:paraId="3F789EAE" w14:textId="36DD57A9"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tcPr>
          <w:p w14:paraId="116C5E11"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w:t>
            </w:r>
          </w:p>
        </w:tc>
      </w:tr>
      <w:tr w:rsidR="00C746EF" w:rsidRPr="005E6D70" w14:paraId="58D8040F" w14:textId="77777777" w:rsidTr="009170D4">
        <w:trPr>
          <w:trHeight w:val="152"/>
        </w:trPr>
        <w:tc>
          <w:tcPr>
            <w:tcW w:w="810" w:type="dxa"/>
          </w:tcPr>
          <w:p w14:paraId="07542903" w14:textId="77777777"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52(1d)</w:t>
            </w:r>
          </w:p>
        </w:tc>
        <w:tc>
          <w:tcPr>
            <w:tcW w:w="5040" w:type="dxa"/>
            <w:gridSpan w:val="2"/>
          </w:tcPr>
          <w:p w14:paraId="42B610A9"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(d) for the purpose of computing a top-up tax under the equivalent qualified IIR, it provides for relief for any top-up tax that was paid in a Member State in application of the qualified IIR and for any qualified domestic top-up tax set out in this Directive.</w:t>
            </w:r>
          </w:p>
        </w:tc>
        <w:tc>
          <w:tcPr>
            <w:tcW w:w="990" w:type="dxa"/>
            <w:gridSpan w:val="2"/>
          </w:tcPr>
          <w:p w14:paraId="5DAA028D"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5E30CF49"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118D0B39"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tcPr>
          <w:p w14:paraId="6AF44C2B" w14:textId="0A1666EB"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tcPr>
          <w:p w14:paraId="391AEBE2"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w:t>
            </w:r>
          </w:p>
        </w:tc>
      </w:tr>
      <w:tr w:rsidR="00C746EF" w:rsidRPr="005E6D70" w14:paraId="1A7C1025" w14:textId="77777777" w:rsidTr="009170D4">
        <w:trPr>
          <w:trHeight w:val="152"/>
        </w:trPr>
        <w:tc>
          <w:tcPr>
            <w:tcW w:w="810" w:type="dxa"/>
          </w:tcPr>
          <w:p w14:paraId="72208DCF" w14:textId="77777777"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52(2)</w:t>
            </w:r>
          </w:p>
        </w:tc>
        <w:tc>
          <w:tcPr>
            <w:tcW w:w="5040" w:type="dxa"/>
            <w:gridSpan w:val="2"/>
          </w:tcPr>
          <w:p w14:paraId="65ED40A6"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2. The Commission is empowered to adopt delegated acts in accordance with Article 53, in order to determine the list of third-country jurisdictions that have implemented a legal framework in their domestic law which is considered to be equivalent to a qualified IIR in conformity with the conditions laid down in paragraph 1 of this Article, and to update that list as a result of a subsequent assessment of the legal framework implemented by a third-country jurisdiction in its domestic law.</w:t>
            </w:r>
          </w:p>
        </w:tc>
        <w:tc>
          <w:tcPr>
            <w:tcW w:w="990" w:type="dxa"/>
            <w:gridSpan w:val="2"/>
          </w:tcPr>
          <w:p w14:paraId="59D60349"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0248DF57"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40ACBB96"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tcPr>
          <w:p w14:paraId="3DA53F10" w14:textId="28941EBA"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tcPr>
          <w:p w14:paraId="077123EE"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w:t>
            </w:r>
          </w:p>
        </w:tc>
      </w:tr>
      <w:tr w:rsidR="00C746EF" w:rsidRPr="005E6D70" w14:paraId="0B414C95" w14:textId="77777777" w:rsidTr="009170D4">
        <w:trPr>
          <w:trHeight w:val="152"/>
        </w:trPr>
        <w:tc>
          <w:tcPr>
            <w:tcW w:w="810" w:type="dxa"/>
            <w:shd w:val="clear" w:color="auto" w:fill="D9D9D9" w:themeFill="background1" w:themeFillShade="D9"/>
          </w:tcPr>
          <w:p w14:paraId="24841523" w14:textId="77777777" w:rsidR="00C746EF" w:rsidRPr="005E6D70" w:rsidRDefault="00C746EF" w:rsidP="00C746EF">
            <w:pPr>
              <w:jc w:val="both"/>
              <w:rPr>
                <w:rFonts w:ascii="Times New Roman" w:eastAsia="Calibri" w:hAnsi="Times New Roman" w:cs="Times New Roman"/>
                <w:b/>
                <w:bCs/>
                <w:sz w:val="18"/>
                <w:szCs w:val="18"/>
                <w:lang w:val="en-US"/>
              </w:rPr>
            </w:pPr>
          </w:p>
        </w:tc>
        <w:tc>
          <w:tcPr>
            <w:tcW w:w="5040" w:type="dxa"/>
            <w:gridSpan w:val="2"/>
            <w:shd w:val="clear" w:color="auto" w:fill="D9D9D9" w:themeFill="background1" w:themeFillShade="D9"/>
          </w:tcPr>
          <w:p w14:paraId="7A2BB44E"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b/>
                <w:bCs/>
                <w:iCs/>
                <w:sz w:val="18"/>
                <w:szCs w:val="18"/>
                <w:lang w:val="en-US"/>
              </w:rPr>
              <w:t>Article 53</w:t>
            </w:r>
            <w:r w:rsidRPr="005E6D70">
              <w:rPr>
                <w:lang w:val="en-US"/>
              </w:rPr>
              <w:t xml:space="preserve">. </w:t>
            </w:r>
            <w:r w:rsidRPr="005E6D70">
              <w:rPr>
                <w:rFonts w:ascii="Times New Roman" w:eastAsia="Calibri" w:hAnsi="Times New Roman" w:cs="Times New Roman"/>
                <w:b/>
                <w:bCs/>
                <w:iCs/>
                <w:sz w:val="18"/>
                <w:szCs w:val="18"/>
                <w:lang w:val="en-US"/>
              </w:rPr>
              <w:t>Exercise of the delegation</w:t>
            </w:r>
          </w:p>
        </w:tc>
        <w:tc>
          <w:tcPr>
            <w:tcW w:w="990" w:type="dxa"/>
            <w:gridSpan w:val="2"/>
            <w:shd w:val="clear" w:color="auto" w:fill="D9D9D9" w:themeFill="background1" w:themeFillShade="D9"/>
          </w:tcPr>
          <w:p w14:paraId="79B1174F"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19D81F06"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shd w:val="clear" w:color="auto" w:fill="D9D9D9" w:themeFill="background1" w:themeFillShade="D9"/>
          </w:tcPr>
          <w:p w14:paraId="132ADD42"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shd w:val="clear" w:color="auto" w:fill="D9D9D9" w:themeFill="background1" w:themeFillShade="D9"/>
          </w:tcPr>
          <w:p w14:paraId="6E76E9AA" w14:textId="1C22D894"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shd w:val="clear" w:color="auto" w:fill="D9D9D9" w:themeFill="background1" w:themeFillShade="D9"/>
          </w:tcPr>
          <w:p w14:paraId="62EF23E7"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 Institutional EU provision omitted in domestic transposition.</w:t>
            </w:r>
          </w:p>
        </w:tc>
      </w:tr>
      <w:tr w:rsidR="00C746EF" w:rsidRPr="005E6D70" w14:paraId="215C201F" w14:textId="77777777" w:rsidTr="009170D4">
        <w:trPr>
          <w:trHeight w:val="152"/>
        </w:trPr>
        <w:tc>
          <w:tcPr>
            <w:tcW w:w="810" w:type="dxa"/>
          </w:tcPr>
          <w:p w14:paraId="6323A6AD" w14:textId="77777777"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53(1)</w:t>
            </w:r>
          </w:p>
        </w:tc>
        <w:tc>
          <w:tcPr>
            <w:tcW w:w="5040" w:type="dxa"/>
            <w:gridSpan w:val="2"/>
          </w:tcPr>
          <w:p w14:paraId="69BE1DAD"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1. The power to adopt delegated acts is conferred on the Commission subject to the conditions laid down in this Article.</w:t>
            </w:r>
          </w:p>
        </w:tc>
        <w:tc>
          <w:tcPr>
            <w:tcW w:w="990" w:type="dxa"/>
            <w:gridSpan w:val="2"/>
          </w:tcPr>
          <w:p w14:paraId="3D856617"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41AA5DF1"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3FE2BB5F"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tcPr>
          <w:p w14:paraId="783AF6A9" w14:textId="1F79947D"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tcPr>
          <w:p w14:paraId="0915B8B8"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w:t>
            </w:r>
          </w:p>
        </w:tc>
      </w:tr>
      <w:tr w:rsidR="00C746EF" w:rsidRPr="005E6D70" w14:paraId="63C69124" w14:textId="77777777" w:rsidTr="009170D4">
        <w:trPr>
          <w:trHeight w:val="152"/>
        </w:trPr>
        <w:tc>
          <w:tcPr>
            <w:tcW w:w="810" w:type="dxa"/>
          </w:tcPr>
          <w:p w14:paraId="6648FE5B" w14:textId="77777777"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53(2)</w:t>
            </w:r>
          </w:p>
        </w:tc>
        <w:tc>
          <w:tcPr>
            <w:tcW w:w="5040" w:type="dxa"/>
            <w:gridSpan w:val="2"/>
          </w:tcPr>
          <w:p w14:paraId="1952D2A3"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2. The power to adopt delegated acts referred to in Article 52 shall be conferred on the Commission for an indeterminate period of time from 23 December 2022.</w:t>
            </w:r>
          </w:p>
        </w:tc>
        <w:tc>
          <w:tcPr>
            <w:tcW w:w="990" w:type="dxa"/>
            <w:gridSpan w:val="2"/>
          </w:tcPr>
          <w:p w14:paraId="19676812"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2F103E80"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1D3A84AD"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tcPr>
          <w:p w14:paraId="6900A1F5" w14:textId="0575F6D4"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tcPr>
          <w:p w14:paraId="58522E49"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w:t>
            </w:r>
          </w:p>
        </w:tc>
      </w:tr>
      <w:tr w:rsidR="00C746EF" w:rsidRPr="005E6D70" w14:paraId="3F7710DE" w14:textId="77777777" w:rsidTr="009170D4">
        <w:trPr>
          <w:trHeight w:val="152"/>
        </w:trPr>
        <w:tc>
          <w:tcPr>
            <w:tcW w:w="810" w:type="dxa"/>
          </w:tcPr>
          <w:p w14:paraId="53BAFE20" w14:textId="77777777"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53(3)</w:t>
            </w:r>
          </w:p>
        </w:tc>
        <w:tc>
          <w:tcPr>
            <w:tcW w:w="5040" w:type="dxa"/>
            <w:gridSpan w:val="2"/>
          </w:tcPr>
          <w:p w14:paraId="47B3E89E"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Calibri" w:hAnsi="Times New Roman" w:cs="Times New Roman"/>
                <w:iCs/>
                <w:sz w:val="18"/>
                <w:szCs w:val="18"/>
                <w:lang w:val="en-US"/>
              </w:rPr>
              <w:t>3. The delegation of power referred to in Article 52 may be revoked at any time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tc>
        <w:tc>
          <w:tcPr>
            <w:tcW w:w="990" w:type="dxa"/>
            <w:gridSpan w:val="2"/>
          </w:tcPr>
          <w:p w14:paraId="5BEFCAD1"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19449077"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7666E537"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tcPr>
          <w:p w14:paraId="647473D4" w14:textId="7FC920A1"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tcPr>
          <w:p w14:paraId="628C67CD"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w:t>
            </w:r>
          </w:p>
        </w:tc>
      </w:tr>
      <w:tr w:rsidR="00C746EF" w:rsidRPr="005E6D70" w14:paraId="5F0F048A" w14:textId="77777777" w:rsidTr="009170D4">
        <w:trPr>
          <w:trHeight w:val="152"/>
        </w:trPr>
        <w:tc>
          <w:tcPr>
            <w:tcW w:w="810" w:type="dxa"/>
          </w:tcPr>
          <w:p w14:paraId="55CEF5FB" w14:textId="77777777"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53(4)</w:t>
            </w:r>
          </w:p>
        </w:tc>
        <w:tc>
          <w:tcPr>
            <w:tcW w:w="5040" w:type="dxa"/>
            <w:gridSpan w:val="2"/>
          </w:tcPr>
          <w:p w14:paraId="7FBF7625"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hAnsi="Times New Roman" w:cs="Times New Roman"/>
                <w:sz w:val="18"/>
                <w:szCs w:val="18"/>
                <w:lang w:val="en-US"/>
              </w:rPr>
              <w:t xml:space="preserve">4. Before adopting a delegated act, the Commission shall consult experts designated by each Member State in accordance with the principles laid down in the Interinstitutional Agreement of 13 April 2016 on Better Law-Making. </w:t>
            </w:r>
          </w:p>
        </w:tc>
        <w:tc>
          <w:tcPr>
            <w:tcW w:w="990" w:type="dxa"/>
            <w:gridSpan w:val="2"/>
          </w:tcPr>
          <w:p w14:paraId="6F247315"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645FE064"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4D304E98"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tcPr>
          <w:p w14:paraId="5143F722" w14:textId="2C10967F"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tcPr>
          <w:p w14:paraId="376CABFE"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w:t>
            </w:r>
          </w:p>
        </w:tc>
      </w:tr>
      <w:tr w:rsidR="00C746EF" w:rsidRPr="005E6D70" w14:paraId="462235FF" w14:textId="77777777" w:rsidTr="009170D4">
        <w:trPr>
          <w:trHeight w:val="152"/>
        </w:trPr>
        <w:tc>
          <w:tcPr>
            <w:tcW w:w="810" w:type="dxa"/>
          </w:tcPr>
          <w:p w14:paraId="5E2E1718" w14:textId="77777777"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lastRenderedPageBreak/>
              <w:t>53(5)</w:t>
            </w:r>
          </w:p>
        </w:tc>
        <w:tc>
          <w:tcPr>
            <w:tcW w:w="5040" w:type="dxa"/>
            <w:gridSpan w:val="2"/>
          </w:tcPr>
          <w:p w14:paraId="2938E251"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hAnsi="Times New Roman" w:cs="Times New Roman"/>
                <w:sz w:val="18"/>
                <w:szCs w:val="18"/>
                <w:lang w:val="en-US"/>
              </w:rPr>
              <w:t>5. As soon as it adopts a delegated act, the Commission shall notify it to the Council.</w:t>
            </w:r>
          </w:p>
        </w:tc>
        <w:tc>
          <w:tcPr>
            <w:tcW w:w="990" w:type="dxa"/>
            <w:gridSpan w:val="2"/>
          </w:tcPr>
          <w:p w14:paraId="064EF4CD"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1E1218DE"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3750BF8F"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tcPr>
          <w:p w14:paraId="2FD1B2A8" w14:textId="72417361"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tcPr>
          <w:p w14:paraId="1ABFAB7A"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w:t>
            </w:r>
          </w:p>
        </w:tc>
      </w:tr>
      <w:tr w:rsidR="00C746EF" w:rsidRPr="005E6D70" w14:paraId="676085B4" w14:textId="77777777" w:rsidTr="009170D4">
        <w:trPr>
          <w:trHeight w:val="152"/>
        </w:trPr>
        <w:tc>
          <w:tcPr>
            <w:tcW w:w="810" w:type="dxa"/>
          </w:tcPr>
          <w:p w14:paraId="297E46D6" w14:textId="77777777"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Calibri" w:hAnsi="Times New Roman" w:cs="Times New Roman"/>
                <w:sz w:val="18"/>
                <w:szCs w:val="18"/>
                <w:lang w:val="en-US"/>
              </w:rPr>
              <w:t>53(6)</w:t>
            </w:r>
          </w:p>
        </w:tc>
        <w:tc>
          <w:tcPr>
            <w:tcW w:w="5040" w:type="dxa"/>
            <w:gridSpan w:val="2"/>
          </w:tcPr>
          <w:p w14:paraId="6C70595B"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hAnsi="Times New Roman" w:cs="Times New Roman"/>
                <w:sz w:val="18"/>
                <w:szCs w:val="18"/>
                <w:lang w:val="en-US"/>
              </w:rPr>
              <w:t>6. A delegated act adopted pursuant to Article 52 shall enter into force only if no objection has been expressed by the Council within a period of two months of notification of that act to the Council or if, before the expiry of that period, the Council has informed the Commission that it will not object. That period shall be extended by two months at the initiative of the Council.</w:t>
            </w:r>
          </w:p>
        </w:tc>
        <w:tc>
          <w:tcPr>
            <w:tcW w:w="990" w:type="dxa"/>
            <w:gridSpan w:val="2"/>
          </w:tcPr>
          <w:p w14:paraId="2D20DB31"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6085A643"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024852C7"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tcPr>
          <w:p w14:paraId="2B9C4821" w14:textId="5C1B4F1D"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tcPr>
          <w:p w14:paraId="2587D76F"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w:t>
            </w:r>
          </w:p>
        </w:tc>
      </w:tr>
      <w:tr w:rsidR="00C746EF" w:rsidRPr="005E6D70" w14:paraId="68621EF1" w14:textId="77777777" w:rsidTr="009170D4">
        <w:trPr>
          <w:trHeight w:val="152"/>
        </w:trPr>
        <w:tc>
          <w:tcPr>
            <w:tcW w:w="810" w:type="dxa"/>
            <w:shd w:val="clear" w:color="auto" w:fill="D9D9D9" w:themeFill="background1" w:themeFillShade="D9"/>
          </w:tcPr>
          <w:p w14:paraId="7CF6360F" w14:textId="77777777" w:rsidR="00C746EF" w:rsidRPr="005E6D70" w:rsidRDefault="00C746EF" w:rsidP="00C746EF">
            <w:pPr>
              <w:jc w:val="both"/>
              <w:rPr>
                <w:rFonts w:ascii="Times New Roman" w:eastAsia="Calibri" w:hAnsi="Times New Roman" w:cs="Times New Roman"/>
                <w:b/>
                <w:bCs/>
                <w:sz w:val="18"/>
                <w:szCs w:val="18"/>
                <w:lang w:val="en-US"/>
              </w:rPr>
            </w:pPr>
          </w:p>
        </w:tc>
        <w:tc>
          <w:tcPr>
            <w:tcW w:w="5040" w:type="dxa"/>
            <w:gridSpan w:val="2"/>
            <w:shd w:val="clear" w:color="auto" w:fill="D9D9D9" w:themeFill="background1" w:themeFillShade="D9"/>
          </w:tcPr>
          <w:p w14:paraId="0C84DE54"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hAnsi="Times New Roman" w:cs="Times New Roman"/>
                <w:b/>
                <w:bCs/>
                <w:sz w:val="18"/>
                <w:szCs w:val="18"/>
                <w:lang w:val="en-US"/>
              </w:rPr>
              <w:t>Article 54. Informing the European Parliament</w:t>
            </w:r>
          </w:p>
        </w:tc>
        <w:tc>
          <w:tcPr>
            <w:tcW w:w="990" w:type="dxa"/>
            <w:gridSpan w:val="2"/>
            <w:shd w:val="clear" w:color="auto" w:fill="D9D9D9" w:themeFill="background1" w:themeFillShade="D9"/>
          </w:tcPr>
          <w:p w14:paraId="6052002D"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44DD9903"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shd w:val="clear" w:color="auto" w:fill="D9D9D9" w:themeFill="background1" w:themeFillShade="D9"/>
          </w:tcPr>
          <w:p w14:paraId="0443D9B1"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shd w:val="clear" w:color="auto" w:fill="D9D9D9" w:themeFill="background1" w:themeFillShade="D9"/>
          </w:tcPr>
          <w:p w14:paraId="3A03075C" w14:textId="6AE07628"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shd w:val="clear" w:color="auto" w:fill="D9D9D9" w:themeFill="background1" w:themeFillShade="D9"/>
          </w:tcPr>
          <w:p w14:paraId="213E26C5"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 Institutional EU provision omitted in domestic transposition.</w:t>
            </w:r>
          </w:p>
        </w:tc>
      </w:tr>
      <w:tr w:rsidR="00C746EF" w:rsidRPr="005E6D70" w14:paraId="5B7E3DBD" w14:textId="77777777" w:rsidTr="009170D4">
        <w:trPr>
          <w:trHeight w:val="152"/>
        </w:trPr>
        <w:tc>
          <w:tcPr>
            <w:tcW w:w="810" w:type="dxa"/>
          </w:tcPr>
          <w:p w14:paraId="1749F96A" w14:textId="77777777" w:rsidR="00C746EF" w:rsidRPr="005E6D70" w:rsidRDefault="00C746EF" w:rsidP="00C746EF">
            <w:pPr>
              <w:jc w:val="both"/>
              <w:rPr>
                <w:rFonts w:ascii="Times New Roman" w:eastAsia="Calibri" w:hAnsi="Times New Roman" w:cs="Times New Roman"/>
                <w:b/>
                <w:bCs/>
                <w:sz w:val="18"/>
                <w:szCs w:val="18"/>
                <w:lang w:val="en-US"/>
              </w:rPr>
            </w:pPr>
          </w:p>
        </w:tc>
        <w:tc>
          <w:tcPr>
            <w:tcW w:w="5040" w:type="dxa"/>
            <w:gridSpan w:val="2"/>
          </w:tcPr>
          <w:p w14:paraId="0BF226A3"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hAnsi="Times New Roman" w:cs="Times New Roman"/>
                <w:sz w:val="18"/>
                <w:szCs w:val="18"/>
                <w:lang w:val="en-US"/>
              </w:rPr>
              <w:t>The European Parliament shall be informed by the Commission of the adoption of delegated acts, of any objection formulated to them, and of the revocation of the delegation of powers by the Council.</w:t>
            </w:r>
          </w:p>
        </w:tc>
        <w:tc>
          <w:tcPr>
            <w:tcW w:w="990" w:type="dxa"/>
            <w:gridSpan w:val="2"/>
          </w:tcPr>
          <w:p w14:paraId="63C0E77F"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7A7DDA62"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492FED58"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tcPr>
          <w:p w14:paraId="4EB119AA" w14:textId="698BFE9A"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tcPr>
          <w:p w14:paraId="7B3280A5"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w:t>
            </w:r>
          </w:p>
        </w:tc>
      </w:tr>
      <w:tr w:rsidR="00C746EF" w:rsidRPr="005E6D70" w14:paraId="07D450EB" w14:textId="77777777" w:rsidTr="009170D4">
        <w:trPr>
          <w:trHeight w:val="152"/>
        </w:trPr>
        <w:tc>
          <w:tcPr>
            <w:tcW w:w="810" w:type="dxa"/>
            <w:shd w:val="clear" w:color="auto" w:fill="D9D9D9" w:themeFill="background1" w:themeFillShade="D9"/>
          </w:tcPr>
          <w:p w14:paraId="151368FC" w14:textId="77777777" w:rsidR="00C746EF" w:rsidRPr="005E6D70" w:rsidRDefault="00C746EF" w:rsidP="00C746EF">
            <w:pPr>
              <w:jc w:val="both"/>
              <w:rPr>
                <w:rFonts w:ascii="Times New Roman" w:eastAsia="Calibri" w:hAnsi="Times New Roman" w:cs="Times New Roman"/>
                <w:b/>
                <w:bCs/>
                <w:sz w:val="18"/>
                <w:szCs w:val="18"/>
                <w:lang w:val="en-US"/>
              </w:rPr>
            </w:pPr>
          </w:p>
        </w:tc>
        <w:tc>
          <w:tcPr>
            <w:tcW w:w="5040" w:type="dxa"/>
            <w:gridSpan w:val="2"/>
            <w:shd w:val="clear" w:color="auto" w:fill="D9D9D9" w:themeFill="background1" w:themeFillShade="D9"/>
          </w:tcPr>
          <w:p w14:paraId="24AF3F8D"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hAnsi="Times New Roman" w:cs="Times New Roman"/>
                <w:b/>
                <w:bCs/>
                <w:sz w:val="18"/>
                <w:szCs w:val="18"/>
                <w:lang w:val="en-US"/>
              </w:rPr>
              <w:t>Article 55. Bilateral agreement on simplified reporting obligations</w:t>
            </w:r>
          </w:p>
        </w:tc>
        <w:tc>
          <w:tcPr>
            <w:tcW w:w="990" w:type="dxa"/>
            <w:gridSpan w:val="2"/>
            <w:shd w:val="clear" w:color="auto" w:fill="D9D9D9" w:themeFill="background1" w:themeFillShade="D9"/>
          </w:tcPr>
          <w:p w14:paraId="7225B9F2"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2C5B5BD2"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shd w:val="clear" w:color="auto" w:fill="D9D9D9" w:themeFill="background1" w:themeFillShade="D9"/>
          </w:tcPr>
          <w:p w14:paraId="47DE5823"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shd w:val="clear" w:color="auto" w:fill="D9D9D9" w:themeFill="background1" w:themeFillShade="D9"/>
          </w:tcPr>
          <w:p w14:paraId="37E8102E" w14:textId="0BE9E8C0"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shd w:val="clear" w:color="auto" w:fill="D9D9D9" w:themeFill="background1" w:themeFillShade="D9"/>
          </w:tcPr>
          <w:p w14:paraId="5CC189E7"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 Institutional EU provision omitted in domestic transposition.</w:t>
            </w:r>
          </w:p>
        </w:tc>
      </w:tr>
      <w:tr w:rsidR="00C746EF" w:rsidRPr="005E6D70" w14:paraId="3C430802" w14:textId="77777777" w:rsidTr="009170D4">
        <w:trPr>
          <w:trHeight w:val="152"/>
        </w:trPr>
        <w:tc>
          <w:tcPr>
            <w:tcW w:w="810" w:type="dxa"/>
          </w:tcPr>
          <w:p w14:paraId="7730ED5B" w14:textId="77777777" w:rsidR="00C746EF" w:rsidRPr="005E6D70" w:rsidRDefault="00C746EF" w:rsidP="00C746EF">
            <w:pPr>
              <w:jc w:val="both"/>
              <w:rPr>
                <w:rFonts w:ascii="Times New Roman" w:eastAsia="Calibri" w:hAnsi="Times New Roman" w:cs="Times New Roman"/>
                <w:b/>
                <w:bCs/>
                <w:sz w:val="18"/>
                <w:szCs w:val="18"/>
                <w:lang w:val="en-US"/>
              </w:rPr>
            </w:pPr>
          </w:p>
        </w:tc>
        <w:tc>
          <w:tcPr>
            <w:tcW w:w="5040" w:type="dxa"/>
            <w:gridSpan w:val="2"/>
          </w:tcPr>
          <w:p w14:paraId="2B0EBFC9"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hAnsi="Times New Roman" w:cs="Times New Roman"/>
                <w:sz w:val="18"/>
                <w:szCs w:val="18"/>
                <w:lang w:val="en-US"/>
              </w:rPr>
              <w:t>The Union may conclude agreements with third-country jurisdictions whose legal frameworks have been assessed as equivalent to a qualified IIR in accordance with Article 52, with a view to arranging a framework for simplifying the reporting procedures laid down in Article 44(6).</w:t>
            </w:r>
          </w:p>
        </w:tc>
        <w:tc>
          <w:tcPr>
            <w:tcW w:w="990" w:type="dxa"/>
            <w:gridSpan w:val="2"/>
          </w:tcPr>
          <w:p w14:paraId="6FE04215"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09540516"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7753CE5E"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tcPr>
          <w:p w14:paraId="6520E0E3" w14:textId="44030021"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tcPr>
          <w:p w14:paraId="39603E4E"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w:t>
            </w:r>
          </w:p>
        </w:tc>
      </w:tr>
      <w:tr w:rsidR="00C746EF" w:rsidRPr="005E6D70" w14:paraId="239370E9" w14:textId="77777777" w:rsidTr="009170D4">
        <w:trPr>
          <w:trHeight w:val="152"/>
        </w:trPr>
        <w:tc>
          <w:tcPr>
            <w:tcW w:w="810" w:type="dxa"/>
            <w:shd w:val="clear" w:color="auto" w:fill="D9D9D9" w:themeFill="background1" w:themeFillShade="D9"/>
          </w:tcPr>
          <w:p w14:paraId="72970E1D" w14:textId="77777777" w:rsidR="00C746EF" w:rsidRPr="005E6D70" w:rsidRDefault="00C746EF" w:rsidP="00C746EF">
            <w:pPr>
              <w:jc w:val="both"/>
              <w:rPr>
                <w:rFonts w:ascii="Times New Roman" w:eastAsia="Calibri" w:hAnsi="Times New Roman" w:cs="Times New Roman"/>
                <w:b/>
                <w:bCs/>
                <w:sz w:val="18"/>
                <w:szCs w:val="18"/>
                <w:lang w:val="en-US"/>
              </w:rPr>
            </w:pPr>
          </w:p>
        </w:tc>
        <w:tc>
          <w:tcPr>
            <w:tcW w:w="5040" w:type="dxa"/>
            <w:gridSpan w:val="2"/>
            <w:shd w:val="clear" w:color="auto" w:fill="D9D9D9" w:themeFill="background1" w:themeFillShade="D9"/>
          </w:tcPr>
          <w:p w14:paraId="28056320"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hAnsi="Times New Roman" w:cs="Times New Roman"/>
                <w:b/>
                <w:bCs/>
                <w:sz w:val="18"/>
                <w:szCs w:val="18"/>
                <w:lang w:val="en-US"/>
              </w:rPr>
              <w:t>Article 56. Transposition</w:t>
            </w:r>
          </w:p>
        </w:tc>
        <w:tc>
          <w:tcPr>
            <w:tcW w:w="990" w:type="dxa"/>
            <w:gridSpan w:val="2"/>
            <w:shd w:val="clear" w:color="auto" w:fill="D9D9D9" w:themeFill="background1" w:themeFillShade="D9"/>
          </w:tcPr>
          <w:p w14:paraId="71B88E60"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503AEB37"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shd w:val="clear" w:color="auto" w:fill="D9D9D9" w:themeFill="background1" w:themeFillShade="D9"/>
          </w:tcPr>
          <w:p w14:paraId="7F5E7E02"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shd w:val="clear" w:color="auto" w:fill="D9D9D9" w:themeFill="background1" w:themeFillShade="D9"/>
          </w:tcPr>
          <w:p w14:paraId="67151B8B" w14:textId="33E96120"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shd w:val="clear" w:color="auto" w:fill="D9D9D9" w:themeFill="background1" w:themeFillShade="D9"/>
          </w:tcPr>
          <w:p w14:paraId="2FCE9769"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 Replaced by national provisions on Sub-legal acts and Entry into force (Articles 60-62).</w:t>
            </w:r>
          </w:p>
        </w:tc>
      </w:tr>
      <w:tr w:rsidR="00C746EF" w:rsidRPr="005E6D70" w14:paraId="79335507" w14:textId="77777777" w:rsidTr="009170D4">
        <w:trPr>
          <w:trHeight w:val="152"/>
        </w:trPr>
        <w:tc>
          <w:tcPr>
            <w:tcW w:w="810" w:type="dxa"/>
          </w:tcPr>
          <w:p w14:paraId="6A5F6559" w14:textId="77777777" w:rsidR="00C746EF" w:rsidRPr="005E6D70" w:rsidRDefault="00C746EF" w:rsidP="00C746EF">
            <w:pPr>
              <w:jc w:val="both"/>
              <w:rPr>
                <w:rFonts w:ascii="Times New Roman" w:eastAsia="Calibri" w:hAnsi="Times New Roman" w:cs="Times New Roman"/>
                <w:b/>
                <w:bCs/>
                <w:sz w:val="18"/>
                <w:szCs w:val="18"/>
                <w:lang w:val="en-US"/>
              </w:rPr>
            </w:pPr>
          </w:p>
        </w:tc>
        <w:tc>
          <w:tcPr>
            <w:tcW w:w="5040" w:type="dxa"/>
            <w:gridSpan w:val="2"/>
          </w:tcPr>
          <w:p w14:paraId="68BFE4D7" w14:textId="77777777" w:rsidR="00C746EF" w:rsidRPr="005E6D70" w:rsidRDefault="00C746EF" w:rsidP="00C746EF">
            <w:pPr>
              <w:jc w:val="both"/>
              <w:rPr>
                <w:rFonts w:ascii="Times New Roman" w:hAnsi="Times New Roman" w:cs="Times New Roman"/>
                <w:sz w:val="18"/>
                <w:szCs w:val="18"/>
                <w:lang w:val="en-US"/>
              </w:rPr>
            </w:pPr>
            <w:r w:rsidRPr="005E6D70">
              <w:rPr>
                <w:rFonts w:ascii="Times New Roman" w:hAnsi="Times New Roman" w:cs="Times New Roman"/>
                <w:sz w:val="18"/>
                <w:szCs w:val="18"/>
                <w:lang w:val="en-US"/>
              </w:rPr>
              <w:t>Member States shall bring into force the laws, regulations and administrative provisions necessary to comply with this Directive by 31 December 2023. They shall immediately communicate the text of those measures to the Commission.</w:t>
            </w:r>
          </w:p>
          <w:p w14:paraId="24BB0052" w14:textId="77777777" w:rsidR="00C746EF" w:rsidRPr="005E6D70" w:rsidRDefault="00C746EF" w:rsidP="00C746EF">
            <w:pPr>
              <w:jc w:val="both"/>
              <w:rPr>
                <w:rFonts w:ascii="Times New Roman" w:hAnsi="Times New Roman" w:cs="Times New Roman"/>
                <w:sz w:val="18"/>
                <w:szCs w:val="18"/>
                <w:lang w:val="en-US"/>
              </w:rPr>
            </w:pPr>
          </w:p>
          <w:p w14:paraId="35081910" w14:textId="77777777" w:rsidR="00C746EF" w:rsidRPr="005E6D70" w:rsidRDefault="00C746EF" w:rsidP="00C746EF">
            <w:pPr>
              <w:jc w:val="both"/>
              <w:rPr>
                <w:rFonts w:ascii="Times New Roman" w:hAnsi="Times New Roman" w:cs="Times New Roman"/>
                <w:sz w:val="18"/>
                <w:szCs w:val="18"/>
                <w:lang w:val="en-US"/>
              </w:rPr>
            </w:pPr>
            <w:r w:rsidRPr="005E6D70">
              <w:rPr>
                <w:rFonts w:ascii="Times New Roman" w:hAnsi="Times New Roman" w:cs="Times New Roman"/>
                <w:sz w:val="18"/>
                <w:szCs w:val="18"/>
                <w:lang w:val="en-US"/>
              </w:rPr>
              <w:t>They shall apply those measures in respect of the fiscal years beginning from 31 December 2023.</w:t>
            </w:r>
          </w:p>
          <w:p w14:paraId="12B65B66" w14:textId="77777777" w:rsidR="00C746EF" w:rsidRPr="005E6D70" w:rsidRDefault="00C746EF" w:rsidP="00C746EF">
            <w:pPr>
              <w:jc w:val="both"/>
              <w:rPr>
                <w:rFonts w:ascii="Times New Roman" w:hAnsi="Times New Roman" w:cs="Times New Roman"/>
                <w:sz w:val="18"/>
                <w:szCs w:val="18"/>
                <w:lang w:val="en-US"/>
              </w:rPr>
            </w:pPr>
          </w:p>
          <w:p w14:paraId="78DD10B3" w14:textId="77777777" w:rsidR="00C746EF" w:rsidRPr="005E6D70" w:rsidRDefault="00C746EF" w:rsidP="00C746EF">
            <w:pPr>
              <w:jc w:val="both"/>
              <w:rPr>
                <w:rFonts w:ascii="Times New Roman" w:hAnsi="Times New Roman" w:cs="Times New Roman"/>
                <w:sz w:val="18"/>
                <w:szCs w:val="18"/>
                <w:lang w:val="en-US"/>
              </w:rPr>
            </w:pPr>
            <w:r w:rsidRPr="005E6D70">
              <w:rPr>
                <w:rFonts w:ascii="Times New Roman" w:hAnsi="Times New Roman" w:cs="Times New Roman"/>
                <w:sz w:val="18"/>
                <w:szCs w:val="18"/>
                <w:lang w:val="en-US"/>
              </w:rPr>
              <w:t>However, with the exception of the arrangement provided for in Article 50(2), they shall apply the measures necessary to comply with Articles 12, 13 and 14 in respect of the fiscal years beginning from 31 December 2024.</w:t>
            </w:r>
          </w:p>
          <w:p w14:paraId="53D68927" w14:textId="77777777" w:rsidR="00C746EF" w:rsidRPr="005E6D70" w:rsidRDefault="00C746EF" w:rsidP="00C746EF">
            <w:pPr>
              <w:jc w:val="both"/>
              <w:rPr>
                <w:rFonts w:ascii="Times New Roman" w:hAnsi="Times New Roman" w:cs="Times New Roman"/>
                <w:sz w:val="18"/>
                <w:szCs w:val="18"/>
                <w:lang w:val="en-US"/>
              </w:rPr>
            </w:pPr>
          </w:p>
          <w:p w14:paraId="68588D2F"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hAnsi="Times New Roman" w:cs="Times New Roman"/>
                <w:sz w:val="18"/>
                <w:szCs w:val="18"/>
                <w:lang w:val="en-US"/>
              </w:rPr>
              <w:t>When Member States adopt those measures, they shall contain a reference to this Directive or be accompanied by such a reference on the occasion of their official publication. Member States shall determine how such reference is to be made.</w:t>
            </w:r>
          </w:p>
        </w:tc>
        <w:tc>
          <w:tcPr>
            <w:tcW w:w="990" w:type="dxa"/>
            <w:gridSpan w:val="2"/>
          </w:tcPr>
          <w:p w14:paraId="282D331F"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lastRenderedPageBreak/>
              <w:t>1</w:t>
            </w:r>
          </w:p>
        </w:tc>
        <w:tc>
          <w:tcPr>
            <w:tcW w:w="810" w:type="dxa"/>
          </w:tcPr>
          <w:p w14:paraId="690EE714"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7BC3DAA8"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tcPr>
          <w:p w14:paraId="23A84A8E" w14:textId="7C58A6FA"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tcPr>
          <w:p w14:paraId="0A40F63E"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w:t>
            </w:r>
          </w:p>
        </w:tc>
      </w:tr>
      <w:tr w:rsidR="00C746EF" w:rsidRPr="005E6D70" w14:paraId="1D993596" w14:textId="77777777" w:rsidTr="009170D4">
        <w:trPr>
          <w:trHeight w:val="152"/>
        </w:trPr>
        <w:tc>
          <w:tcPr>
            <w:tcW w:w="810" w:type="dxa"/>
            <w:shd w:val="clear" w:color="auto" w:fill="D9D9D9" w:themeFill="background1" w:themeFillShade="D9"/>
          </w:tcPr>
          <w:p w14:paraId="4151E9B3" w14:textId="77777777" w:rsidR="00C746EF" w:rsidRPr="005E6D70" w:rsidRDefault="00C746EF" w:rsidP="00C746EF">
            <w:pPr>
              <w:jc w:val="both"/>
              <w:rPr>
                <w:rFonts w:ascii="Times New Roman" w:eastAsia="Calibri" w:hAnsi="Times New Roman" w:cs="Times New Roman"/>
                <w:b/>
                <w:bCs/>
                <w:sz w:val="18"/>
                <w:szCs w:val="18"/>
                <w:lang w:val="en-US"/>
              </w:rPr>
            </w:pPr>
          </w:p>
        </w:tc>
        <w:tc>
          <w:tcPr>
            <w:tcW w:w="5040" w:type="dxa"/>
            <w:gridSpan w:val="2"/>
            <w:shd w:val="clear" w:color="auto" w:fill="D9D9D9" w:themeFill="background1" w:themeFillShade="D9"/>
          </w:tcPr>
          <w:p w14:paraId="7E7F511D"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hAnsi="Times New Roman" w:cs="Times New Roman"/>
                <w:b/>
                <w:bCs/>
                <w:sz w:val="18"/>
                <w:szCs w:val="18"/>
                <w:lang w:val="en-US"/>
              </w:rPr>
              <w:t>Article 57. Review by the Commission of the implementation of Pillar One</w:t>
            </w:r>
          </w:p>
        </w:tc>
        <w:tc>
          <w:tcPr>
            <w:tcW w:w="990" w:type="dxa"/>
            <w:gridSpan w:val="2"/>
            <w:shd w:val="clear" w:color="auto" w:fill="D9D9D9" w:themeFill="background1" w:themeFillShade="D9"/>
          </w:tcPr>
          <w:p w14:paraId="7557C49C"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431E9746"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shd w:val="clear" w:color="auto" w:fill="D9D9D9" w:themeFill="background1" w:themeFillShade="D9"/>
          </w:tcPr>
          <w:p w14:paraId="079E22FD"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shd w:val="clear" w:color="auto" w:fill="D9D9D9" w:themeFill="background1" w:themeFillShade="D9"/>
          </w:tcPr>
          <w:p w14:paraId="58B0ED1F" w14:textId="686BE68B"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shd w:val="clear" w:color="auto" w:fill="D9D9D9" w:themeFill="background1" w:themeFillShade="D9"/>
          </w:tcPr>
          <w:p w14:paraId="1685945B"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 Institutional EU provision omitted in domestic transposition.</w:t>
            </w:r>
          </w:p>
        </w:tc>
      </w:tr>
      <w:tr w:rsidR="00C746EF" w:rsidRPr="005E6D70" w14:paraId="655919AC" w14:textId="77777777" w:rsidTr="009170D4">
        <w:trPr>
          <w:trHeight w:val="152"/>
        </w:trPr>
        <w:tc>
          <w:tcPr>
            <w:tcW w:w="810" w:type="dxa"/>
          </w:tcPr>
          <w:p w14:paraId="19A97CC2" w14:textId="77777777" w:rsidR="00C746EF" w:rsidRPr="005E6D70" w:rsidRDefault="00C746EF" w:rsidP="00C746EF">
            <w:pPr>
              <w:jc w:val="both"/>
              <w:rPr>
                <w:rFonts w:ascii="Times New Roman" w:eastAsia="Calibri" w:hAnsi="Times New Roman" w:cs="Times New Roman"/>
                <w:b/>
                <w:bCs/>
                <w:sz w:val="18"/>
                <w:szCs w:val="18"/>
                <w:lang w:val="en-US"/>
              </w:rPr>
            </w:pPr>
          </w:p>
        </w:tc>
        <w:tc>
          <w:tcPr>
            <w:tcW w:w="5040" w:type="dxa"/>
            <w:gridSpan w:val="2"/>
          </w:tcPr>
          <w:p w14:paraId="1623D9F9" w14:textId="77777777" w:rsidR="00C746EF" w:rsidRPr="005E6D70" w:rsidRDefault="00C746EF" w:rsidP="00C746EF">
            <w:pPr>
              <w:jc w:val="both"/>
              <w:rPr>
                <w:rFonts w:ascii="Times New Roman" w:hAnsi="Times New Roman" w:cs="Times New Roman"/>
                <w:sz w:val="18"/>
                <w:szCs w:val="18"/>
                <w:lang w:val="en-US"/>
              </w:rPr>
            </w:pPr>
            <w:r w:rsidRPr="005E6D70">
              <w:rPr>
                <w:rFonts w:ascii="Times New Roman" w:hAnsi="Times New Roman" w:cs="Times New Roman"/>
                <w:sz w:val="18"/>
                <w:szCs w:val="18"/>
                <w:lang w:val="en-US"/>
              </w:rPr>
              <w:t>The Commission shall, by 30 June 2023, submit a report to the Council assessing the situation regarding the implementation of Pillar One of the Statement on a Two-Pillar Solution to Address the Tax Challenges Arising from the Digitalisation of the Economy agreed by the OECD/G20 Inclusive Framework on BEPS on 8 October 2021 and, if appropriate, submit a legislative proposal to address those tax challenges in the absence of the implementation of the Pillar One solution.</w:t>
            </w:r>
          </w:p>
        </w:tc>
        <w:tc>
          <w:tcPr>
            <w:tcW w:w="990" w:type="dxa"/>
            <w:gridSpan w:val="2"/>
          </w:tcPr>
          <w:p w14:paraId="786DE179"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2A6FCBC1"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1DE87B10"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tcPr>
          <w:p w14:paraId="7AC5E761" w14:textId="377B6C39"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tcPr>
          <w:p w14:paraId="154A7AE3"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w:t>
            </w:r>
          </w:p>
        </w:tc>
      </w:tr>
      <w:tr w:rsidR="00C746EF" w:rsidRPr="005E6D70" w14:paraId="6B6DBE67" w14:textId="77777777" w:rsidTr="009170D4">
        <w:trPr>
          <w:trHeight w:val="152"/>
        </w:trPr>
        <w:tc>
          <w:tcPr>
            <w:tcW w:w="810" w:type="dxa"/>
            <w:shd w:val="clear" w:color="auto" w:fill="D9D9D9" w:themeFill="background1" w:themeFillShade="D9"/>
          </w:tcPr>
          <w:p w14:paraId="263AD911" w14:textId="77777777" w:rsidR="00C746EF" w:rsidRPr="005E6D70" w:rsidRDefault="00C746EF" w:rsidP="00C746EF">
            <w:pPr>
              <w:jc w:val="both"/>
              <w:rPr>
                <w:rFonts w:ascii="Times New Roman" w:eastAsia="Calibri" w:hAnsi="Times New Roman" w:cs="Times New Roman"/>
                <w:b/>
                <w:bCs/>
                <w:sz w:val="18"/>
                <w:szCs w:val="18"/>
                <w:lang w:val="en-US"/>
              </w:rPr>
            </w:pPr>
          </w:p>
        </w:tc>
        <w:tc>
          <w:tcPr>
            <w:tcW w:w="5040" w:type="dxa"/>
            <w:gridSpan w:val="2"/>
            <w:shd w:val="clear" w:color="auto" w:fill="D9D9D9" w:themeFill="background1" w:themeFillShade="D9"/>
          </w:tcPr>
          <w:p w14:paraId="3AA62523"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hAnsi="Times New Roman" w:cs="Times New Roman"/>
                <w:b/>
                <w:bCs/>
                <w:sz w:val="18"/>
                <w:szCs w:val="18"/>
                <w:lang w:val="en-US"/>
              </w:rPr>
              <w:t>Article 58. Entry into force</w:t>
            </w:r>
          </w:p>
        </w:tc>
        <w:tc>
          <w:tcPr>
            <w:tcW w:w="990" w:type="dxa"/>
            <w:gridSpan w:val="2"/>
            <w:shd w:val="clear" w:color="auto" w:fill="D9D9D9" w:themeFill="background1" w:themeFillShade="D9"/>
          </w:tcPr>
          <w:p w14:paraId="12EB7FE4"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6F960EF0"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shd w:val="clear" w:color="auto" w:fill="D9D9D9" w:themeFill="background1" w:themeFillShade="D9"/>
          </w:tcPr>
          <w:p w14:paraId="6AC80778"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shd w:val="clear" w:color="auto" w:fill="D9D9D9" w:themeFill="background1" w:themeFillShade="D9"/>
          </w:tcPr>
          <w:p w14:paraId="16D37138" w14:textId="603DB9B9"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shd w:val="clear" w:color="auto" w:fill="D9D9D9" w:themeFill="background1" w:themeFillShade="D9"/>
          </w:tcPr>
          <w:p w14:paraId="48AB371A"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 Domestic entry into force established in Article 62.</w:t>
            </w:r>
          </w:p>
        </w:tc>
      </w:tr>
      <w:tr w:rsidR="00C746EF" w:rsidRPr="005E6D70" w14:paraId="2D0BE647" w14:textId="77777777" w:rsidTr="009170D4">
        <w:trPr>
          <w:trHeight w:val="152"/>
        </w:trPr>
        <w:tc>
          <w:tcPr>
            <w:tcW w:w="810" w:type="dxa"/>
          </w:tcPr>
          <w:p w14:paraId="6C2E6D13" w14:textId="77777777" w:rsidR="00C746EF" w:rsidRPr="005E6D70" w:rsidRDefault="00C746EF" w:rsidP="00C746EF">
            <w:pPr>
              <w:jc w:val="both"/>
              <w:rPr>
                <w:rFonts w:ascii="Times New Roman" w:eastAsia="Calibri" w:hAnsi="Times New Roman" w:cs="Times New Roman"/>
                <w:b/>
                <w:bCs/>
                <w:sz w:val="18"/>
                <w:szCs w:val="18"/>
                <w:lang w:val="en-US"/>
              </w:rPr>
            </w:pPr>
          </w:p>
        </w:tc>
        <w:tc>
          <w:tcPr>
            <w:tcW w:w="5040" w:type="dxa"/>
            <w:gridSpan w:val="2"/>
          </w:tcPr>
          <w:p w14:paraId="4C1B7540"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hAnsi="Times New Roman" w:cs="Times New Roman"/>
                <w:sz w:val="18"/>
                <w:szCs w:val="18"/>
                <w:lang w:val="en-US"/>
              </w:rPr>
              <w:t>This Directive shall enter into force on the day following that of its publication in the Official Journal of the European Union.</w:t>
            </w:r>
          </w:p>
        </w:tc>
        <w:tc>
          <w:tcPr>
            <w:tcW w:w="990" w:type="dxa"/>
            <w:gridSpan w:val="2"/>
          </w:tcPr>
          <w:p w14:paraId="546E021F"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1B54525B"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0CE8208A"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tcPr>
          <w:p w14:paraId="4034F971" w14:textId="2758C9A7"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tcPr>
          <w:p w14:paraId="4B523D71"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w:t>
            </w:r>
          </w:p>
        </w:tc>
      </w:tr>
      <w:tr w:rsidR="00C746EF" w:rsidRPr="005E6D70" w14:paraId="4AAB2227" w14:textId="77777777" w:rsidTr="009170D4">
        <w:trPr>
          <w:trHeight w:val="152"/>
        </w:trPr>
        <w:tc>
          <w:tcPr>
            <w:tcW w:w="810" w:type="dxa"/>
            <w:shd w:val="clear" w:color="auto" w:fill="D9D9D9" w:themeFill="background1" w:themeFillShade="D9"/>
          </w:tcPr>
          <w:p w14:paraId="3C8DFD8C" w14:textId="77777777" w:rsidR="00C746EF" w:rsidRPr="005E6D70" w:rsidRDefault="00C746EF" w:rsidP="00C746EF">
            <w:pPr>
              <w:jc w:val="both"/>
              <w:rPr>
                <w:rFonts w:ascii="Times New Roman" w:eastAsia="Calibri" w:hAnsi="Times New Roman" w:cs="Times New Roman"/>
                <w:b/>
                <w:bCs/>
                <w:sz w:val="18"/>
                <w:szCs w:val="18"/>
                <w:lang w:val="en-US"/>
              </w:rPr>
            </w:pPr>
          </w:p>
        </w:tc>
        <w:tc>
          <w:tcPr>
            <w:tcW w:w="5040" w:type="dxa"/>
            <w:gridSpan w:val="2"/>
            <w:shd w:val="clear" w:color="auto" w:fill="D9D9D9" w:themeFill="background1" w:themeFillShade="D9"/>
          </w:tcPr>
          <w:p w14:paraId="2E44AFD7"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hAnsi="Times New Roman" w:cs="Times New Roman"/>
                <w:b/>
                <w:bCs/>
                <w:sz w:val="18"/>
                <w:szCs w:val="18"/>
                <w:lang w:val="en-US"/>
              </w:rPr>
              <w:t>Article 59. Addressees</w:t>
            </w:r>
          </w:p>
        </w:tc>
        <w:tc>
          <w:tcPr>
            <w:tcW w:w="990" w:type="dxa"/>
            <w:gridSpan w:val="2"/>
            <w:shd w:val="clear" w:color="auto" w:fill="D9D9D9" w:themeFill="background1" w:themeFillShade="D9"/>
          </w:tcPr>
          <w:p w14:paraId="1C1A85A1"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shd w:val="clear" w:color="auto" w:fill="D9D9D9" w:themeFill="background1" w:themeFillShade="D9"/>
          </w:tcPr>
          <w:p w14:paraId="40851FA5"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shd w:val="clear" w:color="auto" w:fill="D9D9D9" w:themeFill="background1" w:themeFillShade="D9"/>
          </w:tcPr>
          <w:p w14:paraId="4E1BD295"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shd w:val="clear" w:color="auto" w:fill="D9D9D9" w:themeFill="background1" w:themeFillShade="D9"/>
          </w:tcPr>
          <w:p w14:paraId="1C6A8F93" w14:textId="7F37BE27"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shd w:val="clear" w:color="auto" w:fill="D9D9D9" w:themeFill="background1" w:themeFillShade="D9"/>
          </w:tcPr>
          <w:p w14:paraId="3F12AE07"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 Institutional EU provision omitted in domestic transposition.</w:t>
            </w:r>
          </w:p>
        </w:tc>
      </w:tr>
      <w:tr w:rsidR="00C746EF" w:rsidRPr="005E6D70" w14:paraId="539D6C7D" w14:textId="77777777" w:rsidTr="009170D4">
        <w:trPr>
          <w:trHeight w:val="152"/>
        </w:trPr>
        <w:tc>
          <w:tcPr>
            <w:tcW w:w="810" w:type="dxa"/>
          </w:tcPr>
          <w:p w14:paraId="224A0351" w14:textId="77777777" w:rsidR="00C746EF" w:rsidRPr="005E6D70" w:rsidRDefault="00C746EF" w:rsidP="00C746EF">
            <w:pPr>
              <w:jc w:val="both"/>
              <w:rPr>
                <w:rFonts w:ascii="Times New Roman" w:eastAsia="Calibri" w:hAnsi="Times New Roman" w:cs="Times New Roman"/>
                <w:b/>
                <w:bCs/>
                <w:sz w:val="18"/>
                <w:szCs w:val="18"/>
                <w:lang w:val="en-US"/>
              </w:rPr>
            </w:pPr>
          </w:p>
        </w:tc>
        <w:tc>
          <w:tcPr>
            <w:tcW w:w="5040" w:type="dxa"/>
            <w:gridSpan w:val="2"/>
          </w:tcPr>
          <w:p w14:paraId="0C6E0967"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hAnsi="Times New Roman" w:cs="Times New Roman"/>
                <w:sz w:val="18"/>
                <w:szCs w:val="18"/>
                <w:lang w:val="en-US"/>
              </w:rPr>
              <w:t>This Directive is addressed to the Member States.</w:t>
            </w:r>
          </w:p>
        </w:tc>
        <w:tc>
          <w:tcPr>
            <w:tcW w:w="990" w:type="dxa"/>
            <w:gridSpan w:val="2"/>
          </w:tcPr>
          <w:p w14:paraId="746B7920"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1</w:t>
            </w:r>
          </w:p>
        </w:tc>
        <w:tc>
          <w:tcPr>
            <w:tcW w:w="810" w:type="dxa"/>
          </w:tcPr>
          <w:p w14:paraId="5A12B01E" w14:textId="77777777" w:rsidR="00C746EF" w:rsidRPr="005E6D70" w:rsidRDefault="00C746EF" w:rsidP="00C746EF">
            <w:pPr>
              <w:jc w:val="center"/>
              <w:rPr>
                <w:rFonts w:ascii="Times New Roman" w:eastAsia="Calibri" w:hAnsi="Times New Roman" w:cs="Times New Roman"/>
                <w:b/>
                <w:bCs/>
                <w:sz w:val="18"/>
                <w:szCs w:val="18"/>
                <w:lang w:val="en-US"/>
              </w:rPr>
            </w:pPr>
            <w:r w:rsidRPr="005E6D70">
              <w:rPr>
                <w:rFonts w:ascii="Times New Roman" w:eastAsia="Calibri" w:hAnsi="Times New Roman" w:cs="Times New Roman"/>
                <w:sz w:val="18"/>
                <w:szCs w:val="18"/>
                <w:lang w:val="en-US"/>
              </w:rPr>
              <w:t>N/A</w:t>
            </w:r>
          </w:p>
        </w:tc>
        <w:tc>
          <w:tcPr>
            <w:tcW w:w="4680" w:type="dxa"/>
            <w:gridSpan w:val="2"/>
          </w:tcPr>
          <w:p w14:paraId="19FB5388" w14:textId="77777777" w:rsidR="00C746EF" w:rsidRPr="005E6D70" w:rsidRDefault="00C746EF" w:rsidP="00C746EF">
            <w:pPr>
              <w:jc w:val="both"/>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N/A</w:t>
            </w:r>
          </w:p>
        </w:tc>
        <w:tc>
          <w:tcPr>
            <w:tcW w:w="1800" w:type="dxa"/>
            <w:gridSpan w:val="2"/>
          </w:tcPr>
          <w:p w14:paraId="59C039B5" w14:textId="0A38A6D0" w:rsidR="00C746EF" w:rsidRPr="005E6D70" w:rsidRDefault="00C746EF" w:rsidP="00C746EF">
            <w:pPr>
              <w:jc w:val="center"/>
              <w:rPr>
                <w:rFonts w:ascii="Times New Roman" w:eastAsia="Calibri" w:hAnsi="Times New Roman" w:cs="Times New Roman"/>
                <w:sz w:val="18"/>
                <w:szCs w:val="18"/>
                <w:lang w:val="en-US"/>
              </w:rPr>
            </w:pPr>
            <w:r w:rsidRPr="005E6D70">
              <w:rPr>
                <w:rFonts w:ascii="Times New Roman" w:eastAsia="Arial" w:hAnsi="Times New Roman" w:cs="Times New Roman"/>
                <w:sz w:val="18"/>
                <w:szCs w:val="18"/>
              </w:rPr>
              <w:t>N/A</w:t>
            </w:r>
          </w:p>
        </w:tc>
        <w:tc>
          <w:tcPr>
            <w:tcW w:w="1350" w:type="dxa"/>
          </w:tcPr>
          <w:p w14:paraId="3E72C286" w14:textId="77777777" w:rsidR="00C746EF" w:rsidRPr="005E6D70" w:rsidRDefault="00C746EF" w:rsidP="00C746EF">
            <w:pPr>
              <w:rPr>
                <w:rFonts w:ascii="Times New Roman" w:eastAsia="Calibri" w:hAnsi="Times New Roman" w:cs="Times New Roman"/>
                <w:b/>
                <w:bCs/>
                <w:sz w:val="18"/>
                <w:szCs w:val="18"/>
                <w:lang w:val="en-US"/>
              </w:rPr>
            </w:pPr>
            <w:r w:rsidRPr="005E6D70">
              <w:rPr>
                <w:rFonts w:ascii="Times New Roman" w:eastAsia="Arial" w:hAnsi="Times New Roman" w:cs="Times New Roman"/>
                <w:sz w:val="18"/>
                <w:szCs w:val="18"/>
              </w:rPr>
              <w:t>Not applicable.</w:t>
            </w:r>
          </w:p>
        </w:tc>
      </w:tr>
    </w:tbl>
    <w:p w14:paraId="093358A5" w14:textId="77777777" w:rsidR="00922FEB" w:rsidRPr="005E6D70" w:rsidRDefault="00922FEB" w:rsidP="00922FEB">
      <w:pPr>
        <w:spacing w:after="200" w:line="276" w:lineRule="auto"/>
        <w:rPr>
          <w:rFonts w:ascii="Times New Roman" w:eastAsia="Calibri" w:hAnsi="Times New Roman" w:cs="Times New Roman"/>
          <w:b/>
          <w:bCs/>
          <w:kern w:val="0"/>
          <w:sz w:val="18"/>
          <w:szCs w:val="18"/>
          <w14:ligatures w14:val="none"/>
        </w:rPr>
      </w:pPr>
    </w:p>
    <w:p w14:paraId="4E2D4073" w14:textId="7519B01B" w:rsidR="009A20F7" w:rsidRPr="005E6D70" w:rsidRDefault="009A20F7" w:rsidP="00295AAD">
      <w:pPr>
        <w:spacing w:after="200" w:line="276" w:lineRule="auto"/>
        <w:rPr>
          <w:rFonts w:ascii="Times New Roman" w:eastAsia="Calibri" w:hAnsi="Times New Roman" w:cs="Times New Roman"/>
          <w:b/>
          <w:kern w:val="0"/>
          <w:sz w:val="18"/>
          <w:szCs w:val="18"/>
          <w14:ligatures w14:val="none"/>
        </w:rPr>
      </w:pPr>
    </w:p>
    <w:sectPr w:rsidR="009A20F7" w:rsidRPr="005E6D70" w:rsidSect="00507139">
      <w:footerReference w:type="default" r:id="rId8"/>
      <w:pgSz w:w="16838" w:h="11906" w:orient="landscape"/>
      <w:pgMar w:top="810" w:right="1418" w:bottom="25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6374" w14:textId="77777777" w:rsidR="00AD5C09" w:rsidRDefault="00AD5C09" w:rsidP="00922FEB">
      <w:pPr>
        <w:spacing w:after="0" w:line="240" w:lineRule="auto"/>
      </w:pPr>
      <w:r>
        <w:separator/>
      </w:r>
    </w:p>
  </w:endnote>
  <w:endnote w:type="continuationSeparator" w:id="0">
    <w:p w14:paraId="03F75FC9" w14:textId="77777777" w:rsidR="00AD5C09" w:rsidRDefault="00AD5C09" w:rsidP="009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31F5" w14:textId="7AA34493" w:rsidR="00DE4307" w:rsidRDefault="00DE4307">
    <w:pPr>
      <w:pStyle w:val="Footer"/>
    </w:pPr>
    <w:r>
      <w:fldChar w:fldCharType="begin"/>
    </w:r>
    <w:r>
      <w:instrText>PAGE   \* MERGEFORMAT</w:instrText>
    </w:r>
    <w:r>
      <w:fldChar w:fldCharType="separate"/>
    </w:r>
    <w:r>
      <w:rPr>
        <w:lang w:val="sq-AL"/>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D498D" w14:textId="77777777" w:rsidR="00AD5C09" w:rsidRDefault="00AD5C09" w:rsidP="00922FEB">
      <w:pPr>
        <w:spacing w:after="0" w:line="240" w:lineRule="auto"/>
      </w:pPr>
      <w:r>
        <w:separator/>
      </w:r>
    </w:p>
  </w:footnote>
  <w:footnote w:type="continuationSeparator" w:id="0">
    <w:p w14:paraId="4A8E2E85" w14:textId="77777777" w:rsidR="00AD5C09" w:rsidRDefault="00AD5C09" w:rsidP="00922FEB">
      <w:pPr>
        <w:spacing w:after="0" w:line="240" w:lineRule="auto"/>
      </w:pPr>
      <w:r>
        <w:continuationSeparator/>
      </w:r>
    </w:p>
  </w:footnote>
  <w:footnote w:id="1">
    <w:p w14:paraId="3AA83BFF" w14:textId="01726024" w:rsidR="003B3ACA" w:rsidRDefault="003B3ACA">
      <w:pPr>
        <w:pStyle w:val="FootnoteText"/>
        <w:rPr>
          <w:rFonts w:ascii="Times New Roman" w:hAnsi="Times New Roman" w:cs="Times New Roman"/>
          <w:sz w:val="18"/>
          <w:szCs w:val="18"/>
        </w:rPr>
      </w:pPr>
      <w:r>
        <w:rPr>
          <w:rStyle w:val="FootnoteReference"/>
        </w:rPr>
        <w:footnoteRef/>
      </w:r>
      <w:r>
        <w:t xml:space="preserve"> </w:t>
      </w:r>
      <w:hyperlink r:id="rId1" w:history="1">
        <w:r w:rsidRPr="005F6611">
          <w:rPr>
            <w:rStyle w:val="Hyperlink"/>
            <w:rFonts w:ascii="Times New Roman" w:hAnsi="Times New Roman" w:cs="Times New Roman"/>
            <w:sz w:val="18"/>
            <w:szCs w:val="18"/>
          </w:rPr>
          <w:t>https://eur-lex.europa.eu/legal-content/EN/TXT/PDF/?uri=CELEX:02022L2523-20221222</w:t>
        </w:r>
      </w:hyperlink>
    </w:p>
    <w:p w14:paraId="7F0406FB" w14:textId="77777777" w:rsidR="003B3ACA" w:rsidRPr="002C6F33" w:rsidRDefault="003B3ACA">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39E"/>
    <w:multiLevelType w:val="multilevel"/>
    <w:tmpl w:val="5C6C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42432"/>
    <w:multiLevelType w:val="multilevel"/>
    <w:tmpl w:val="8F12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939A4"/>
    <w:multiLevelType w:val="multilevel"/>
    <w:tmpl w:val="2FF8C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D7D64"/>
    <w:multiLevelType w:val="multilevel"/>
    <w:tmpl w:val="4CB2D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30D0D"/>
    <w:multiLevelType w:val="multilevel"/>
    <w:tmpl w:val="9A7C2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83047"/>
    <w:multiLevelType w:val="multilevel"/>
    <w:tmpl w:val="B1A8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45F9D"/>
    <w:multiLevelType w:val="multilevel"/>
    <w:tmpl w:val="C2C0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063B28"/>
    <w:multiLevelType w:val="multilevel"/>
    <w:tmpl w:val="606A5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7F50BF"/>
    <w:multiLevelType w:val="multilevel"/>
    <w:tmpl w:val="F05A6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763E9"/>
    <w:multiLevelType w:val="hybridMultilevel"/>
    <w:tmpl w:val="38625E60"/>
    <w:lvl w:ilvl="0" w:tplc="F43085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A6068"/>
    <w:multiLevelType w:val="hybridMultilevel"/>
    <w:tmpl w:val="85602242"/>
    <w:lvl w:ilvl="0" w:tplc="A824DE76">
      <w:start w:val="1"/>
      <w:numFmt w:val="lowerLetter"/>
      <w:lvlText w:val="%1)"/>
      <w:lvlJc w:val="left"/>
      <w:pPr>
        <w:ind w:left="720" w:hanging="360"/>
      </w:pPr>
      <w:rPr>
        <w:rFonts w:ascii="Garamond" w:eastAsia="Calibri" w:hAnsi="Garamond" w:cs="Calibri" w:hint="default"/>
        <w:b w:val="0"/>
        <w:bCs w:val="0"/>
        <w:i w:val="0"/>
        <w:iCs w:val="0"/>
        <w:spacing w:val="0"/>
        <w:w w:val="100"/>
        <w:sz w:val="24"/>
        <w:szCs w:val="24"/>
        <w:lang w:val="sq-AL"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D5332"/>
    <w:multiLevelType w:val="multilevel"/>
    <w:tmpl w:val="DE9CBE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E42C85"/>
    <w:multiLevelType w:val="hybridMultilevel"/>
    <w:tmpl w:val="1CA2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1D2384"/>
    <w:multiLevelType w:val="hybridMultilevel"/>
    <w:tmpl w:val="EA345D68"/>
    <w:lvl w:ilvl="0" w:tplc="C4F09F6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84A6F"/>
    <w:multiLevelType w:val="multilevel"/>
    <w:tmpl w:val="7BB65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000840"/>
    <w:multiLevelType w:val="multilevel"/>
    <w:tmpl w:val="836A2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F66133"/>
    <w:multiLevelType w:val="hybridMultilevel"/>
    <w:tmpl w:val="1CA2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AE70D1"/>
    <w:multiLevelType w:val="multilevel"/>
    <w:tmpl w:val="97F2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4A2636"/>
    <w:multiLevelType w:val="multilevel"/>
    <w:tmpl w:val="37CC1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9B5AB1"/>
    <w:multiLevelType w:val="multilevel"/>
    <w:tmpl w:val="2910D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617CAF"/>
    <w:multiLevelType w:val="hybridMultilevel"/>
    <w:tmpl w:val="06D80CF4"/>
    <w:lvl w:ilvl="0" w:tplc="418E6214">
      <w:start w:val="1"/>
      <w:numFmt w:val="lowerLetter"/>
      <w:lvlText w:val="%1)"/>
      <w:lvlJc w:val="left"/>
      <w:pPr>
        <w:ind w:left="706" w:hanging="36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1" w15:restartNumberingAfterBreak="0">
    <w:nsid w:val="4395618C"/>
    <w:multiLevelType w:val="hybridMultilevel"/>
    <w:tmpl w:val="B9D260FE"/>
    <w:lvl w:ilvl="0" w:tplc="56520B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B434F"/>
    <w:multiLevelType w:val="multilevel"/>
    <w:tmpl w:val="0438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F56EC"/>
    <w:multiLevelType w:val="hybridMultilevel"/>
    <w:tmpl w:val="58F64422"/>
    <w:lvl w:ilvl="0" w:tplc="61F08F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020666"/>
    <w:multiLevelType w:val="hybridMultilevel"/>
    <w:tmpl w:val="0FAEF27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60E62B60"/>
    <w:multiLevelType w:val="multilevel"/>
    <w:tmpl w:val="65FE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653B4F"/>
    <w:multiLevelType w:val="hybridMultilevel"/>
    <w:tmpl w:val="3124981C"/>
    <w:lvl w:ilvl="0" w:tplc="A824DE76">
      <w:start w:val="1"/>
      <w:numFmt w:val="lowerLetter"/>
      <w:lvlText w:val="%1)"/>
      <w:lvlJc w:val="left"/>
      <w:pPr>
        <w:ind w:left="720" w:hanging="360"/>
      </w:pPr>
      <w:rPr>
        <w:rFonts w:ascii="Garamond" w:eastAsia="Calibri" w:hAnsi="Garamond" w:cs="Calibri" w:hint="default"/>
        <w:b w:val="0"/>
        <w:bCs w:val="0"/>
        <w:i w:val="0"/>
        <w:iCs w:val="0"/>
        <w:spacing w:val="0"/>
        <w:w w:val="100"/>
        <w:sz w:val="24"/>
        <w:szCs w:val="24"/>
        <w:lang w:val="sq-AL"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B313D"/>
    <w:multiLevelType w:val="multilevel"/>
    <w:tmpl w:val="6F6AD1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075587"/>
    <w:multiLevelType w:val="multilevel"/>
    <w:tmpl w:val="BDE2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5D22A2"/>
    <w:multiLevelType w:val="multilevel"/>
    <w:tmpl w:val="CC567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7D7E09"/>
    <w:multiLevelType w:val="hybridMultilevel"/>
    <w:tmpl w:val="5C103F46"/>
    <w:lvl w:ilvl="0" w:tplc="5A34FD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D31BE1"/>
    <w:multiLevelType w:val="multilevel"/>
    <w:tmpl w:val="9E861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1826BA"/>
    <w:multiLevelType w:val="multilevel"/>
    <w:tmpl w:val="6D0824D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AA60D6"/>
    <w:multiLevelType w:val="hybridMultilevel"/>
    <w:tmpl w:val="1CA2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DF61FC"/>
    <w:multiLevelType w:val="multilevel"/>
    <w:tmpl w:val="93D02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5E03A1"/>
    <w:multiLevelType w:val="hybridMultilevel"/>
    <w:tmpl w:val="C3A07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541597"/>
    <w:multiLevelType w:val="hybridMultilevel"/>
    <w:tmpl w:val="1CA2D49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981497690">
    <w:abstractNumId w:val="35"/>
  </w:num>
  <w:num w:numId="2" w16cid:durableId="1860583054">
    <w:abstractNumId w:val="23"/>
  </w:num>
  <w:num w:numId="3" w16cid:durableId="1602294492">
    <w:abstractNumId w:val="6"/>
  </w:num>
  <w:num w:numId="4" w16cid:durableId="1052847577">
    <w:abstractNumId w:val="17"/>
  </w:num>
  <w:num w:numId="5" w16cid:durableId="550921988">
    <w:abstractNumId w:val="29"/>
  </w:num>
  <w:num w:numId="6" w16cid:durableId="338431182">
    <w:abstractNumId w:val="32"/>
  </w:num>
  <w:num w:numId="7" w16cid:durableId="873464738">
    <w:abstractNumId w:val="25"/>
  </w:num>
  <w:num w:numId="8" w16cid:durableId="547572520">
    <w:abstractNumId w:val="4"/>
  </w:num>
  <w:num w:numId="9" w16cid:durableId="499151591">
    <w:abstractNumId w:val="27"/>
  </w:num>
  <w:num w:numId="10" w16cid:durableId="876242233">
    <w:abstractNumId w:val="18"/>
  </w:num>
  <w:num w:numId="11" w16cid:durableId="1063480494">
    <w:abstractNumId w:val="1"/>
  </w:num>
  <w:num w:numId="12" w16cid:durableId="1086000284">
    <w:abstractNumId w:val="15"/>
  </w:num>
  <w:num w:numId="13" w16cid:durableId="450167041">
    <w:abstractNumId w:val="5"/>
  </w:num>
  <w:num w:numId="14" w16cid:durableId="1550653507">
    <w:abstractNumId w:val="34"/>
  </w:num>
  <w:num w:numId="15" w16cid:durableId="58478160">
    <w:abstractNumId w:val="8"/>
  </w:num>
  <w:num w:numId="16" w16cid:durableId="984241825">
    <w:abstractNumId w:val="2"/>
  </w:num>
  <w:num w:numId="17" w16cid:durableId="1971200296">
    <w:abstractNumId w:val="11"/>
  </w:num>
  <w:num w:numId="18" w16cid:durableId="590285238">
    <w:abstractNumId w:val="31"/>
  </w:num>
  <w:num w:numId="19" w16cid:durableId="957175495">
    <w:abstractNumId w:val="14"/>
  </w:num>
  <w:num w:numId="20" w16cid:durableId="1422607634">
    <w:abstractNumId w:val="22"/>
  </w:num>
  <w:num w:numId="21" w16cid:durableId="1849517999">
    <w:abstractNumId w:val="28"/>
  </w:num>
  <w:num w:numId="22" w16cid:durableId="1546330243">
    <w:abstractNumId w:val="0"/>
  </w:num>
  <w:num w:numId="23" w16cid:durableId="678652795">
    <w:abstractNumId w:val="21"/>
  </w:num>
  <w:num w:numId="24" w16cid:durableId="1200701331">
    <w:abstractNumId w:val="20"/>
  </w:num>
  <w:num w:numId="25" w16cid:durableId="425346304">
    <w:abstractNumId w:val="10"/>
  </w:num>
  <w:num w:numId="26" w16cid:durableId="530799726">
    <w:abstractNumId w:val="26"/>
  </w:num>
  <w:num w:numId="27" w16cid:durableId="1645574352">
    <w:abstractNumId w:val="7"/>
  </w:num>
  <w:num w:numId="28" w16cid:durableId="1200750949">
    <w:abstractNumId w:val="19"/>
  </w:num>
  <w:num w:numId="29" w16cid:durableId="2124033098">
    <w:abstractNumId w:val="3"/>
  </w:num>
  <w:num w:numId="30" w16cid:durableId="1085538650">
    <w:abstractNumId w:val="36"/>
  </w:num>
  <w:num w:numId="31" w16cid:durableId="892153379">
    <w:abstractNumId w:val="33"/>
  </w:num>
  <w:num w:numId="32" w16cid:durableId="1285892251">
    <w:abstractNumId w:val="24"/>
  </w:num>
  <w:num w:numId="33" w16cid:durableId="866722985">
    <w:abstractNumId w:val="16"/>
  </w:num>
  <w:num w:numId="34" w16cid:durableId="788743037">
    <w:abstractNumId w:val="12"/>
  </w:num>
  <w:num w:numId="35" w16cid:durableId="1348020572">
    <w:abstractNumId w:val="9"/>
  </w:num>
  <w:num w:numId="36" w16cid:durableId="1505441255">
    <w:abstractNumId w:val="30"/>
  </w:num>
  <w:num w:numId="37" w16cid:durableId="1381829621">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FB"/>
    <w:rsid w:val="000000FF"/>
    <w:rsid w:val="0000175D"/>
    <w:rsid w:val="00002050"/>
    <w:rsid w:val="00002F1E"/>
    <w:rsid w:val="00010F50"/>
    <w:rsid w:val="00011212"/>
    <w:rsid w:val="000125B4"/>
    <w:rsid w:val="000144FB"/>
    <w:rsid w:val="00015086"/>
    <w:rsid w:val="00015FAC"/>
    <w:rsid w:val="00016C4D"/>
    <w:rsid w:val="00020AE3"/>
    <w:rsid w:val="00021463"/>
    <w:rsid w:val="00022CA9"/>
    <w:rsid w:val="00031D37"/>
    <w:rsid w:val="000339C8"/>
    <w:rsid w:val="00033B19"/>
    <w:rsid w:val="00034129"/>
    <w:rsid w:val="00035949"/>
    <w:rsid w:val="000409C9"/>
    <w:rsid w:val="00042E1C"/>
    <w:rsid w:val="00043D3E"/>
    <w:rsid w:val="00052607"/>
    <w:rsid w:val="00052664"/>
    <w:rsid w:val="000530A3"/>
    <w:rsid w:val="00053923"/>
    <w:rsid w:val="0005445C"/>
    <w:rsid w:val="00062524"/>
    <w:rsid w:val="000655C8"/>
    <w:rsid w:val="00065705"/>
    <w:rsid w:val="00070C36"/>
    <w:rsid w:val="00070F15"/>
    <w:rsid w:val="0007119D"/>
    <w:rsid w:val="00072BB4"/>
    <w:rsid w:val="00073B1B"/>
    <w:rsid w:val="00075318"/>
    <w:rsid w:val="00076B31"/>
    <w:rsid w:val="00081BC1"/>
    <w:rsid w:val="00082EBC"/>
    <w:rsid w:val="0008764B"/>
    <w:rsid w:val="00092CAE"/>
    <w:rsid w:val="00093110"/>
    <w:rsid w:val="00095ECC"/>
    <w:rsid w:val="000A26EF"/>
    <w:rsid w:val="000A38FB"/>
    <w:rsid w:val="000A473E"/>
    <w:rsid w:val="000A7EA3"/>
    <w:rsid w:val="000B014A"/>
    <w:rsid w:val="000B05B4"/>
    <w:rsid w:val="000B1124"/>
    <w:rsid w:val="000B1455"/>
    <w:rsid w:val="000B1498"/>
    <w:rsid w:val="000B162F"/>
    <w:rsid w:val="000B19FC"/>
    <w:rsid w:val="000B4CF9"/>
    <w:rsid w:val="000C09CF"/>
    <w:rsid w:val="000C227B"/>
    <w:rsid w:val="000C2DBA"/>
    <w:rsid w:val="000C3069"/>
    <w:rsid w:val="000C4C00"/>
    <w:rsid w:val="000D09B1"/>
    <w:rsid w:val="000D0E76"/>
    <w:rsid w:val="000D2A0E"/>
    <w:rsid w:val="000D31FB"/>
    <w:rsid w:val="000D4CD0"/>
    <w:rsid w:val="000D4E56"/>
    <w:rsid w:val="000D5355"/>
    <w:rsid w:val="000D6E38"/>
    <w:rsid w:val="000D77FB"/>
    <w:rsid w:val="000D7CA4"/>
    <w:rsid w:val="000D7DCD"/>
    <w:rsid w:val="000E0147"/>
    <w:rsid w:val="000E1010"/>
    <w:rsid w:val="000E1F0F"/>
    <w:rsid w:val="000E2BC3"/>
    <w:rsid w:val="000E35B0"/>
    <w:rsid w:val="000E4DE0"/>
    <w:rsid w:val="000E5AC4"/>
    <w:rsid w:val="000E6360"/>
    <w:rsid w:val="000E668E"/>
    <w:rsid w:val="000E7CC9"/>
    <w:rsid w:val="000F4129"/>
    <w:rsid w:val="000F6C3E"/>
    <w:rsid w:val="000F77B5"/>
    <w:rsid w:val="001022DB"/>
    <w:rsid w:val="001024E6"/>
    <w:rsid w:val="00106912"/>
    <w:rsid w:val="0010735E"/>
    <w:rsid w:val="0011056B"/>
    <w:rsid w:val="00111D9B"/>
    <w:rsid w:val="001123ED"/>
    <w:rsid w:val="001162B3"/>
    <w:rsid w:val="001207DE"/>
    <w:rsid w:val="00121010"/>
    <w:rsid w:val="00121A76"/>
    <w:rsid w:val="00123ED4"/>
    <w:rsid w:val="00124C0B"/>
    <w:rsid w:val="00126541"/>
    <w:rsid w:val="00140159"/>
    <w:rsid w:val="001409E9"/>
    <w:rsid w:val="00141896"/>
    <w:rsid w:val="0014420F"/>
    <w:rsid w:val="00147A54"/>
    <w:rsid w:val="001520C0"/>
    <w:rsid w:val="0015399E"/>
    <w:rsid w:val="00153CCC"/>
    <w:rsid w:val="001552C4"/>
    <w:rsid w:val="0015599D"/>
    <w:rsid w:val="001574ED"/>
    <w:rsid w:val="00160121"/>
    <w:rsid w:val="001610E2"/>
    <w:rsid w:val="001619E7"/>
    <w:rsid w:val="00163F09"/>
    <w:rsid w:val="00164173"/>
    <w:rsid w:val="00170836"/>
    <w:rsid w:val="0017423E"/>
    <w:rsid w:val="00176E97"/>
    <w:rsid w:val="001775D3"/>
    <w:rsid w:val="00181DB7"/>
    <w:rsid w:val="00182C94"/>
    <w:rsid w:val="00185FF3"/>
    <w:rsid w:val="00190654"/>
    <w:rsid w:val="001907AC"/>
    <w:rsid w:val="00193D64"/>
    <w:rsid w:val="0019465F"/>
    <w:rsid w:val="00195E2B"/>
    <w:rsid w:val="00196505"/>
    <w:rsid w:val="00197A5E"/>
    <w:rsid w:val="001A054E"/>
    <w:rsid w:val="001A162E"/>
    <w:rsid w:val="001A1CC0"/>
    <w:rsid w:val="001A223E"/>
    <w:rsid w:val="001A240D"/>
    <w:rsid w:val="001B1F77"/>
    <w:rsid w:val="001B46A8"/>
    <w:rsid w:val="001B4971"/>
    <w:rsid w:val="001B4AFB"/>
    <w:rsid w:val="001B4F3F"/>
    <w:rsid w:val="001B70FF"/>
    <w:rsid w:val="001C20B1"/>
    <w:rsid w:val="001C2405"/>
    <w:rsid w:val="001C3651"/>
    <w:rsid w:val="001C3EA9"/>
    <w:rsid w:val="001C5983"/>
    <w:rsid w:val="001D180F"/>
    <w:rsid w:val="001D27DD"/>
    <w:rsid w:val="001D2BBD"/>
    <w:rsid w:val="001D413A"/>
    <w:rsid w:val="001D652C"/>
    <w:rsid w:val="001D75F8"/>
    <w:rsid w:val="001E074F"/>
    <w:rsid w:val="001E2141"/>
    <w:rsid w:val="001E29A8"/>
    <w:rsid w:val="001E3C87"/>
    <w:rsid w:val="001E4694"/>
    <w:rsid w:val="001E566F"/>
    <w:rsid w:val="001E685D"/>
    <w:rsid w:val="001F0349"/>
    <w:rsid w:val="001F1D3A"/>
    <w:rsid w:val="001F2CB3"/>
    <w:rsid w:val="001F3413"/>
    <w:rsid w:val="001F3D41"/>
    <w:rsid w:val="001F3E2D"/>
    <w:rsid w:val="001F6E50"/>
    <w:rsid w:val="001F7BBC"/>
    <w:rsid w:val="00200996"/>
    <w:rsid w:val="00200AA9"/>
    <w:rsid w:val="00202E5D"/>
    <w:rsid w:val="00206694"/>
    <w:rsid w:val="00207E2E"/>
    <w:rsid w:val="00212234"/>
    <w:rsid w:val="002150D4"/>
    <w:rsid w:val="00215B99"/>
    <w:rsid w:val="00216CB5"/>
    <w:rsid w:val="00217C0E"/>
    <w:rsid w:val="00217FFD"/>
    <w:rsid w:val="00220869"/>
    <w:rsid w:val="00221EB2"/>
    <w:rsid w:val="002267F5"/>
    <w:rsid w:val="002268A3"/>
    <w:rsid w:val="00226B07"/>
    <w:rsid w:val="00227CC0"/>
    <w:rsid w:val="00227DA8"/>
    <w:rsid w:val="00234F4C"/>
    <w:rsid w:val="00237085"/>
    <w:rsid w:val="00240148"/>
    <w:rsid w:val="00241058"/>
    <w:rsid w:val="00241DAE"/>
    <w:rsid w:val="00242D3A"/>
    <w:rsid w:val="00243A1A"/>
    <w:rsid w:val="00243E4C"/>
    <w:rsid w:val="0024728F"/>
    <w:rsid w:val="00247573"/>
    <w:rsid w:val="00250974"/>
    <w:rsid w:val="00250B34"/>
    <w:rsid w:val="00260632"/>
    <w:rsid w:val="00261EE3"/>
    <w:rsid w:val="0026261E"/>
    <w:rsid w:val="00262E99"/>
    <w:rsid w:val="002636C3"/>
    <w:rsid w:val="00263CD8"/>
    <w:rsid w:val="002652D5"/>
    <w:rsid w:val="00265C53"/>
    <w:rsid w:val="002675D8"/>
    <w:rsid w:val="00271F5B"/>
    <w:rsid w:val="002725DB"/>
    <w:rsid w:val="00273261"/>
    <w:rsid w:val="00273323"/>
    <w:rsid w:val="00282FA2"/>
    <w:rsid w:val="00284C5B"/>
    <w:rsid w:val="00285F95"/>
    <w:rsid w:val="00287B86"/>
    <w:rsid w:val="00292112"/>
    <w:rsid w:val="00295AAD"/>
    <w:rsid w:val="0029648E"/>
    <w:rsid w:val="002973DE"/>
    <w:rsid w:val="002A2DF8"/>
    <w:rsid w:val="002A39AF"/>
    <w:rsid w:val="002B02E4"/>
    <w:rsid w:val="002B13EE"/>
    <w:rsid w:val="002B3D21"/>
    <w:rsid w:val="002B44A1"/>
    <w:rsid w:val="002B731D"/>
    <w:rsid w:val="002C0F7E"/>
    <w:rsid w:val="002C1FF8"/>
    <w:rsid w:val="002C6E4F"/>
    <w:rsid w:val="002C6F33"/>
    <w:rsid w:val="002C7038"/>
    <w:rsid w:val="002C733F"/>
    <w:rsid w:val="002D0742"/>
    <w:rsid w:val="002D2221"/>
    <w:rsid w:val="002D574D"/>
    <w:rsid w:val="002D6E1D"/>
    <w:rsid w:val="002D7D54"/>
    <w:rsid w:val="002E6526"/>
    <w:rsid w:val="002E6890"/>
    <w:rsid w:val="002F07D9"/>
    <w:rsid w:val="002F08F3"/>
    <w:rsid w:val="002F76DE"/>
    <w:rsid w:val="003004D5"/>
    <w:rsid w:val="00301958"/>
    <w:rsid w:val="0030526E"/>
    <w:rsid w:val="00307553"/>
    <w:rsid w:val="00307BED"/>
    <w:rsid w:val="003106C2"/>
    <w:rsid w:val="00310B3D"/>
    <w:rsid w:val="00310E26"/>
    <w:rsid w:val="0031114B"/>
    <w:rsid w:val="003116B5"/>
    <w:rsid w:val="0031566F"/>
    <w:rsid w:val="00317005"/>
    <w:rsid w:val="0032194C"/>
    <w:rsid w:val="00322C4F"/>
    <w:rsid w:val="003278A5"/>
    <w:rsid w:val="00330B33"/>
    <w:rsid w:val="0033100B"/>
    <w:rsid w:val="0033166E"/>
    <w:rsid w:val="00332366"/>
    <w:rsid w:val="00335C48"/>
    <w:rsid w:val="00344587"/>
    <w:rsid w:val="00345085"/>
    <w:rsid w:val="00345CDF"/>
    <w:rsid w:val="003513EE"/>
    <w:rsid w:val="0035145A"/>
    <w:rsid w:val="003518E4"/>
    <w:rsid w:val="003522E1"/>
    <w:rsid w:val="003523D5"/>
    <w:rsid w:val="00352D33"/>
    <w:rsid w:val="003541B4"/>
    <w:rsid w:val="00357D61"/>
    <w:rsid w:val="00361704"/>
    <w:rsid w:val="00364559"/>
    <w:rsid w:val="00372AA3"/>
    <w:rsid w:val="0037327C"/>
    <w:rsid w:val="003740FE"/>
    <w:rsid w:val="00374572"/>
    <w:rsid w:val="00374D12"/>
    <w:rsid w:val="00375C8F"/>
    <w:rsid w:val="00381019"/>
    <w:rsid w:val="00383E07"/>
    <w:rsid w:val="00391383"/>
    <w:rsid w:val="00395E2E"/>
    <w:rsid w:val="003A75B8"/>
    <w:rsid w:val="003B191B"/>
    <w:rsid w:val="003B3446"/>
    <w:rsid w:val="003B3741"/>
    <w:rsid w:val="003B3ACA"/>
    <w:rsid w:val="003B7C4A"/>
    <w:rsid w:val="003C1E87"/>
    <w:rsid w:val="003C2EAB"/>
    <w:rsid w:val="003C4AC6"/>
    <w:rsid w:val="003C6116"/>
    <w:rsid w:val="003C63BE"/>
    <w:rsid w:val="003C79E1"/>
    <w:rsid w:val="003D17C3"/>
    <w:rsid w:val="003D3CB4"/>
    <w:rsid w:val="003D4694"/>
    <w:rsid w:val="003D5D94"/>
    <w:rsid w:val="003D62A6"/>
    <w:rsid w:val="003E2711"/>
    <w:rsid w:val="003E2873"/>
    <w:rsid w:val="003F12A2"/>
    <w:rsid w:val="003F1D00"/>
    <w:rsid w:val="003F3D07"/>
    <w:rsid w:val="003F4EAA"/>
    <w:rsid w:val="003F5D2F"/>
    <w:rsid w:val="003F6C69"/>
    <w:rsid w:val="004003B3"/>
    <w:rsid w:val="00400C6E"/>
    <w:rsid w:val="004020E6"/>
    <w:rsid w:val="0040246D"/>
    <w:rsid w:val="004024D0"/>
    <w:rsid w:val="00405A74"/>
    <w:rsid w:val="00410A88"/>
    <w:rsid w:val="00413826"/>
    <w:rsid w:val="00415BDC"/>
    <w:rsid w:val="004164B2"/>
    <w:rsid w:val="00416E2E"/>
    <w:rsid w:val="004224EA"/>
    <w:rsid w:val="00426258"/>
    <w:rsid w:val="00427624"/>
    <w:rsid w:val="00427E4C"/>
    <w:rsid w:val="00427EE2"/>
    <w:rsid w:val="00427FC6"/>
    <w:rsid w:val="0043228D"/>
    <w:rsid w:val="00433DB0"/>
    <w:rsid w:val="00435243"/>
    <w:rsid w:val="00437AF1"/>
    <w:rsid w:val="004433BB"/>
    <w:rsid w:val="004457A1"/>
    <w:rsid w:val="004459B1"/>
    <w:rsid w:val="00450C23"/>
    <w:rsid w:val="00451218"/>
    <w:rsid w:val="00451313"/>
    <w:rsid w:val="00451359"/>
    <w:rsid w:val="004570E7"/>
    <w:rsid w:val="00461D02"/>
    <w:rsid w:val="00463860"/>
    <w:rsid w:val="00463D26"/>
    <w:rsid w:val="00465215"/>
    <w:rsid w:val="0046588E"/>
    <w:rsid w:val="004670D8"/>
    <w:rsid w:val="00470417"/>
    <w:rsid w:val="0047211B"/>
    <w:rsid w:val="00472C4F"/>
    <w:rsid w:val="00472C5C"/>
    <w:rsid w:val="00473C6A"/>
    <w:rsid w:val="00474475"/>
    <w:rsid w:val="004745E6"/>
    <w:rsid w:val="004812F5"/>
    <w:rsid w:val="004816E5"/>
    <w:rsid w:val="00481E80"/>
    <w:rsid w:val="004833A3"/>
    <w:rsid w:val="0048377A"/>
    <w:rsid w:val="00484554"/>
    <w:rsid w:val="00491563"/>
    <w:rsid w:val="00495135"/>
    <w:rsid w:val="00495197"/>
    <w:rsid w:val="004963D1"/>
    <w:rsid w:val="00497724"/>
    <w:rsid w:val="004A36CD"/>
    <w:rsid w:val="004A4B29"/>
    <w:rsid w:val="004B1F67"/>
    <w:rsid w:val="004B21C1"/>
    <w:rsid w:val="004B7E97"/>
    <w:rsid w:val="004B7F04"/>
    <w:rsid w:val="004C2EE7"/>
    <w:rsid w:val="004C30CA"/>
    <w:rsid w:val="004C4D26"/>
    <w:rsid w:val="004C5A47"/>
    <w:rsid w:val="004D0576"/>
    <w:rsid w:val="004D36D7"/>
    <w:rsid w:val="004D3792"/>
    <w:rsid w:val="004D4A5A"/>
    <w:rsid w:val="004D6CD1"/>
    <w:rsid w:val="004D7358"/>
    <w:rsid w:val="004E0D3A"/>
    <w:rsid w:val="004E2205"/>
    <w:rsid w:val="004E2956"/>
    <w:rsid w:val="004E30E5"/>
    <w:rsid w:val="004E4138"/>
    <w:rsid w:val="004E4FAD"/>
    <w:rsid w:val="004E6974"/>
    <w:rsid w:val="004E7B30"/>
    <w:rsid w:val="004E7EBC"/>
    <w:rsid w:val="004F0084"/>
    <w:rsid w:val="004F0109"/>
    <w:rsid w:val="004F2266"/>
    <w:rsid w:val="004F27D1"/>
    <w:rsid w:val="004F5B78"/>
    <w:rsid w:val="004F619A"/>
    <w:rsid w:val="004F61E8"/>
    <w:rsid w:val="004F78CB"/>
    <w:rsid w:val="005002A2"/>
    <w:rsid w:val="005007CA"/>
    <w:rsid w:val="005010DD"/>
    <w:rsid w:val="0050266C"/>
    <w:rsid w:val="00502F25"/>
    <w:rsid w:val="0050578D"/>
    <w:rsid w:val="00507139"/>
    <w:rsid w:val="00510FD6"/>
    <w:rsid w:val="0051216B"/>
    <w:rsid w:val="00517275"/>
    <w:rsid w:val="005222ED"/>
    <w:rsid w:val="00523BD5"/>
    <w:rsid w:val="0053108D"/>
    <w:rsid w:val="00532F36"/>
    <w:rsid w:val="00536AD2"/>
    <w:rsid w:val="00536BD1"/>
    <w:rsid w:val="00542046"/>
    <w:rsid w:val="00542B90"/>
    <w:rsid w:val="00544726"/>
    <w:rsid w:val="00545293"/>
    <w:rsid w:val="00555B0E"/>
    <w:rsid w:val="00557337"/>
    <w:rsid w:val="00557860"/>
    <w:rsid w:val="00561970"/>
    <w:rsid w:val="00562EF5"/>
    <w:rsid w:val="0056390B"/>
    <w:rsid w:val="00566D84"/>
    <w:rsid w:val="005721F0"/>
    <w:rsid w:val="005739CF"/>
    <w:rsid w:val="005740C8"/>
    <w:rsid w:val="00576AAC"/>
    <w:rsid w:val="0058092D"/>
    <w:rsid w:val="00581189"/>
    <w:rsid w:val="00582BBF"/>
    <w:rsid w:val="0059199F"/>
    <w:rsid w:val="00595172"/>
    <w:rsid w:val="0059538D"/>
    <w:rsid w:val="00596B9E"/>
    <w:rsid w:val="00597300"/>
    <w:rsid w:val="005A3A0B"/>
    <w:rsid w:val="005A6835"/>
    <w:rsid w:val="005A7426"/>
    <w:rsid w:val="005B3A48"/>
    <w:rsid w:val="005B56E9"/>
    <w:rsid w:val="005C1039"/>
    <w:rsid w:val="005C2C12"/>
    <w:rsid w:val="005C3C2D"/>
    <w:rsid w:val="005C5778"/>
    <w:rsid w:val="005D0AE9"/>
    <w:rsid w:val="005D2CA7"/>
    <w:rsid w:val="005D5310"/>
    <w:rsid w:val="005D6115"/>
    <w:rsid w:val="005D7747"/>
    <w:rsid w:val="005E10BC"/>
    <w:rsid w:val="005E5DCC"/>
    <w:rsid w:val="005E601E"/>
    <w:rsid w:val="005E65A8"/>
    <w:rsid w:val="005E6AA8"/>
    <w:rsid w:val="005E6D70"/>
    <w:rsid w:val="005F1B9C"/>
    <w:rsid w:val="005F434C"/>
    <w:rsid w:val="005F57EB"/>
    <w:rsid w:val="00602AB1"/>
    <w:rsid w:val="0060448B"/>
    <w:rsid w:val="00607F4B"/>
    <w:rsid w:val="0061029B"/>
    <w:rsid w:val="00615702"/>
    <w:rsid w:val="0061684B"/>
    <w:rsid w:val="00617362"/>
    <w:rsid w:val="00623590"/>
    <w:rsid w:val="00623C15"/>
    <w:rsid w:val="00624F86"/>
    <w:rsid w:val="00627580"/>
    <w:rsid w:val="0063030D"/>
    <w:rsid w:val="00630395"/>
    <w:rsid w:val="006310DD"/>
    <w:rsid w:val="0063143F"/>
    <w:rsid w:val="00632923"/>
    <w:rsid w:val="00635147"/>
    <w:rsid w:val="00636458"/>
    <w:rsid w:val="0064231D"/>
    <w:rsid w:val="006437AB"/>
    <w:rsid w:val="00643AC6"/>
    <w:rsid w:val="006444CD"/>
    <w:rsid w:val="00651851"/>
    <w:rsid w:val="00656265"/>
    <w:rsid w:val="0065772A"/>
    <w:rsid w:val="00657867"/>
    <w:rsid w:val="0066027E"/>
    <w:rsid w:val="006618BF"/>
    <w:rsid w:val="00661C8F"/>
    <w:rsid w:val="00662871"/>
    <w:rsid w:val="006645AC"/>
    <w:rsid w:val="00664E9F"/>
    <w:rsid w:val="00666A7E"/>
    <w:rsid w:val="00666B47"/>
    <w:rsid w:val="006710B2"/>
    <w:rsid w:val="00672C4E"/>
    <w:rsid w:val="00676111"/>
    <w:rsid w:val="0067730A"/>
    <w:rsid w:val="006774B8"/>
    <w:rsid w:val="006842B0"/>
    <w:rsid w:val="006904B5"/>
    <w:rsid w:val="00693865"/>
    <w:rsid w:val="006940C1"/>
    <w:rsid w:val="00695317"/>
    <w:rsid w:val="006953D8"/>
    <w:rsid w:val="00696A03"/>
    <w:rsid w:val="00697B4B"/>
    <w:rsid w:val="006A09C7"/>
    <w:rsid w:val="006A2D4D"/>
    <w:rsid w:val="006A61FC"/>
    <w:rsid w:val="006B0D0A"/>
    <w:rsid w:val="006B68E8"/>
    <w:rsid w:val="006B7ABD"/>
    <w:rsid w:val="006C0105"/>
    <w:rsid w:val="006C1477"/>
    <w:rsid w:val="006C1BCA"/>
    <w:rsid w:val="006C1E93"/>
    <w:rsid w:val="006C5143"/>
    <w:rsid w:val="006C6732"/>
    <w:rsid w:val="006C7B60"/>
    <w:rsid w:val="006C7E3A"/>
    <w:rsid w:val="006E04C7"/>
    <w:rsid w:val="006E7F7A"/>
    <w:rsid w:val="006E7FA1"/>
    <w:rsid w:val="006F2527"/>
    <w:rsid w:val="006F2F12"/>
    <w:rsid w:val="006F5866"/>
    <w:rsid w:val="006F7DA7"/>
    <w:rsid w:val="007006CF"/>
    <w:rsid w:val="00700F75"/>
    <w:rsid w:val="007040EE"/>
    <w:rsid w:val="007045CF"/>
    <w:rsid w:val="00705280"/>
    <w:rsid w:val="00706107"/>
    <w:rsid w:val="00714B51"/>
    <w:rsid w:val="007155A5"/>
    <w:rsid w:val="00717DF3"/>
    <w:rsid w:val="00720B64"/>
    <w:rsid w:val="0072295D"/>
    <w:rsid w:val="00723BB2"/>
    <w:rsid w:val="00723D6B"/>
    <w:rsid w:val="00724305"/>
    <w:rsid w:val="007251FA"/>
    <w:rsid w:val="007277B4"/>
    <w:rsid w:val="00732339"/>
    <w:rsid w:val="00734DB2"/>
    <w:rsid w:val="00740B97"/>
    <w:rsid w:val="00743427"/>
    <w:rsid w:val="0074513F"/>
    <w:rsid w:val="00745147"/>
    <w:rsid w:val="007462E6"/>
    <w:rsid w:val="00746421"/>
    <w:rsid w:val="00746656"/>
    <w:rsid w:val="00746F5E"/>
    <w:rsid w:val="00754FB1"/>
    <w:rsid w:val="007556BD"/>
    <w:rsid w:val="007572A2"/>
    <w:rsid w:val="00757BFC"/>
    <w:rsid w:val="00760A37"/>
    <w:rsid w:val="007656DC"/>
    <w:rsid w:val="0076650E"/>
    <w:rsid w:val="00766567"/>
    <w:rsid w:val="007668CC"/>
    <w:rsid w:val="007731D9"/>
    <w:rsid w:val="007743FD"/>
    <w:rsid w:val="00775A2D"/>
    <w:rsid w:val="0078572A"/>
    <w:rsid w:val="00786557"/>
    <w:rsid w:val="00786B27"/>
    <w:rsid w:val="00794132"/>
    <w:rsid w:val="007A1986"/>
    <w:rsid w:val="007A1CE1"/>
    <w:rsid w:val="007A24BB"/>
    <w:rsid w:val="007A64BB"/>
    <w:rsid w:val="007A7EA0"/>
    <w:rsid w:val="007B00C7"/>
    <w:rsid w:val="007B58EB"/>
    <w:rsid w:val="007B6FEC"/>
    <w:rsid w:val="007C01C6"/>
    <w:rsid w:val="007C025E"/>
    <w:rsid w:val="007C217F"/>
    <w:rsid w:val="007C23D6"/>
    <w:rsid w:val="007C3885"/>
    <w:rsid w:val="007C3F0C"/>
    <w:rsid w:val="007C5223"/>
    <w:rsid w:val="007D4570"/>
    <w:rsid w:val="007D6215"/>
    <w:rsid w:val="007D6CB1"/>
    <w:rsid w:val="007E346B"/>
    <w:rsid w:val="007E431F"/>
    <w:rsid w:val="007E488D"/>
    <w:rsid w:val="007E78EB"/>
    <w:rsid w:val="007F0768"/>
    <w:rsid w:val="007F323E"/>
    <w:rsid w:val="007F4D65"/>
    <w:rsid w:val="007F50D9"/>
    <w:rsid w:val="007F5D33"/>
    <w:rsid w:val="008018C3"/>
    <w:rsid w:val="008028E4"/>
    <w:rsid w:val="00805286"/>
    <w:rsid w:val="0080541B"/>
    <w:rsid w:val="00805972"/>
    <w:rsid w:val="00812517"/>
    <w:rsid w:val="0081285B"/>
    <w:rsid w:val="0082001E"/>
    <w:rsid w:val="00822B94"/>
    <w:rsid w:val="008277DF"/>
    <w:rsid w:val="00832E0D"/>
    <w:rsid w:val="008338EA"/>
    <w:rsid w:val="00835697"/>
    <w:rsid w:val="00835CD6"/>
    <w:rsid w:val="008363D3"/>
    <w:rsid w:val="00840BC8"/>
    <w:rsid w:val="00842730"/>
    <w:rsid w:val="0084519E"/>
    <w:rsid w:val="0085013E"/>
    <w:rsid w:val="00851D8E"/>
    <w:rsid w:val="00854007"/>
    <w:rsid w:val="0085501A"/>
    <w:rsid w:val="00857138"/>
    <w:rsid w:val="00861003"/>
    <w:rsid w:val="00865C4F"/>
    <w:rsid w:val="00866BAC"/>
    <w:rsid w:val="008715FE"/>
    <w:rsid w:val="00873B84"/>
    <w:rsid w:val="00874BD7"/>
    <w:rsid w:val="00874D19"/>
    <w:rsid w:val="0088047D"/>
    <w:rsid w:val="00880C14"/>
    <w:rsid w:val="00881EB3"/>
    <w:rsid w:val="008829C8"/>
    <w:rsid w:val="0088332E"/>
    <w:rsid w:val="00883E0C"/>
    <w:rsid w:val="008855D2"/>
    <w:rsid w:val="00886049"/>
    <w:rsid w:val="00886459"/>
    <w:rsid w:val="008876A4"/>
    <w:rsid w:val="00887E44"/>
    <w:rsid w:val="008918C8"/>
    <w:rsid w:val="0089224E"/>
    <w:rsid w:val="00894D87"/>
    <w:rsid w:val="00894E48"/>
    <w:rsid w:val="00897264"/>
    <w:rsid w:val="008A070B"/>
    <w:rsid w:val="008A31FD"/>
    <w:rsid w:val="008A3696"/>
    <w:rsid w:val="008A5926"/>
    <w:rsid w:val="008B055C"/>
    <w:rsid w:val="008B082A"/>
    <w:rsid w:val="008B39B5"/>
    <w:rsid w:val="008B6E7F"/>
    <w:rsid w:val="008C06D1"/>
    <w:rsid w:val="008C6992"/>
    <w:rsid w:val="008C6CC1"/>
    <w:rsid w:val="008C7CE9"/>
    <w:rsid w:val="008D5CE4"/>
    <w:rsid w:val="008D5DD4"/>
    <w:rsid w:val="008D7E7F"/>
    <w:rsid w:val="008E267F"/>
    <w:rsid w:val="008E382D"/>
    <w:rsid w:val="008E5E6C"/>
    <w:rsid w:val="008E628F"/>
    <w:rsid w:val="008F089A"/>
    <w:rsid w:val="008F34FD"/>
    <w:rsid w:val="008F430C"/>
    <w:rsid w:val="008F43D8"/>
    <w:rsid w:val="008F6A97"/>
    <w:rsid w:val="008F7A0F"/>
    <w:rsid w:val="00900733"/>
    <w:rsid w:val="0090345E"/>
    <w:rsid w:val="00903483"/>
    <w:rsid w:val="009116FC"/>
    <w:rsid w:val="00912B19"/>
    <w:rsid w:val="00913985"/>
    <w:rsid w:val="00914927"/>
    <w:rsid w:val="00916618"/>
    <w:rsid w:val="0092276D"/>
    <w:rsid w:val="00922FEB"/>
    <w:rsid w:val="0093106A"/>
    <w:rsid w:val="00932C00"/>
    <w:rsid w:val="00937073"/>
    <w:rsid w:val="0093777F"/>
    <w:rsid w:val="0094134A"/>
    <w:rsid w:val="00943DF9"/>
    <w:rsid w:val="00946891"/>
    <w:rsid w:val="00950BE7"/>
    <w:rsid w:val="0095143E"/>
    <w:rsid w:val="00953EAF"/>
    <w:rsid w:val="00954EFF"/>
    <w:rsid w:val="00956A26"/>
    <w:rsid w:val="00956D2D"/>
    <w:rsid w:val="00961CE2"/>
    <w:rsid w:val="009669F8"/>
    <w:rsid w:val="00972EAC"/>
    <w:rsid w:val="0097372C"/>
    <w:rsid w:val="00973DF3"/>
    <w:rsid w:val="009740A1"/>
    <w:rsid w:val="00975E1B"/>
    <w:rsid w:val="009770D2"/>
    <w:rsid w:val="00977C83"/>
    <w:rsid w:val="009837C8"/>
    <w:rsid w:val="00984729"/>
    <w:rsid w:val="00987E17"/>
    <w:rsid w:val="009930BD"/>
    <w:rsid w:val="00993A13"/>
    <w:rsid w:val="0099419B"/>
    <w:rsid w:val="009955AC"/>
    <w:rsid w:val="00996667"/>
    <w:rsid w:val="009974EF"/>
    <w:rsid w:val="009A05BF"/>
    <w:rsid w:val="009A0775"/>
    <w:rsid w:val="009A0C44"/>
    <w:rsid w:val="009A20F7"/>
    <w:rsid w:val="009A53E4"/>
    <w:rsid w:val="009B0104"/>
    <w:rsid w:val="009B2315"/>
    <w:rsid w:val="009B3237"/>
    <w:rsid w:val="009B5E52"/>
    <w:rsid w:val="009C122D"/>
    <w:rsid w:val="009C4544"/>
    <w:rsid w:val="009C47FD"/>
    <w:rsid w:val="009C4AB8"/>
    <w:rsid w:val="009C6155"/>
    <w:rsid w:val="009C71E4"/>
    <w:rsid w:val="009D041D"/>
    <w:rsid w:val="009D0B38"/>
    <w:rsid w:val="009D14DE"/>
    <w:rsid w:val="009D26C0"/>
    <w:rsid w:val="009D64A3"/>
    <w:rsid w:val="009E08DD"/>
    <w:rsid w:val="009E29DA"/>
    <w:rsid w:val="009E4A2F"/>
    <w:rsid w:val="009E6BD3"/>
    <w:rsid w:val="009F018B"/>
    <w:rsid w:val="009F0E45"/>
    <w:rsid w:val="009F4771"/>
    <w:rsid w:val="009F6E58"/>
    <w:rsid w:val="00A02234"/>
    <w:rsid w:val="00A071AF"/>
    <w:rsid w:val="00A106AB"/>
    <w:rsid w:val="00A10ABB"/>
    <w:rsid w:val="00A1113D"/>
    <w:rsid w:val="00A11922"/>
    <w:rsid w:val="00A12349"/>
    <w:rsid w:val="00A12F75"/>
    <w:rsid w:val="00A22CD6"/>
    <w:rsid w:val="00A231BF"/>
    <w:rsid w:val="00A23B82"/>
    <w:rsid w:val="00A23CE3"/>
    <w:rsid w:val="00A25D4A"/>
    <w:rsid w:val="00A26FC2"/>
    <w:rsid w:val="00A309A0"/>
    <w:rsid w:val="00A30BF7"/>
    <w:rsid w:val="00A3427D"/>
    <w:rsid w:val="00A34557"/>
    <w:rsid w:val="00A345DE"/>
    <w:rsid w:val="00A34A35"/>
    <w:rsid w:val="00A37AD5"/>
    <w:rsid w:val="00A4009B"/>
    <w:rsid w:val="00A403DF"/>
    <w:rsid w:val="00A40B09"/>
    <w:rsid w:val="00A43694"/>
    <w:rsid w:val="00A43EA9"/>
    <w:rsid w:val="00A463E1"/>
    <w:rsid w:val="00A46949"/>
    <w:rsid w:val="00A55097"/>
    <w:rsid w:val="00A57E90"/>
    <w:rsid w:val="00A61840"/>
    <w:rsid w:val="00A61AEB"/>
    <w:rsid w:val="00A625F8"/>
    <w:rsid w:val="00A628BC"/>
    <w:rsid w:val="00A64D34"/>
    <w:rsid w:val="00A654A0"/>
    <w:rsid w:val="00A665F7"/>
    <w:rsid w:val="00A7637A"/>
    <w:rsid w:val="00A7784E"/>
    <w:rsid w:val="00A81A6C"/>
    <w:rsid w:val="00A835CB"/>
    <w:rsid w:val="00A83797"/>
    <w:rsid w:val="00A8449D"/>
    <w:rsid w:val="00A84907"/>
    <w:rsid w:val="00A932BB"/>
    <w:rsid w:val="00A93747"/>
    <w:rsid w:val="00A96A0F"/>
    <w:rsid w:val="00A96B7A"/>
    <w:rsid w:val="00A96FAA"/>
    <w:rsid w:val="00AA1B31"/>
    <w:rsid w:val="00AA1D54"/>
    <w:rsid w:val="00AA21BA"/>
    <w:rsid w:val="00AA2A3A"/>
    <w:rsid w:val="00AA68CF"/>
    <w:rsid w:val="00AB0BE6"/>
    <w:rsid w:val="00AB296B"/>
    <w:rsid w:val="00AB4788"/>
    <w:rsid w:val="00AC3A97"/>
    <w:rsid w:val="00AC3DAE"/>
    <w:rsid w:val="00AC3F81"/>
    <w:rsid w:val="00AC4CF3"/>
    <w:rsid w:val="00AC59BE"/>
    <w:rsid w:val="00AC62A8"/>
    <w:rsid w:val="00AD0ED0"/>
    <w:rsid w:val="00AD5C09"/>
    <w:rsid w:val="00AD5C20"/>
    <w:rsid w:val="00AD6055"/>
    <w:rsid w:val="00AD7342"/>
    <w:rsid w:val="00AD7A58"/>
    <w:rsid w:val="00AD7C53"/>
    <w:rsid w:val="00AE0BF4"/>
    <w:rsid w:val="00AE143E"/>
    <w:rsid w:val="00AE1DA5"/>
    <w:rsid w:val="00AE2F1D"/>
    <w:rsid w:val="00AE3E8F"/>
    <w:rsid w:val="00AE402B"/>
    <w:rsid w:val="00AE5F7E"/>
    <w:rsid w:val="00AF0520"/>
    <w:rsid w:val="00AF1AA4"/>
    <w:rsid w:val="00AF1DCF"/>
    <w:rsid w:val="00AF2598"/>
    <w:rsid w:val="00AF3271"/>
    <w:rsid w:val="00AF3CFE"/>
    <w:rsid w:val="00AF6B99"/>
    <w:rsid w:val="00AF7139"/>
    <w:rsid w:val="00B03A2F"/>
    <w:rsid w:val="00B058FC"/>
    <w:rsid w:val="00B05CC2"/>
    <w:rsid w:val="00B06A6B"/>
    <w:rsid w:val="00B114DB"/>
    <w:rsid w:val="00B11CDF"/>
    <w:rsid w:val="00B15547"/>
    <w:rsid w:val="00B15E2D"/>
    <w:rsid w:val="00B1652A"/>
    <w:rsid w:val="00B16F37"/>
    <w:rsid w:val="00B17414"/>
    <w:rsid w:val="00B21494"/>
    <w:rsid w:val="00B21860"/>
    <w:rsid w:val="00B24DAF"/>
    <w:rsid w:val="00B25191"/>
    <w:rsid w:val="00B255FB"/>
    <w:rsid w:val="00B259CE"/>
    <w:rsid w:val="00B26325"/>
    <w:rsid w:val="00B27D31"/>
    <w:rsid w:val="00B306D3"/>
    <w:rsid w:val="00B353DE"/>
    <w:rsid w:val="00B37AA1"/>
    <w:rsid w:val="00B37C67"/>
    <w:rsid w:val="00B503DF"/>
    <w:rsid w:val="00B52E3E"/>
    <w:rsid w:val="00B532E5"/>
    <w:rsid w:val="00B5370F"/>
    <w:rsid w:val="00B57283"/>
    <w:rsid w:val="00B601FC"/>
    <w:rsid w:val="00B63161"/>
    <w:rsid w:val="00B6607B"/>
    <w:rsid w:val="00B6709E"/>
    <w:rsid w:val="00B70DBE"/>
    <w:rsid w:val="00B70E85"/>
    <w:rsid w:val="00B71933"/>
    <w:rsid w:val="00B72C75"/>
    <w:rsid w:val="00B74A61"/>
    <w:rsid w:val="00B76DBB"/>
    <w:rsid w:val="00B7773F"/>
    <w:rsid w:val="00B84DD6"/>
    <w:rsid w:val="00B909DA"/>
    <w:rsid w:val="00B95DAC"/>
    <w:rsid w:val="00B96DD0"/>
    <w:rsid w:val="00BA0724"/>
    <w:rsid w:val="00BA301C"/>
    <w:rsid w:val="00BA5747"/>
    <w:rsid w:val="00BA77B2"/>
    <w:rsid w:val="00BA7CDB"/>
    <w:rsid w:val="00BB2ED5"/>
    <w:rsid w:val="00BB7928"/>
    <w:rsid w:val="00BB7C38"/>
    <w:rsid w:val="00BC11D6"/>
    <w:rsid w:val="00BC19E2"/>
    <w:rsid w:val="00BC3040"/>
    <w:rsid w:val="00BC3517"/>
    <w:rsid w:val="00BD02E9"/>
    <w:rsid w:val="00BD0CDC"/>
    <w:rsid w:val="00BD1600"/>
    <w:rsid w:val="00BD1B8F"/>
    <w:rsid w:val="00BD3625"/>
    <w:rsid w:val="00BD3711"/>
    <w:rsid w:val="00BD426B"/>
    <w:rsid w:val="00BD51EE"/>
    <w:rsid w:val="00BD7236"/>
    <w:rsid w:val="00BE2ADC"/>
    <w:rsid w:val="00BE44C9"/>
    <w:rsid w:val="00BE5D99"/>
    <w:rsid w:val="00BE7055"/>
    <w:rsid w:val="00BE757D"/>
    <w:rsid w:val="00BF173E"/>
    <w:rsid w:val="00BF18F7"/>
    <w:rsid w:val="00BF1E97"/>
    <w:rsid w:val="00BF4B4D"/>
    <w:rsid w:val="00BF5500"/>
    <w:rsid w:val="00BF76F8"/>
    <w:rsid w:val="00C0015B"/>
    <w:rsid w:val="00C00515"/>
    <w:rsid w:val="00C00FCA"/>
    <w:rsid w:val="00C04EE6"/>
    <w:rsid w:val="00C04FDF"/>
    <w:rsid w:val="00C0516B"/>
    <w:rsid w:val="00C06628"/>
    <w:rsid w:val="00C11ACA"/>
    <w:rsid w:val="00C13690"/>
    <w:rsid w:val="00C155F2"/>
    <w:rsid w:val="00C205D8"/>
    <w:rsid w:val="00C21113"/>
    <w:rsid w:val="00C23FE6"/>
    <w:rsid w:val="00C25735"/>
    <w:rsid w:val="00C32352"/>
    <w:rsid w:val="00C34A80"/>
    <w:rsid w:val="00C355B7"/>
    <w:rsid w:val="00C35BE1"/>
    <w:rsid w:val="00C378C4"/>
    <w:rsid w:val="00C379ED"/>
    <w:rsid w:val="00C421C7"/>
    <w:rsid w:val="00C44CF7"/>
    <w:rsid w:val="00C45CE8"/>
    <w:rsid w:val="00C46499"/>
    <w:rsid w:val="00C5110C"/>
    <w:rsid w:val="00C52639"/>
    <w:rsid w:val="00C52BD3"/>
    <w:rsid w:val="00C52BF2"/>
    <w:rsid w:val="00C54DF6"/>
    <w:rsid w:val="00C60A86"/>
    <w:rsid w:val="00C63F93"/>
    <w:rsid w:val="00C64C7A"/>
    <w:rsid w:val="00C66519"/>
    <w:rsid w:val="00C71187"/>
    <w:rsid w:val="00C714C9"/>
    <w:rsid w:val="00C746EF"/>
    <w:rsid w:val="00C815F0"/>
    <w:rsid w:val="00C82DD3"/>
    <w:rsid w:val="00C851B1"/>
    <w:rsid w:val="00C85409"/>
    <w:rsid w:val="00C86A4A"/>
    <w:rsid w:val="00C90271"/>
    <w:rsid w:val="00C90F49"/>
    <w:rsid w:val="00C913FB"/>
    <w:rsid w:val="00C93B08"/>
    <w:rsid w:val="00C93E05"/>
    <w:rsid w:val="00C9427F"/>
    <w:rsid w:val="00C9465F"/>
    <w:rsid w:val="00C947F4"/>
    <w:rsid w:val="00CA00ED"/>
    <w:rsid w:val="00CA00EF"/>
    <w:rsid w:val="00CA04A6"/>
    <w:rsid w:val="00CA069C"/>
    <w:rsid w:val="00CA1374"/>
    <w:rsid w:val="00CA1C4C"/>
    <w:rsid w:val="00CA7407"/>
    <w:rsid w:val="00CA76DC"/>
    <w:rsid w:val="00CB0400"/>
    <w:rsid w:val="00CB6827"/>
    <w:rsid w:val="00CB7E55"/>
    <w:rsid w:val="00CC0BDE"/>
    <w:rsid w:val="00CC146E"/>
    <w:rsid w:val="00CC583E"/>
    <w:rsid w:val="00CC6971"/>
    <w:rsid w:val="00CD074A"/>
    <w:rsid w:val="00CD0902"/>
    <w:rsid w:val="00CD260C"/>
    <w:rsid w:val="00CD3C7A"/>
    <w:rsid w:val="00CD3FEC"/>
    <w:rsid w:val="00CD42B9"/>
    <w:rsid w:val="00CD6281"/>
    <w:rsid w:val="00CD6E0B"/>
    <w:rsid w:val="00CE0AAB"/>
    <w:rsid w:val="00CE37E5"/>
    <w:rsid w:val="00CE58C1"/>
    <w:rsid w:val="00CE707E"/>
    <w:rsid w:val="00CF11E5"/>
    <w:rsid w:val="00CF7F64"/>
    <w:rsid w:val="00D00AE0"/>
    <w:rsid w:val="00D0274A"/>
    <w:rsid w:val="00D04FD3"/>
    <w:rsid w:val="00D1104B"/>
    <w:rsid w:val="00D13073"/>
    <w:rsid w:val="00D15D65"/>
    <w:rsid w:val="00D177EB"/>
    <w:rsid w:val="00D17890"/>
    <w:rsid w:val="00D20BAE"/>
    <w:rsid w:val="00D20E28"/>
    <w:rsid w:val="00D2279F"/>
    <w:rsid w:val="00D27C06"/>
    <w:rsid w:val="00D306F1"/>
    <w:rsid w:val="00D3588B"/>
    <w:rsid w:val="00D35B3D"/>
    <w:rsid w:val="00D377E0"/>
    <w:rsid w:val="00D37F89"/>
    <w:rsid w:val="00D41BD2"/>
    <w:rsid w:val="00D41BE4"/>
    <w:rsid w:val="00D429B0"/>
    <w:rsid w:val="00D43E43"/>
    <w:rsid w:val="00D44638"/>
    <w:rsid w:val="00D45010"/>
    <w:rsid w:val="00D47DA4"/>
    <w:rsid w:val="00D47FB4"/>
    <w:rsid w:val="00D50C6D"/>
    <w:rsid w:val="00D5103B"/>
    <w:rsid w:val="00D534CD"/>
    <w:rsid w:val="00D5354C"/>
    <w:rsid w:val="00D558A1"/>
    <w:rsid w:val="00D567C3"/>
    <w:rsid w:val="00D57415"/>
    <w:rsid w:val="00D61709"/>
    <w:rsid w:val="00D622C1"/>
    <w:rsid w:val="00D62947"/>
    <w:rsid w:val="00D63898"/>
    <w:rsid w:val="00D64B2B"/>
    <w:rsid w:val="00D64CC2"/>
    <w:rsid w:val="00D6605E"/>
    <w:rsid w:val="00D67262"/>
    <w:rsid w:val="00D76C5B"/>
    <w:rsid w:val="00D779F7"/>
    <w:rsid w:val="00D81897"/>
    <w:rsid w:val="00D82EC3"/>
    <w:rsid w:val="00D838DF"/>
    <w:rsid w:val="00D83F54"/>
    <w:rsid w:val="00D87421"/>
    <w:rsid w:val="00D94863"/>
    <w:rsid w:val="00DA047A"/>
    <w:rsid w:val="00DA2810"/>
    <w:rsid w:val="00DA36BF"/>
    <w:rsid w:val="00DA4CA5"/>
    <w:rsid w:val="00DA6234"/>
    <w:rsid w:val="00DB0BB8"/>
    <w:rsid w:val="00DB2364"/>
    <w:rsid w:val="00DB2F7C"/>
    <w:rsid w:val="00DB377A"/>
    <w:rsid w:val="00DB42F6"/>
    <w:rsid w:val="00DB6394"/>
    <w:rsid w:val="00DB7D40"/>
    <w:rsid w:val="00DC032B"/>
    <w:rsid w:val="00DC1794"/>
    <w:rsid w:val="00DC1EF3"/>
    <w:rsid w:val="00DC2353"/>
    <w:rsid w:val="00DC32CA"/>
    <w:rsid w:val="00DC43ED"/>
    <w:rsid w:val="00DC6DC0"/>
    <w:rsid w:val="00DD0B8F"/>
    <w:rsid w:val="00DD0E9B"/>
    <w:rsid w:val="00DD341D"/>
    <w:rsid w:val="00DD34E2"/>
    <w:rsid w:val="00DD36A7"/>
    <w:rsid w:val="00DD3921"/>
    <w:rsid w:val="00DD3DDA"/>
    <w:rsid w:val="00DD48A5"/>
    <w:rsid w:val="00DD50F7"/>
    <w:rsid w:val="00DD54E0"/>
    <w:rsid w:val="00DE0020"/>
    <w:rsid w:val="00DE2F4D"/>
    <w:rsid w:val="00DE4307"/>
    <w:rsid w:val="00DE4DCE"/>
    <w:rsid w:val="00DE6956"/>
    <w:rsid w:val="00DF1E81"/>
    <w:rsid w:val="00DF2E1D"/>
    <w:rsid w:val="00DF36E6"/>
    <w:rsid w:val="00DF42C2"/>
    <w:rsid w:val="00DF520A"/>
    <w:rsid w:val="00DF55CE"/>
    <w:rsid w:val="00E0142F"/>
    <w:rsid w:val="00E0229B"/>
    <w:rsid w:val="00E0351F"/>
    <w:rsid w:val="00E036DD"/>
    <w:rsid w:val="00E04699"/>
    <w:rsid w:val="00E046AE"/>
    <w:rsid w:val="00E06736"/>
    <w:rsid w:val="00E10236"/>
    <w:rsid w:val="00E10242"/>
    <w:rsid w:val="00E10734"/>
    <w:rsid w:val="00E17299"/>
    <w:rsid w:val="00E17D54"/>
    <w:rsid w:val="00E17EDB"/>
    <w:rsid w:val="00E21E2E"/>
    <w:rsid w:val="00E220DD"/>
    <w:rsid w:val="00E260AB"/>
    <w:rsid w:val="00E27D40"/>
    <w:rsid w:val="00E27F25"/>
    <w:rsid w:val="00E3143E"/>
    <w:rsid w:val="00E316B8"/>
    <w:rsid w:val="00E31E73"/>
    <w:rsid w:val="00E3269E"/>
    <w:rsid w:val="00E37B3A"/>
    <w:rsid w:val="00E4179D"/>
    <w:rsid w:val="00E43433"/>
    <w:rsid w:val="00E43EC9"/>
    <w:rsid w:val="00E44329"/>
    <w:rsid w:val="00E519B9"/>
    <w:rsid w:val="00E52945"/>
    <w:rsid w:val="00E540A1"/>
    <w:rsid w:val="00E55097"/>
    <w:rsid w:val="00E55E51"/>
    <w:rsid w:val="00E571EA"/>
    <w:rsid w:val="00E5727D"/>
    <w:rsid w:val="00E57A9C"/>
    <w:rsid w:val="00E6089F"/>
    <w:rsid w:val="00E609B5"/>
    <w:rsid w:val="00E60B27"/>
    <w:rsid w:val="00E667EB"/>
    <w:rsid w:val="00E669C9"/>
    <w:rsid w:val="00E66A29"/>
    <w:rsid w:val="00E706E1"/>
    <w:rsid w:val="00E80D7B"/>
    <w:rsid w:val="00E819E0"/>
    <w:rsid w:val="00E83899"/>
    <w:rsid w:val="00E8462D"/>
    <w:rsid w:val="00E87546"/>
    <w:rsid w:val="00E9084B"/>
    <w:rsid w:val="00E95C28"/>
    <w:rsid w:val="00E96B23"/>
    <w:rsid w:val="00E96BCC"/>
    <w:rsid w:val="00EA4099"/>
    <w:rsid w:val="00EA5226"/>
    <w:rsid w:val="00EB212D"/>
    <w:rsid w:val="00EB4793"/>
    <w:rsid w:val="00EB7E72"/>
    <w:rsid w:val="00EC3FD8"/>
    <w:rsid w:val="00EC4D26"/>
    <w:rsid w:val="00EC5EDE"/>
    <w:rsid w:val="00EC6441"/>
    <w:rsid w:val="00ED0068"/>
    <w:rsid w:val="00ED4F81"/>
    <w:rsid w:val="00ED52B4"/>
    <w:rsid w:val="00ED651A"/>
    <w:rsid w:val="00EE0155"/>
    <w:rsid w:val="00EE46E6"/>
    <w:rsid w:val="00EE66CC"/>
    <w:rsid w:val="00EF06F3"/>
    <w:rsid w:val="00EF287B"/>
    <w:rsid w:val="00EF4510"/>
    <w:rsid w:val="00EF4957"/>
    <w:rsid w:val="00EF5A6F"/>
    <w:rsid w:val="00EF5C3B"/>
    <w:rsid w:val="00F024B2"/>
    <w:rsid w:val="00F027B8"/>
    <w:rsid w:val="00F02FDF"/>
    <w:rsid w:val="00F03763"/>
    <w:rsid w:val="00F04225"/>
    <w:rsid w:val="00F04D6F"/>
    <w:rsid w:val="00F103E1"/>
    <w:rsid w:val="00F1494A"/>
    <w:rsid w:val="00F15D50"/>
    <w:rsid w:val="00F17A36"/>
    <w:rsid w:val="00F17B26"/>
    <w:rsid w:val="00F20FBB"/>
    <w:rsid w:val="00F24589"/>
    <w:rsid w:val="00F248C7"/>
    <w:rsid w:val="00F25125"/>
    <w:rsid w:val="00F320F0"/>
    <w:rsid w:val="00F4007B"/>
    <w:rsid w:val="00F45D2D"/>
    <w:rsid w:val="00F4757A"/>
    <w:rsid w:val="00F52149"/>
    <w:rsid w:val="00F52F64"/>
    <w:rsid w:val="00F54293"/>
    <w:rsid w:val="00F57032"/>
    <w:rsid w:val="00F642BD"/>
    <w:rsid w:val="00F6498B"/>
    <w:rsid w:val="00F6545E"/>
    <w:rsid w:val="00F714DD"/>
    <w:rsid w:val="00F72A00"/>
    <w:rsid w:val="00F74957"/>
    <w:rsid w:val="00F85F25"/>
    <w:rsid w:val="00F9106D"/>
    <w:rsid w:val="00F91685"/>
    <w:rsid w:val="00F9184B"/>
    <w:rsid w:val="00F93D9C"/>
    <w:rsid w:val="00F94DB9"/>
    <w:rsid w:val="00F9523D"/>
    <w:rsid w:val="00FA135A"/>
    <w:rsid w:val="00FA34C6"/>
    <w:rsid w:val="00FA6B64"/>
    <w:rsid w:val="00FA7216"/>
    <w:rsid w:val="00FB42CE"/>
    <w:rsid w:val="00FB71AF"/>
    <w:rsid w:val="00FB7294"/>
    <w:rsid w:val="00FB7673"/>
    <w:rsid w:val="00FC0B94"/>
    <w:rsid w:val="00FC109D"/>
    <w:rsid w:val="00FC222C"/>
    <w:rsid w:val="00FC2BF7"/>
    <w:rsid w:val="00FC43D2"/>
    <w:rsid w:val="00FC5D1C"/>
    <w:rsid w:val="00FC6541"/>
    <w:rsid w:val="00FC71D6"/>
    <w:rsid w:val="00FD1969"/>
    <w:rsid w:val="00FD3246"/>
    <w:rsid w:val="00FD6B7D"/>
    <w:rsid w:val="00FE4A52"/>
    <w:rsid w:val="00FE74CD"/>
    <w:rsid w:val="00FE7A0A"/>
    <w:rsid w:val="00FF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4FA"/>
  <w15:chartTrackingRefBased/>
  <w15:docId w15:val="{666C7333-21DB-4419-91DE-4DE9B58E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19B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FEB"/>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22FEB"/>
    <w:rPr>
      <w:color w:val="0000FF"/>
      <w:u w:val="single"/>
    </w:rPr>
  </w:style>
  <w:style w:type="character" w:customStyle="1" w:styleId="FollowedHyperlink1">
    <w:name w:val="FollowedHyperlink1"/>
    <w:basedOn w:val="DefaultParagraphFont"/>
    <w:uiPriority w:val="99"/>
    <w:semiHidden/>
    <w:unhideWhenUsed/>
    <w:rsid w:val="00922FEB"/>
    <w:rPr>
      <w:color w:val="800080"/>
      <w:u w:val="single"/>
    </w:rPr>
  </w:style>
  <w:style w:type="paragraph" w:styleId="FootnoteText">
    <w:name w:val="footnote text"/>
    <w:basedOn w:val="Normal"/>
    <w:link w:val="FootnoteTextChar"/>
    <w:uiPriority w:val="99"/>
    <w:semiHidden/>
    <w:unhideWhenUsed/>
    <w:rsid w:val="00922FEB"/>
    <w:pPr>
      <w:spacing w:after="0" w:line="240" w:lineRule="auto"/>
    </w:pPr>
    <w:rPr>
      <w:kern w:val="0"/>
      <w:sz w:val="20"/>
      <w:szCs w:val="20"/>
      <w:lang w:val="ro-RO"/>
      <w14:ligatures w14:val="none"/>
    </w:rPr>
  </w:style>
  <w:style w:type="character" w:customStyle="1" w:styleId="FootnoteTextChar">
    <w:name w:val="Footnote Text Char"/>
    <w:basedOn w:val="DefaultParagraphFont"/>
    <w:link w:val="FootnoteText"/>
    <w:uiPriority w:val="99"/>
    <w:semiHidden/>
    <w:rsid w:val="00922FEB"/>
    <w:rPr>
      <w:kern w:val="0"/>
      <w:sz w:val="20"/>
      <w:szCs w:val="20"/>
      <w:lang w:val="ro-RO"/>
      <w14:ligatures w14:val="none"/>
    </w:rPr>
  </w:style>
  <w:style w:type="character" w:styleId="FootnoteReference">
    <w:name w:val="footnote reference"/>
    <w:basedOn w:val="DefaultParagraphFont"/>
    <w:uiPriority w:val="99"/>
    <w:semiHidden/>
    <w:unhideWhenUsed/>
    <w:rsid w:val="00922FEB"/>
    <w:rPr>
      <w:vertAlign w:val="superscript"/>
    </w:rPr>
  </w:style>
  <w:style w:type="paragraph" w:styleId="ListParagraph">
    <w:name w:val="List Paragraph"/>
    <w:basedOn w:val="Normal"/>
    <w:uiPriority w:val="1"/>
    <w:qFormat/>
    <w:rsid w:val="00922FEB"/>
    <w:pPr>
      <w:spacing w:after="200" w:line="276" w:lineRule="auto"/>
      <w:ind w:left="720"/>
      <w:contextualSpacing/>
    </w:pPr>
    <w:rPr>
      <w:kern w:val="0"/>
      <w:lang w:val="ro-RO"/>
      <w14:ligatures w14:val="none"/>
    </w:rPr>
  </w:style>
  <w:style w:type="paragraph" w:styleId="NormalWeb">
    <w:name w:val="Normal (Web)"/>
    <w:basedOn w:val="Normal"/>
    <w:uiPriority w:val="99"/>
    <w:unhideWhenUsed/>
    <w:rsid w:val="00922FEB"/>
    <w:pPr>
      <w:spacing w:after="200" w:line="276" w:lineRule="auto"/>
    </w:pPr>
    <w:rPr>
      <w:rFonts w:ascii="Times New Roman" w:hAnsi="Times New Roman" w:cs="Times New Roman"/>
      <w:kern w:val="0"/>
      <w:sz w:val="24"/>
      <w:szCs w:val="24"/>
      <w:lang w:val="ro-RO"/>
      <w14:ligatures w14:val="none"/>
    </w:rPr>
  </w:style>
  <w:style w:type="character" w:customStyle="1" w:styleId="apple-converted-space">
    <w:name w:val="apple-converted-space"/>
    <w:basedOn w:val="DefaultParagraphFont"/>
    <w:rsid w:val="00922FEB"/>
  </w:style>
  <w:style w:type="character" w:styleId="PageNumber">
    <w:name w:val="page number"/>
    <w:basedOn w:val="DefaultParagraphFont"/>
    <w:rsid w:val="00922FEB"/>
  </w:style>
  <w:style w:type="character" w:customStyle="1" w:styleId="docblue">
    <w:name w:val="doc_blue"/>
    <w:basedOn w:val="DefaultParagraphFont"/>
    <w:rsid w:val="00922FEB"/>
  </w:style>
  <w:style w:type="character" w:customStyle="1" w:styleId="docbody">
    <w:name w:val="doc_body"/>
    <w:basedOn w:val="DefaultParagraphFont"/>
    <w:rsid w:val="00922FEB"/>
  </w:style>
  <w:style w:type="character" w:customStyle="1" w:styleId="docred">
    <w:name w:val="doc_red"/>
    <w:basedOn w:val="DefaultParagraphFont"/>
    <w:rsid w:val="00922FEB"/>
  </w:style>
  <w:style w:type="character" w:styleId="CommentReference">
    <w:name w:val="annotation reference"/>
    <w:basedOn w:val="DefaultParagraphFont"/>
    <w:uiPriority w:val="99"/>
    <w:semiHidden/>
    <w:unhideWhenUsed/>
    <w:rsid w:val="00922FEB"/>
    <w:rPr>
      <w:sz w:val="16"/>
      <w:szCs w:val="16"/>
    </w:rPr>
  </w:style>
  <w:style w:type="paragraph" w:styleId="CommentText">
    <w:name w:val="annotation text"/>
    <w:basedOn w:val="Normal"/>
    <w:link w:val="CommentTextChar"/>
    <w:uiPriority w:val="99"/>
    <w:semiHidden/>
    <w:unhideWhenUsed/>
    <w:rsid w:val="00922FEB"/>
    <w:pPr>
      <w:spacing w:after="200" w:line="240" w:lineRule="auto"/>
    </w:pPr>
    <w:rPr>
      <w:kern w:val="0"/>
      <w:sz w:val="20"/>
      <w:szCs w:val="20"/>
      <w:lang w:val="ro-RO"/>
      <w14:ligatures w14:val="none"/>
    </w:rPr>
  </w:style>
  <w:style w:type="character" w:customStyle="1" w:styleId="CommentTextChar">
    <w:name w:val="Comment Text Char"/>
    <w:basedOn w:val="DefaultParagraphFont"/>
    <w:link w:val="CommentText"/>
    <w:uiPriority w:val="99"/>
    <w:semiHidden/>
    <w:rsid w:val="00922FEB"/>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922FEB"/>
    <w:rPr>
      <w:b/>
      <w:bCs/>
    </w:rPr>
  </w:style>
  <w:style w:type="character" w:customStyle="1" w:styleId="CommentSubjectChar">
    <w:name w:val="Comment Subject Char"/>
    <w:basedOn w:val="CommentTextChar"/>
    <w:link w:val="CommentSubject"/>
    <w:uiPriority w:val="99"/>
    <w:semiHidden/>
    <w:rsid w:val="00922FEB"/>
    <w:rPr>
      <w:b/>
      <w:bCs/>
      <w:kern w:val="0"/>
      <w:sz w:val="20"/>
      <w:szCs w:val="20"/>
      <w:lang w:val="ro-RO"/>
      <w14:ligatures w14:val="none"/>
    </w:rPr>
  </w:style>
  <w:style w:type="paragraph" w:styleId="BalloonText">
    <w:name w:val="Balloon Text"/>
    <w:basedOn w:val="Normal"/>
    <w:link w:val="BalloonTextChar"/>
    <w:uiPriority w:val="99"/>
    <w:semiHidden/>
    <w:unhideWhenUsed/>
    <w:rsid w:val="00922FEB"/>
    <w:pPr>
      <w:spacing w:after="0" w:line="240" w:lineRule="auto"/>
    </w:pPr>
    <w:rPr>
      <w:rFonts w:ascii="Tahoma" w:hAnsi="Tahoma" w:cs="Tahoma"/>
      <w:kern w:val="0"/>
      <w:sz w:val="16"/>
      <w:szCs w:val="16"/>
      <w:lang w:val="ro-RO"/>
      <w14:ligatures w14:val="none"/>
    </w:rPr>
  </w:style>
  <w:style w:type="character" w:customStyle="1" w:styleId="BalloonTextChar">
    <w:name w:val="Balloon Text Char"/>
    <w:basedOn w:val="DefaultParagraphFont"/>
    <w:link w:val="BalloonText"/>
    <w:uiPriority w:val="99"/>
    <w:semiHidden/>
    <w:rsid w:val="00922FEB"/>
    <w:rPr>
      <w:rFonts w:ascii="Tahoma" w:hAnsi="Tahoma" w:cs="Tahoma"/>
      <w:kern w:val="0"/>
      <w:sz w:val="16"/>
      <w:szCs w:val="16"/>
      <w:lang w:val="ro-RO"/>
      <w14:ligatures w14:val="none"/>
    </w:rPr>
  </w:style>
  <w:style w:type="character" w:styleId="Strong">
    <w:name w:val="Strong"/>
    <w:basedOn w:val="DefaultParagraphFont"/>
    <w:uiPriority w:val="22"/>
    <w:qFormat/>
    <w:rsid w:val="00922FEB"/>
    <w:rPr>
      <w:b/>
      <w:bCs/>
    </w:rPr>
  </w:style>
  <w:style w:type="character" w:customStyle="1" w:styleId="docheader">
    <w:name w:val="doc_header"/>
    <w:basedOn w:val="DefaultParagraphFont"/>
    <w:rsid w:val="00922FEB"/>
  </w:style>
  <w:style w:type="paragraph" w:customStyle="1" w:styleId="ColorfulList-Accent11">
    <w:name w:val="Colorful List - Accent 11"/>
    <w:basedOn w:val="Normal"/>
    <w:uiPriority w:val="34"/>
    <w:qFormat/>
    <w:rsid w:val="00922FEB"/>
    <w:pPr>
      <w:spacing w:after="200" w:line="276" w:lineRule="auto"/>
      <w:ind w:left="720"/>
      <w:contextualSpacing/>
    </w:pPr>
    <w:rPr>
      <w:rFonts w:ascii="Calibri" w:eastAsia="Calibri" w:hAnsi="Calibri" w:cs="Times New Roman"/>
      <w:kern w:val="0"/>
      <w14:ligatures w14:val="none"/>
    </w:rPr>
  </w:style>
  <w:style w:type="character" w:customStyle="1" w:styleId="hps">
    <w:name w:val="hps"/>
    <w:rsid w:val="00922FEB"/>
  </w:style>
  <w:style w:type="paragraph" w:customStyle="1" w:styleId="MediumGrid1-Accent21">
    <w:name w:val="Medium Grid 1 - Accent 21"/>
    <w:basedOn w:val="Normal"/>
    <w:uiPriority w:val="34"/>
    <w:qFormat/>
    <w:rsid w:val="00922FEB"/>
    <w:pPr>
      <w:ind w:left="720"/>
      <w:contextualSpacing/>
    </w:pPr>
    <w:rPr>
      <w:rFonts w:ascii="Times New Roman" w:eastAsia="Calibri" w:hAnsi="Times New Roman" w:cs="Times New Roman"/>
      <w:color w:val="000000"/>
      <w:kern w:val="0"/>
      <w:sz w:val="24"/>
      <w14:ligatures w14:val="none"/>
    </w:rPr>
  </w:style>
  <w:style w:type="character" w:styleId="UnresolvedMention">
    <w:name w:val="Unresolved Mention"/>
    <w:basedOn w:val="DefaultParagraphFont"/>
    <w:uiPriority w:val="99"/>
    <w:semiHidden/>
    <w:unhideWhenUsed/>
    <w:rsid w:val="00922FEB"/>
    <w:rPr>
      <w:color w:val="605E5C"/>
      <w:shd w:val="clear" w:color="auto" w:fill="E1DFDD"/>
    </w:rPr>
  </w:style>
  <w:style w:type="character" w:styleId="Hyperlink">
    <w:name w:val="Hyperlink"/>
    <w:basedOn w:val="DefaultParagraphFont"/>
    <w:uiPriority w:val="99"/>
    <w:unhideWhenUsed/>
    <w:rsid w:val="00922FEB"/>
    <w:rPr>
      <w:color w:val="0563C1" w:themeColor="hyperlink"/>
      <w:u w:val="single"/>
    </w:rPr>
  </w:style>
  <w:style w:type="character" w:styleId="FollowedHyperlink">
    <w:name w:val="FollowedHyperlink"/>
    <w:basedOn w:val="DefaultParagraphFont"/>
    <w:uiPriority w:val="99"/>
    <w:semiHidden/>
    <w:unhideWhenUsed/>
    <w:rsid w:val="00922FEB"/>
    <w:rPr>
      <w:color w:val="954F72" w:themeColor="followedHyperlink"/>
      <w:u w:val="single"/>
    </w:rPr>
  </w:style>
  <w:style w:type="paragraph" w:styleId="BodyText">
    <w:name w:val="Body Text"/>
    <w:basedOn w:val="Normal"/>
    <w:link w:val="BodyTextChar"/>
    <w:uiPriority w:val="1"/>
    <w:qFormat/>
    <w:rsid w:val="00996667"/>
    <w:pPr>
      <w:widowControl w:val="0"/>
      <w:autoSpaceDE w:val="0"/>
      <w:autoSpaceDN w:val="0"/>
      <w:spacing w:after="0" w:line="240" w:lineRule="auto"/>
      <w:ind w:left="744" w:hanging="361"/>
      <w:jc w:val="both"/>
    </w:pPr>
    <w:rPr>
      <w:rFonts w:ascii="Calibri" w:eastAsia="Calibri" w:hAnsi="Calibri" w:cs="Calibri"/>
      <w:kern w:val="0"/>
      <w:sz w:val="24"/>
      <w:szCs w:val="24"/>
      <w:lang w:val="sq-AL"/>
      <w14:ligatures w14:val="none"/>
    </w:rPr>
  </w:style>
  <w:style w:type="character" w:customStyle="1" w:styleId="BodyTextChar">
    <w:name w:val="Body Text Char"/>
    <w:basedOn w:val="DefaultParagraphFont"/>
    <w:link w:val="BodyText"/>
    <w:uiPriority w:val="1"/>
    <w:rsid w:val="00996667"/>
    <w:rPr>
      <w:rFonts w:ascii="Calibri" w:eastAsia="Calibri" w:hAnsi="Calibri" w:cs="Calibri"/>
      <w:kern w:val="0"/>
      <w:sz w:val="24"/>
      <w:szCs w:val="24"/>
      <w:lang w:val="sq-AL"/>
      <w14:ligatures w14:val="none"/>
    </w:rPr>
  </w:style>
  <w:style w:type="character" w:styleId="Emphasis">
    <w:name w:val="Emphasis"/>
    <w:basedOn w:val="DefaultParagraphFont"/>
    <w:uiPriority w:val="20"/>
    <w:qFormat/>
    <w:rsid w:val="001024E6"/>
    <w:rPr>
      <w:i/>
      <w:iCs/>
    </w:rPr>
  </w:style>
  <w:style w:type="character" w:customStyle="1" w:styleId="Heading3Char">
    <w:name w:val="Heading 3 Char"/>
    <w:basedOn w:val="DefaultParagraphFont"/>
    <w:link w:val="Heading3"/>
    <w:uiPriority w:val="9"/>
    <w:rsid w:val="00E519B9"/>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9D64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64A3"/>
    <w:pPr>
      <w:outlineLvl w:val="9"/>
    </w:pPr>
    <w:rPr>
      <w:kern w:val="0"/>
      <w14:ligatures w14:val="none"/>
    </w:rPr>
  </w:style>
  <w:style w:type="paragraph" w:styleId="TOC3">
    <w:name w:val="toc 3"/>
    <w:basedOn w:val="Normal"/>
    <w:next w:val="Normal"/>
    <w:autoRedefine/>
    <w:uiPriority w:val="39"/>
    <w:unhideWhenUsed/>
    <w:rsid w:val="009D64A3"/>
    <w:pPr>
      <w:spacing w:after="100"/>
      <w:ind w:left="440"/>
    </w:pPr>
  </w:style>
  <w:style w:type="character" w:customStyle="1" w:styleId="Heading2Char">
    <w:name w:val="Heading 2 Char"/>
    <w:basedOn w:val="DefaultParagraphFont"/>
    <w:link w:val="Heading2"/>
    <w:uiPriority w:val="9"/>
    <w:rsid w:val="00242D3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15BDC"/>
    <w:pPr>
      <w:spacing w:after="100"/>
    </w:pPr>
  </w:style>
  <w:style w:type="paragraph" w:styleId="TOC2">
    <w:name w:val="toc 2"/>
    <w:basedOn w:val="Normal"/>
    <w:next w:val="Normal"/>
    <w:autoRedefine/>
    <w:uiPriority w:val="39"/>
    <w:unhideWhenUsed/>
    <w:rsid w:val="00415BDC"/>
    <w:pPr>
      <w:spacing w:after="100"/>
      <w:ind w:left="220"/>
    </w:pPr>
  </w:style>
  <w:style w:type="paragraph" w:styleId="TOC4">
    <w:name w:val="toc 4"/>
    <w:basedOn w:val="Normal"/>
    <w:next w:val="Normal"/>
    <w:autoRedefine/>
    <w:uiPriority w:val="39"/>
    <w:unhideWhenUsed/>
    <w:rsid w:val="00415BDC"/>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415BD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415BD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415BD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415BD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415BDC"/>
    <w:pPr>
      <w:spacing w:after="100"/>
      <w:ind w:left="1760"/>
    </w:pPr>
    <w:rPr>
      <w:rFonts w:eastAsiaTheme="minorEastAsia"/>
      <w:kern w:val="0"/>
      <w14:ligatures w14:val="none"/>
    </w:rPr>
  </w:style>
  <w:style w:type="paragraph" w:styleId="Header">
    <w:name w:val="header"/>
    <w:basedOn w:val="Normal"/>
    <w:link w:val="HeaderChar"/>
    <w:uiPriority w:val="99"/>
    <w:unhideWhenUsed/>
    <w:rsid w:val="00A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AB"/>
  </w:style>
  <w:style w:type="paragraph" w:styleId="Footer">
    <w:name w:val="footer"/>
    <w:basedOn w:val="Normal"/>
    <w:link w:val="FooterChar"/>
    <w:uiPriority w:val="99"/>
    <w:unhideWhenUsed/>
    <w:rsid w:val="00A1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B"/>
  </w:style>
  <w:style w:type="character" w:customStyle="1" w:styleId="citation-13838">
    <w:name w:val="citation-13838"/>
    <w:basedOn w:val="DefaultParagraphFont"/>
    <w:rsid w:val="00465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504">
      <w:bodyDiv w:val="1"/>
      <w:marLeft w:val="0"/>
      <w:marRight w:val="0"/>
      <w:marTop w:val="0"/>
      <w:marBottom w:val="0"/>
      <w:divBdr>
        <w:top w:val="none" w:sz="0" w:space="0" w:color="auto"/>
        <w:left w:val="none" w:sz="0" w:space="0" w:color="auto"/>
        <w:bottom w:val="none" w:sz="0" w:space="0" w:color="auto"/>
        <w:right w:val="none" w:sz="0" w:space="0" w:color="auto"/>
      </w:divBdr>
    </w:div>
    <w:div w:id="69619284">
      <w:bodyDiv w:val="1"/>
      <w:marLeft w:val="0"/>
      <w:marRight w:val="0"/>
      <w:marTop w:val="0"/>
      <w:marBottom w:val="0"/>
      <w:divBdr>
        <w:top w:val="none" w:sz="0" w:space="0" w:color="auto"/>
        <w:left w:val="none" w:sz="0" w:space="0" w:color="auto"/>
        <w:bottom w:val="none" w:sz="0" w:space="0" w:color="auto"/>
        <w:right w:val="none" w:sz="0" w:space="0" w:color="auto"/>
      </w:divBdr>
    </w:div>
    <w:div w:id="95175758">
      <w:bodyDiv w:val="1"/>
      <w:marLeft w:val="0"/>
      <w:marRight w:val="0"/>
      <w:marTop w:val="0"/>
      <w:marBottom w:val="0"/>
      <w:divBdr>
        <w:top w:val="none" w:sz="0" w:space="0" w:color="auto"/>
        <w:left w:val="none" w:sz="0" w:space="0" w:color="auto"/>
        <w:bottom w:val="none" w:sz="0" w:space="0" w:color="auto"/>
        <w:right w:val="none" w:sz="0" w:space="0" w:color="auto"/>
      </w:divBdr>
    </w:div>
    <w:div w:id="113450903">
      <w:bodyDiv w:val="1"/>
      <w:marLeft w:val="0"/>
      <w:marRight w:val="0"/>
      <w:marTop w:val="0"/>
      <w:marBottom w:val="0"/>
      <w:divBdr>
        <w:top w:val="none" w:sz="0" w:space="0" w:color="auto"/>
        <w:left w:val="none" w:sz="0" w:space="0" w:color="auto"/>
        <w:bottom w:val="none" w:sz="0" w:space="0" w:color="auto"/>
        <w:right w:val="none" w:sz="0" w:space="0" w:color="auto"/>
      </w:divBdr>
    </w:div>
    <w:div w:id="114913414">
      <w:bodyDiv w:val="1"/>
      <w:marLeft w:val="0"/>
      <w:marRight w:val="0"/>
      <w:marTop w:val="0"/>
      <w:marBottom w:val="0"/>
      <w:divBdr>
        <w:top w:val="none" w:sz="0" w:space="0" w:color="auto"/>
        <w:left w:val="none" w:sz="0" w:space="0" w:color="auto"/>
        <w:bottom w:val="none" w:sz="0" w:space="0" w:color="auto"/>
        <w:right w:val="none" w:sz="0" w:space="0" w:color="auto"/>
      </w:divBdr>
    </w:div>
    <w:div w:id="120155297">
      <w:bodyDiv w:val="1"/>
      <w:marLeft w:val="0"/>
      <w:marRight w:val="0"/>
      <w:marTop w:val="0"/>
      <w:marBottom w:val="0"/>
      <w:divBdr>
        <w:top w:val="none" w:sz="0" w:space="0" w:color="auto"/>
        <w:left w:val="none" w:sz="0" w:space="0" w:color="auto"/>
        <w:bottom w:val="none" w:sz="0" w:space="0" w:color="auto"/>
        <w:right w:val="none" w:sz="0" w:space="0" w:color="auto"/>
      </w:divBdr>
    </w:div>
    <w:div w:id="146748648">
      <w:bodyDiv w:val="1"/>
      <w:marLeft w:val="0"/>
      <w:marRight w:val="0"/>
      <w:marTop w:val="0"/>
      <w:marBottom w:val="0"/>
      <w:divBdr>
        <w:top w:val="none" w:sz="0" w:space="0" w:color="auto"/>
        <w:left w:val="none" w:sz="0" w:space="0" w:color="auto"/>
        <w:bottom w:val="none" w:sz="0" w:space="0" w:color="auto"/>
        <w:right w:val="none" w:sz="0" w:space="0" w:color="auto"/>
      </w:divBdr>
    </w:div>
    <w:div w:id="155149104">
      <w:bodyDiv w:val="1"/>
      <w:marLeft w:val="0"/>
      <w:marRight w:val="0"/>
      <w:marTop w:val="0"/>
      <w:marBottom w:val="0"/>
      <w:divBdr>
        <w:top w:val="none" w:sz="0" w:space="0" w:color="auto"/>
        <w:left w:val="none" w:sz="0" w:space="0" w:color="auto"/>
        <w:bottom w:val="none" w:sz="0" w:space="0" w:color="auto"/>
        <w:right w:val="none" w:sz="0" w:space="0" w:color="auto"/>
      </w:divBdr>
    </w:div>
    <w:div w:id="166557507">
      <w:bodyDiv w:val="1"/>
      <w:marLeft w:val="0"/>
      <w:marRight w:val="0"/>
      <w:marTop w:val="0"/>
      <w:marBottom w:val="0"/>
      <w:divBdr>
        <w:top w:val="none" w:sz="0" w:space="0" w:color="auto"/>
        <w:left w:val="none" w:sz="0" w:space="0" w:color="auto"/>
        <w:bottom w:val="none" w:sz="0" w:space="0" w:color="auto"/>
        <w:right w:val="none" w:sz="0" w:space="0" w:color="auto"/>
      </w:divBdr>
    </w:div>
    <w:div w:id="183791933">
      <w:bodyDiv w:val="1"/>
      <w:marLeft w:val="0"/>
      <w:marRight w:val="0"/>
      <w:marTop w:val="0"/>
      <w:marBottom w:val="0"/>
      <w:divBdr>
        <w:top w:val="none" w:sz="0" w:space="0" w:color="auto"/>
        <w:left w:val="none" w:sz="0" w:space="0" w:color="auto"/>
        <w:bottom w:val="none" w:sz="0" w:space="0" w:color="auto"/>
        <w:right w:val="none" w:sz="0" w:space="0" w:color="auto"/>
      </w:divBdr>
    </w:div>
    <w:div w:id="194972149">
      <w:bodyDiv w:val="1"/>
      <w:marLeft w:val="0"/>
      <w:marRight w:val="0"/>
      <w:marTop w:val="0"/>
      <w:marBottom w:val="0"/>
      <w:divBdr>
        <w:top w:val="none" w:sz="0" w:space="0" w:color="auto"/>
        <w:left w:val="none" w:sz="0" w:space="0" w:color="auto"/>
        <w:bottom w:val="none" w:sz="0" w:space="0" w:color="auto"/>
        <w:right w:val="none" w:sz="0" w:space="0" w:color="auto"/>
      </w:divBdr>
    </w:div>
    <w:div w:id="207491911">
      <w:bodyDiv w:val="1"/>
      <w:marLeft w:val="0"/>
      <w:marRight w:val="0"/>
      <w:marTop w:val="0"/>
      <w:marBottom w:val="0"/>
      <w:divBdr>
        <w:top w:val="none" w:sz="0" w:space="0" w:color="auto"/>
        <w:left w:val="none" w:sz="0" w:space="0" w:color="auto"/>
        <w:bottom w:val="none" w:sz="0" w:space="0" w:color="auto"/>
        <w:right w:val="none" w:sz="0" w:space="0" w:color="auto"/>
      </w:divBdr>
    </w:div>
    <w:div w:id="223565893">
      <w:bodyDiv w:val="1"/>
      <w:marLeft w:val="0"/>
      <w:marRight w:val="0"/>
      <w:marTop w:val="0"/>
      <w:marBottom w:val="0"/>
      <w:divBdr>
        <w:top w:val="none" w:sz="0" w:space="0" w:color="auto"/>
        <w:left w:val="none" w:sz="0" w:space="0" w:color="auto"/>
        <w:bottom w:val="none" w:sz="0" w:space="0" w:color="auto"/>
        <w:right w:val="none" w:sz="0" w:space="0" w:color="auto"/>
      </w:divBdr>
    </w:div>
    <w:div w:id="235287955">
      <w:bodyDiv w:val="1"/>
      <w:marLeft w:val="0"/>
      <w:marRight w:val="0"/>
      <w:marTop w:val="0"/>
      <w:marBottom w:val="0"/>
      <w:divBdr>
        <w:top w:val="none" w:sz="0" w:space="0" w:color="auto"/>
        <w:left w:val="none" w:sz="0" w:space="0" w:color="auto"/>
        <w:bottom w:val="none" w:sz="0" w:space="0" w:color="auto"/>
        <w:right w:val="none" w:sz="0" w:space="0" w:color="auto"/>
      </w:divBdr>
    </w:div>
    <w:div w:id="244611335">
      <w:bodyDiv w:val="1"/>
      <w:marLeft w:val="0"/>
      <w:marRight w:val="0"/>
      <w:marTop w:val="0"/>
      <w:marBottom w:val="0"/>
      <w:divBdr>
        <w:top w:val="none" w:sz="0" w:space="0" w:color="auto"/>
        <w:left w:val="none" w:sz="0" w:space="0" w:color="auto"/>
        <w:bottom w:val="none" w:sz="0" w:space="0" w:color="auto"/>
        <w:right w:val="none" w:sz="0" w:space="0" w:color="auto"/>
      </w:divBdr>
    </w:div>
    <w:div w:id="262107799">
      <w:bodyDiv w:val="1"/>
      <w:marLeft w:val="0"/>
      <w:marRight w:val="0"/>
      <w:marTop w:val="0"/>
      <w:marBottom w:val="0"/>
      <w:divBdr>
        <w:top w:val="none" w:sz="0" w:space="0" w:color="auto"/>
        <w:left w:val="none" w:sz="0" w:space="0" w:color="auto"/>
        <w:bottom w:val="none" w:sz="0" w:space="0" w:color="auto"/>
        <w:right w:val="none" w:sz="0" w:space="0" w:color="auto"/>
      </w:divBdr>
    </w:div>
    <w:div w:id="264462599">
      <w:bodyDiv w:val="1"/>
      <w:marLeft w:val="0"/>
      <w:marRight w:val="0"/>
      <w:marTop w:val="0"/>
      <w:marBottom w:val="0"/>
      <w:divBdr>
        <w:top w:val="none" w:sz="0" w:space="0" w:color="auto"/>
        <w:left w:val="none" w:sz="0" w:space="0" w:color="auto"/>
        <w:bottom w:val="none" w:sz="0" w:space="0" w:color="auto"/>
        <w:right w:val="none" w:sz="0" w:space="0" w:color="auto"/>
      </w:divBdr>
    </w:div>
    <w:div w:id="300501853">
      <w:bodyDiv w:val="1"/>
      <w:marLeft w:val="0"/>
      <w:marRight w:val="0"/>
      <w:marTop w:val="0"/>
      <w:marBottom w:val="0"/>
      <w:divBdr>
        <w:top w:val="none" w:sz="0" w:space="0" w:color="auto"/>
        <w:left w:val="none" w:sz="0" w:space="0" w:color="auto"/>
        <w:bottom w:val="none" w:sz="0" w:space="0" w:color="auto"/>
        <w:right w:val="none" w:sz="0" w:space="0" w:color="auto"/>
      </w:divBdr>
    </w:div>
    <w:div w:id="329718552">
      <w:bodyDiv w:val="1"/>
      <w:marLeft w:val="0"/>
      <w:marRight w:val="0"/>
      <w:marTop w:val="0"/>
      <w:marBottom w:val="0"/>
      <w:divBdr>
        <w:top w:val="none" w:sz="0" w:space="0" w:color="auto"/>
        <w:left w:val="none" w:sz="0" w:space="0" w:color="auto"/>
        <w:bottom w:val="none" w:sz="0" w:space="0" w:color="auto"/>
        <w:right w:val="none" w:sz="0" w:space="0" w:color="auto"/>
      </w:divBdr>
    </w:div>
    <w:div w:id="339358952">
      <w:bodyDiv w:val="1"/>
      <w:marLeft w:val="0"/>
      <w:marRight w:val="0"/>
      <w:marTop w:val="0"/>
      <w:marBottom w:val="0"/>
      <w:divBdr>
        <w:top w:val="none" w:sz="0" w:space="0" w:color="auto"/>
        <w:left w:val="none" w:sz="0" w:space="0" w:color="auto"/>
        <w:bottom w:val="none" w:sz="0" w:space="0" w:color="auto"/>
        <w:right w:val="none" w:sz="0" w:space="0" w:color="auto"/>
      </w:divBdr>
    </w:div>
    <w:div w:id="347684202">
      <w:bodyDiv w:val="1"/>
      <w:marLeft w:val="0"/>
      <w:marRight w:val="0"/>
      <w:marTop w:val="0"/>
      <w:marBottom w:val="0"/>
      <w:divBdr>
        <w:top w:val="none" w:sz="0" w:space="0" w:color="auto"/>
        <w:left w:val="none" w:sz="0" w:space="0" w:color="auto"/>
        <w:bottom w:val="none" w:sz="0" w:space="0" w:color="auto"/>
        <w:right w:val="none" w:sz="0" w:space="0" w:color="auto"/>
      </w:divBdr>
    </w:div>
    <w:div w:id="362902219">
      <w:bodyDiv w:val="1"/>
      <w:marLeft w:val="0"/>
      <w:marRight w:val="0"/>
      <w:marTop w:val="0"/>
      <w:marBottom w:val="0"/>
      <w:divBdr>
        <w:top w:val="none" w:sz="0" w:space="0" w:color="auto"/>
        <w:left w:val="none" w:sz="0" w:space="0" w:color="auto"/>
        <w:bottom w:val="none" w:sz="0" w:space="0" w:color="auto"/>
        <w:right w:val="none" w:sz="0" w:space="0" w:color="auto"/>
      </w:divBdr>
    </w:div>
    <w:div w:id="375931914">
      <w:bodyDiv w:val="1"/>
      <w:marLeft w:val="0"/>
      <w:marRight w:val="0"/>
      <w:marTop w:val="0"/>
      <w:marBottom w:val="0"/>
      <w:divBdr>
        <w:top w:val="none" w:sz="0" w:space="0" w:color="auto"/>
        <w:left w:val="none" w:sz="0" w:space="0" w:color="auto"/>
        <w:bottom w:val="none" w:sz="0" w:space="0" w:color="auto"/>
        <w:right w:val="none" w:sz="0" w:space="0" w:color="auto"/>
      </w:divBdr>
    </w:div>
    <w:div w:id="382291549">
      <w:bodyDiv w:val="1"/>
      <w:marLeft w:val="0"/>
      <w:marRight w:val="0"/>
      <w:marTop w:val="0"/>
      <w:marBottom w:val="0"/>
      <w:divBdr>
        <w:top w:val="none" w:sz="0" w:space="0" w:color="auto"/>
        <w:left w:val="none" w:sz="0" w:space="0" w:color="auto"/>
        <w:bottom w:val="none" w:sz="0" w:space="0" w:color="auto"/>
        <w:right w:val="none" w:sz="0" w:space="0" w:color="auto"/>
      </w:divBdr>
    </w:div>
    <w:div w:id="407964562">
      <w:bodyDiv w:val="1"/>
      <w:marLeft w:val="0"/>
      <w:marRight w:val="0"/>
      <w:marTop w:val="0"/>
      <w:marBottom w:val="0"/>
      <w:divBdr>
        <w:top w:val="none" w:sz="0" w:space="0" w:color="auto"/>
        <w:left w:val="none" w:sz="0" w:space="0" w:color="auto"/>
        <w:bottom w:val="none" w:sz="0" w:space="0" w:color="auto"/>
        <w:right w:val="none" w:sz="0" w:space="0" w:color="auto"/>
      </w:divBdr>
      <w:divsChild>
        <w:div w:id="887766585">
          <w:marLeft w:val="0"/>
          <w:marRight w:val="0"/>
          <w:marTop w:val="0"/>
          <w:marBottom w:val="0"/>
          <w:divBdr>
            <w:top w:val="none" w:sz="0" w:space="0" w:color="auto"/>
            <w:left w:val="none" w:sz="0" w:space="0" w:color="auto"/>
            <w:bottom w:val="none" w:sz="0" w:space="0" w:color="auto"/>
            <w:right w:val="none" w:sz="0" w:space="0" w:color="auto"/>
          </w:divBdr>
          <w:divsChild>
            <w:div w:id="549146384">
              <w:marLeft w:val="0"/>
              <w:marRight w:val="0"/>
              <w:marTop w:val="0"/>
              <w:marBottom w:val="0"/>
              <w:divBdr>
                <w:top w:val="none" w:sz="0" w:space="0" w:color="auto"/>
                <w:left w:val="none" w:sz="0" w:space="0" w:color="auto"/>
                <w:bottom w:val="none" w:sz="0" w:space="0" w:color="auto"/>
                <w:right w:val="none" w:sz="0" w:space="0" w:color="auto"/>
              </w:divBdr>
              <w:divsChild>
                <w:div w:id="2000036163">
                  <w:marLeft w:val="0"/>
                  <w:marRight w:val="0"/>
                  <w:marTop w:val="0"/>
                  <w:marBottom w:val="0"/>
                  <w:divBdr>
                    <w:top w:val="none" w:sz="0" w:space="0" w:color="auto"/>
                    <w:left w:val="none" w:sz="0" w:space="0" w:color="auto"/>
                    <w:bottom w:val="none" w:sz="0" w:space="0" w:color="auto"/>
                    <w:right w:val="none" w:sz="0" w:space="0" w:color="auto"/>
                  </w:divBdr>
                  <w:divsChild>
                    <w:div w:id="900017271">
                      <w:marLeft w:val="0"/>
                      <w:marRight w:val="0"/>
                      <w:marTop w:val="0"/>
                      <w:marBottom w:val="0"/>
                      <w:divBdr>
                        <w:top w:val="none" w:sz="0" w:space="0" w:color="auto"/>
                        <w:left w:val="none" w:sz="0" w:space="0" w:color="auto"/>
                        <w:bottom w:val="none" w:sz="0" w:space="0" w:color="auto"/>
                        <w:right w:val="none" w:sz="0" w:space="0" w:color="auto"/>
                      </w:divBdr>
                      <w:divsChild>
                        <w:div w:id="703751487">
                          <w:marLeft w:val="0"/>
                          <w:marRight w:val="0"/>
                          <w:marTop w:val="0"/>
                          <w:marBottom w:val="0"/>
                          <w:divBdr>
                            <w:top w:val="none" w:sz="0" w:space="0" w:color="auto"/>
                            <w:left w:val="none" w:sz="0" w:space="0" w:color="auto"/>
                            <w:bottom w:val="none" w:sz="0" w:space="0" w:color="auto"/>
                            <w:right w:val="none" w:sz="0" w:space="0" w:color="auto"/>
                          </w:divBdr>
                          <w:divsChild>
                            <w:div w:id="7588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984505">
      <w:bodyDiv w:val="1"/>
      <w:marLeft w:val="0"/>
      <w:marRight w:val="0"/>
      <w:marTop w:val="0"/>
      <w:marBottom w:val="0"/>
      <w:divBdr>
        <w:top w:val="none" w:sz="0" w:space="0" w:color="auto"/>
        <w:left w:val="none" w:sz="0" w:space="0" w:color="auto"/>
        <w:bottom w:val="none" w:sz="0" w:space="0" w:color="auto"/>
        <w:right w:val="none" w:sz="0" w:space="0" w:color="auto"/>
      </w:divBdr>
    </w:div>
    <w:div w:id="450822376">
      <w:bodyDiv w:val="1"/>
      <w:marLeft w:val="0"/>
      <w:marRight w:val="0"/>
      <w:marTop w:val="0"/>
      <w:marBottom w:val="0"/>
      <w:divBdr>
        <w:top w:val="none" w:sz="0" w:space="0" w:color="auto"/>
        <w:left w:val="none" w:sz="0" w:space="0" w:color="auto"/>
        <w:bottom w:val="none" w:sz="0" w:space="0" w:color="auto"/>
        <w:right w:val="none" w:sz="0" w:space="0" w:color="auto"/>
      </w:divBdr>
    </w:div>
    <w:div w:id="463080447">
      <w:bodyDiv w:val="1"/>
      <w:marLeft w:val="0"/>
      <w:marRight w:val="0"/>
      <w:marTop w:val="0"/>
      <w:marBottom w:val="0"/>
      <w:divBdr>
        <w:top w:val="none" w:sz="0" w:space="0" w:color="auto"/>
        <w:left w:val="none" w:sz="0" w:space="0" w:color="auto"/>
        <w:bottom w:val="none" w:sz="0" w:space="0" w:color="auto"/>
        <w:right w:val="none" w:sz="0" w:space="0" w:color="auto"/>
      </w:divBdr>
    </w:div>
    <w:div w:id="487328560">
      <w:bodyDiv w:val="1"/>
      <w:marLeft w:val="0"/>
      <w:marRight w:val="0"/>
      <w:marTop w:val="0"/>
      <w:marBottom w:val="0"/>
      <w:divBdr>
        <w:top w:val="none" w:sz="0" w:space="0" w:color="auto"/>
        <w:left w:val="none" w:sz="0" w:space="0" w:color="auto"/>
        <w:bottom w:val="none" w:sz="0" w:space="0" w:color="auto"/>
        <w:right w:val="none" w:sz="0" w:space="0" w:color="auto"/>
      </w:divBdr>
    </w:div>
    <w:div w:id="496269949">
      <w:bodyDiv w:val="1"/>
      <w:marLeft w:val="0"/>
      <w:marRight w:val="0"/>
      <w:marTop w:val="0"/>
      <w:marBottom w:val="0"/>
      <w:divBdr>
        <w:top w:val="none" w:sz="0" w:space="0" w:color="auto"/>
        <w:left w:val="none" w:sz="0" w:space="0" w:color="auto"/>
        <w:bottom w:val="none" w:sz="0" w:space="0" w:color="auto"/>
        <w:right w:val="none" w:sz="0" w:space="0" w:color="auto"/>
      </w:divBdr>
    </w:div>
    <w:div w:id="499928394">
      <w:bodyDiv w:val="1"/>
      <w:marLeft w:val="0"/>
      <w:marRight w:val="0"/>
      <w:marTop w:val="0"/>
      <w:marBottom w:val="0"/>
      <w:divBdr>
        <w:top w:val="none" w:sz="0" w:space="0" w:color="auto"/>
        <w:left w:val="none" w:sz="0" w:space="0" w:color="auto"/>
        <w:bottom w:val="none" w:sz="0" w:space="0" w:color="auto"/>
        <w:right w:val="none" w:sz="0" w:space="0" w:color="auto"/>
      </w:divBdr>
    </w:div>
    <w:div w:id="518545862">
      <w:bodyDiv w:val="1"/>
      <w:marLeft w:val="0"/>
      <w:marRight w:val="0"/>
      <w:marTop w:val="0"/>
      <w:marBottom w:val="0"/>
      <w:divBdr>
        <w:top w:val="none" w:sz="0" w:space="0" w:color="auto"/>
        <w:left w:val="none" w:sz="0" w:space="0" w:color="auto"/>
        <w:bottom w:val="none" w:sz="0" w:space="0" w:color="auto"/>
        <w:right w:val="none" w:sz="0" w:space="0" w:color="auto"/>
      </w:divBdr>
    </w:div>
    <w:div w:id="529226030">
      <w:bodyDiv w:val="1"/>
      <w:marLeft w:val="0"/>
      <w:marRight w:val="0"/>
      <w:marTop w:val="0"/>
      <w:marBottom w:val="0"/>
      <w:divBdr>
        <w:top w:val="none" w:sz="0" w:space="0" w:color="auto"/>
        <w:left w:val="none" w:sz="0" w:space="0" w:color="auto"/>
        <w:bottom w:val="none" w:sz="0" w:space="0" w:color="auto"/>
        <w:right w:val="none" w:sz="0" w:space="0" w:color="auto"/>
      </w:divBdr>
    </w:div>
    <w:div w:id="530994580">
      <w:bodyDiv w:val="1"/>
      <w:marLeft w:val="0"/>
      <w:marRight w:val="0"/>
      <w:marTop w:val="0"/>
      <w:marBottom w:val="0"/>
      <w:divBdr>
        <w:top w:val="none" w:sz="0" w:space="0" w:color="auto"/>
        <w:left w:val="none" w:sz="0" w:space="0" w:color="auto"/>
        <w:bottom w:val="none" w:sz="0" w:space="0" w:color="auto"/>
        <w:right w:val="none" w:sz="0" w:space="0" w:color="auto"/>
      </w:divBdr>
    </w:div>
    <w:div w:id="543761449">
      <w:bodyDiv w:val="1"/>
      <w:marLeft w:val="0"/>
      <w:marRight w:val="0"/>
      <w:marTop w:val="0"/>
      <w:marBottom w:val="0"/>
      <w:divBdr>
        <w:top w:val="none" w:sz="0" w:space="0" w:color="auto"/>
        <w:left w:val="none" w:sz="0" w:space="0" w:color="auto"/>
        <w:bottom w:val="none" w:sz="0" w:space="0" w:color="auto"/>
        <w:right w:val="none" w:sz="0" w:space="0" w:color="auto"/>
      </w:divBdr>
    </w:div>
    <w:div w:id="545870823">
      <w:bodyDiv w:val="1"/>
      <w:marLeft w:val="0"/>
      <w:marRight w:val="0"/>
      <w:marTop w:val="0"/>
      <w:marBottom w:val="0"/>
      <w:divBdr>
        <w:top w:val="none" w:sz="0" w:space="0" w:color="auto"/>
        <w:left w:val="none" w:sz="0" w:space="0" w:color="auto"/>
        <w:bottom w:val="none" w:sz="0" w:space="0" w:color="auto"/>
        <w:right w:val="none" w:sz="0" w:space="0" w:color="auto"/>
      </w:divBdr>
    </w:div>
    <w:div w:id="553078111">
      <w:bodyDiv w:val="1"/>
      <w:marLeft w:val="0"/>
      <w:marRight w:val="0"/>
      <w:marTop w:val="0"/>
      <w:marBottom w:val="0"/>
      <w:divBdr>
        <w:top w:val="none" w:sz="0" w:space="0" w:color="auto"/>
        <w:left w:val="none" w:sz="0" w:space="0" w:color="auto"/>
        <w:bottom w:val="none" w:sz="0" w:space="0" w:color="auto"/>
        <w:right w:val="none" w:sz="0" w:space="0" w:color="auto"/>
      </w:divBdr>
      <w:divsChild>
        <w:div w:id="1117944171">
          <w:marLeft w:val="0"/>
          <w:marRight w:val="0"/>
          <w:marTop w:val="0"/>
          <w:marBottom w:val="0"/>
          <w:divBdr>
            <w:top w:val="none" w:sz="0" w:space="0" w:color="auto"/>
            <w:left w:val="none" w:sz="0" w:space="0" w:color="auto"/>
            <w:bottom w:val="none" w:sz="0" w:space="0" w:color="auto"/>
            <w:right w:val="none" w:sz="0" w:space="0" w:color="auto"/>
          </w:divBdr>
          <w:divsChild>
            <w:div w:id="1278870376">
              <w:marLeft w:val="0"/>
              <w:marRight w:val="0"/>
              <w:marTop w:val="0"/>
              <w:marBottom w:val="0"/>
              <w:divBdr>
                <w:top w:val="none" w:sz="0" w:space="0" w:color="auto"/>
                <w:left w:val="none" w:sz="0" w:space="0" w:color="auto"/>
                <w:bottom w:val="none" w:sz="0" w:space="0" w:color="auto"/>
                <w:right w:val="none" w:sz="0" w:space="0" w:color="auto"/>
              </w:divBdr>
              <w:divsChild>
                <w:div w:id="222720717">
                  <w:marLeft w:val="0"/>
                  <w:marRight w:val="0"/>
                  <w:marTop w:val="0"/>
                  <w:marBottom w:val="0"/>
                  <w:divBdr>
                    <w:top w:val="none" w:sz="0" w:space="0" w:color="auto"/>
                    <w:left w:val="none" w:sz="0" w:space="0" w:color="auto"/>
                    <w:bottom w:val="none" w:sz="0" w:space="0" w:color="auto"/>
                    <w:right w:val="none" w:sz="0" w:space="0" w:color="auto"/>
                  </w:divBdr>
                  <w:divsChild>
                    <w:div w:id="673190547">
                      <w:marLeft w:val="0"/>
                      <w:marRight w:val="0"/>
                      <w:marTop w:val="0"/>
                      <w:marBottom w:val="0"/>
                      <w:divBdr>
                        <w:top w:val="none" w:sz="0" w:space="0" w:color="auto"/>
                        <w:left w:val="none" w:sz="0" w:space="0" w:color="auto"/>
                        <w:bottom w:val="none" w:sz="0" w:space="0" w:color="auto"/>
                        <w:right w:val="none" w:sz="0" w:space="0" w:color="auto"/>
                      </w:divBdr>
                      <w:divsChild>
                        <w:div w:id="291641113">
                          <w:marLeft w:val="0"/>
                          <w:marRight w:val="0"/>
                          <w:marTop w:val="0"/>
                          <w:marBottom w:val="0"/>
                          <w:divBdr>
                            <w:top w:val="none" w:sz="0" w:space="0" w:color="auto"/>
                            <w:left w:val="none" w:sz="0" w:space="0" w:color="auto"/>
                            <w:bottom w:val="none" w:sz="0" w:space="0" w:color="auto"/>
                            <w:right w:val="none" w:sz="0" w:space="0" w:color="auto"/>
                          </w:divBdr>
                          <w:divsChild>
                            <w:div w:id="172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964222">
      <w:bodyDiv w:val="1"/>
      <w:marLeft w:val="0"/>
      <w:marRight w:val="0"/>
      <w:marTop w:val="0"/>
      <w:marBottom w:val="0"/>
      <w:divBdr>
        <w:top w:val="none" w:sz="0" w:space="0" w:color="auto"/>
        <w:left w:val="none" w:sz="0" w:space="0" w:color="auto"/>
        <w:bottom w:val="none" w:sz="0" w:space="0" w:color="auto"/>
        <w:right w:val="none" w:sz="0" w:space="0" w:color="auto"/>
      </w:divBdr>
    </w:div>
    <w:div w:id="567107624">
      <w:bodyDiv w:val="1"/>
      <w:marLeft w:val="0"/>
      <w:marRight w:val="0"/>
      <w:marTop w:val="0"/>
      <w:marBottom w:val="0"/>
      <w:divBdr>
        <w:top w:val="none" w:sz="0" w:space="0" w:color="auto"/>
        <w:left w:val="none" w:sz="0" w:space="0" w:color="auto"/>
        <w:bottom w:val="none" w:sz="0" w:space="0" w:color="auto"/>
        <w:right w:val="none" w:sz="0" w:space="0" w:color="auto"/>
      </w:divBdr>
    </w:div>
    <w:div w:id="598103532">
      <w:bodyDiv w:val="1"/>
      <w:marLeft w:val="0"/>
      <w:marRight w:val="0"/>
      <w:marTop w:val="0"/>
      <w:marBottom w:val="0"/>
      <w:divBdr>
        <w:top w:val="none" w:sz="0" w:space="0" w:color="auto"/>
        <w:left w:val="none" w:sz="0" w:space="0" w:color="auto"/>
        <w:bottom w:val="none" w:sz="0" w:space="0" w:color="auto"/>
        <w:right w:val="none" w:sz="0" w:space="0" w:color="auto"/>
      </w:divBdr>
    </w:div>
    <w:div w:id="696662199">
      <w:bodyDiv w:val="1"/>
      <w:marLeft w:val="0"/>
      <w:marRight w:val="0"/>
      <w:marTop w:val="0"/>
      <w:marBottom w:val="0"/>
      <w:divBdr>
        <w:top w:val="none" w:sz="0" w:space="0" w:color="auto"/>
        <w:left w:val="none" w:sz="0" w:space="0" w:color="auto"/>
        <w:bottom w:val="none" w:sz="0" w:space="0" w:color="auto"/>
        <w:right w:val="none" w:sz="0" w:space="0" w:color="auto"/>
      </w:divBdr>
    </w:div>
    <w:div w:id="715273510">
      <w:bodyDiv w:val="1"/>
      <w:marLeft w:val="0"/>
      <w:marRight w:val="0"/>
      <w:marTop w:val="0"/>
      <w:marBottom w:val="0"/>
      <w:divBdr>
        <w:top w:val="none" w:sz="0" w:space="0" w:color="auto"/>
        <w:left w:val="none" w:sz="0" w:space="0" w:color="auto"/>
        <w:bottom w:val="none" w:sz="0" w:space="0" w:color="auto"/>
        <w:right w:val="none" w:sz="0" w:space="0" w:color="auto"/>
      </w:divBdr>
    </w:div>
    <w:div w:id="724178200">
      <w:bodyDiv w:val="1"/>
      <w:marLeft w:val="0"/>
      <w:marRight w:val="0"/>
      <w:marTop w:val="0"/>
      <w:marBottom w:val="0"/>
      <w:divBdr>
        <w:top w:val="none" w:sz="0" w:space="0" w:color="auto"/>
        <w:left w:val="none" w:sz="0" w:space="0" w:color="auto"/>
        <w:bottom w:val="none" w:sz="0" w:space="0" w:color="auto"/>
        <w:right w:val="none" w:sz="0" w:space="0" w:color="auto"/>
      </w:divBdr>
    </w:div>
    <w:div w:id="733892786">
      <w:bodyDiv w:val="1"/>
      <w:marLeft w:val="0"/>
      <w:marRight w:val="0"/>
      <w:marTop w:val="0"/>
      <w:marBottom w:val="0"/>
      <w:divBdr>
        <w:top w:val="none" w:sz="0" w:space="0" w:color="auto"/>
        <w:left w:val="none" w:sz="0" w:space="0" w:color="auto"/>
        <w:bottom w:val="none" w:sz="0" w:space="0" w:color="auto"/>
        <w:right w:val="none" w:sz="0" w:space="0" w:color="auto"/>
      </w:divBdr>
    </w:div>
    <w:div w:id="803501540">
      <w:bodyDiv w:val="1"/>
      <w:marLeft w:val="0"/>
      <w:marRight w:val="0"/>
      <w:marTop w:val="0"/>
      <w:marBottom w:val="0"/>
      <w:divBdr>
        <w:top w:val="none" w:sz="0" w:space="0" w:color="auto"/>
        <w:left w:val="none" w:sz="0" w:space="0" w:color="auto"/>
        <w:bottom w:val="none" w:sz="0" w:space="0" w:color="auto"/>
        <w:right w:val="none" w:sz="0" w:space="0" w:color="auto"/>
      </w:divBdr>
    </w:div>
    <w:div w:id="828062506">
      <w:bodyDiv w:val="1"/>
      <w:marLeft w:val="0"/>
      <w:marRight w:val="0"/>
      <w:marTop w:val="0"/>
      <w:marBottom w:val="0"/>
      <w:divBdr>
        <w:top w:val="none" w:sz="0" w:space="0" w:color="auto"/>
        <w:left w:val="none" w:sz="0" w:space="0" w:color="auto"/>
        <w:bottom w:val="none" w:sz="0" w:space="0" w:color="auto"/>
        <w:right w:val="none" w:sz="0" w:space="0" w:color="auto"/>
      </w:divBdr>
    </w:div>
    <w:div w:id="830098522">
      <w:bodyDiv w:val="1"/>
      <w:marLeft w:val="0"/>
      <w:marRight w:val="0"/>
      <w:marTop w:val="0"/>
      <w:marBottom w:val="0"/>
      <w:divBdr>
        <w:top w:val="none" w:sz="0" w:space="0" w:color="auto"/>
        <w:left w:val="none" w:sz="0" w:space="0" w:color="auto"/>
        <w:bottom w:val="none" w:sz="0" w:space="0" w:color="auto"/>
        <w:right w:val="none" w:sz="0" w:space="0" w:color="auto"/>
      </w:divBdr>
    </w:div>
    <w:div w:id="850725815">
      <w:bodyDiv w:val="1"/>
      <w:marLeft w:val="0"/>
      <w:marRight w:val="0"/>
      <w:marTop w:val="0"/>
      <w:marBottom w:val="0"/>
      <w:divBdr>
        <w:top w:val="none" w:sz="0" w:space="0" w:color="auto"/>
        <w:left w:val="none" w:sz="0" w:space="0" w:color="auto"/>
        <w:bottom w:val="none" w:sz="0" w:space="0" w:color="auto"/>
        <w:right w:val="none" w:sz="0" w:space="0" w:color="auto"/>
      </w:divBdr>
    </w:div>
    <w:div w:id="886718019">
      <w:bodyDiv w:val="1"/>
      <w:marLeft w:val="0"/>
      <w:marRight w:val="0"/>
      <w:marTop w:val="0"/>
      <w:marBottom w:val="0"/>
      <w:divBdr>
        <w:top w:val="none" w:sz="0" w:space="0" w:color="auto"/>
        <w:left w:val="none" w:sz="0" w:space="0" w:color="auto"/>
        <w:bottom w:val="none" w:sz="0" w:space="0" w:color="auto"/>
        <w:right w:val="none" w:sz="0" w:space="0" w:color="auto"/>
      </w:divBdr>
    </w:div>
    <w:div w:id="898327597">
      <w:bodyDiv w:val="1"/>
      <w:marLeft w:val="0"/>
      <w:marRight w:val="0"/>
      <w:marTop w:val="0"/>
      <w:marBottom w:val="0"/>
      <w:divBdr>
        <w:top w:val="none" w:sz="0" w:space="0" w:color="auto"/>
        <w:left w:val="none" w:sz="0" w:space="0" w:color="auto"/>
        <w:bottom w:val="none" w:sz="0" w:space="0" w:color="auto"/>
        <w:right w:val="none" w:sz="0" w:space="0" w:color="auto"/>
      </w:divBdr>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93531264">
      <w:bodyDiv w:val="1"/>
      <w:marLeft w:val="0"/>
      <w:marRight w:val="0"/>
      <w:marTop w:val="0"/>
      <w:marBottom w:val="0"/>
      <w:divBdr>
        <w:top w:val="none" w:sz="0" w:space="0" w:color="auto"/>
        <w:left w:val="none" w:sz="0" w:space="0" w:color="auto"/>
        <w:bottom w:val="none" w:sz="0" w:space="0" w:color="auto"/>
        <w:right w:val="none" w:sz="0" w:space="0" w:color="auto"/>
      </w:divBdr>
    </w:div>
    <w:div w:id="1069815235">
      <w:bodyDiv w:val="1"/>
      <w:marLeft w:val="0"/>
      <w:marRight w:val="0"/>
      <w:marTop w:val="0"/>
      <w:marBottom w:val="0"/>
      <w:divBdr>
        <w:top w:val="none" w:sz="0" w:space="0" w:color="auto"/>
        <w:left w:val="none" w:sz="0" w:space="0" w:color="auto"/>
        <w:bottom w:val="none" w:sz="0" w:space="0" w:color="auto"/>
        <w:right w:val="none" w:sz="0" w:space="0" w:color="auto"/>
      </w:divBdr>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116605726">
      <w:bodyDiv w:val="1"/>
      <w:marLeft w:val="0"/>
      <w:marRight w:val="0"/>
      <w:marTop w:val="0"/>
      <w:marBottom w:val="0"/>
      <w:divBdr>
        <w:top w:val="none" w:sz="0" w:space="0" w:color="auto"/>
        <w:left w:val="none" w:sz="0" w:space="0" w:color="auto"/>
        <w:bottom w:val="none" w:sz="0" w:space="0" w:color="auto"/>
        <w:right w:val="none" w:sz="0" w:space="0" w:color="auto"/>
      </w:divBdr>
    </w:div>
    <w:div w:id="1140222321">
      <w:bodyDiv w:val="1"/>
      <w:marLeft w:val="0"/>
      <w:marRight w:val="0"/>
      <w:marTop w:val="0"/>
      <w:marBottom w:val="0"/>
      <w:divBdr>
        <w:top w:val="none" w:sz="0" w:space="0" w:color="auto"/>
        <w:left w:val="none" w:sz="0" w:space="0" w:color="auto"/>
        <w:bottom w:val="none" w:sz="0" w:space="0" w:color="auto"/>
        <w:right w:val="none" w:sz="0" w:space="0" w:color="auto"/>
      </w:divBdr>
    </w:div>
    <w:div w:id="1154032578">
      <w:bodyDiv w:val="1"/>
      <w:marLeft w:val="0"/>
      <w:marRight w:val="0"/>
      <w:marTop w:val="0"/>
      <w:marBottom w:val="0"/>
      <w:divBdr>
        <w:top w:val="none" w:sz="0" w:space="0" w:color="auto"/>
        <w:left w:val="none" w:sz="0" w:space="0" w:color="auto"/>
        <w:bottom w:val="none" w:sz="0" w:space="0" w:color="auto"/>
        <w:right w:val="none" w:sz="0" w:space="0" w:color="auto"/>
      </w:divBdr>
    </w:div>
    <w:div w:id="1161002815">
      <w:bodyDiv w:val="1"/>
      <w:marLeft w:val="0"/>
      <w:marRight w:val="0"/>
      <w:marTop w:val="0"/>
      <w:marBottom w:val="0"/>
      <w:divBdr>
        <w:top w:val="none" w:sz="0" w:space="0" w:color="auto"/>
        <w:left w:val="none" w:sz="0" w:space="0" w:color="auto"/>
        <w:bottom w:val="none" w:sz="0" w:space="0" w:color="auto"/>
        <w:right w:val="none" w:sz="0" w:space="0" w:color="auto"/>
      </w:divBdr>
    </w:div>
    <w:div w:id="1183664170">
      <w:bodyDiv w:val="1"/>
      <w:marLeft w:val="0"/>
      <w:marRight w:val="0"/>
      <w:marTop w:val="0"/>
      <w:marBottom w:val="0"/>
      <w:divBdr>
        <w:top w:val="none" w:sz="0" w:space="0" w:color="auto"/>
        <w:left w:val="none" w:sz="0" w:space="0" w:color="auto"/>
        <w:bottom w:val="none" w:sz="0" w:space="0" w:color="auto"/>
        <w:right w:val="none" w:sz="0" w:space="0" w:color="auto"/>
      </w:divBdr>
    </w:div>
    <w:div w:id="1187059755">
      <w:bodyDiv w:val="1"/>
      <w:marLeft w:val="0"/>
      <w:marRight w:val="0"/>
      <w:marTop w:val="0"/>
      <w:marBottom w:val="0"/>
      <w:divBdr>
        <w:top w:val="none" w:sz="0" w:space="0" w:color="auto"/>
        <w:left w:val="none" w:sz="0" w:space="0" w:color="auto"/>
        <w:bottom w:val="none" w:sz="0" w:space="0" w:color="auto"/>
        <w:right w:val="none" w:sz="0" w:space="0" w:color="auto"/>
      </w:divBdr>
    </w:div>
    <w:div w:id="1241671191">
      <w:bodyDiv w:val="1"/>
      <w:marLeft w:val="0"/>
      <w:marRight w:val="0"/>
      <w:marTop w:val="0"/>
      <w:marBottom w:val="0"/>
      <w:divBdr>
        <w:top w:val="none" w:sz="0" w:space="0" w:color="auto"/>
        <w:left w:val="none" w:sz="0" w:space="0" w:color="auto"/>
        <w:bottom w:val="none" w:sz="0" w:space="0" w:color="auto"/>
        <w:right w:val="none" w:sz="0" w:space="0" w:color="auto"/>
      </w:divBdr>
    </w:div>
    <w:div w:id="1242134830">
      <w:bodyDiv w:val="1"/>
      <w:marLeft w:val="0"/>
      <w:marRight w:val="0"/>
      <w:marTop w:val="0"/>
      <w:marBottom w:val="0"/>
      <w:divBdr>
        <w:top w:val="none" w:sz="0" w:space="0" w:color="auto"/>
        <w:left w:val="none" w:sz="0" w:space="0" w:color="auto"/>
        <w:bottom w:val="none" w:sz="0" w:space="0" w:color="auto"/>
        <w:right w:val="none" w:sz="0" w:space="0" w:color="auto"/>
      </w:divBdr>
    </w:div>
    <w:div w:id="1257445199">
      <w:bodyDiv w:val="1"/>
      <w:marLeft w:val="0"/>
      <w:marRight w:val="0"/>
      <w:marTop w:val="0"/>
      <w:marBottom w:val="0"/>
      <w:divBdr>
        <w:top w:val="none" w:sz="0" w:space="0" w:color="auto"/>
        <w:left w:val="none" w:sz="0" w:space="0" w:color="auto"/>
        <w:bottom w:val="none" w:sz="0" w:space="0" w:color="auto"/>
        <w:right w:val="none" w:sz="0" w:space="0" w:color="auto"/>
      </w:divBdr>
    </w:div>
    <w:div w:id="1291284667">
      <w:bodyDiv w:val="1"/>
      <w:marLeft w:val="0"/>
      <w:marRight w:val="0"/>
      <w:marTop w:val="0"/>
      <w:marBottom w:val="0"/>
      <w:divBdr>
        <w:top w:val="none" w:sz="0" w:space="0" w:color="auto"/>
        <w:left w:val="none" w:sz="0" w:space="0" w:color="auto"/>
        <w:bottom w:val="none" w:sz="0" w:space="0" w:color="auto"/>
        <w:right w:val="none" w:sz="0" w:space="0" w:color="auto"/>
      </w:divBdr>
    </w:div>
    <w:div w:id="1306543237">
      <w:bodyDiv w:val="1"/>
      <w:marLeft w:val="0"/>
      <w:marRight w:val="0"/>
      <w:marTop w:val="0"/>
      <w:marBottom w:val="0"/>
      <w:divBdr>
        <w:top w:val="none" w:sz="0" w:space="0" w:color="auto"/>
        <w:left w:val="none" w:sz="0" w:space="0" w:color="auto"/>
        <w:bottom w:val="none" w:sz="0" w:space="0" w:color="auto"/>
        <w:right w:val="none" w:sz="0" w:space="0" w:color="auto"/>
      </w:divBdr>
    </w:div>
    <w:div w:id="1314067334">
      <w:bodyDiv w:val="1"/>
      <w:marLeft w:val="0"/>
      <w:marRight w:val="0"/>
      <w:marTop w:val="0"/>
      <w:marBottom w:val="0"/>
      <w:divBdr>
        <w:top w:val="none" w:sz="0" w:space="0" w:color="auto"/>
        <w:left w:val="none" w:sz="0" w:space="0" w:color="auto"/>
        <w:bottom w:val="none" w:sz="0" w:space="0" w:color="auto"/>
        <w:right w:val="none" w:sz="0" w:space="0" w:color="auto"/>
      </w:divBdr>
    </w:div>
    <w:div w:id="1345480193">
      <w:bodyDiv w:val="1"/>
      <w:marLeft w:val="0"/>
      <w:marRight w:val="0"/>
      <w:marTop w:val="0"/>
      <w:marBottom w:val="0"/>
      <w:divBdr>
        <w:top w:val="none" w:sz="0" w:space="0" w:color="auto"/>
        <w:left w:val="none" w:sz="0" w:space="0" w:color="auto"/>
        <w:bottom w:val="none" w:sz="0" w:space="0" w:color="auto"/>
        <w:right w:val="none" w:sz="0" w:space="0" w:color="auto"/>
      </w:divBdr>
    </w:div>
    <w:div w:id="1349679662">
      <w:bodyDiv w:val="1"/>
      <w:marLeft w:val="0"/>
      <w:marRight w:val="0"/>
      <w:marTop w:val="0"/>
      <w:marBottom w:val="0"/>
      <w:divBdr>
        <w:top w:val="none" w:sz="0" w:space="0" w:color="auto"/>
        <w:left w:val="none" w:sz="0" w:space="0" w:color="auto"/>
        <w:bottom w:val="none" w:sz="0" w:space="0" w:color="auto"/>
        <w:right w:val="none" w:sz="0" w:space="0" w:color="auto"/>
      </w:divBdr>
    </w:div>
    <w:div w:id="1350178023">
      <w:bodyDiv w:val="1"/>
      <w:marLeft w:val="0"/>
      <w:marRight w:val="0"/>
      <w:marTop w:val="0"/>
      <w:marBottom w:val="0"/>
      <w:divBdr>
        <w:top w:val="none" w:sz="0" w:space="0" w:color="auto"/>
        <w:left w:val="none" w:sz="0" w:space="0" w:color="auto"/>
        <w:bottom w:val="none" w:sz="0" w:space="0" w:color="auto"/>
        <w:right w:val="none" w:sz="0" w:space="0" w:color="auto"/>
      </w:divBdr>
    </w:div>
    <w:div w:id="1353609104">
      <w:bodyDiv w:val="1"/>
      <w:marLeft w:val="0"/>
      <w:marRight w:val="0"/>
      <w:marTop w:val="0"/>
      <w:marBottom w:val="0"/>
      <w:divBdr>
        <w:top w:val="none" w:sz="0" w:space="0" w:color="auto"/>
        <w:left w:val="none" w:sz="0" w:space="0" w:color="auto"/>
        <w:bottom w:val="none" w:sz="0" w:space="0" w:color="auto"/>
        <w:right w:val="none" w:sz="0" w:space="0" w:color="auto"/>
      </w:divBdr>
    </w:div>
    <w:div w:id="1412003045">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47651809">
      <w:bodyDiv w:val="1"/>
      <w:marLeft w:val="0"/>
      <w:marRight w:val="0"/>
      <w:marTop w:val="0"/>
      <w:marBottom w:val="0"/>
      <w:divBdr>
        <w:top w:val="none" w:sz="0" w:space="0" w:color="auto"/>
        <w:left w:val="none" w:sz="0" w:space="0" w:color="auto"/>
        <w:bottom w:val="none" w:sz="0" w:space="0" w:color="auto"/>
        <w:right w:val="none" w:sz="0" w:space="0" w:color="auto"/>
      </w:divBdr>
    </w:div>
    <w:div w:id="1479684372">
      <w:bodyDiv w:val="1"/>
      <w:marLeft w:val="0"/>
      <w:marRight w:val="0"/>
      <w:marTop w:val="0"/>
      <w:marBottom w:val="0"/>
      <w:divBdr>
        <w:top w:val="none" w:sz="0" w:space="0" w:color="auto"/>
        <w:left w:val="none" w:sz="0" w:space="0" w:color="auto"/>
        <w:bottom w:val="none" w:sz="0" w:space="0" w:color="auto"/>
        <w:right w:val="none" w:sz="0" w:space="0" w:color="auto"/>
      </w:divBdr>
    </w:div>
    <w:div w:id="1480731536">
      <w:bodyDiv w:val="1"/>
      <w:marLeft w:val="0"/>
      <w:marRight w:val="0"/>
      <w:marTop w:val="0"/>
      <w:marBottom w:val="0"/>
      <w:divBdr>
        <w:top w:val="none" w:sz="0" w:space="0" w:color="auto"/>
        <w:left w:val="none" w:sz="0" w:space="0" w:color="auto"/>
        <w:bottom w:val="none" w:sz="0" w:space="0" w:color="auto"/>
        <w:right w:val="none" w:sz="0" w:space="0" w:color="auto"/>
      </w:divBdr>
    </w:div>
    <w:div w:id="1501198216">
      <w:bodyDiv w:val="1"/>
      <w:marLeft w:val="0"/>
      <w:marRight w:val="0"/>
      <w:marTop w:val="0"/>
      <w:marBottom w:val="0"/>
      <w:divBdr>
        <w:top w:val="none" w:sz="0" w:space="0" w:color="auto"/>
        <w:left w:val="none" w:sz="0" w:space="0" w:color="auto"/>
        <w:bottom w:val="none" w:sz="0" w:space="0" w:color="auto"/>
        <w:right w:val="none" w:sz="0" w:space="0" w:color="auto"/>
      </w:divBdr>
    </w:div>
    <w:div w:id="1509906064">
      <w:bodyDiv w:val="1"/>
      <w:marLeft w:val="0"/>
      <w:marRight w:val="0"/>
      <w:marTop w:val="0"/>
      <w:marBottom w:val="0"/>
      <w:divBdr>
        <w:top w:val="none" w:sz="0" w:space="0" w:color="auto"/>
        <w:left w:val="none" w:sz="0" w:space="0" w:color="auto"/>
        <w:bottom w:val="none" w:sz="0" w:space="0" w:color="auto"/>
        <w:right w:val="none" w:sz="0" w:space="0" w:color="auto"/>
      </w:divBdr>
    </w:div>
    <w:div w:id="1517159890">
      <w:bodyDiv w:val="1"/>
      <w:marLeft w:val="0"/>
      <w:marRight w:val="0"/>
      <w:marTop w:val="0"/>
      <w:marBottom w:val="0"/>
      <w:divBdr>
        <w:top w:val="none" w:sz="0" w:space="0" w:color="auto"/>
        <w:left w:val="none" w:sz="0" w:space="0" w:color="auto"/>
        <w:bottom w:val="none" w:sz="0" w:space="0" w:color="auto"/>
        <w:right w:val="none" w:sz="0" w:space="0" w:color="auto"/>
      </w:divBdr>
    </w:div>
    <w:div w:id="1556309237">
      <w:bodyDiv w:val="1"/>
      <w:marLeft w:val="0"/>
      <w:marRight w:val="0"/>
      <w:marTop w:val="0"/>
      <w:marBottom w:val="0"/>
      <w:divBdr>
        <w:top w:val="none" w:sz="0" w:space="0" w:color="auto"/>
        <w:left w:val="none" w:sz="0" w:space="0" w:color="auto"/>
        <w:bottom w:val="none" w:sz="0" w:space="0" w:color="auto"/>
        <w:right w:val="none" w:sz="0" w:space="0" w:color="auto"/>
      </w:divBdr>
    </w:div>
    <w:div w:id="1572350277">
      <w:bodyDiv w:val="1"/>
      <w:marLeft w:val="0"/>
      <w:marRight w:val="0"/>
      <w:marTop w:val="0"/>
      <w:marBottom w:val="0"/>
      <w:divBdr>
        <w:top w:val="none" w:sz="0" w:space="0" w:color="auto"/>
        <w:left w:val="none" w:sz="0" w:space="0" w:color="auto"/>
        <w:bottom w:val="none" w:sz="0" w:space="0" w:color="auto"/>
        <w:right w:val="none" w:sz="0" w:space="0" w:color="auto"/>
      </w:divBdr>
    </w:div>
    <w:div w:id="1612934062">
      <w:bodyDiv w:val="1"/>
      <w:marLeft w:val="0"/>
      <w:marRight w:val="0"/>
      <w:marTop w:val="0"/>
      <w:marBottom w:val="0"/>
      <w:divBdr>
        <w:top w:val="none" w:sz="0" w:space="0" w:color="auto"/>
        <w:left w:val="none" w:sz="0" w:space="0" w:color="auto"/>
        <w:bottom w:val="none" w:sz="0" w:space="0" w:color="auto"/>
        <w:right w:val="none" w:sz="0" w:space="0" w:color="auto"/>
      </w:divBdr>
    </w:div>
    <w:div w:id="1619413588">
      <w:bodyDiv w:val="1"/>
      <w:marLeft w:val="0"/>
      <w:marRight w:val="0"/>
      <w:marTop w:val="0"/>
      <w:marBottom w:val="0"/>
      <w:divBdr>
        <w:top w:val="none" w:sz="0" w:space="0" w:color="auto"/>
        <w:left w:val="none" w:sz="0" w:space="0" w:color="auto"/>
        <w:bottom w:val="none" w:sz="0" w:space="0" w:color="auto"/>
        <w:right w:val="none" w:sz="0" w:space="0" w:color="auto"/>
      </w:divBdr>
    </w:div>
    <w:div w:id="1655260305">
      <w:bodyDiv w:val="1"/>
      <w:marLeft w:val="0"/>
      <w:marRight w:val="0"/>
      <w:marTop w:val="0"/>
      <w:marBottom w:val="0"/>
      <w:divBdr>
        <w:top w:val="none" w:sz="0" w:space="0" w:color="auto"/>
        <w:left w:val="none" w:sz="0" w:space="0" w:color="auto"/>
        <w:bottom w:val="none" w:sz="0" w:space="0" w:color="auto"/>
        <w:right w:val="none" w:sz="0" w:space="0" w:color="auto"/>
      </w:divBdr>
    </w:div>
    <w:div w:id="1687557172">
      <w:bodyDiv w:val="1"/>
      <w:marLeft w:val="0"/>
      <w:marRight w:val="0"/>
      <w:marTop w:val="0"/>
      <w:marBottom w:val="0"/>
      <w:divBdr>
        <w:top w:val="none" w:sz="0" w:space="0" w:color="auto"/>
        <w:left w:val="none" w:sz="0" w:space="0" w:color="auto"/>
        <w:bottom w:val="none" w:sz="0" w:space="0" w:color="auto"/>
        <w:right w:val="none" w:sz="0" w:space="0" w:color="auto"/>
      </w:divBdr>
    </w:div>
    <w:div w:id="1698117709">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39815359">
      <w:bodyDiv w:val="1"/>
      <w:marLeft w:val="0"/>
      <w:marRight w:val="0"/>
      <w:marTop w:val="0"/>
      <w:marBottom w:val="0"/>
      <w:divBdr>
        <w:top w:val="none" w:sz="0" w:space="0" w:color="auto"/>
        <w:left w:val="none" w:sz="0" w:space="0" w:color="auto"/>
        <w:bottom w:val="none" w:sz="0" w:space="0" w:color="auto"/>
        <w:right w:val="none" w:sz="0" w:space="0" w:color="auto"/>
      </w:divBdr>
    </w:div>
    <w:div w:id="1757826530">
      <w:bodyDiv w:val="1"/>
      <w:marLeft w:val="0"/>
      <w:marRight w:val="0"/>
      <w:marTop w:val="0"/>
      <w:marBottom w:val="0"/>
      <w:divBdr>
        <w:top w:val="none" w:sz="0" w:space="0" w:color="auto"/>
        <w:left w:val="none" w:sz="0" w:space="0" w:color="auto"/>
        <w:bottom w:val="none" w:sz="0" w:space="0" w:color="auto"/>
        <w:right w:val="none" w:sz="0" w:space="0" w:color="auto"/>
      </w:divBdr>
    </w:div>
    <w:div w:id="1777212049">
      <w:bodyDiv w:val="1"/>
      <w:marLeft w:val="0"/>
      <w:marRight w:val="0"/>
      <w:marTop w:val="0"/>
      <w:marBottom w:val="0"/>
      <w:divBdr>
        <w:top w:val="none" w:sz="0" w:space="0" w:color="auto"/>
        <w:left w:val="none" w:sz="0" w:space="0" w:color="auto"/>
        <w:bottom w:val="none" w:sz="0" w:space="0" w:color="auto"/>
        <w:right w:val="none" w:sz="0" w:space="0" w:color="auto"/>
      </w:divBdr>
    </w:div>
    <w:div w:id="1778520623">
      <w:bodyDiv w:val="1"/>
      <w:marLeft w:val="0"/>
      <w:marRight w:val="0"/>
      <w:marTop w:val="0"/>
      <w:marBottom w:val="0"/>
      <w:divBdr>
        <w:top w:val="none" w:sz="0" w:space="0" w:color="auto"/>
        <w:left w:val="none" w:sz="0" w:space="0" w:color="auto"/>
        <w:bottom w:val="none" w:sz="0" w:space="0" w:color="auto"/>
        <w:right w:val="none" w:sz="0" w:space="0" w:color="auto"/>
      </w:divBdr>
    </w:div>
    <w:div w:id="1812282802">
      <w:bodyDiv w:val="1"/>
      <w:marLeft w:val="0"/>
      <w:marRight w:val="0"/>
      <w:marTop w:val="0"/>
      <w:marBottom w:val="0"/>
      <w:divBdr>
        <w:top w:val="none" w:sz="0" w:space="0" w:color="auto"/>
        <w:left w:val="none" w:sz="0" w:space="0" w:color="auto"/>
        <w:bottom w:val="none" w:sz="0" w:space="0" w:color="auto"/>
        <w:right w:val="none" w:sz="0" w:space="0" w:color="auto"/>
      </w:divBdr>
    </w:div>
    <w:div w:id="1816100635">
      <w:bodyDiv w:val="1"/>
      <w:marLeft w:val="0"/>
      <w:marRight w:val="0"/>
      <w:marTop w:val="0"/>
      <w:marBottom w:val="0"/>
      <w:divBdr>
        <w:top w:val="none" w:sz="0" w:space="0" w:color="auto"/>
        <w:left w:val="none" w:sz="0" w:space="0" w:color="auto"/>
        <w:bottom w:val="none" w:sz="0" w:space="0" w:color="auto"/>
        <w:right w:val="none" w:sz="0" w:space="0" w:color="auto"/>
      </w:divBdr>
    </w:div>
    <w:div w:id="1825507785">
      <w:bodyDiv w:val="1"/>
      <w:marLeft w:val="0"/>
      <w:marRight w:val="0"/>
      <w:marTop w:val="0"/>
      <w:marBottom w:val="0"/>
      <w:divBdr>
        <w:top w:val="none" w:sz="0" w:space="0" w:color="auto"/>
        <w:left w:val="none" w:sz="0" w:space="0" w:color="auto"/>
        <w:bottom w:val="none" w:sz="0" w:space="0" w:color="auto"/>
        <w:right w:val="none" w:sz="0" w:space="0" w:color="auto"/>
      </w:divBdr>
    </w:div>
    <w:div w:id="1831674468">
      <w:bodyDiv w:val="1"/>
      <w:marLeft w:val="0"/>
      <w:marRight w:val="0"/>
      <w:marTop w:val="0"/>
      <w:marBottom w:val="0"/>
      <w:divBdr>
        <w:top w:val="none" w:sz="0" w:space="0" w:color="auto"/>
        <w:left w:val="none" w:sz="0" w:space="0" w:color="auto"/>
        <w:bottom w:val="none" w:sz="0" w:space="0" w:color="auto"/>
        <w:right w:val="none" w:sz="0" w:space="0" w:color="auto"/>
      </w:divBdr>
    </w:div>
    <w:div w:id="1832520206">
      <w:bodyDiv w:val="1"/>
      <w:marLeft w:val="0"/>
      <w:marRight w:val="0"/>
      <w:marTop w:val="0"/>
      <w:marBottom w:val="0"/>
      <w:divBdr>
        <w:top w:val="none" w:sz="0" w:space="0" w:color="auto"/>
        <w:left w:val="none" w:sz="0" w:space="0" w:color="auto"/>
        <w:bottom w:val="none" w:sz="0" w:space="0" w:color="auto"/>
        <w:right w:val="none" w:sz="0" w:space="0" w:color="auto"/>
      </w:divBdr>
    </w:div>
    <w:div w:id="1837921704">
      <w:bodyDiv w:val="1"/>
      <w:marLeft w:val="0"/>
      <w:marRight w:val="0"/>
      <w:marTop w:val="0"/>
      <w:marBottom w:val="0"/>
      <w:divBdr>
        <w:top w:val="none" w:sz="0" w:space="0" w:color="auto"/>
        <w:left w:val="none" w:sz="0" w:space="0" w:color="auto"/>
        <w:bottom w:val="none" w:sz="0" w:space="0" w:color="auto"/>
        <w:right w:val="none" w:sz="0" w:space="0" w:color="auto"/>
      </w:divBdr>
    </w:div>
    <w:div w:id="1842042979">
      <w:bodyDiv w:val="1"/>
      <w:marLeft w:val="0"/>
      <w:marRight w:val="0"/>
      <w:marTop w:val="0"/>
      <w:marBottom w:val="0"/>
      <w:divBdr>
        <w:top w:val="none" w:sz="0" w:space="0" w:color="auto"/>
        <w:left w:val="none" w:sz="0" w:space="0" w:color="auto"/>
        <w:bottom w:val="none" w:sz="0" w:space="0" w:color="auto"/>
        <w:right w:val="none" w:sz="0" w:space="0" w:color="auto"/>
      </w:divBdr>
    </w:div>
    <w:div w:id="1851486084">
      <w:bodyDiv w:val="1"/>
      <w:marLeft w:val="0"/>
      <w:marRight w:val="0"/>
      <w:marTop w:val="0"/>
      <w:marBottom w:val="0"/>
      <w:divBdr>
        <w:top w:val="none" w:sz="0" w:space="0" w:color="auto"/>
        <w:left w:val="none" w:sz="0" w:space="0" w:color="auto"/>
        <w:bottom w:val="none" w:sz="0" w:space="0" w:color="auto"/>
        <w:right w:val="none" w:sz="0" w:space="0" w:color="auto"/>
      </w:divBdr>
    </w:div>
    <w:div w:id="1858230227">
      <w:bodyDiv w:val="1"/>
      <w:marLeft w:val="0"/>
      <w:marRight w:val="0"/>
      <w:marTop w:val="0"/>
      <w:marBottom w:val="0"/>
      <w:divBdr>
        <w:top w:val="none" w:sz="0" w:space="0" w:color="auto"/>
        <w:left w:val="none" w:sz="0" w:space="0" w:color="auto"/>
        <w:bottom w:val="none" w:sz="0" w:space="0" w:color="auto"/>
        <w:right w:val="none" w:sz="0" w:space="0" w:color="auto"/>
      </w:divBdr>
    </w:div>
    <w:div w:id="1868981347">
      <w:bodyDiv w:val="1"/>
      <w:marLeft w:val="0"/>
      <w:marRight w:val="0"/>
      <w:marTop w:val="0"/>
      <w:marBottom w:val="0"/>
      <w:divBdr>
        <w:top w:val="none" w:sz="0" w:space="0" w:color="auto"/>
        <w:left w:val="none" w:sz="0" w:space="0" w:color="auto"/>
        <w:bottom w:val="none" w:sz="0" w:space="0" w:color="auto"/>
        <w:right w:val="none" w:sz="0" w:space="0" w:color="auto"/>
      </w:divBdr>
    </w:div>
    <w:div w:id="1881821959">
      <w:bodyDiv w:val="1"/>
      <w:marLeft w:val="0"/>
      <w:marRight w:val="0"/>
      <w:marTop w:val="0"/>
      <w:marBottom w:val="0"/>
      <w:divBdr>
        <w:top w:val="none" w:sz="0" w:space="0" w:color="auto"/>
        <w:left w:val="none" w:sz="0" w:space="0" w:color="auto"/>
        <w:bottom w:val="none" w:sz="0" w:space="0" w:color="auto"/>
        <w:right w:val="none" w:sz="0" w:space="0" w:color="auto"/>
      </w:divBdr>
    </w:div>
    <w:div w:id="1900827316">
      <w:bodyDiv w:val="1"/>
      <w:marLeft w:val="0"/>
      <w:marRight w:val="0"/>
      <w:marTop w:val="0"/>
      <w:marBottom w:val="0"/>
      <w:divBdr>
        <w:top w:val="none" w:sz="0" w:space="0" w:color="auto"/>
        <w:left w:val="none" w:sz="0" w:space="0" w:color="auto"/>
        <w:bottom w:val="none" w:sz="0" w:space="0" w:color="auto"/>
        <w:right w:val="none" w:sz="0" w:space="0" w:color="auto"/>
      </w:divBdr>
    </w:div>
    <w:div w:id="1910378488">
      <w:bodyDiv w:val="1"/>
      <w:marLeft w:val="0"/>
      <w:marRight w:val="0"/>
      <w:marTop w:val="0"/>
      <w:marBottom w:val="0"/>
      <w:divBdr>
        <w:top w:val="none" w:sz="0" w:space="0" w:color="auto"/>
        <w:left w:val="none" w:sz="0" w:space="0" w:color="auto"/>
        <w:bottom w:val="none" w:sz="0" w:space="0" w:color="auto"/>
        <w:right w:val="none" w:sz="0" w:space="0" w:color="auto"/>
      </w:divBdr>
    </w:div>
    <w:div w:id="1914008204">
      <w:bodyDiv w:val="1"/>
      <w:marLeft w:val="0"/>
      <w:marRight w:val="0"/>
      <w:marTop w:val="0"/>
      <w:marBottom w:val="0"/>
      <w:divBdr>
        <w:top w:val="none" w:sz="0" w:space="0" w:color="auto"/>
        <w:left w:val="none" w:sz="0" w:space="0" w:color="auto"/>
        <w:bottom w:val="none" w:sz="0" w:space="0" w:color="auto"/>
        <w:right w:val="none" w:sz="0" w:space="0" w:color="auto"/>
      </w:divBdr>
    </w:div>
    <w:div w:id="1916086223">
      <w:bodyDiv w:val="1"/>
      <w:marLeft w:val="0"/>
      <w:marRight w:val="0"/>
      <w:marTop w:val="0"/>
      <w:marBottom w:val="0"/>
      <w:divBdr>
        <w:top w:val="none" w:sz="0" w:space="0" w:color="auto"/>
        <w:left w:val="none" w:sz="0" w:space="0" w:color="auto"/>
        <w:bottom w:val="none" w:sz="0" w:space="0" w:color="auto"/>
        <w:right w:val="none" w:sz="0" w:space="0" w:color="auto"/>
      </w:divBdr>
    </w:div>
    <w:div w:id="1924025236">
      <w:bodyDiv w:val="1"/>
      <w:marLeft w:val="0"/>
      <w:marRight w:val="0"/>
      <w:marTop w:val="0"/>
      <w:marBottom w:val="0"/>
      <w:divBdr>
        <w:top w:val="none" w:sz="0" w:space="0" w:color="auto"/>
        <w:left w:val="none" w:sz="0" w:space="0" w:color="auto"/>
        <w:bottom w:val="none" w:sz="0" w:space="0" w:color="auto"/>
        <w:right w:val="none" w:sz="0" w:space="0" w:color="auto"/>
      </w:divBdr>
    </w:div>
    <w:div w:id="1925331619">
      <w:bodyDiv w:val="1"/>
      <w:marLeft w:val="0"/>
      <w:marRight w:val="0"/>
      <w:marTop w:val="0"/>
      <w:marBottom w:val="0"/>
      <w:divBdr>
        <w:top w:val="none" w:sz="0" w:space="0" w:color="auto"/>
        <w:left w:val="none" w:sz="0" w:space="0" w:color="auto"/>
        <w:bottom w:val="none" w:sz="0" w:space="0" w:color="auto"/>
        <w:right w:val="none" w:sz="0" w:space="0" w:color="auto"/>
      </w:divBdr>
    </w:div>
    <w:div w:id="1989551529">
      <w:bodyDiv w:val="1"/>
      <w:marLeft w:val="0"/>
      <w:marRight w:val="0"/>
      <w:marTop w:val="0"/>
      <w:marBottom w:val="0"/>
      <w:divBdr>
        <w:top w:val="none" w:sz="0" w:space="0" w:color="auto"/>
        <w:left w:val="none" w:sz="0" w:space="0" w:color="auto"/>
        <w:bottom w:val="none" w:sz="0" w:space="0" w:color="auto"/>
        <w:right w:val="none" w:sz="0" w:space="0" w:color="auto"/>
      </w:divBdr>
    </w:div>
    <w:div w:id="1993361715">
      <w:bodyDiv w:val="1"/>
      <w:marLeft w:val="0"/>
      <w:marRight w:val="0"/>
      <w:marTop w:val="0"/>
      <w:marBottom w:val="0"/>
      <w:divBdr>
        <w:top w:val="none" w:sz="0" w:space="0" w:color="auto"/>
        <w:left w:val="none" w:sz="0" w:space="0" w:color="auto"/>
        <w:bottom w:val="none" w:sz="0" w:space="0" w:color="auto"/>
        <w:right w:val="none" w:sz="0" w:space="0" w:color="auto"/>
      </w:divBdr>
    </w:div>
    <w:div w:id="2013096371">
      <w:bodyDiv w:val="1"/>
      <w:marLeft w:val="0"/>
      <w:marRight w:val="0"/>
      <w:marTop w:val="0"/>
      <w:marBottom w:val="0"/>
      <w:divBdr>
        <w:top w:val="none" w:sz="0" w:space="0" w:color="auto"/>
        <w:left w:val="none" w:sz="0" w:space="0" w:color="auto"/>
        <w:bottom w:val="none" w:sz="0" w:space="0" w:color="auto"/>
        <w:right w:val="none" w:sz="0" w:space="0" w:color="auto"/>
      </w:divBdr>
    </w:div>
    <w:div w:id="2070808028">
      <w:bodyDiv w:val="1"/>
      <w:marLeft w:val="0"/>
      <w:marRight w:val="0"/>
      <w:marTop w:val="0"/>
      <w:marBottom w:val="0"/>
      <w:divBdr>
        <w:top w:val="none" w:sz="0" w:space="0" w:color="auto"/>
        <w:left w:val="none" w:sz="0" w:space="0" w:color="auto"/>
        <w:bottom w:val="none" w:sz="0" w:space="0" w:color="auto"/>
        <w:right w:val="none" w:sz="0" w:space="0" w:color="auto"/>
      </w:divBdr>
    </w:div>
    <w:div w:id="2071464545">
      <w:bodyDiv w:val="1"/>
      <w:marLeft w:val="0"/>
      <w:marRight w:val="0"/>
      <w:marTop w:val="0"/>
      <w:marBottom w:val="0"/>
      <w:divBdr>
        <w:top w:val="none" w:sz="0" w:space="0" w:color="auto"/>
        <w:left w:val="none" w:sz="0" w:space="0" w:color="auto"/>
        <w:bottom w:val="none" w:sz="0" w:space="0" w:color="auto"/>
        <w:right w:val="none" w:sz="0" w:space="0" w:color="auto"/>
      </w:divBdr>
    </w:div>
    <w:div w:id="2072341542">
      <w:bodyDiv w:val="1"/>
      <w:marLeft w:val="0"/>
      <w:marRight w:val="0"/>
      <w:marTop w:val="0"/>
      <w:marBottom w:val="0"/>
      <w:divBdr>
        <w:top w:val="none" w:sz="0" w:space="0" w:color="auto"/>
        <w:left w:val="none" w:sz="0" w:space="0" w:color="auto"/>
        <w:bottom w:val="none" w:sz="0" w:space="0" w:color="auto"/>
        <w:right w:val="none" w:sz="0" w:space="0" w:color="auto"/>
      </w:divBdr>
    </w:div>
    <w:div w:id="2091612235">
      <w:bodyDiv w:val="1"/>
      <w:marLeft w:val="0"/>
      <w:marRight w:val="0"/>
      <w:marTop w:val="0"/>
      <w:marBottom w:val="0"/>
      <w:divBdr>
        <w:top w:val="none" w:sz="0" w:space="0" w:color="auto"/>
        <w:left w:val="none" w:sz="0" w:space="0" w:color="auto"/>
        <w:bottom w:val="none" w:sz="0" w:space="0" w:color="auto"/>
        <w:right w:val="none" w:sz="0" w:space="0" w:color="auto"/>
      </w:divBdr>
    </w:div>
    <w:div w:id="2092578841">
      <w:bodyDiv w:val="1"/>
      <w:marLeft w:val="0"/>
      <w:marRight w:val="0"/>
      <w:marTop w:val="0"/>
      <w:marBottom w:val="0"/>
      <w:divBdr>
        <w:top w:val="none" w:sz="0" w:space="0" w:color="auto"/>
        <w:left w:val="none" w:sz="0" w:space="0" w:color="auto"/>
        <w:bottom w:val="none" w:sz="0" w:space="0" w:color="auto"/>
        <w:right w:val="none" w:sz="0" w:space="0" w:color="auto"/>
      </w:divBdr>
    </w:div>
    <w:div w:id="2106413713">
      <w:bodyDiv w:val="1"/>
      <w:marLeft w:val="0"/>
      <w:marRight w:val="0"/>
      <w:marTop w:val="0"/>
      <w:marBottom w:val="0"/>
      <w:divBdr>
        <w:top w:val="none" w:sz="0" w:space="0" w:color="auto"/>
        <w:left w:val="none" w:sz="0" w:space="0" w:color="auto"/>
        <w:bottom w:val="none" w:sz="0" w:space="0" w:color="auto"/>
        <w:right w:val="none" w:sz="0" w:space="0" w:color="auto"/>
      </w:divBdr>
    </w:div>
    <w:div w:id="2106681336">
      <w:bodyDiv w:val="1"/>
      <w:marLeft w:val="0"/>
      <w:marRight w:val="0"/>
      <w:marTop w:val="0"/>
      <w:marBottom w:val="0"/>
      <w:divBdr>
        <w:top w:val="none" w:sz="0" w:space="0" w:color="auto"/>
        <w:left w:val="none" w:sz="0" w:space="0" w:color="auto"/>
        <w:bottom w:val="none" w:sz="0" w:space="0" w:color="auto"/>
        <w:right w:val="none" w:sz="0" w:space="0" w:color="auto"/>
      </w:divBdr>
    </w:div>
    <w:div w:id="2131120093">
      <w:bodyDiv w:val="1"/>
      <w:marLeft w:val="0"/>
      <w:marRight w:val="0"/>
      <w:marTop w:val="0"/>
      <w:marBottom w:val="0"/>
      <w:divBdr>
        <w:top w:val="none" w:sz="0" w:space="0" w:color="auto"/>
        <w:left w:val="none" w:sz="0" w:space="0" w:color="auto"/>
        <w:bottom w:val="none" w:sz="0" w:space="0" w:color="auto"/>
        <w:right w:val="none" w:sz="0" w:space="0" w:color="auto"/>
      </w:divBdr>
    </w:div>
    <w:div w:id="2132437307">
      <w:bodyDiv w:val="1"/>
      <w:marLeft w:val="0"/>
      <w:marRight w:val="0"/>
      <w:marTop w:val="0"/>
      <w:marBottom w:val="0"/>
      <w:divBdr>
        <w:top w:val="none" w:sz="0" w:space="0" w:color="auto"/>
        <w:left w:val="none" w:sz="0" w:space="0" w:color="auto"/>
        <w:bottom w:val="none" w:sz="0" w:space="0" w:color="auto"/>
        <w:right w:val="none" w:sz="0" w:space="0" w:color="auto"/>
      </w:divBdr>
    </w:div>
    <w:div w:id="21391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02022L2523-20221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06BA-AB28-47AE-89A3-2E2DB9F80FEC}">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1069</TotalTime>
  <Pages>128</Pages>
  <Words>61550</Words>
  <Characters>350835</Characters>
  <Application>Microsoft Office Word</Application>
  <DocSecurity>0</DocSecurity>
  <Lines>2923</Lines>
  <Paragraphs>823</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411562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Platon</dc:creator>
  <cp:keywords/>
  <dc:description/>
  <cp:lastModifiedBy>Author</cp:lastModifiedBy>
  <cp:revision>905</cp:revision>
  <cp:lastPrinted>2025-12-13T13:46:00Z</cp:lastPrinted>
  <dcterms:created xsi:type="dcterms:W3CDTF">2026-05-08T12:54:00Z</dcterms:created>
  <dcterms:modified xsi:type="dcterms:W3CDTF">2026-06-10T11:09:00Z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26ba1a50-bfae-4912-b88c-53a86571d767</vt:lpwstr>
  </property>
</Properties>
</file>