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D44F" w14:textId="77777777" w:rsidR="004560EC" w:rsidRPr="002A0443" w:rsidRDefault="004560EC" w:rsidP="004560EC">
      <w:pPr>
        <w:tabs>
          <w:tab w:val="left" w:pos="2070"/>
        </w:tabs>
        <w:jc w:val="center"/>
        <w:rPr>
          <w:rFonts w:cs="Times New Roman"/>
          <w:b/>
          <w:sz w:val="22"/>
          <w:u w:color="000000"/>
        </w:rPr>
      </w:pPr>
      <w:r w:rsidRPr="002A0443">
        <w:rPr>
          <w:rFonts w:cs="Times New Roman"/>
          <w:b/>
          <w:noProof/>
          <w:sz w:val="22"/>
        </w:rPr>
        <w:drawing>
          <wp:anchor distT="0" distB="0" distL="114300" distR="114300" simplePos="0" relativeHeight="251662336" behindDoc="0" locked="0" layoutInCell="1" allowOverlap="1" wp14:anchorId="1C462D0B" wp14:editId="4B3ACA13">
            <wp:simplePos x="0" y="0"/>
            <wp:positionH relativeFrom="margin">
              <wp:align>center</wp:align>
            </wp:positionH>
            <wp:positionV relativeFrom="paragraph">
              <wp:posOffset>-133350</wp:posOffset>
            </wp:positionV>
            <wp:extent cx="6852285" cy="1024255"/>
            <wp:effectExtent l="0" t="0" r="5715" b="4445"/>
            <wp:wrapTopAndBottom/>
            <wp:docPr id="1005181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2285" cy="1024255"/>
                    </a:xfrm>
                    <a:prstGeom prst="rect">
                      <a:avLst/>
                    </a:prstGeom>
                    <a:noFill/>
                  </pic:spPr>
                </pic:pic>
              </a:graphicData>
            </a:graphic>
            <wp14:sizeRelH relativeFrom="page">
              <wp14:pctWidth>0</wp14:pctWidth>
            </wp14:sizeRelH>
            <wp14:sizeRelV relativeFrom="page">
              <wp14:pctHeight>0</wp14:pctHeight>
            </wp14:sizeRelV>
          </wp:anchor>
        </w:drawing>
      </w:r>
      <w:r w:rsidRPr="002A0443">
        <w:rPr>
          <w:rFonts w:cs="Times New Roman"/>
          <w:b/>
          <w:sz w:val="22"/>
          <w:u w:color="000000"/>
        </w:rPr>
        <w:t>KUVENDI</w:t>
      </w:r>
    </w:p>
    <w:p w14:paraId="45C7D0F0" w14:textId="77777777" w:rsidR="004560EC" w:rsidRPr="002A0443" w:rsidRDefault="004560EC" w:rsidP="004560EC">
      <w:pPr>
        <w:tabs>
          <w:tab w:val="left" w:pos="2730"/>
        </w:tabs>
        <w:spacing w:after="0"/>
        <w:ind w:left="10" w:right="206" w:hanging="10"/>
        <w:jc w:val="center"/>
        <w:rPr>
          <w:rFonts w:cs="Times New Roman"/>
          <w:b/>
          <w:caps/>
          <w:szCs w:val="24"/>
          <w:u w:color="000000"/>
        </w:rPr>
      </w:pPr>
      <w:r w:rsidRPr="002A0443">
        <w:rPr>
          <w:rFonts w:cs="Times New Roman"/>
          <w:noProof/>
          <w:szCs w:val="24"/>
          <w:u w:color="000000"/>
        </w:rPr>
        <mc:AlternateContent>
          <mc:Choice Requires="wps">
            <w:drawing>
              <wp:anchor distT="4294967286" distB="4294967286" distL="114290" distR="114290" simplePos="0" relativeHeight="251659264" behindDoc="1" locked="0" layoutInCell="0" allowOverlap="1" wp14:anchorId="296714E5" wp14:editId="72994E6F">
                <wp:simplePos x="0" y="0"/>
                <wp:positionH relativeFrom="page">
                  <wp:posOffset>3363595</wp:posOffset>
                </wp:positionH>
                <wp:positionV relativeFrom="page">
                  <wp:posOffset>941705</wp:posOffset>
                </wp:positionV>
                <wp:extent cx="0" cy="0"/>
                <wp:effectExtent l="10795" t="8255" r="8255" b="10795"/>
                <wp:wrapNone/>
                <wp:docPr id="196086066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DA36AD" id="Freeform 5" o:spid="_x0000_s1026" style="position:absolute;z-index:-251657216;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r w:rsidRPr="002A0443">
        <w:rPr>
          <w:rFonts w:cs="Times New Roman"/>
          <w:noProof/>
          <w:szCs w:val="24"/>
          <w:u w:color="000000"/>
        </w:rPr>
        <mc:AlternateContent>
          <mc:Choice Requires="wps">
            <w:drawing>
              <wp:anchor distT="4294967286" distB="4294967286" distL="114290" distR="114290" simplePos="0" relativeHeight="251660288" behindDoc="1" locked="0" layoutInCell="0" allowOverlap="1" wp14:anchorId="7E62EFD5" wp14:editId="3497B3CB">
                <wp:simplePos x="0" y="0"/>
                <wp:positionH relativeFrom="page">
                  <wp:posOffset>3363595</wp:posOffset>
                </wp:positionH>
                <wp:positionV relativeFrom="page">
                  <wp:posOffset>941705</wp:posOffset>
                </wp:positionV>
                <wp:extent cx="0" cy="0"/>
                <wp:effectExtent l="10795" t="8255" r="8255" b="10795"/>
                <wp:wrapNone/>
                <wp:docPr id="165405387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F50C68" id="Freeform 4" o:spid="_x0000_s1026" style="position:absolute;z-index:-251656192;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r w:rsidRPr="002A0443">
        <w:rPr>
          <w:rFonts w:cs="Times New Roman"/>
          <w:noProof/>
          <w:szCs w:val="24"/>
          <w:u w:color="000000"/>
        </w:rPr>
        <mc:AlternateContent>
          <mc:Choice Requires="wps">
            <w:drawing>
              <wp:anchor distT="4294967286" distB="4294967286" distL="114290" distR="114290" simplePos="0" relativeHeight="251661312" behindDoc="1" locked="0" layoutInCell="0" allowOverlap="1" wp14:anchorId="3AD93E80" wp14:editId="3B3F807A">
                <wp:simplePos x="0" y="0"/>
                <wp:positionH relativeFrom="page">
                  <wp:posOffset>3363595</wp:posOffset>
                </wp:positionH>
                <wp:positionV relativeFrom="page">
                  <wp:posOffset>941705</wp:posOffset>
                </wp:positionV>
                <wp:extent cx="0" cy="0"/>
                <wp:effectExtent l="10795" t="8255" r="8255" b="10795"/>
                <wp:wrapNone/>
                <wp:docPr id="201228317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90D1C8" id="Freeform 3" o:spid="_x0000_s1026" style="position:absolute;z-index:-251655168;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p>
    <w:p w14:paraId="1DA752F1" w14:textId="77777777" w:rsidR="004560EC" w:rsidRPr="002A0443" w:rsidRDefault="004560EC" w:rsidP="004560EC">
      <w:pPr>
        <w:keepNext/>
        <w:widowControl w:val="0"/>
        <w:spacing w:after="0"/>
        <w:jc w:val="center"/>
        <w:outlineLvl w:val="1"/>
        <w:rPr>
          <w:rFonts w:cs="Times New Roman"/>
          <w:b/>
          <w:caps/>
          <w:szCs w:val="24"/>
          <w:u w:color="000000"/>
        </w:rPr>
      </w:pPr>
    </w:p>
    <w:p w14:paraId="3725B387" w14:textId="77777777" w:rsidR="004560EC" w:rsidRPr="002A0443" w:rsidRDefault="004560EC" w:rsidP="004560EC">
      <w:pPr>
        <w:keepNext/>
        <w:widowControl w:val="0"/>
        <w:spacing w:after="0"/>
        <w:ind w:right="26"/>
        <w:jc w:val="center"/>
        <w:outlineLvl w:val="1"/>
        <w:rPr>
          <w:rFonts w:cs="Times New Roman"/>
          <w:b/>
          <w:caps/>
          <w:szCs w:val="24"/>
          <w:u w:color="000000"/>
        </w:rPr>
      </w:pPr>
      <w:r w:rsidRPr="002A0443">
        <w:rPr>
          <w:rFonts w:cs="Times New Roman"/>
          <w:b/>
          <w:caps/>
          <w:szCs w:val="24"/>
          <w:u w:color="000000"/>
        </w:rPr>
        <w:t>PROJEKTLIGJ</w:t>
      </w:r>
    </w:p>
    <w:p w14:paraId="3C6522ED" w14:textId="77777777" w:rsidR="004560EC" w:rsidRPr="002A0443" w:rsidRDefault="004560EC" w:rsidP="004560EC">
      <w:pPr>
        <w:spacing w:after="0"/>
        <w:ind w:left="10" w:right="26" w:hanging="10"/>
        <w:rPr>
          <w:rFonts w:cs="Times New Roman"/>
          <w:szCs w:val="24"/>
          <w:u w:color="000000"/>
        </w:rPr>
      </w:pPr>
    </w:p>
    <w:p w14:paraId="0EF9B29F" w14:textId="77777777" w:rsidR="004560EC" w:rsidRPr="002A0443" w:rsidRDefault="004560EC" w:rsidP="004560EC">
      <w:pPr>
        <w:spacing w:after="0"/>
        <w:ind w:left="10" w:right="26"/>
        <w:jc w:val="center"/>
        <w:rPr>
          <w:rFonts w:cs="Times New Roman"/>
          <w:b/>
          <w:szCs w:val="24"/>
          <w:u w:color="000000"/>
        </w:rPr>
      </w:pPr>
      <w:r w:rsidRPr="002A0443">
        <w:rPr>
          <w:rFonts w:cs="Times New Roman"/>
          <w:b/>
          <w:szCs w:val="24"/>
          <w:u w:color="000000"/>
        </w:rPr>
        <w:t>Nr. _______, datë ____.____.2026</w:t>
      </w:r>
    </w:p>
    <w:p w14:paraId="7CA39B07" w14:textId="77777777" w:rsidR="00926EB2" w:rsidRPr="002A0443" w:rsidRDefault="00926EB2" w:rsidP="001B26C5">
      <w:pPr>
        <w:jc w:val="center"/>
        <w:rPr>
          <w:rFonts w:cs="Times New Roman"/>
          <w:szCs w:val="24"/>
          <w:lang w:val="sq-AL"/>
        </w:rPr>
      </w:pPr>
    </w:p>
    <w:p w14:paraId="3DDBF01E" w14:textId="77777777" w:rsidR="00926EB2" w:rsidRPr="002A0443" w:rsidRDefault="00961846" w:rsidP="004560EC">
      <w:pPr>
        <w:spacing w:after="0"/>
        <w:jc w:val="center"/>
        <w:rPr>
          <w:rFonts w:cs="Times New Roman"/>
          <w:b/>
          <w:szCs w:val="24"/>
          <w:lang w:val="sq-AL"/>
        </w:rPr>
      </w:pPr>
      <w:r w:rsidRPr="002A0443">
        <w:rPr>
          <w:rFonts w:cs="Times New Roman"/>
          <w:b/>
          <w:szCs w:val="24"/>
          <w:lang w:val="sq-AL"/>
        </w:rPr>
        <w:t xml:space="preserve">PËR </w:t>
      </w:r>
    </w:p>
    <w:p w14:paraId="6A59828D" w14:textId="27A64FF7" w:rsidR="00961846" w:rsidRPr="002A0443" w:rsidRDefault="00961846" w:rsidP="001B26C5">
      <w:pPr>
        <w:jc w:val="center"/>
        <w:rPr>
          <w:rFonts w:cs="Times New Roman"/>
          <w:b/>
          <w:szCs w:val="24"/>
          <w:lang w:val="sq-AL"/>
        </w:rPr>
      </w:pPr>
      <w:r w:rsidRPr="002A0443">
        <w:rPr>
          <w:rFonts w:cs="Times New Roman"/>
          <w:b/>
          <w:szCs w:val="24"/>
          <w:lang w:val="sq-AL"/>
        </w:rPr>
        <w:t>DEKLARATËN INFORMATIVE TË TATIMI</w:t>
      </w:r>
      <w:r w:rsidR="00F87347" w:rsidRPr="002A0443">
        <w:rPr>
          <w:rFonts w:cs="Times New Roman"/>
          <w:b/>
          <w:szCs w:val="24"/>
          <w:lang w:val="sq-AL"/>
        </w:rPr>
        <w:t>T</w:t>
      </w:r>
      <w:r w:rsidRPr="002A0443">
        <w:rPr>
          <w:rFonts w:cs="Times New Roman"/>
          <w:b/>
          <w:szCs w:val="24"/>
          <w:lang w:val="sq-AL"/>
        </w:rPr>
        <w:t xml:space="preserve"> SHTESË DHE SHKËMBIMIN AUTOMATIK TË SAJ</w:t>
      </w:r>
      <w:r w:rsidR="009E074F" w:rsidRPr="002A0443">
        <w:rPr>
          <w:rStyle w:val="FootnoteReference"/>
          <w:rFonts w:cs="Times New Roman"/>
          <w:b/>
          <w:szCs w:val="24"/>
          <w:lang w:val="sq-AL"/>
        </w:rPr>
        <w:footnoteReference w:id="1"/>
      </w:r>
    </w:p>
    <w:p w14:paraId="7C8C06CF" w14:textId="70414F95" w:rsidR="00961846" w:rsidRPr="002A0443" w:rsidRDefault="00961846" w:rsidP="00926EB2">
      <w:pPr>
        <w:pStyle w:val="Title"/>
        <w:pBdr>
          <w:bottom w:val="none" w:sz="0" w:space="0" w:color="auto"/>
        </w:pBdr>
        <w:jc w:val="both"/>
        <w:rPr>
          <w:rFonts w:ascii="Times New Roman" w:eastAsia="Times New Roman" w:hAnsi="Times New Roman" w:cs="Times New Roman"/>
          <w:color w:val="auto"/>
          <w:sz w:val="24"/>
          <w:szCs w:val="24"/>
          <w:lang w:val="sq-AL"/>
        </w:rPr>
      </w:pPr>
    </w:p>
    <w:p w14:paraId="18B203C7" w14:textId="504C31C4" w:rsidR="00D0264C" w:rsidRPr="002A0443" w:rsidRDefault="00D0264C" w:rsidP="004560EC">
      <w:pPr>
        <w:spacing w:after="0"/>
        <w:rPr>
          <w:rFonts w:eastAsiaTheme="minorEastAsia" w:cs="Times New Roman"/>
          <w:szCs w:val="24"/>
          <w:shd w:val="clear" w:color="auto" w:fill="FFFFFF"/>
          <w:lang w:val="sq-AL"/>
        </w:rPr>
      </w:pPr>
      <w:r w:rsidRPr="002A0443">
        <w:rPr>
          <w:rFonts w:eastAsiaTheme="minorEastAsia" w:cs="Times New Roman"/>
          <w:szCs w:val="24"/>
          <w:lang w:val="sq-AL"/>
        </w:rPr>
        <w:t xml:space="preserve"> Në </w:t>
      </w:r>
      <w:r w:rsidR="00655C7A" w:rsidRPr="002A0443">
        <w:rPr>
          <w:rFonts w:eastAsiaTheme="minorEastAsia" w:cs="Times New Roman"/>
          <w:szCs w:val="24"/>
          <w:lang w:val="sq-AL"/>
        </w:rPr>
        <w:t xml:space="preserve">mbështetje të neneve 78, 81, </w:t>
      </w:r>
      <w:r w:rsidRPr="002A0443">
        <w:rPr>
          <w:rFonts w:eastAsiaTheme="minorEastAsia" w:cs="Times New Roman"/>
          <w:szCs w:val="24"/>
          <w:lang w:val="sq-AL"/>
        </w:rPr>
        <w:t xml:space="preserve">83, pika 1, </w:t>
      </w:r>
      <w:r w:rsidR="00655C7A" w:rsidRPr="002A0443">
        <w:rPr>
          <w:rFonts w:eastAsiaTheme="minorEastAsia" w:cs="Times New Roman"/>
          <w:szCs w:val="24"/>
          <w:lang w:val="sq-AL"/>
        </w:rPr>
        <w:t xml:space="preserve">dhe 155 </w:t>
      </w:r>
      <w:r w:rsidRPr="002A0443">
        <w:rPr>
          <w:rFonts w:eastAsiaTheme="minorEastAsia" w:cs="Times New Roman"/>
          <w:szCs w:val="24"/>
          <w:lang w:val="sq-AL"/>
        </w:rPr>
        <w:t>të Kushtetutës</w:t>
      </w:r>
      <w:r w:rsidRPr="002A0443">
        <w:rPr>
          <w:rFonts w:eastAsiaTheme="minorEastAsia" w:cs="Times New Roman"/>
          <w:szCs w:val="24"/>
          <w:shd w:val="clear" w:color="auto" w:fill="FFFFFF"/>
          <w:lang w:val="sq-AL"/>
        </w:rPr>
        <w:t xml:space="preserve"> së Republikës së Shqipërisë, me propozimin  e Këshillit të Ministrave, Kuvendi i Republikës së Shqipërisë:</w:t>
      </w:r>
    </w:p>
    <w:p w14:paraId="6EE620FB" w14:textId="77777777" w:rsidR="004560EC" w:rsidRPr="002A0443" w:rsidRDefault="004560EC" w:rsidP="004560EC">
      <w:pPr>
        <w:spacing w:after="0"/>
        <w:jc w:val="center"/>
        <w:rPr>
          <w:rFonts w:eastAsiaTheme="minorEastAsia" w:cs="Times New Roman"/>
          <w:szCs w:val="24"/>
          <w:shd w:val="clear" w:color="auto" w:fill="FFFFFF"/>
          <w:lang w:val="sq-AL"/>
        </w:rPr>
      </w:pPr>
    </w:p>
    <w:p w14:paraId="5437CC5F" w14:textId="77777777" w:rsidR="004560EC" w:rsidRPr="002A0443" w:rsidRDefault="004560EC" w:rsidP="004560EC">
      <w:pPr>
        <w:spacing w:after="0"/>
        <w:jc w:val="center"/>
        <w:rPr>
          <w:rFonts w:eastAsiaTheme="minorEastAsia" w:cs="Times New Roman"/>
          <w:szCs w:val="24"/>
          <w:shd w:val="clear" w:color="auto" w:fill="FFFFFF"/>
          <w:lang w:val="sq-AL"/>
        </w:rPr>
      </w:pPr>
    </w:p>
    <w:p w14:paraId="4CA5CC58" w14:textId="77777777" w:rsidR="00D572C9" w:rsidRPr="002A0443" w:rsidRDefault="003D0B62" w:rsidP="004560EC">
      <w:pPr>
        <w:spacing w:after="0"/>
        <w:jc w:val="center"/>
        <w:rPr>
          <w:rFonts w:cs="Times New Roman"/>
          <w:szCs w:val="24"/>
          <w:lang w:val="sq-AL"/>
        </w:rPr>
      </w:pPr>
      <w:r w:rsidRPr="002A0443">
        <w:rPr>
          <w:rFonts w:cs="Times New Roman"/>
          <w:szCs w:val="24"/>
          <w:lang w:val="sq-AL"/>
        </w:rPr>
        <w:t>VENDOSI:</w:t>
      </w:r>
    </w:p>
    <w:p w14:paraId="2A9F1D6C" w14:textId="77777777" w:rsidR="004560EC" w:rsidRPr="002A0443" w:rsidRDefault="004560EC" w:rsidP="004560EC">
      <w:pPr>
        <w:spacing w:after="0"/>
        <w:jc w:val="center"/>
        <w:rPr>
          <w:rFonts w:cs="Times New Roman"/>
          <w:szCs w:val="24"/>
          <w:lang w:val="sq-AL"/>
        </w:rPr>
      </w:pPr>
    </w:p>
    <w:p w14:paraId="7FAE313C" w14:textId="77777777" w:rsidR="00D0264C" w:rsidRPr="002A0443" w:rsidRDefault="003D0B62" w:rsidP="004560EC">
      <w:pPr>
        <w:pStyle w:val="Heading1"/>
        <w:spacing w:before="0" w:after="0"/>
        <w:rPr>
          <w:rFonts w:ascii="Times New Roman" w:eastAsia="Times New Roman" w:hAnsi="Times New Roman" w:cs="Times New Roman"/>
          <w:b w:val="0"/>
          <w:color w:val="auto"/>
          <w:sz w:val="24"/>
          <w:szCs w:val="24"/>
          <w:lang w:val="sq-AL"/>
        </w:rPr>
      </w:pPr>
      <w:r w:rsidRPr="002A0443">
        <w:rPr>
          <w:rFonts w:ascii="Times New Roman" w:eastAsia="Times New Roman" w:hAnsi="Times New Roman" w:cs="Times New Roman"/>
          <w:b w:val="0"/>
          <w:color w:val="auto"/>
          <w:sz w:val="24"/>
          <w:szCs w:val="24"/>
          <w:lang w:val="sq-AL"/>
        </w:rPr>
        <w:t xml:space="preserve">KREU I </w:t>
      </w:r>
    </w:p>
    <w:p w14:paraId="7245C347" w14:textId="3899CF30" w:rsidR="00D572C9" w:rsidRPr="002A0443" w:rsidRDefault="003D0B62" w:rsidP="004560EC">
      <w:pPr>
        <w:pStyle w:val="Heading1"/>
        <w:spacing w:before="0" w:after="0"/>
        <w:rPr>
          <w:rFonts w:ascii="Times New Roman" w:eastAsia="Times New Roman" w:hAnsi="Times New Roman" w:cs="Times New Roman"/>
          <w:b w:val="0"/>
          <w:color w:val="auto"/>
          <w:sz w:val="24"/>
          <w:szCs w:val="24"/>
          <w:lang w:val="sq-AL"/>
        </w:rPr>
      </w:pPr>
      <w:r w:rsidRPr="002A0443">
        <w:rPr>
          <w:rFonts w:ascii="Times New Roman" w:eastAsia="Times New Roman" w:hAnsi="Times New Roman" w:cs="Times New Roman"/>
          <w:b w:val="0"/>
          <w:color w:val="auto"/>
          <w:sz w:val="24"/>
          <w:szCs w:val="24"/>
          <w:lang w:val="sq-AL"/>
        </w:rPr>
        <w:t xml:space="preserve"> DISPOZITA TË PËRGJITHSHME</w:t>
      </w:r>
    </w:p>
    <w:p w14:paraId="0FF05BC8" w14:textId="77777777" w:rsidR="004560EC" w:rsidRPr="002A0443" w:rsidRDefault="004560EC" w:rsidP="004560EC">
      <w:pPr>
        <w:spacing w:after="0"/>
        <w:rPr>
          <w:rFonts w:cs="Times New Roman"/>
          <w:szCs w:val="24"/>
          <w:lang w:val="sq-AL"/>
        </w:rPr>
      </w:pPr>
    </w:p>
    <w:p w14:paraId="62BCA0BE" w14:textId="77777777" w:rsidR="00F511D4" w:rsidRPr="002A0443" w:rsidRDefault="00F511D4" w:rsidP="004560EC">
      <w:pPr>
        <w:spacing w:after="0"/>
        <w:jc w:val="center"/>
        <w:rPr>
          <w:rFonts w:cs="Times New Roman"/>
          <w:b/>
          <w:bCs/>
          <w:szCs w:val="24"/>
        </w:rPr>
      </w:pPr>
      <w:r w:rsidRPr="002A0443">
        <w:rPr>
          <w:rFonts w:cs="Times New Roman"/>
          <w:b/>
          <w:bCs/>
          <w:szCs w:val="24"/>
        </w:rPr>
        <w:t>Neni 1</w:t>
      </w:r>
    </w:p>
    <w:p w14:paraId="6A048FD1" w14:textId="77777777" w:rsidR="00525675" w:rsidRPr="002A0443" w:rsidRDefault="00525675" w:rsidP="004560EC">
      <w:pPr>
        <w:spacing w:after="0" w:line="240" w:lineRule="auto"/>
        <w:jc w:val="center"/>
        <w:rPr>
          <w:rFonts w:cs="Times New Roman"/>
          <w:b/>
          <w:szCs w:val="24"/>
        </w:rPr>
      </w:pPr>
      <w:r w:rsidRPr="002A0443">
        <w:rPr>
          <w:rFonts w:cs="Times New Roman"/>
          <w:b/>
          <w:szCs w:val="24"/>
        </w:rPr>
        <w:t>Objekti dhe qëllimi</w:t>
      </w:r>
    </w:p>
    <w:p w14:paraId="53C01149" w14:textId="77777777" w:rsidR="004560EC" w:rsidRPr="002A0443" w:rsidRDefault="004560EC" w:rsidP="004560EC">
      <w:pPr>
        <w:spacing w:after="0" w:line="240" w:lineRule="auto"/>
        <w:jc w:val="center"/>
        <w:rPr>
          <w:rFonts w:cs="Times New Roman"/>
          <w:b/>
          <w:szCs w:val="24"/>
        </w:rPr>
      </w:pPr>
    </w:p>
    <w:p w14:paraId="47FFDB4B" w14:textId="4CC4ACA2" w:rsidR="00525675" w:rsidRPr="002A0443" w:rsidRDefault="00525675">
      <w:pPr>
        <w:numPr>
          <w:ilvl w:val="0"/>
          <w:numId w:val="18"/>
        </w:numPr>
        <w:spacing w:after="0"/>
        <w:rPr>
          <w:rFonts w:cs="Times New Roman"/>
          <w:szCs w:val="24"/>
        </w:rPr>
      </w:pPr>
      <w:r w:rsidRPr="002A0443">
        <w:rPr>
          <w:rFonts w:cs="Times New Roman"/>
          <w:szCs w:val="24"/>
        </w:rPr>
        <w:t>Ky ligj p</w:t>
      </w:r>
      <w:r w:rsidR="000B6C7E" w:rsidRPr="002A0443">
        <w:rPr>
          <w:rFonts w:cs="Times New Roman"/>
          <w:szCs w:val="24"/>
        </w:rPr>
        <w:t>ërcakton rregullat për</w:t>
      </w:r>
      <w:r w:rsidRPr="002A0443">
        <w:rPr>
          <w:rFonts w:cs="Times New Roman"/>
          <w:szCs w:val="24"/>
        </w:rPr>
        <w:t xml:space="preserve"> depozitimin, administrimin, përdorimin, ruajtjen, korrigjimin dhe shkëmbimin automatik të Deklaratës Informative të Tatimit Shtesë (Top-up Tax Information Return – TTIR), si dhe procedurat administrative që lidhen me këto procese.</w:t>
      </w:r>
    </w:p>
    <w:p w14:paraId="56CA3F56" w14:textId="36137734" w:rsidR="00525675" w:rsidRPr="002A0443" w:rsidRDefault="005F77E0">
      <w:pPr>
        <w:numPr>
          <w:ilvl w:val="0"/>
          <w:numId w:val="18"/>
        </w:numPr>
        <w:spacing w:after="0"/>
        <w:rPr>
          <w:rFonts w:cs="Times New Roman"/>
          <w:szCs w:val="24"/>
        </w:rPr>
      </w:pPr>
      <w:r w:rsidRPr="002A0443">
        <w:rPr>
          <w:rFonts w:cs="Times New Roman"/>
          <w:szCs w:val="24"/>
        </w:rPr>
        <w:t>Qëllimi i këtij ligji është të sigurojë bashkëpunimin administrativ dhe shkëmbimin automatik të Deklaratës Informative të Tatimit Shtesë, në mbështetje të zbatimit të rregullave të tatimit minimal global dhe të detyrimeve që rrjedhin nga legjislacioni i Bashkimit Evropian.</w:t>
      </w:r>
    </w:p>
    <w:p w14:paraId="51CC0831" w14:textId="6DF17BE2" w:rsidR="00F511D4" w:rsidRPr="002A0443" w:rsidRDefault="00F511D4" w:rsidP="004560EC">
      <w:pPr>
        <w:spacing w:after="0"/>
        <w:jc w:val="center"/>
        <w:rPr>
          <w:rFonts w:cs="Times New Roman"/>
          <w:b/>
          <w:bCs/>
          <w:szCs w:val="24"/>
        </w:rPr>
      </w:pPr>
    </w:p>
    <w:p w14:paraId="1B631D2A" w14:textId="77777777" w:rsidR="00F511D4" w:rsidRPr="002A0443" w:rsidRDefault="00F511D4" w:rsidP="004560EC">
      <w:pPr>
        <w:spacing w:after="0"/>
        <w:jc w:val="center"/>
        <w:rPr>
          <w:rFonts w:cs="Times New Roman"/>
          <w:b/>
          <w:bCs/>
          <w:szCs w:val="24"/>
        </w:rPr>
      </w:pPr>
      <w:r w:rsidRPr="002A0443">
        <w:rPr>
          <w:rFonts w:cs="Times New Roman"/>
          <w:b/>
          <w:bCs/>
          <w:szCs w:val="24"/>
        </w:rPr>
        <w:t>Neni 2</w:t>
      </w:r>
    </w:p>
    <w:p w14:paraId="4462942C" w14:textId="41032B14" w:rsidR="00F511D4" w:rsidRPr="002A0443" w:rsidRDefault="00F511D4" w:rsidP="004560EC">
      <w:pPr>
        <w:spacing w:after="0"/>
        <w:jc w:val="center"/>
        <w:rPr>
          <w:rFonts w:cs="Times New Roman"/>
          <w:b/>
          <w:bCs/>
          <w:szCs w:val="24"/>
        </w:rPr>
      </w:pPr>
      <w:r w:rsidRPr="002A0443">
        <w:rPr>
          <w:rFonts w:cs="Times New Roman"/>
          <w:b/>
          <w:bCs/>
          <w:szCs w:val="24"/>
        </w:rPr>
        <w:t>Fusha e zbatimit</w:t>
      </w:r>
    </w:p>
    <w:p w14:paraId="398265AC" w14:textId="77777777" w:rsidR="004560EC" w:rsidRPr="002A0443" w:rsidRDefault="004560EC" w:rsidP="004560EC">
      <w:pPr>
        <w:spacing w:after="0"/>
        <w:jc w:val="center"/>
        <w:rPr>
          <w:rFonts w:cs="Times New Roman"/>
          <w:b/>
          <w:bCs/>
          <w:szCs w:val="24"/>
        </w:rPr>
      </w:pPr>
    </w:p>
    <w:p w14:paraId="4C9ACF32" w14:textId="49F852AA" w:rsidR="00697DE5" w:rsidRPr="002A0443" w:rsidRDefault="00F511D4" w:rsidP="005F77E0">
      <w:pPr>
        <w:pStyle w:val="ListParagraph"/>
        <w:numPr>
          <w:ilvl w:val="0"/>
          <w:numId w:val="17"/>
        </w:numPr>
        <w:spacing w:after="0" w:line="240" w:lineRule="auto"/>
        <w:rPr>
          <w:rFonts w:cs="Times New Roman"/>
          <w:szCs w:val="24"/>
        </w:rPr>
      </w:pPr>
      <w:r w:rsidRPr="002A0443">
        <w:rPr>
          <w:rFonts w:cs="Times New Roman"/>
          <w:szCs w:val="24"/>
        </w:rPr>
        <w:t xml:space="preserve">Ky ligj zbatohet për entitetin mëmë të fundit, </w:t>
      </w:r>
      <w:r w:rsidR="00C62028" w:rsidRPr="002A0443">
        <w:rPr>
          <w:rFonts w:cs="Times New Roman"/>
          <w:bCs/>
          <w:szCs w:val="24"/>
          <w:lang w:val="sq-AL"/>
        </w:rPr>
        <w:t>entitetin e caktuar për deklarim</w:t>
      </w:r>
      <w:r w:rsidR="00C62028" w:rsidRPr="002A0443">
        <w:rPr>
          <w:rFonts w:cs="Times New Roman"/>
          <w:szCs w:val="24"/>
        </w:rPr>
        <w:t xml:space="preserve">, </w:t>
      </w:r>
      <w:r w:rsidRPr="002A0443">
        <w:rPr>
          <w:rFonts w:cs="Times New Roman"/>
          <w:szCs w:val="24"/>
        </w:rPr>
        <w:t xml:space="preserve">entitetin vendor të caktuar dhe çdo entitet përbërës rezident ose të regjistruar në Republikën e Shqipërisë, që kanë detyrime raportimi sipas ligjit </w:t>
      </w:r>
      <w:r w:rsidR="00D1686B">
        <w:rPr>
          <w:rFonts w:cs="Times New Roman"/>
          <w:szCs w:val="24"/>
        </w:rPr>
        <w:t>“</w:t>
      </w:r>
      <w:r w:rsidRPr="002A0443">
        <w:rPr>
          <w:rFonts w:cs="Times New Roman"/>
          <w:szCs w:val="24"/>
        </w:rPr>
        <w:t>Për sigurimin e një niveli minimal global të tatimit për grupet e shoqërive shumëkombëshe dhe grupet e mëdha vendase</w:t>
      </w:r>
      <w:r w:rsidR="00D1686B">
        <w:rPr>
          <w:rFonts w:cs="Times New Roman"/>
          <w:szCs w:val="24"/>
        </w:rPr>
        <w:t>”</w:t>
      </w:r>
      <w:r w:rsidRPr="002A0443">
        <w:rPr>
          <w:rFonts w:cs="Times New Roman"/>
          <w:szCs w:val="24"/>
        </w:rPr>
        <w:t>.</w:t>
      </w:r>
    </w:p>
    <w:p w14:paraId="38539556" w14:textId="6EBBFC7F" w:rsidR="00F511D4" w:rsidRPr="002A0443" w:rsidRDefault="005F77E0" w:rsidP="005F77E0">
      <w:pPr>
        <w:pStyle w:val="ListParagraph"/>
        <w:numPr>
          <w:ilvl w:val="0"/>
          <w:numId w:val="17"/>
        </w:numPr>
        <w:spacing w:after="0"/>
        <w:rPr>
          <w:rFonts w:cs="Times New Roman"/>
          <w:szCs w:val="24"/>
        </w:rPr>
      </w:pPr>
      <w:r w:rsidRPr="002A0443">
        <w:rPr>
          <w:rFonts w:cs="Times New Roman"/>
          <w:szCs w:val="24"/>
        </w:rPr>
        <w:t>Ky ligj rregullon vetëm aspektet procedurale dhe administrative që lidhen me TTIR.</w:t>
      </w:r>
    </w:p>
    <w:p w14:paraId="7994C3EE" w14:textId="4BDE1C83" w:rsidR="00F511D4" w:rsidRPr="002A0443" w:rsidRDefault="00F511D4" w:rsidP="005F77E0">
      <w:pPr>
        <w:pStyle w:val="ListParagraph"/>
        <w:numPr>
          <w:ilvl w:val="0"/>
          <w:numId w:val="17"/>
        </w:numPr>
        <w:spacing w:after="0"/>
        <w:rPr>
          <w:rFonts w:cs="Times New Roman"/>
          <w:szCs w:val="24"/>
        </w:rPr>
      </w:pPr>
      <w:r w:rsidRPr="002A0443">
        <w:rPr>
          <w:rFonts w:cs="Times New Roman"/>
          <w:szCs w:val="24"/>
        </w:rPr>
        <w:t xml:space="preserve">Përllogaritja, deklarimi dhe pagesa e tatimit shtesë rregullohen nga ligji </w:t>
      </w:r>
      <w:r w:rsidR="00D1686B">
        <w:rPr>
          <w:rFonts w:cs="Times New Roman"/>
          <w:szCs w:val="24"/>
        </w:rPr>
        <w:t>“</w:t>
      </w:r>
      <w:r w:rsidRPr="002A0443">
        <w:rPr>
          <w:rFonts w:cs="Times New Roman"/>
          <w:szCs w:val="24"/>
        </w:rPr>
        <w:t>Për sigurimin e një niveli minimal global të tatimit për grupet e shoqërive shumëkombëshe dhe grupet e mëdha vendase</w:t>
      </w:r>
      <w:r w:rsidR="00D1686B">
        <w:rPr>
          <w:rFonts w:cs="Times New Roman"/>
          <w:szCs w:val="24"/>
        </w:rPr>
        <w:t>”</w:t>
      </w:r>
      <w:r w:rsidRPr="002A0443">
        <w:rPr>
          <w:rFonts w:cs="Times New Roman"/>
          <w:szCs w:val="24"/>
        </w:rPr>
        <w:t>.</w:t>
      </w:r>
      <w:r w:rsidR="00414D61" w:rsidRPr="002A0443">
        <w:rPr>
          <w:rFonts w:cs="Times New Roman"/>
          <w:szCs w:val="24"/>
        </w:rPr>
        <w:t xml:space="preserve"> Ky ligj nuk rregullon përllogaritjen, deklarimin dhe pagesën e tatimit shtesë, të cilat rregullohen nga Ligji për Tatimin Minimal Global.</w:t>
      </w:r>
    </w:p>
    <w:p w14:paraId="2C88A71D" w14:textId="77777777" w:rsidR="0001269F" w:rsidRPr="002A0443" w:rsidRDefault="0001269F" w:rsidP="004560EC">
      <w:pPr>
        <w:spacing w:after="0"/>
        <w:rPr>
          <w:rFonts w:cs="Times New Roman"/>
          <w:szCs w:val="24"/>
          <w:lang w:val="sq-AL"/>
        </w:rPr>
      </w:pPr>
    </w:p>
    <w:p w14:paraId="576014A1" w14:textId="77777777" w:rsidR="00950F79" w:rsidRPr="002A0443" w:rsidRDefault="00950F79" w:rsidP="004560EC">
      <w:pPr>
        <w:spacing w:after="0"/>
        <w:rPr>
          <w:rFonts w:cs="Times New Roman"/>
          <w:szCs w:val="24"/>
          <w:lang w:val="sq-AL"/>
        </w:rPr>
      </w:pPr>
    </w:p>
    <w:p w14:paraId="3360E706" w14:textId="7A46E84A" w:rsidR="00D04472" w:rsidRPr="002A0443" w:rsidRDefault="00D04472" w:rsidP="004560EC">
      <w:pPr>
        <w:spacing w:after="0"/>
        <w:jc w:val="center"/>
        <w:rPr>
          <w:rFonts w:cs="Times New Roman"/>
          <w:b/>
          <w:bCs/>
          <w:szCs w:val="24"/>
        </w:rPr>
      </w:pPr>
      <w:r w:rsidRPr="002A0443">
        <w:rPr>
          <w:rFonts w:cs="Times New Roman"/>
          <w:b/>
          <w:bCs/>
          <w:szCs w:val="24"/>
        </w:rPr>
        <w:t>Neni 3</w:t>
      </w:r>
    </w:p>
    <w:p w14:paraId="278BA9F9" w14:textId="311F0850" w:rsidR="00D04472" w:rsidRPr="002A0443" w:rsidRDefault="00D04472" w:rsidP="004560EC">
      <w:pPr>
        <w:spacing w:after="0"/>
        <w:jc w:val="center"/>
        <w:rPr>
          <w:rFonts w:cs="Times New Roman"/>
          <w:b/>
          <w:bCs/>
          <w:szCs w:val="24"/>
        </w:rPr>
      </w:pPr>
      <w:r w:rsidRPr="002A0443">
        <w:rPr>
          <w:rFonts w:cs="Times New Roman"/>
          <w:b/>
          <w:bCs/>
          <w:szCs w:val="24"/>
        </w:rPr>
        <w:t xml:space="preserve">Marrëdhënia me </w:t>
      </w:r>
      <w:r w:rsidR="00AA3DE5" w:rsidRPr="002A0443">
        <w:rPr>
          <w:rFonts w:cs="Times New Roman"/>
          <w:b/>
          <w:bCs/>
          <w:szCs w:val="24"/>
        </w:rPr>
        <w:t>ligjin për tatimin minimal global dhe me legjislacionin tjetër</w:t>
      </w:r>
    </w:p>
    <w:p w14:paraId="3D32F918" w14:textId="77777777" w:rsidR="004560EC" w:rsidRPr="002A0443" w:rsidRDefault="004560EC" w:rsidP="004560EC">
      <w:pPr>
        <w:spacing w:after="0"/>
        <w:jc w:val="center"/>
        <w:rPr>
          <w:rFonts w:cs="Times New Roman"/>
          <w:b/>
          <w:bCs/>
          <w:szCs w:val="24"/>
        </w:rPr>
      </w:pPr>
    </w:p>
    <w:p w14:paraId="5C496BA7" w14:textId="6F675913" w:rsidR="00641AD1" w:rsidRDefault="00855D47" w:rsidP="00855D47">
      <w:pPr>
        <w:pStyle w:val="ListParagraph"/>
        <w:numPr>
          <w:ilvl w:val="0"/>
          <w:numId w:val="23"/>
        </w:numPr>
        <w:spacing w:after="0"/>
        <w:rPr>
          <w:rFonts w:cs="Times New Roman"/>
          <w:szCs w:val="24"/>
        </w:rPr>
      </w:pPr>
      <w:r w:rsidRPr="002A0443">
        <w:rPr>
          <w:rFonts w:cs="Times New Roman"/>
          <w:szCs w:val="24"/>
        </w:rPr>
        <w:t xml:space="preserve">Detyrimi për depozitimin e Deklaratës Informative të Tatimit Shtesë (TTIR), përmbajtja e saj dhe zgjedhjet që pasqyrohen në të përcaktohen nga </w:t>
      </w:r>
      <w:r w:rsidR="005B7E30" w:rsidRPr="002A0443">
        <w:rPr>
          <w:rFonts w:cs="Times New Roman"/>
          <w:szCs w:val="24"/>
        </w:rPr>
        <w:t>ligji për tatimin minimal global</w:t>
      </w:r>
      <w:r w:rsidRPr="002A0443">
        <w:rPr>
          <w:rFonts w:cs="Times New Roman"/>
          <w:szCs w:val="24"/>
        </w:rPr>
        <w:t>.</w:t>
      </w:r>
    </w:p>
    <w:p w14:paraId="3404724D" w14:textId="1A475C0B" w:rsidR="00D04472" w:rsidRPr="002A0443" w:rsidRDefault="00855D47" w:rsidP="00855D47">
      <w:pPr>
        <w:pStyle w:val="ListParagraph"/>
        <w:numPr>
          <w:ilvl w:val="0"/>
          <w:numId w:val="23"/>
        </w:numPr>
        <w:spacing w:after="0"/>
        <w:rPr>
          <w:rFonts w:cs="Times New Roman"/>
          <w:szCs w:val="24"/>
        </w:rPr>
      </w:pPr>
      <w:r w:rsidRPr="002A0443">
        <w:rPr>
          <w:rFonts w:cs="Times New Roman"/>
          <w:szCs w:val="24"/>
        </w:rPr>
        <w:t>Ky ligj rregullon procedurat që lidhen me njoftimin paraprak, depozitimin vendor, verifikimin teknik, korrigjimin, administrimin, përdorimin, konfidencialitetin dhe shkëmbimin automatik të TTIR-së</w:t>
      </w:r>
      <w:r w:rsidR="00641AD1">
        <w:rPr>
          <w:rFonts w:cs="Times New Roman"/>
          <w:szCs w:val="24"/>
        </w:rPr>
        <w:t>.</w:t>
      </w:r>
    </w:p>
    <w:p w14:paraId="53BCE47E" w14:textId="2570B2EF" w:rsidR="00BD49A7" w:rsidRPr="002A0443" w:rsidRDefault="00855D47" w:rsidP="00855D47">
      <w:pPr>
        <w:numPr>
          <w:ilvl w:val="0"/>
          <w:numId w:val="7"/>
        </w:numPr>
        <w:spacing w:after="0"/>
        <w:rPr>
          <w:rFonts w:cs="Times New Roman"/>
          <w:szCs w:val="24"/>
        </w:rPr>
      </w:pPr>
      <w:r w:rsidRPr="002A0443">
        <w:rPr>
          <w:rFonts w:cs="Times New Roman"/>
          <w:szCs w:val="24"/>
        </w:rPr>
        <w:t>Nëse nuk parashikohet ndryshe në këtë ligj, përkufizimet dhe rregullat materiale për entitetet përbërëse, grupet shumëkombëshe, grupet vendase në shkallë të gjerë, tatimin e brendshëm të kualifikuar shtesë (TMBKS/QDMTT), rregullin e përfshirjes së të ardhurave (RPA/IIR) dhe rregullin për fitimin e nëntatuar (RFN/UTPR) zbatohen sipas Ligjit për Tatimin Minimal Global.</w:t>
      </w:r>
    </w:p>
    <w:p w14:paraId="3C7617DC" w14:textId="50417C15" w:rsidR="00D04472" w:rsidRPr="002A0443" w:rsidRDefault="00855D47">
      <w:pPr>
        <w:numPr>
          <w:ilvl w:val="0"/>
          <w:numId w:val="7"/>
        </w:numPr>
        <w:spacing w:after="0"/>
        <w:rPr>
          <w:rFonts w:cs="Times New Roman"/>
          <w:szCs w:val="24"/>
        </w:rPr>
      </w:pPr>
      <w:r w:rsidRPr="002A0443">
        <w:rPr>
          <w:rFonts w:cs="Times New Roman"/>
          <w:szCs w:val="24"/>
        </w:rPr>
        <w:t>Dispozitat e legjislacionit tatimor zbatohen vetëm kur ky ligj ose Ligji për Tatimin Minimal Global nuk parashikojnë rregulla të posaçme dhe kur zbatimi i tyre nuk bie në kundërshtim me këtë ligj.</w:t>
      </w:r>
    </w:p>
    <w:p w14:paraId="6E2A9C65" w14:textId="77777777" w:rsidR="00950F79" w:rsidRPr="002A0443" w:rsidRDefault="00950F79" w:rsidP="004560EC">
      <w:pPr>
        <w:spacing w:after="0"/>
        <w:rPr>
          <w:rFonts w:cs="Times New Roman"/>
          <w:szCs w:val="24"/>
          <w:lang w:val="sq-AL"/>
        </w:rPr>
      </w:pPr>
    </w:p>
    <w:p w14:paraId="077BAAA3" w14:textId="6128864D" w:rsidR="00D572C9" w:rsidRPr="002A0443" w:rsidRDefault="003D0B62" w:rsidP="004560EC">
      <w:pPr>
        <w:pStyle w:val="Heading2"/>
        <w:spacing w:before="0"/>
        <w:rPr>
          <w:rFonts w:ascii="Times New Roman" w:hAnsi="Times New Roman" w:cs="Times New Roman"/>
          <w:color w:val="auto"/>
          <w:szCs w:val="24"/>
          <w:lang w:val="sq-AL"/>
        </w:rPr>
      </w:pPr>
      <w:r w:rsidRPr="002A0443">
        <w:rPr>
          <w:rFonts w:ascii="Times New Roman" w:eastAsia="Times New Roman" w:hAnsi="Times New Roman" w:cs="Times New Roman"/>
          <w:color w:val="auto"/>
          <w:szCs w:val="24"/>
          <w:lang w:val="sq-AL"/>
        </w:rPr>
        <w:t xml:space="preserve">Neni </w:t>
      </w:r>
      <w:r w:rsidR="00545F3F" w:rsidRPr="002A0443">
        <w:rPr>
          <w:rFonts w:ascii="Times New Roman" w:eastAsia="Times New Roman" w:hAnsi="Times New Roman" w:cs="Times New Roman"/>
          <w:color w:val="auto"/>
          <w:szCs w:val="24"/>
          <w:lang w:val="sq-AL"/>
        </w:rPr>
        <w:t>4</w:t>
      </w:r>
    </w:p>
    <w:p w14:paraId="13C5B610" w14:textId="738F07F3" w:rsidR="001A1BD7" w:rsidRPr="002A0443" w:rsidRDefault="003D0B62" w:rsidP="004560EC">
      <w:pPr>
        <w:spacing w:after="0" w:line="240" w:lineRule="auto"/>
        <w:jc w:val="center"/>
        <w:rPr>
          <w:rFonts w:cs="Times New Roman"/>
          <w:b/>
          <w:bCs/>
          <w:szCs w:val="24"/>
          <w:lang w:eastAsia="sq-AL"/>
        </w:rPr>
      </w:pPr>
      <w:r w:rsidRPr="002A0443">
        <w:rPr>
          <w:rFonts w:cs="Times New Roman"/>
          <w:b/>
          <w:bCs/>
          <w:szCs w:val="24"/>
          <w:lang w:val="sq-AL"/>
        </w:rPr>
        <w:t>Përkufizime</w:t>
      </w:r>
    </w:p>
    <w:p w14:paraId="2E4DEA56" w14:textId="22E62F6C" w:rsidR="00D572C9" w:rsidRPr="002A0443" w:rsidRDefault="00D572C9" w:rsidP="004560EC">
      <w:pPr>
        <w:pStyle w:val="Heading3"/>
        <w:spacing w:after="0"/>
        <w:rPr>
          <w:rFonts w:ascii="Times New Roman" w:hAnsi="Times New Roman" w:cs="Times New Roman"/>
          <w:color w:val="auto"/>
          <w:szCs w:val="24"/>
          <w:lang w:val="sq-AL"/>
        </w:rPr>
      </w:pPr>
    </w:p>
    <w:p w14:paraId="201DF791" w14:textId="5130EE49" w:rsidR="00921FDD" w:rsidRPr="002A0443" w:rsidRDefault="003D0B62" w:rsidP="004560EC">
      <w:pPr>
        <w:spacing w:after="0"/>
        <w:rPr>
          <w:rFonts w:cs="Times New Roman"/>
          <w:szCs w:val="24"/>
          <w:lang w:val="sq-AL"/>
        </w:rPr>
      </w:pPr>
      <w:r w:rsidRPr="002A0443">
        <w:rPr>
          <w:rFonts w:cs="Times New Roman"/>
          <w:szCs w:val="24"/>
          <w:lang w:val="sq-AL"/>
        </w:rPr>
        <w:t>Për qëllime të këtij ligji, termat e mëposhtëm kanë këto kuptime</w:t>
      </w:r>
      <w:r w:rsidR="004560EC" w:rsidRPr="002A0443">
        <w:rPr>
          <w:rFonts w:cs="Times New Roman"/>
          <w:szCs w:val="24"/>
          <w:lang w:val="sq-AL"/>
        </w:rPr>
        <w:t>:</w:t>
      </w:r>
    </w:p>
    <w:p w14:paraId="6DE143D0" w14:textId="77777777" w:rsidR="004560EC" w:rsidRPr="002A0443" w:rsidRDefault="004560EC" w:rsidP="004560EC">
      <w:pPr>
        <w:spacing w:after="0"/>
        <w:rPr>
          <w:rFonts w:cs="Times New Roman"/>
          <w:szCs w:val="24"/>
          <w:lang w:val="sq-AL"/>
        </w:rPr>
      </w:pPr>
    </w:p>
    <w:p w14:paraId="3D2C840A" w14:textId="48B81EE3" w:rsidR="008F0B91" w:rsidRPr="002A0443" w:rsidRDefault="008F0B91" w:rsidP="004560EC">
      <w:pPr>
        <w:spacing w:after="0" w:line="240" w:lineRule="auto"/>
        <w:rPr>
          <w:rFonts w:cs="Times New Roman"/>
          <w:szCs w:val="24"/>
          <w:lang w:val="sq-AL"/>
        </w:rPr>
      </w:pPr>
      <w:r w:rsidRPr="002A0443">
        <w:rPr>
          <w:rFonts w:cs="Times New Roman"/>
          <w:szCs w:val="24"/>
          <w:lang w:val="sq-AL"/>
        </w:rPr>
        <w:t xml:space="preserve">1. </w:t>
      </w:r>
      <w:r w:rsidR="00D1686B">
        <w:rPr>
          <w:rFonts w:cs="Times New Roman"/>
          <w:szCs w:val="24"/>
          <w:lang w:val="sq-AL"/>
        </w:rPr>
        <w:t>“</w:t>
      </w:r>
      <w:r w:rsidRPr="002A0443">
        <w:rPr>
          <w:rFonts w:cs="Times New Roman"/>
          <w:szCs w:val="24"/>
          <w:lang w:val="sq-AL"/>
        </w:rPr>
        <w:t>Deklarata Informative e Tatimit Shtesë (TTIR)</w:t>
      </w:r>
      <w:r w:rsidR="00D1686B">
        <w:rPr>
          <w:rFonts w:cs="Times New Roman"/>
          <w:szCs w:val="24"/>
          <w:lang w:val="sq-AL"/>
        </w:rPr>
        <w:t>”</w:t>
      </w:r>
      <w:r w:rsidRPr="002A0443">
        <w:rPr>
          <w:rFonts w:cs="Times New Roman"/>
          <w:szCs w:val="24"/>
          <w:lang w:val="sq-AL"/>
        </w:rPr>
        <w:t xml:space="preserve"> është deklarata informative për tatimin shtesë që depozitohet sipas modelit standard të përcaktuar për këtë qëllim nga entiteti mëmë i fundit, entiteti i caktuar për deklarim, entiteti i caktuar vendor ose, sipas rastit, nga një entitet përbërës, në përputhje me këtë ligj dhe Ligjin për Tatimin Minimal Global.</w:t>
      </w:r>
    </w:p>
    <w:p w14:paraId="17ECC1F9" w14:textId="77777777" w:rsidR="004560EC" w:rsidRPr="002A0443" w:rsidRDefault="004560EC" w:rsidP="004560EC">
      <w:pPr>
        <w:spacing w:after="0" w:line="240" w:lineRule="auto"/>
        <w:rPr>
          <w:rFonts w:cs="Times New Roman"/>
          <w:szCs w:val="24"/>
          <w:lang w:val="sq-AL"/>
        </w:rPr>
      </w:pPr>
    </w:p>
    <w:p w14:paraId="6FD24634" w14:textId="55135D79" w:rsidR="008F0B91" w:rsidRPr="002A0443" w:rsidRDefault="008F0B91" w:rsidP="004560EC">
      <w:pPr>
        <w:spacing w:after="0" w:line="240" w:lineRule="auto"/>
        <w:rPr>
          <w:rFonts w:cs="Times New Roman"/>
          <w:szCs w:val="24"/>
          <w:lang w:val="sq-AL"/>
        </w:rPr>
      </w:pPr>
      <w:r w:rsidRPr="002A0443">
        <w:rPr>
          <w:rFonts w:cs="Times New Roman"/>
          <w:szCs w:val="24"/>
          <w:lang w:val="sq-AL"/>
        </w:rPr>
        <w:t xml:space="preserve">2. </w:t>
      </w:r>
      <w:r w:rsidR="00D1686B">
        <w:rPr>
          <w:rFonts w:cs="Times New Roman"/>
          <w:szCs w:val="24"/>
          <w:lang w:val="sq-AL"/>
        </w:rPr>
        <w:t>“</w:t>
      </w:r>
      <w:r w:rsidR="00D70FBD" w:rsidRPr="002A0443">
        <w:rPr>
          <w:rFonts w:cs="Times New Roman"/>
          <w:szCs w:val="24"/>
          <w:lang w:val="sq-AL"/>
        </w:rPr>
        <w:t>Entitet i caktuar për deklarim</w:t>
      </w:r>
      <w:r w:rsidR="00D1686B">
        <w:rPr>
          <w:rFonts w:cs="Times New Roman"/>
          <w:szCs w:val="24"/>
          <w:lang w:val="sq-AL"/>
        </w:rPr>
        <w:t>”</w:t>
      </w:r>
      <w:r w:rsidR="00D70FBD" w:rsidRPr="002A0443">
        <w:rPr>
          <w:rFonts w:cs="Times New Roman"/>
          <w:szCs w:val="24"/>
          <w:lang w:val="sq-AL"/>
        </w:rPr>
        <w:t xml:space="preserve"> është entiteti i përcaktuar si i tillë sipas Ligjit për Tatimin Minimal Global, i cili, për qëllime të këtij ligji, depoziton TTIR-në në emër të grupit.</w:t>
      </w:r>
    </w:p>
    <w:p w14:paraId="0F4309EB" w14:textId="77777777" w:rsidR="004560EC" w:rsidRPr="002A0443" w:rsidRDefault="004560EC" w:rsidP="004560EC">
      <w:pPr>
        <w:spacing w:after="0" w:line="240" w:lineRule="auto"/>
        <w:rPr>
          <w:rFonts w:cs="Times New Roman"/>
          <w:szCs w:val="24"/>
          <w:lang w:val="sq-AL"/>
        </w:rPr>
      </w:pPr>
    </w:p>
    <w:p w14:paraId="70DC192C" w14:textId="6C633130" w:rsidR="008F0B91" w:rsidRPr="002A0443" w:rsidRDefault="008F0B91" w:rsidP="004560EC">
      <w:pPr>
        <w:spacing w:after="0" w:line="240" w:lineRule="auto"/>
        <w:rPr>
          <w:rFonts w:cs="Times New Roman"/>
          <w:szCs w:val="24"/>
          <w:lang w:val="sq-AL"/>
        </w:rPr>
      </w:pPr>
      <w:r w:rsidRPr="002A0443">
        <w:rPr>
          <w:rFonts w:cs="Times New Roman"/>
          <w:szCs w:val="24"/>
          <w:lang w:val="sq-AL"/>
        </w:rPr>
        <w:t xml:space="preserve">3. </w:t>
      </w:r>
      <w:r w:rsidR="00D1686B">
        <w:rPr>
          <w:rFonts w:cs="Times New Roman"/>
          <w:szCs w:val="24"/>
          <w:lang w:val="sq-AL"/>
        </w:rPr>
        <w:t>“</w:t>
      </w:r>
      <w:r w:rsidR="00550CD6" w:rsidRPr="002A0443">
        <w:rPr>
          <w:rFonts w:cs="Times New Roman"/>
          <w:szCs w:val="24"/>
          <w:lang w:val="sq-AL"/>
        </w:rPr>
        <w:t>Entitet i caktuar vendor</w:t>
      </w:r>
      <w:r w:rsidR="00D1686B">
        <w:rPr>
          <w:rFonts w:cs="Times New Roman"/>
          <w:szCs w:val="24"/>
          <w:lang w:val="sq-AL"/>
        </w:rPr>
        <w:t>”</w:t>
      </w:r>
      <w:r w:rsidR="00550CD6" w:rsidRPr="002A0443">
        <w:rPr>
          <w:rFonts w:cs="Times New Roman"/>
          <w:szCs w:val="24"/>
          <w:lang w:val="sq-AL"/>
        </w:rPr>
        <w:t xml:space="preserve"> është entiteti i përcaktuar si i tillë sipas Ligjit për Tatimin Minimal Global, i cili kryen detyrimet e njoftimit ose depozitimit vendor të TTIR-së sipas këtij ligji.</w:t>
      </w:r>
    </w:p>
    <w:p w14:paraId="41BAA30C" w14:textId="77777777" w:rsidR="004560EC" w:rsidRPr="002A0443" w:rsidRDefault="004560EC" w:rsidP="004560EC">
      <w:pPr>
        <w:spacing w:after="0" w:line="240" w:lineRule="auto"/>
        <w:rPr>
          <w:rFonts w:cs="Times New Roman"/>
          <w:szCs w:val="24"/>
          <w:lang w:val="sq-AL"/>
        </w:rPr>
      </w:pPr>
    </w:p>
    <w:p w14:paraId="56C3398D" w14:textId="1F0B4ECE" w:rsidR="00921FDD" w:rsidRPr="002A0443" w:rsidRDefault="00921FDD" w:rsidP="004560EC">
      <w:pPr>
        <w:spacing w:after="0" w:line="240" w:lineRule="auto"/>
        <w:jc w:val="left"/>
        <w:rPr>
          <w:rFonts w:cs="Times New Roman"/>
          <w:szCs w:val="24"/>
          <w:lang w:eastAsia="sq-AL"/>
        </w:rPr>
      </w:pPr>
      <w:r w:rsidRPr="002A0443">
        <w:rPr>
          <w:rFonts w:cs="Times New Roman"/>
          <w:szCs w:val="24"/>
        </w:rPr>
        <w:lastRenderedPageBreak/>
        <w:t xml:space="preserve">4. </w:t>
      </w:r>
      <w:r w:rsidR="00D1686B">
        <w:rPr>
          <w:rFonts w:cs="Times New Roman"/>
          <w:szCs w:val="24"/>
        </w:rPr>
        <w:t>“</w:t>
      </w:r>
      <w:r w:rsidRPr="002A0443">
        <w:rPr>
          <w:rFonts w:cs="Times New Roman"/>
          <w:szCs w:val="24"/>
        </w:rPr>
        <w:t>Seksioni i Përgjithshëm</w:t>
      </w:r>
      <w:r w:rsidR="00D1686B">
        <w:rPr>
          <w:rFonts w:cs="Times New Roman"/>
          <w:szCs w:val="24"/>
        </w:rPr>
        <w:t>”</w:t>
      </w:r>
      <w:r w:rsidRPr="002A0443">
        <w:rPr>
          <w:rFonts w:cs="Times New Roman"/>
          <w:szCs w:val="24"/>
        </w:rPr>
        <w:t xml:space="preserve"> është pjesa e TTIR-së që përmban informacion të përgjithshëm për grupin në tërësi, përfshirë strukturën e tij korporative dhe përmbledhjen e përgjithshme të zbatimit të rregullave të tatimit minimal efektiv.</w:t>
      </w:r>
    </w:p>
    <w:p w14:paraId="4C68D3AA" w14:textId="77777777" w:rsidR="004560EC" w:rsidRPr="002A0443" w:rsidRDefault="004560EC" w:rsidP="004560EC">
      <w:pPr>
        <w:spacing w:after="0"/>
        <w:rPr>
          <w:rFonts w:cs="Times New Roman"/>
          <w:szCs w:val="24"/>
        </w:rPr>
      </w:pPr>
    </w:p>
    <w:p w14:paraId="10E36C49" w14:textId="3D984950" w:rsidR="001A1BD7" w:rsidRPr="002A0443" w:rsidRDefault="001A1BD7" w:rsidP="004560EC">
      <w:pPr>
        <w:spacing w:after="0"/>
        <w:rPr>
          <w:rFonts w:cs="Times New Roman"/>
          <w:szCs w:val="24"/>
        </w:rPr>
      </w:pPr>
      <w:r w:rsidRPr="002A0443">
        <w:rPr>
          <w:rFonts w:cs="Times New Roman"/>
          <w:szCs w:val="24"/>
        </w:rPr>
        <w:t xml:space="preserve">5. </w:t>
      </w:r>
      <w:r w:rsidR="00D1686B">
        <w:rPr>
          <w:rFonts w:cs="Times New Roman"/>
          <w:szCs w:val="24"/>
        </w:rPr>
        <w:t>“</w:t>
      </w:r>
      <w:r w:rsidRPr="002A0443">
        <w:rPr>
          <w:rFonts w:cs="Times New Roman"/>
          <w:szCs w:val="24"/>
        </w:rPr>
        <w:t>Seksionet Juridiksionale</w:t>
      </w:r>
      <w:r w:rsidR="00D1686B">
        <w:rPr>
          <w:rFonts w:cs="Times New Roman"/>
          <w:szCs w:val="24"/>
        </w:rPr>
        <w:t>”</w:t>
      </w:r>
      <w:r w:rsidRPr="002A0443">
        <w:rPr>
          <w:rFonts w:cs="Times New Roman"/>
          <w:szCs w:val="24"/>
        </w:rPr>
        <w:t xml:space="preserve"> janë pjesët e TTIR-së që përmbajnë informacion të detajuar për zbatimin e rregullit të përfshirjes së të ardhurave (RPA/IIR), rregullit për fitimin e nëntatuar (RFN/UTPR) dhe tatimit të brendshëm të kualifikuar shtesë (TMBKS/QDMTT) për secilin juridiksion në të cilin vepron grupi.</w:t>
      </w:r>
    </w:p>
    <w:p w14:paraId="783A0875" w14:textId="77777777" w:rsidR="004560EC" w:rsidRPr="002A0443" w:rsidRDefault="004560EC" w:rsidP="004560EC">
      <w:pPr>
        <w:spacing w:after="0"/>
        <w:rPr>
          <w:rFonts w:cs="Times New Roman"/>
          <w:szCs w:val="24"/>
        </w:rPr>
      </w:pPr>
    </w:p>
    <w:p w14:paraId="4A173B33" w14:textId="5AFF3F0E" w:rsidR="00921FDD" w:rsidRPr="002A0443" w:rsidRDefault="00921FDD" w:rsidP="004560EC">
      <w:pPr>
        <w:spacing w:after="0"/>
        <w:rPr>
          <w:rFonts w:cs="Times New Roman"/>
          <w:szCs w:val="24"/>
        </w:rPr>
      </w:pPr>
      <w:r w:rsidRPr="002A0443">
        <w:rPr>
          <w:rFonts w:cs="Times New Roman"/>
          <w:szCs w:val="24"/>
        </w:rPr>
        <w:t xml:space="preserve">6. </w:t>
      </w:r>
      <w:r w:rsidR="00D1686B">
        <w:rPr>
          <w:rFonts w:cs="Times New Roman"/>
          <w:szCs w:val="24"/>
        </w:rPr>
        <w:t>“</w:t>
      </w:r>
      <w:r w:rsidRPr="002A0443">
        <w:rPr>
          <w:rFonts w:cs="Times New Roman"/>
          <w:szCs w:val="24"/>
        </w:rPr>
        <w:t>Vit fiskal raportues</w:t>
      </w:r>
      <w:r w:rsidR="00D1686B">
        <w:rPr>
          <w:rFonts w:cs="Times New Roman"/>
          <w:szCs w:val="24"/>
        </w:rPr>
        <w:t>”</w:t>
      </w:r>
      <w:r w:rsidRPr="002A0443">
        <w:rPr>
          <w:rFonts w:cs="Times New Roman"/>
          <w:szCs w:val="24"/>
        </w:rPr>
        <w:t xml:space="preserve"> është viti fiskal me të cilin lidhet TTIR-ja.</w:t>
      </w:r>
    </w:p>
    <w:p w14:paraId="311BB632" w14:textId="77777777" w:rsidR="004560EC" w:rsidRPr="002A0443" w:rsidRDefault="004560EC" w:rsidP="004560EC">
      <w:pPr>
        <w:spacing w:after="0"/>
        <w:rPr>
          <w:rFonts w:cs="Times New Roman"/>
          <w:szCs w:val="24"/>
        </w:rPr>
      </w:pPr>
    </w:p>
    <w:p w14:paraId="7846E50C" w14:textId="4DA5E994" w:rsidR="00921FDD" w:rsidRPr="002A0443" w:rsidRDefault="00921FDD" w:rsidP="004560EC">
      <w:pPr>
        <w:spacing w:after="0"/>
        <w:rPr>
          <w:rFonts w:cs="Times New Roman"/>
          <w:szCs w:val="24"/>
        </w:rPr>
      </w:pPr>
      <w:r w:rsidRPr="002A0443">
        <w:rPr>
          <w:rFonts w:cs="Times New Roman"/>
          <w:szCs w:val="24"/>
        </w:rPr>
        <w:t xml:space="preserve">7. </w:t>
      </w:r>
      <w:r w:rsidR="00D1686B">
        <w:rPr>
          <w:rFonts w:cs="Times New Roman"/>
          <w:szCs w:val="24"/>
          <w:lang w:val="sq-AL"/>
        </w:rPr>
        <w:t>“</w:t>
      </w:r>
      <w:r w:rsidR="00D379F1" w:rsidRPr="002A0443">
        <w:rPr>
          <w:rFonts w:cs="Times New Roman"/>
          <w:szCs w:val="24"/>
          <w:lang w:val="sq-AL"/>
        </w:rPr>
        <w:t>Juridiksion depozitimi</w:t>
      </w:r>
      <w:r w:rsidR="00D1686B">
        <w:rPr>
          <w:rFonts w:cs="Times New Roman"/>
          <w:szCs w:val="24"/>
          <w:lang w:val="sq-AL"/>
        </w:rPr>
        <w:t>”</w:t>
      </w:r>
      <w:r w:rsidR="00D379F1" w:rsidRPr="002A0443">
        <w:rPr>
          <w:rFonts w:cs="Times New Roman"/>
          <w:szCs w:val="24"/>
          <w:lang w:val="sq-AL"/>
        </w:rPr>
        <w:t xml:space="preserve"> është juridiksioni në të cilin depozitohet TTIR-ja nga entiteti që depoziton TTIR-në sipas këtij ligji dhe Ligjit për Tatimin Minimal Global</w:t>
      </w:r>
      <w:r w:rsidR="009A26AF" w:rsidRPr="002A0443">
        <w:rPr>
          <w:rFonts w:cs="Times New Roman"/>
          <w:szCs w:val="24"/>
          <w:lang w:val="sq-AL"/>
        </w:rPr>
        <w:t>.</w:t>
      </w:r>
    </w:p>
    <w:p w14:paraId="40EF2095" w14:textId="77777777" w:rsidR="004560EC" w:rsidRPr="002A0443" w:rsidRDefault="004560EC" w:rsidP="004560EC">
      <w:pPr>
        <w:spacing w:after="0"/>
        <w:rPr>
          <w:rFonts w:cs="Times New Roman"/>
          <w:szCs w:val="24"/>
        </w:rPr>
      </w:pPr>
    </w:p>
    <w:p w14:paraId="52CDEF2D" w14:textId="7282287D" w:rsidR="00921FDD" w:rsidRPr="002A0443" w:rsidRDefault="00921FDD" w:rsidP="004560EC">
      <w:pPr>
        <w:spacing w:after="0"/>
        <w:rPr>
          <w:rFonts w:cs="Times New Roman"/>
          <w:szCs w:val="24"/>
        </w:rPr>
      </w:pPr>
      <w:r w:rsidRPr="002A0443">
        <w:rPr>
          <w:rFonts w:cs="Times New Roman"/>
          <w:szCs w:val="24"/>
        </w:rPr>
        <w:t xml:space="preserve">8. </w:t>
      </w:r>
      <w:r w:rsidR="00D1686B">
        <w:rPr>
          <w:rFonts w:cs="Times New Roman"/>
          <w:szCs w:val="24"/>
        </w:rPr>
        <w:t>“</w:t>
      </w:r>
      <w:r w:rsidRPr="002A0443">
        <w:rPr>
          <w:rFonts w:cs="Times New Roman"/>
          <w:szCs w:val="24"/>
        </w:rPr>
        <w:t>Marrëveshje e kualifikuar e autoritetit kompetent</w:t>
      </w:r>
      <w:r w:rsidR="00D1686B">
        <w:rPr>
          <w:rFonts w:cs="Times New Roman"/>
          <w:szCs w:val="24"/>
        </w:rPr>
        <w:t>”</w:t>
      </w:r>
      <w:r w:rsidRPr="002A0443">
        <w:rPr>
          <w:rFonts w:cs="Times New Roman"/>
          <w:szCs w:val="24"/>
        </w:rPr>
        <w:t xml:space="preserve"> është një marrëveshje ndërmjet autoriteteve kompetente të juridiksioneve përkatëse, e lidhur mbi bazën e një marrëveshjeje ndërkombëtare në fuqi, që parashikon shkëmbimin automatik të TTIR-së.</w:t>
      </w:r>
    </w:p>
    <w:p w14:paraId="17ED3EEA" w14:textId="77777777" w:rsidR="004560EC" w:rsidRPr="002A0443" w:rsidRDefault="004560EC" w:rsidP="004560EC">
      <w:pPr>
        <w:spacing w:after="0"/>
        <w:rPr>
          <w:rFonts w:cs="Times New Roman"/>
          <w:szCs w:val="24"/>
        </w:rPr>
      </w:pPr>
    </w:p>
    <w:p w14:paraId="3BD53DBA" w14:textId="6BA5501C" w:rsidR="00FA33DA" w:rsidRPr="002A0443" w:rsidRDefault="00921FDD" w:rsidP="004560EC">
      <w:pPr>
        <w:spacing w:after="0"/>
        <w:rPr>
          <w:rFonts w:cs="Times New Roman"/>
          <w:szCs w:val="24"/>
        </w:rPr>
      </w:pPr>
      <w:r w:rsidRPr="002A0443">
        <w:rPr>
          <w:rFonts w:cs="Times New Roman"/>
          <w:szCs w:val="24"/>
        </w:rPr>
        <w:t xml:space="preserve">9. </w:t>
      </w:r>
      <w:r w:rsidR="00D1686B">
        <w:rPr>
          <w:rFonts w:cs="Times New Roman"/>
          <w:szCs w:val="24"/>
        </w:rPr>
        <w:t>“</w:t>
      </w:r>
      <w:r w:rsidR="00FA33DA" w:rsidRPr="002A0443">
        <w:rPr>
          <w:rFonts w:cs="Times New Roman"/>
          <w:szCs w:val="24"/>
        </w:rPr>
        <w:t>Shtet Anëtar vetëm me TMBKS/QDMTT</w:t>
      </w:r>
      <w:r w:rsidR="00D1686B">
        <w:rPr>
          <w:rFonts w:cs="Times New Roman"/>
          <w:szCs w:val="24"/>
        </w:rPr>
        <w:t>”</w:t>
      </w:r>
      <w:r w:rsidR="00FA33DA" w:rsidRPr="002A0443">
        <w:rPr>
          <w:rFonts w:cs="Times New Roman"/>
          <w:szCs w:val="24"/>
        </w:rPr>
        <w:t xml:space="preserve"> është një shtet anëtar që, për vitin fiskal raportues përkatës, ka zbatuar vetëm tatimin e brendshëm të kualifikuar shtesë (TMBKS/QDMTT).</w:t>
      </w:r>
    </w:p>
    <w:p w14:paraId="43A8F3B6" w14:textId="77777777" w:rsidR="004560EC" w:rsidRPr="002A0443" w:rsidRDefault="004560EC" w:rsidP="004560EC">
      <w:pPr>
        <w:spacing w:after="0"/>
        <w:rPr>
          <w:rFonts w:cs="Times New Roman"/>
          <w:szCs w:val="24"/>
        </w:rPr>
      </w:pPr>
    </w:p>
    <w:p w14:paraId="0B7136DA" w14:textId="5FB12880" w:rsidR="00FA33DA" w:rsidRPr="002A0443" w:rsidRDefault="00FA33DA" w:rsidP="004560EC">
      <w:pPr>
        <w:spacing w:after="0"/>
        <w:rPr>
          <w:rFonts w:cs="Times New Roman"/>
          <w:szCs w:val="24"/>
        </w:rPr>
      </w:pPr>
      <w:r w:rsidRPr="002A0443">
        <w:rPr>
          <w:rFonts w:cs="Times New Roman"/>
          <w:szCs w:val="24"/>
        </w:rPr>
        <w:t xml:space="preserve">10. </w:t>
      </w:r>
      <w:r w:rsidR="00D1686B">
        <w:rPr>
          <w:rFonts w:cs="Times New Roman"/>
          <w:szCs w:val="24"/>
        </w:rPr>
        <w:t>“</w:t>
      </w:r>
      <w:r w:rsidRPr="002A0443">
        <w:rPr>
          <w:rFonts w:cs="Times New Roman"/>
          <w:szCs w:val="24"/>
        </w:rPr>
        <w:t>Shtet Anëtar zbatues</w:t>
      </w:r>
      <w:r w:rsidR="00D1686B">
        <w:rPr>
          <w:rFonts w:cs="Times New Roman"/>
          <w:szCs w:val="24"/>
        </w:rPr>
        <w:t>”</w:t>
      </w:r>
      <w:r w:rsidRPr="002A0443">
        <w:rPr>
          <w:rFonts w:cs="Times New Roman"/>
          <w:szCs w:val="24"/>
        </w:rPr>
        <w:t xml:space="preserve"> është një shtet anëtar që, për vitin fiskal raportues përkatës, ka zbatuar rregullin e përfshirjes së të ardhurave (RPA/IIR), rregullin për fitimin e nëntatuar (RFN/UTPR), ose të dyja.</w:t>
      </w:r>
    </w:p>
    <w:p w14:paraId="161BEECA" w14:textId="77777777" w:rsidR="004560EC" w:rsidRPr="002A0443" w:rsidRDefault="004560EC" w:rsidP="004560EC">
      <w:pPr>
        <w:spacing w:after="0"/>
        <w:rPr>
          <w:rFonts w:cs="Times New Roman"/>
          <w:szCs w:val="24"/>
        </w:rPr>
      </w:pPr>
    </w:p>
    <w:p w14:paraId="340100E0" w14:textId="45BEFA7A" w:rsidR="00921FDD" w:rsidRPr="002A0443" w:rsidRDefault="00921FDD" w:rsidP="004560EC">
      <w:pPr>
        <w:spacing w:after="0"/>
        <w:rPr>
          <w:rFonts w:cs="Times New Roman"/>
          <w:szCs w:val="24"/>
        </w:rPr>
      </w:pPr>
      <w:r w:rsidRPr="002A0443">
        <w:rPr>
          <w:rFonts w:cs="Times New Roman"/>
          <w:szCs w:val="24"/>
        </w:rPr>
        <w:t xml:space="preserve">11. </w:t>
      </w:r>
      <w:r w:rsidR="00D1686B">
        <w:rPr>
          <w:rFonts w:cs="Times New Roman"/>
          <w:szCs w:val="24"/>
        </w:rPr>
        <w:t>“</w:t>
      </w:r>
      <w:r w:rsidRPr="002A0443">
        <w:rPr>
          <w:rFonts w:cs="Times New Roman"/>
          <w:szCs w:val="24"/>
        </w:rPr>
        <w:t>Ligji për Tatimin Minimal Global</w:t>
      </w:r>
      <w:r w:rsidR="00D1686B">
        <w:rPr>
          <w:rFonts w:cs="Times New Roman"/>
          <w:szCs w:val="24"/>
        </w:rPr>
        <w:t>”</w:t>
      </w:r>
      <w:r w:rsidRPr="002A0443">
        <w:rPr>
          <w:rFonts w:cs="Times New Roman"/>
          <w:szCs w:val="24"/>
        </w:rPr>
        <w:t xml:space="preserve"> është ligji </w:t>
      </w:r>
      <w:r w:rsidR="00D1686B">
        <w:rPr>
          <w:rFonts w:cs="Times New Roman"/>
          <w:szCs w:val="24"/>
        </w:rPr>
        <w:t>“</w:t>
      </w:r>
      <w:r w:rsidRPr="002A0443">
        <w:rPr>
          <w:rFonts w:cs="Times New Roman"/>
          <w:szCs w:val="24"/>
        </w:rPr>
        <w:t>Për sigurimin e një niveli minimal global të tatimit për grupet e shoqërive shumëkombëshe dhe grupet e mëdha vendase</w:t>
      </w:r>
      <w:r w:rsidR="00D1686B">
        <w:rPr>
          <w:rFonts w:cs="Times New Roman"/>
          <w:szCs w:val="24"/>
        </w:rPr>
        <w:t>”</w:t>
      </w:r>
      <w:r w:rsidRPr="002A0443">
        <w:rPr>
          <w:rFonts w:cs="Times New Roman"/>
          <w:szCs w:val="24"/>
        </w:rPr>
        <w:t>.</w:t>
      </w:r>
    </w:p>
    <w:p w14:paraId="69BEC2C0" w14:textId="77777777" w:rsidR="004560EC" w:rsidRPr="002A0443" w:rsidRDefault="004560EC" w:rsidP="004560EC">
      <w:pPr>
        <w:spacing w:after="0"/>
        <w:rPr>
          <w:rFonts w:cs="Times New Roman"/>
          <w:szCs w:val="24"/>
        </w:rPr>
      </w:pPr>
    </w:p>
    <w:p w14:paraId="3FDB9C54" w14:textId="409EA7FA" w:rsidR="00921FDD" w:rsidRPr="002A0443" w:rsidRDefault="00921FDD" w:rsidP="004560EC">
      <w:pPr>
        <w:spacing w:after="0"/>
        <w:rPr>
          <w:rFonts w:cs="Times New Roman"/>
          <w:szCs w:val="24"/>
        </w:rPr>
      </w:pPr>
      <w:r w:rsidRPr="002A0443">
        <w:rPr>
          <w:rFonts w:cs="Times New Roman"/>
          <w:szCs w:val="24"/>
        </w:rPr>
        <w:t xml:space="preserve">12. </w:t>
      </w:r>
      <w:r w:rsidR="00D1686B">
        <w:rPr>
          <w:rFonts w:cs="Times New Roman"/>
          <w:szCs w:val="24"/>
        </w:rPr>
        <w:t>“</w:t>
      </w:r>
      <w:r w:rsidRPr="002A0443">
        <w:rPr>
          <w:rFonts w:cs="Times New Roman"/>
          <w:szCs w:val="24"/>
        </w:rPr>
        <w:t>Grup MNE</w:t>
      </w:r>
      <w:r w:rsidR="00D1686B">
        <w:rPr>
          <w:rFonts w:cs="Times New Roman"/>
          <w:szCs w:val="24"/>
        </w:rPr>
        <w:t>”</w:t>
      </w:r>
      <w:r w:rsidRPr="002A0443">
        <w:rPr>
          <w:rFonts w:cs="Times New Roman"/>
          <w:szCs w:val="24"/>
        </w:rPr>
        <w:t xml:space="preserve"> ka të njëjtin kuptim me atë që i jepet në Ligjin për Tatimin Minimal Global.</w:t>
      </w:r>
    </w:p>
    <w:p w14:paraId="46CD231D" w14:textId="77777777" w:rsidR="004560EC" w:rsidRPr="002A0443" w:rsidRDefault="004560EC" w:rsidP="004560EC">
      <w:pPr>
        <w:spacing w:after="0"/>
        <w:rPr>
          <w:rFonts w:cs="Times New Roman"/>
          <w:szCs w:val="24"/>
        </w:rPr>
      </w:pPr>
    </w:p>
    <w:p w14:paraId="67090DAB" w14:textId="7E9E24FF" w:rsidR="00921FDD" w:rsidRPr="002A0443" w:rsidRDefault="00921FDD" w:rsidP="004560EC">
      <w:pPr>
        <w:spacing w:after="0"/>
        <w:rPr>
          <w:rFonts w:cs="Times New Roman"/>
          <w:szCs w:val="24"/>
        </w:rPr>
      </w:pPr>
      <w:r w:rsidRPr="002A0443">
        <w:rPr>
          <w:rFonts w:cs="Times New Roman"/>
          <w:szCs w:val="24"/>
        </w:rPr>
        <w:t xml:space="preserve">13. </w:t>
      </w:r>
      <w:r w:rsidR="00D1686B">
        <w:rPr>
          <w:rFonts w:cs="Times New Roman"/>
          <w:szCs w:val="24"/>
        </w:rPr>
        <w:t>“</w:t>
      </w:r>
      <w:r w:rsidRPr="002A0443">
        <w:rPr>
          <w:rFonts w:cs="Times New Roman"/>
          <w:szCs w:val="24"/>
        </w:rPr>
        <w:t>Grup MNE i përjashtuar</w:t>
      </w:r>
      <w:r w:rsidR="00D1686B">
        <w:rPr>
          <w:rFonts w:cs="Times New Roman"/>
          <w:szCs w:val="24"/>
        </w:rPr>
        <w:t>”</w:t>
      </w:r>
      <w:r w:rsidRPr="002A0443">
        <w:rPr>
          <w:rFonts w:cs="Times New Roman"/>
          <w:szCs w:val="24"/>
        </w:rPr>
        <w:t xml:space="preserve"> ka të njëjtin kuptim me atë që i jepet në Ligjin për Tatimin Minimal Global.</w:t>
      </w:r>
    </w:p>
    <w:p w14:paraId="259C6ED1" w14:textId="77777777" w:rsidR="004560EC" w:rsidRPr="002A0443" w:rsidRDefault="004560EC" w:rsidP="004560EC">
      <w:pPr>
        <w:spacing w:after="0"/>
        <w:rPr>
          <w:rFonts w:cs="Times New Roman"/>
          <w:szCs w:val="24"/>
        </w:rPr>
      </w:pPr>
    </w:p>
    <w:p w14:paraId="615E3A14" w14:textId="30D5715C" w:rsidR="00921FDD" w:rsidRPr="002A0443" w:rsidRDefault="00921FDD" w:rsidP="004560EC">
      <w:pPr>
        <w:spacing w:after="0"/>
        <w:rPr>
          <w:rFonts w:cs="Times New Roman"/>
          <w:szCs w:val="24"/>
        </w:rPr>
      </w:pPr>
      <w:r w:rsidRPr="002A0443">
        <w:rPr>
          <w:rFonts w:cs="Times New Roman"/>
          <w:szCs w:val="24"/>
        </w:rPr>
        <w:t xml:space="preserve">14. </w:t>
      </w:r>
      <w:r w:rsidR="00D1686B">
        <w:rPr>
          <w:rFonts w:cs="Times New Roman"/>
          <w:szCs w:val="24"/>
        </w:rPr>
        <w:t>“</w:t>
      </w:r>
      <w:r w:rsidRPr="002A0443">
        <w:rPr>
          <w:rFonts w:cs="Times New Roman"/>
          <w:szCs w:val="24"/>
        </w:rPr>
        <w:t>Entitet mëmë i fundit</w:t>
      </w:r>
      <w:r w:rsidR="00D1686B">
        <w:rPr>
          <w:rFonts w:cs="Times New Roman"/>
          <w:szCs w:val="24"/>
        </w:rPr>
        <w:t>”</w:t>
      </w:r>
      <w:r w:rsidRPr="002A0443">
        <w:rPr>
          <w:rFonts w:cs="Times New Roman"/>
          <w:szCs w:val="24"/>
        </w:rPr>
        <w:t xml:space="preserve"> ka të njëjtin kuptim me atë që i jepet në Ligjin për Tatimin Minimal Global.</w:t>
      </w:r>
    </w:p>
    <w:p w14:paraId="1A4ACB4F" w14:textId="77777777" w:rsidR="004560EC" w:rsidRPr="002A0443" w:rsidRDefault="004560EC" w:rsidP="004560EC">
      <w:pPr>
        <w:spacing w:after="0"/>
        <w:rPr>
          <w:rFonts w:cs="Times New Roman"/>
          <w:szCs w:val="24"/>
        </w:rPr>
      </w:pPr>
    </w:p>
    <w:p w14:paraId="76E6ECC0" w14:textId="325E8C31" w:rsidR="00921FDD" w:rsidRPr="002A0443" w:rsidRDefault="00921FDD" w:rsidP="004560EC">
      <w:pPr>
        <w:spacing w:after="0"/>
        <w:rPr>
          <w:rFonts w:cs="Times New Roman"/>
          <w:szCs w:val="24"/>
        </w:rPr>
      </w:pPr>
      <w:r w:rsidRPr="002A0443">
        <w:rPr>
          <w:rFonts w:cs="Times New Roman"/>
          <w:szCs w:val="24"/>
        </w:rPr>
        <w:t xml:space="preserve">15. </w:t>
      </w:r>
      <w:r w:rsidR="00D1686B">
        <w:rPr>
          <w:rFonts w:cs="Times New Roman"/>
          <w:szCs w:val="24"/>
        </w:rPr>
        <w:t>“</w:t>
      </w:r>
      <w:r w:rsidRPr="002A0443">
        <w:rPr>
          <w:rFonts w:cs="Times New Roman"/>
          <w:szCs w:val="24"/>
        </w:rPr>
        <w:t>Entitet përbërës</w:t>
      </w:r>
      <w:r w:rsidR="00D1686B">
        <w:rPr>
          <w:rFonts w:cs="Times New Roman"/>
          <w:szCs w:val="24"/>
        </w:rPr>
        <w:t>”</w:t>
      </w:r>
      <w:r w:rsidRPr="002A0443">
        <w:rPr>
          <w:rFonts w:cs="Times New Roman"/>
          <w:szCs w:val="24"/>
        </w:rPr>
        <w:t xml:space="preserve"> ka të njëjtin kuptim me atë që i jepet në Ligjin për Tatimin Minimal Global.</w:t>
      </w:r>
    </w:p>
    <w:p w14:paraId="692913FC" w14:textId="77777777" w:rsidR="004560EC" w:rsidRPr="002A0443" w:rsidRDefault="004560EC" w:rsidP="004560EC">
      <w:pPr>
        <w:spacing w:after="0"/>
        <w:rPr>
          <w:rFonts w:cs="Times New Roman"/>
          <w:szCs w:val="24"/>
        </w:rPr>
      </w:pPr>
    </w:p>
    <w:p w14:paraId="141579A3" w14:textId="22F62415" w:rsidR="00921FDD" w:rsidRPr="002A0443" w:rsidRDefault="00921FDD" w:rsidP="004560EC">
      <w:pPr>
        <w:spacing w:after="0"/>
        <w:rPr>
          <w:rFonts w:cs="Times New Roman"/>
          <w:szCs w:val="24"/>
        </w:rPr>
      </w:pPr>
      <w:r w:rsidRPr="002A0443">
        <w:rPr>
          <w:rFonts w:cs="Times New Roman"/>
          <w:szCs w:val="24"/>
        </w:rPr>
        <w:t xml:space="preserve">16. </w:t>
      </w:r>
      <w:r w:rsidR="00D1686B">
        <w:rPr>
          <w:rFonts w:cs="Times New Roman"/>
          <w:szCs w:val="24"/>
        </w:rPr>
        <w:t>“</w:t>
      </w:r>
      <w:r w:rsidRPr="002A0443">
        <w:rPr>
          <w:rFonts w:cs="Times New Roman"/>
          <w:szCs w:val="24"/>
        </w:rPr>
        <w:t>Grup shumëkombësh</w:t>
      </w:r>
      <w:r w:rsidR="00D1686B">
        <w:rPr>
          <w:rFonts w:cs="Times New Roman"/>
          <w:szCs w:val="24"/>
        </w:rPr>
        <w:t>”</w:t>
      </w:r>
      <w:r w:rsidRPr="002A0443">
        <w:rPr>
          <w:rFonts w:cs="Times New Roman"/>
          <w:szCs w:val="24"/>
        </w:rPr>
        <w:t xml:space="preserve"> ka të njëjtin kuptim me atë që i jepet në Ligjin për Tatimin Minimal Global.</w:t>
      </w:r>
    </w:p>
    <w:p w14:paraId="11D1531B" w14:textId="77777777" w:rsidR="004560EC" w:rsidRPr="002A0443" w:rsidRDefault="004560EC" w:rsidP="004560EC">
      <w:pPr>
        <w:spacing w:after="0"/>
        <w:rPr>
          <w:rFonts w:cs="Times New Roman"/>
          <w:szCs w:val="24"/>
        </w:rPr>
      </w:pPr>
    </w:p>
    <w:p w14:paraId="16E82DAC" w14:textId="41BBF04C" w:rsidR="00921FDD" w:rsidRPr="002A0443" w:rsidRDefault="00921FDD" w:rsidP="004560EC">
      <w:pPr>
        <w:spacing w:after="0"/>
        <w:rPr>
          <w:rFonts w:cs="Times New Roman"/>
          <w:szCs w:val="24"/>
        </w:rPr>
      </w:pPr>
      <w:r w:rsidRPr="002A0443">
        <w:rPr>
          <w:rFonts w:cs="Times New Roman"/>
          <w:szCs w:val="24"/>
        </w:rPr>
        <w:lastRenderedPageBreak/>
        <w:t xml:space="preserve">17. </w:t>
      </w:r>
      <w:r w:rsidR="00D1686B">
        <w:rPr>
          <w:rFonts w:cs="Times New Roman"/>
          <w:szCs w:val="24"/>
        </w:rPr>
        <w:t>“</w:t>
      </w:r>
      <w:r w:rsidRPr="002A0443">
        <w:rPr>
          <w:rFonts w:cs="Times New Roman"/>
          <w:szCs w:val="24"/>
        </w:rPr>
        <w:t>Grup vendas në shkallë të gjerë</w:t>
      </w:r>
      <w:r w:rsidR="00D1686B">
        <w:rPr>
          <w:rFonts w:cs="Times New Roman"/>
          <w:szCs w:val="24"/>
        </w:rPr>
        <w:t>”</w:t>
      </w:r>
      <w:r w:rsidRPr="002A0443">
        <w:rPr>
          <w:rFonts w:cs="Times New Roman"/>
          <w:szCs w:val="24"/>
        </w:rPr>
        <w:t xml:space="preserve"> ka të njëjtin kuptim me atë që i jepet në Ligjin për Tatimin Minimal Global.</w:t>
      </w:r>
    </w:p>
    <w:p w14:paraId="6092D6EA" w14:textId="77777777" w:rsidR="004560EC" w:rsidRPr="002A0443" w:rsidRDefault="004560EC" w:rsidP="004560EC">
      <w:pPr>
        <w:spacing w:after="0"/>
        <w:rPr>
          <w:rFonts w:cs="Times New Roman"/>
          <w:szCs w:val="24"/>
        </w:rPr>
      </w:pPr>
    </w:p>
    <w:p w14:paraId="642CCF96" w14:textId="501D7964" w:rsidR="00921FDD" w:rsidRPr="002A0443" w:rsidRDefault="00921FDD" w:rsidP="004560EC">
      <w:pPr>
        <w:spacing w:after="0"/>
        <w:rPr>
          <w:rFonts w:cs="Times New Roman"/>
          <w:szCs w:val="24"/>
        </w:rPr>
      </w:pPr>
      <w:r w:rsidRPr="002A0443">
        <w:rPr>
          <w:rFonts w:cs="Times New Roman"/>
          <w:szCs w:val="24"/>
        </w:rPr>
        <w:t xml:space="preserve">18. </w:t>
      </w:r>
      <w:r w:rsidR="00D1686B">
        <w:rPr>
          <w:rFonts w:cs="Times New Roman"/>
          <w:szCs w:val="24"/>
        </w:rPr>
        <w:t>“</w:t>
      </w:r>
      <w:r w:rsidRPr="002A0443">
        <w:rPr>
          <w:rFonts w:cs="Times New Roman"/>
          <w:szCs w:val="24"/>
        </w:rPr>
        <w:t>Sipërmarrje e përbashkët</w:t>
      </w:r>
      <w:r w:rsidR="00D1686B">
        <w:rPr>
          <w:rFonts w:cs="Times New Roman"/>
          <w:szCs w:val="24"/>
        </w:rPr>
        <w:t>”</w:t>
      </w:r>
      <w:r w:rsidRPr="002A0443">
        <w:rPr>
          <w:rFonts w:cs="Times New Roman"/>
          <w:szCs w:val="24"/>
        </w:rPr>
        <w:t xml:space="preserve"> ka të njëjtin kuptim me atë që i jepet në Ligjin për Tatimin Minimal Global.</w:t>
      </w:r>
    </w:p>
    <w:p w14:paraId="00E6787C" w14:textId="77777777" w:rsidR="004560EC" w:rsidRPr="002A0443" w:rsidRDefault="004560EC" w:rsidP="004560EC">
      <w:pPr>
        <w:spacing w:after="0"/>
        <w:rPr>
          <w:rFonts w:cs="Times New Roman"/>
          <w:szCs w:val="24"/>
        </w:rPr>
      </w:pPr>
    </w:p>
    <w:p w14:paraId="26249EDC" w14:textId="6B1F5122" w:rsidR="00921FDD" w:rsidRPr="002A0443" w:rsidRDefault="00921FDD" w:rsidP="004560EC">
      <w:pPr>
        <w:spacing w:after="0"/>
        <w:rPr>
          <w:rFonts w:cs="Times New Roman"/>
          <w:szCs w:val="24"/>
        </w:rPr>
      </w:pPr>
      <w:r w:rsidRPr="002A0443">
        <w:rPr>
          <w:rFonts w:cs="Times New Roman"/>
          <w:szCs w:val="24"/>
        </w:rPr>
        <w:t xml:space="preserve">19. </w:t>
      </w:r>
      <w:r w:rsidR="00D1686B">
        <w:rPr>
          <w:rFonts w:cs="Times New Roman"/>
          <w:szCs w:val="24"/>
        </w:rPr>
        <w:t>“</w:t>
      </w:r>
      <w:r w:rsidRPr="002A0443">
        <w:rPr>
          <w:rFonts w:cs="Times New Roman"/>
          <w:szCs w:val="24"/>
        </w:rPr>
        <w:t>Anëtar i grupit të sipërmarrjes së përbashkët</w:t>
      </w:r>
      <w:r w:rsidR="00D1686B">
        <w:rPr>
          <w:rFonts w:cs="Times New Roman"/>
          <w:szCs w:val="24"/>
        </w:rPr>
        <w:t>”</w:t>
      </w:r>
      <w:r w:rsidRPr="002A0443">
        <w:rPr>
          <w:rFonts w:cs="Times New Roman"/>
          <w:szCs w:val="24"/>
        </w:rPr>
        <w:t xml:space="preserve"> ka të njëjtin kuptim me atë që i jepet në Ligjin për Tatimin Minimal Global.</w:t>
      </w:r>
    </w:p>
    <w:p w14:paraId="00102B75" w14:textId="77777777" w:rsidR="004560EC" w:rsidRPr="002A0443" w:rsidRDefault="004560EC" w:rsidP="004560EC">
      <w:pPr>
        <w:spacing w:after="0"/>
        <w:rPr>
          <w:rFonts w:cs="Times New Roman"/>
          <w:szCs w:val="24"/>
        </w:rPr>
      </w:pPr>
    </w:p>
    <w:p w14:paraId="7F0BBE98" w14:textId="308B377D" w:rsidR="00083547" w:rsidRPr="002A0443" w:rsidRDefault="00083547" w:rsidP="004560EC">
      <w:pPr>
        <w:spacing w:after="0"/>
        <w:rPr>
          <w:rFonts w:cs="Times New Roman"/>
          <w:szCs w:val="24"/>
        </w:rPr>
      </w:pPr>
      <w:r w:rsidRPr="002A0443">
        <w:rPr>
          <w:rFonts w:cs="Times New Roman"/>
          <w:szCs w:val="24"/>
        </w:rPr>
        <w:t xml:space="preserve">20. </w:t>
      </w:r>
      <w:r w:rsidR="00D1686B">
        <w:rPr>
          <w:rFonts w:cs="Times New Roman"/>
          <w:szCs w:val="24"/>
        </w:rPr>
        <w:t>“</w:t>
      </w:r>
      <w:r w:rsidRPr="002A0443">
        <w:rPr>
          <w:rFonts w:cs="Times New Roman"/>
          <w:szCs w:val="24"/>
        </w:rPr>
        <w:t>Tatimi i brendshëm i kualifikuar shtesë (TMBKS/QDMTT)</w:t>
      </w:r>
      <w:r w:rsidR="00D1686B">
        <w:rPr>
          <w:rFonts w:cs="Times New Roman"/>
          <w:szCs w:val="24"/>
        </w:rPr>
        <w:t>”</w:t>
      </w:r>
      <w:r w:rsidRPr="002A0443">
        <w:rPr>
          <w:rFonts w:cs="Times New Roman"/>
          <w:szCs w:val="24"/>
        </w:rPr>
        <w:t xml:space="preserve"> ka të njëjtin kuptim me atë që i jepet në Ligjin për Tatimin Minimal Global.</w:t>
      </w:r>
    </w:p>
    <w:p w14:paraId="030EB48C" w14:textId="77777777" w:rsidR="004560EC" w:rsidRPr="002A0443" w:rsidRDefault="004560EC" w:rsidP="004560EC">
      <w:pPr>
        <w:spacing w:after="0"/>
        <w:rPr>
          <w:rFonts w:cs="Times New Roman"/>
          <w:szCs w:val="24"/>
        </w:rPr>
      </w:pPr>
    </w:p>
    <w:p w14:paraId="7151069C" w14:textId="2642EED3" w:rsidR="00083547" w:rsidRPr="002A0443" w:rsidRDefault="00083547" w:rsidP="004560EC">
      <w:pPr>
        <w:spacing w:after="0"/>
        <w:rPr>
          <w:rFonts w:cs="Times New Roman"/>
          <w:szCs w:val="24"/>
        </w:rPr>
      </w:pPr>
      <w:r w:rsidRPr="002A0443">
        <w:rPr>
          <w:rFonts w:cs="Times New Roman"/>
          <w:szCs w:val="24"/>
        </w:rPr>
        <w:t xml:space="preserve">21. </w:t>
      </w:r>
      <w:r w:rsidR="00D1686B">
        <w:rPr>
          <w:rFonts w:cs="Times New Roman"/>
          <w:szCs w:val="24"/>
        </w:rPr>
        <w:t>“</w:t>
      </w:r>
      <w:r w:rsidRPr="002A0443">
        <w:rPr>
          <w:rFonts w:cs="Times New Roman"/>
          <w:szCs w:val="24"/>
        </w:rPr>
        <w:t>Rregulli i përfshirjes së të ardhurave (RPA/IIR)</w:t>
      </w:r>
      <w:r w:rsidR="00D1686B">
        <w:rPr>
          <w:rFonts w:cs="Times New Roman"/>
          <w:szCs w:val="24"/>
        </w:rPr>
        <w:t>”</w:t>
      </w:r>
      <w:r w:rsidRPr="002A0443">
        <w:rPr>
          <w:rFonts w:cs="Times New Roman"/>
          <w:szCs w:val="24"/>
        </w:rPr>
        <w:t xml:space="preserve"> ka të njëjtin kuptim me atë që i jepet në Ligjin për Tatimin Minimal Global.</w:t>
      </w:r>
    </w:p>
    <w:p w14:paraId="030E8D29" w14:textId="77777777" w:rsidR="004560EC" w:rsidRPr="002A0443" w:rsidRDefault="004560EC" w:rsidP="004560EC">
      <w:pPr>
        <w:spacing w:after="0"/>
        <w:rPr>
          <w:rFonts w:cs="Times New Roman"/>
          <w:szCs w:val="24"/>
        </w:rPr>
      </w:pPr>
    </w:p>
    <w:p w14:paraId="6D165742" w14:textId="40A84CFB" w:rsidR="00921FDD" w:rsidRPr="002A0443" w:rsidRDefault="00D20C5E" w:rsidP="004560EC">
      <w:pPr>
        <w:spacing w:after="0"/>
        <w:rPr>
          <w:rFonts w:cs="Times New Roman"/>
          <w:szCs w:val="24"/>
        </w:rPr>
      </w:pPr>
      <w:r w:rsidRPr="002A0443">
        <w:rPr>
          <w:rFonts w:cs="Times New Roman"/>
          <w:szCs w:val="24"/>
        </w:rPr>
        <w:t xml:space="preserve">22. </w:t>
      </w:r>
      <w:r w:rsidR="00D1686B">
        <w:rPr>
          <w:rFonts w:cs="Times New Roman"/>
          <w:szCs w:val="24"/>
        </w:rPr>
        <w:t>“</w:t>
      </w:r>
      <w:r w:rsidRPr="002A0443">
        <w:rPr>
          <w:rFonts w:cs="Times New Roman"/>
          <w:szCs w:val="24"/>
        </w:rPr>
        <w:t>Rregulli për fitimin e nëntatuar (RFN/UTPR)</w:t>
      </w:r>
      <w:r w:rsidR="00D1686B">
        <w:rPr>
          <w:rFonts w:cs="Times New Roman"/>
          <w:szCs w:val="24"/>
        </w:rPr>
        <w:t>”</w:t>
      </w:r>
      <w:r w:rsidRPr="002A0443">
        <w:rPr>
          <w:rFonts w:cs="Times New Roman"/>
          <w:szCs w:val="24"/>
        </w:rPr>
        <w:t xml:space="preserve"> ka të njëjtin kuptim me atë që i jepet në Ligjin për Tatimin Minimal Global.</w:t>
      </w:r>
    </w:p>
    <w:p w14:paraId="14A8D9C4" w14:textId="77777777" w:rsidR="004560EC" w:rsidRPr="002A0443" w:rsidRDefault="004560EC" w:rsidP="004560EC">
      <w:pPr>
        <w:spacing w:after="0"/>
        <w:rPr>
          <w:rFonts w:cs="Times New Roman"/>
          <w:szCs w:val="24"/>
          <w:lang w:val="sq-AL"/>
        </w:rPr>
      </w:pPr>
    </w:p>
    <w:p w14:paraId="2F3607DD" w14:textId="77777777" w:rsidR="00D0264C" w:rsidRPr="002A0443" w:rsidRDefault="003D0B62" w:rsidP="004560EC">
      <w:pPr>
        <w:pStyle w:val="Heading1"/>
        <w:spacing w:before="0" w:after="0"/>
        <w:rPr>
          <w:rFonts w:ascii="Times New Roman" w:eastAsia="Times New Roman" w:hAnsi="Times New Roman" w:cs="Times New Roman"/>
          <w:b w:val="0"/>
          <w:bCs w:val="0"/>
          <w:color w:val="auto"/>
          <w:sz w:val="24"/>
          <w:szCs w:val="24"/>
          <w:lang w:val="sq-AL"/>
        </w:rPr>
      </w:pPr>
      <w:r w:rsidRPr="002A0443">
        <w:rPr>
          <w:rFonts w:ascii="Times New Roman" w:eastAsia="Times New Roman" w:hAnsi="Times New Roman" w:cs="Times New Roman"/>
          <w:b w:val="0"/>
          <w:bCs w:val="0"/>
          <w:color w:val="auto"/>
          <w:sz w:val="24"/>
          <w:szCs w:val="24"/>
          <w:lang w:val="sq-AL"/>
        </w:rPr>
        <w:t xml:space="preserve">KREU II </w:t>
      </w:r>
    </w:p>
    <w:p w14:paraId="15AED76F" w14:textId="63A79618" w:rsidR="00D572C9" w:rsidRPr="002A0443" w:rsidRDefault="003D0B62" w:rsidP="004560EC">
      <w:pPr>
        <w:pStyle w:val="Heading1"/>
        <w:spacing w:before="0" w:after="0"/>
        <w:rPr>
          <w:rFonts w:ascii="Times New Roman" w:eastAsia="Times New Roman" w:hAnsi="Times New Roman" w:cs="Times New Roman"/>
          <w:b w:val="0"/>
          <w:bCs w:val="0"/>
          <w:color w:val="auto"/>
          <w:sz w:val="24"/>
          <w:szCs w:val="24"/>
          <w:lang w:val="sq-AL"/>
        </w:rPr>
      </w:pPr>
      <w:r w:rsidRPr="002A0443">
        <w:rPr>
          <w:rFonts w:ascii="Times New Roman" w:eastAsia="Times New Roman" w:hAnsi="Times New Roman" w:cs="Times New Roman"/>
          <w:b w:val="0"/>
          <w:bCs w:val="0"/>
          <w:color w:val="auto"/>
          <w:sz w:val="24"/>
          <w:szCs w:val="24"/>
          <w:lang w:val="sq-AL"/>
        </w:rPr>
        <w:t>DETYRIMET E DEPOZITIMIT</w:t>
      </w:r>
    </w:p>
    <w:p w14:paraId="0238B4FD" w14:textId="77777777" w:rsidR="004560EC" w:rsidRPr="002A0443" w:rsidRDefault="004560EC" w:rsidP="004560EC">
      <w:pPr>
        <w:rPr>
          <w:rFonts w:cs="Times New Roman"/>
          <w:szCs w:val="24"/>
          <w:lang w:val="sq-AL"/>
        </w:rPr>
      </w:pPr>
    </w:p>
    <w:p w14:paraId="6FF87C9B" w14:textId="1DB231FE" w:rsidR="0062345C" w:rsidRPr="002A0443" w:rsidRDefault="0062345C" w:rsidP="004560EC">
      <w:pPr>
        <w:spacing w:after="0"/>
        <w:jc w:val="center"/>
        <w:rPr>
          <w:rFonts w:cs="Times New Roman"/>
          <w:b/>
          <w:bCs/>
          <w:szCs w:val="24"/>
        </w:rPr>
      </w:pPr>
      <w:r w:rsidRPr="002A0443">
        <w:rPr>
          <w:rFonts w:cs="Times New Roman"/>
          <w:b/>
          <w:bCs/>
          <w:szCs w:val="24"/>
        </w:rPr>
        <w:t>Neni 5</w:t>
      </w:r>
    </w:p>
    <w:p w14:paraId="2AD131AF" w14:textId="3F0CC1C6" w:rsidR="0062345C" w:rsidRPr="002A0443" w:rsidRDefault="0062345C" w:rsidP="004560EC">
      <w:pPr>
        <w:spacing w:after="0"/>
        <w:jc w:val="center"/>
        <w:rPr>
          <w:rFonts w:cs="Times New Roman"/>
          <w:b/>
          <w:bCs/>
          <w:szCs w:val="24"/>
        </w:rPr>
      </w:pPr>
      <w:r w:rsidRPr="002A0443">
        <w:rPr>
          <w:rFonts w:cs="Times New Roman"/>
          <w:b/>
          <w:bCs/>
          <w:szCs w:val="24"/>
        </w:rPr>
        <w:t>Subjektet e detyruara për depozitimin e TTIR-së</w:t>
      </w:r>
    </w:p>
    <w:p w14:paraId="652ADC2D" w14:textId="77777777" w:rsidR="004560EC" w:rsidRPr="002A0443" w:rsidRDefault="004560EC" w:rsidP="004560EC">
      <w:pPr>
        <w:spacing w:after="0"/>
        <w:jc w:val="center"/>
        <w:rPr>
          <w:rFonts w:cs="Times New Roman"/>
          <w:szCs w:val="24"/>
        </w:rPr>
      </w:pPr>
    </w:p>
    <w:p w14:paraId="366BC54A" w14:textId="56C95D6C" w:rsidR="0062345C" w:rsidRPr="002A0443" w:rsidRDefault="0062345C">
      <w:pPr>
        <w:numPr>
          <w:ilvl w:val="0"/>
          <w:numId w:val="8"/>
        </w:numPr>
        <w:spacing w:after="0"/>
        <w:rPr>
          <w:rFonts w:cs="Times New Roman"/>
          <w:szCs w:val="24"/>
        </w:rPr>
      </w:pPr>
      <w:r w:rsidRPr="002A0443">
        <w:rPr>
          <w:rFonts w:cs="Times New Roman"/>
          <w:szCs w:val="24"/>
        </w:rPr>
        <w:t xml:space="preserve">Kur entiteti mëmë i fundit ose </w:t>
      </w:r>
      <w:r w:rsidR="002E61A7" w:rsidRPr="002A0443">
        <w:rPr>
          <w:rFonts w:cs="Times New Roman"/>
          <w:bCs/>
          <w:szCs w:val="24"/>
          <w:lang w:val="sq-AL"/>
        </w:rPr>
        <w:t>entiteti i caktuar për deklarim</w:t>
      </w:r>
      <w:r w:rsidR="002E61A7" w:rsidRPr="002A0443">
        <w:rPr>
          <w:rFonts w:cs="Times New Roman"/>
          <w:szCs w:val="24"/>
        </w:rPr>
        <w:t xml:space="preserve"> </w:t>
      </w:r>
      <w:r w:rsidRPr="002A0443">
        <w:rPr>
          <w:rFonts w:cs="Times New Roman"/>
          <w:szCs w:val="24"/>
        </w:rPr>
        <w:t xml:space="preserve">është rezident në Republikën e Shqipërisë, ky entitet </w:t>
      </w:r>
      <w:r w:rsidR="00CF3AF6" w:rsidRPr="002A0443">
        <w:rPr>
          <w:rFonts w:cs="Times New Roman"/>
          <w:bCs/>
          <w:szCs w:val="24"/>
          <w:lang w:eastAsia="sq-AL"/>
        </w:rPr>
        <w:t>depoziton një TTIR të vetme për të gjithë grupin shumëkombësh ose grupin vendas në shkallë të gjerë, sipas rastit.</w:t>
      </w:r>
    </w:p>
    <w:p w14:paraId="48BD1DFE" w14:textId="1C3BE056" w:rsidR="006A7888" w:rsidRPr="002A0443" w:rsidRDefault="0062345C">
      <w:pPr>
        <w:numPr>
          <w:ilvl w:val="0"/>
          <w:numId w:val="8"/>
        </w:numPr>
        <w:spacing w:after="0"/>
        <w:rPr>
          <w:rFonts w:cs="Times New Roman"/>
          <w:szCs w:val="24"/>
        </w:rPr>
      </w:pPr>
      <w:r w:rsidRPr="002A0443">
        <w:rPr>
          <w:rFonts w:cs="Times New Roman"/>
          <w:szCs w:val="24"/>
        </w:rPr>
        <w:t xml:space="preserve">Kur as entiteti mëmë i fundit dhe as </w:t>
      </w:r>
      <w:r w:rsidR="00C32455" w:rsidRPr="002A0443">
        <w:rPr>
          <w:rFonts w:cs="Times New Roman"/>
          <w:bCs/>
          <w:szCs w:val="24"/>
          <w:lang w:val="sq-AL"/>
        </w:rPr>
        <w:t>entiteti i caktuar për deklarim</w:t>
      </w:r>
      <w:r w:rsidR="00C32455" w:rsidRPr="002A0443">
        <w:rPr>
          <w:rFonts w:cs="Times New Roman"/>
          <w:szCs w:val="24"/>
        </w:rPr>
        <w:t xml:space="preserve"> </w:t>
      </w:r>
      <w:r w:rsidRPr="002A0443">
        <w:rPr>
          <w:rFonts w:cs="Times New Roman"/>
          <w:szCs w:val="24"/>
        </w:rPr>
        <w:t>nuk janë rezidentë në Republikën e Shqipërisë, një entitet përbërës rezident në Republikën e Shqipërisë depoziton TTIR-në në nivel vendor vetëm nëse plotësohet një nga kushtet e mëposhtme:</w:t>
      </w:r>
      <w:r w:rsidRPr="002A0443">
        <w:rPr>
          <w:rFonts w:cs="Times New Roman"/>
          <w:szCs w:val="24"/>
        </w:rPr>
        <w:br/>
        <w:t xml:space="preserve">a) TTIR nuk është depozituar nga entiteti mëmë i fundit ose nga </w:t>
      </w:r>
      <w:r w:rsidR="004A136D" w:rsidRPr="002A0443">
        <w:rPr>
          <w:rFonts w:cs="Times New Roman"/>
          <w:bCs/>
          <w:szCs w:val="24"/>
          <w:lang w:val="sq-AL"/>
        </w:rPr>
        <w:t>entiteti i caktuar për deklarim</w:t>
      </w:r>
      <w:r w:rsidRPr="002A0443">
        <w:rPr>
          <w:rFonts w:cs="Times New Roman"/>
          <w:szCs w:val="24"/>
        </w:rPr>
        <w:t>;</w:t>
      </w:r>
      <w:r w:rsidR="004A136D" w:rsidRPr="002A0443">
        <w:rPr>
          <w:rFonts w:cs="Times New Roman"/>
          <w:szCs w:val="24"/>
        </w:rPr>
        <w:t xml:space="preserve"> ose</w:t>
      </w:r>
      <w:r w:rsidR="006A7888" w:rsidRPr="002A0443">
        <w:rPr>
          <w:rFonts w:cs="Times New Roman"/>
          <w:szCs w:val="24"/>
        </w:rPr>
        <w:t xml:space="preserve"> </w:t>
      </w:r>
    </w:p>
    <w:p w14:paraId="5F7C82FE" w14:textId="41572F44" w:rsidR="0062345C" w:rsidRPr="002A0443" w:rsidRDefault="0062345C" w:rsidP="004560EC">
      <w:pPr>
        <w:spacing w:after="0"/>
        <w:ind w:left="360"/>
        <w:rPr>
          <w:rFonts w:cs="Times New Roman"/>
          <w:szCs w:val="24"/>
        </w:rPr>
      </w:pPr>
      <w:r w:rsidRPr="002A0443">
        <w:rPr>
          <w:rFonts w:cs="Times New Roman"/>
          <w:szCs w:val="24"/>
        </w:rPr>
        <w:t xml:space="preserve">b) TTIR është depozituar në një juridiksion tjetër, por Republika e Shqipërisë nuk do ta marrë atë nëpërmjet shkëmbimit automatik të informacionit sipas një marrëveshjeje të kualifikuar ndërmjet autoriteteve kompetente, brenda afateve të parashikuara në atë marrëveshje. </w:t>
      </w:r>
    </w:p>
    <w:p w14:paraId="46BA45AE" w14:textId="71D4308B" w:rsidR="0062345C" w:rsidRPr="002A0443" w:rsidRDefault="00137246">
      <w:pPr>
        <w:numPr>
          <w:ilvl w:val="0"/>
          <w:numId w:val="8"/>
        </w:numPr>
        <w:spacing w:after="0"/>
        <w:rPr>
          <w:rFonts w:cs="Times New Roman"/>
          <w:szCs w:val="24"/>
        </w:rPr>
      </w:pPr>
      <w:r w:rsidRPr="002A0443">
        <w:rPr>
          <w:rFonts w:cs="Times New Roman"/>
          <w:szCs w:val="24"/>
        </w:rPr>
        <w:t>Detyrimi për depozitim vendor nuk zbatohet kur, në bazë të marrëveshjeve në fuqi për shkëmbimin automatik të informacionit dhe të listës së juridiksioneve të kualifikuara për shkëmbim, TTIR shkëmbehet automatikisht me Republikën e Shqipërisë, në përputhje me kuadrin ndërkombëtar të shkëmbimit të informacionit.</w:t>
      </w:r>
      <w:r w:rsidR="0062345C" w:rsidRPr="002A0443">
        <w:rPr>
          <w:rFonts w:cs="Times New Roman"/>
          <w:szCs w:val="24"/>
        </w:rPr>
        <w:t xml:space="preserve"> </w:t>
      </w:r>
    </w:p>
    <w:p w14:paraId="73100444" w14:textId="77777777" w:rsidR="0062345C" w:rsidRPr="002A0443" w:rsidRDefault="0062345C">
      <w:pPr>
        <w:numPr>
          <w:ilvl w:val="0"/>
          <w:numId w:val="8"/>
        </w:numPr>
        <w:spacing w:after="0"/>
        <w:rPr>
          <w:rFonts w:cs="Times New Roman"/>
          <w:szCs w:val="24"/>
        </w:rPr>
      </w:pPr>
      <w:r w:rsidRPr="002A0443">
        <w:rPr>
          <w:rFonts w:cs="Times New Roman"/>
          <w:szCs w:val="24"/>
        </w:rPr>
        <w:t xml:space="preserve">Kur grupi nuk përfshihet në fushën e zbatimit për një vit fiskal raportues, sipas legjislacionit për tatimin minimal global, nuk lind detyrim për depozitimin e TTIR-së për atë vit. </w:t>
      </w:r>
    </w:p>
    <w:p w14:paraId="48809FA9" w14:textId="728ADA39" w:rsidR="0062345C" w:rsidRPr="002A0443" w:rsidRDefault="00145A1C">
      <w:pPr>
        <w:numPr>
          <w:ilvl w:val="0"/>
          <w:numId w:val="8"/>
        </w:numPr>
        <w:spacing w:after="0"/>
        <w:rPr>
          <w:rFonts w:cs="Times New Roman"/>
          <w:szCs w:val="24"/>
        </w:rPr>
      </w:pPr>
      <w:r w:rsidRPr="002A0443">
        <w:rPr>
          <w:rFonts w:cs="Times New Roman"/>
          <w:bCs/>
          <w:szCs w:val="24"/>
          <w:lang w:eastAsia="sq-AL"/>
        </w:rPr>
        <w:lastRenderedPageBreak/>
        <w:t xml:space="preserve">Kur, sipas ligjit për tatimin minimal global ose këtij ligji, më shumë se një entitet përbërës në Republikën e Shqipërisë </w:t>
      </w:r>
      <w:r w:rsidR="002212DF" w:rsidRPr="002A0443">
        <w:rPr>
          <w:rFonts w:cs="Times New Roman"/>
          <w:bCs/>
          <w:szCs w:val="24"/>
          <w:lang w:eastAsia="sq-AL"/>
        </w:rPr>
        <w:t>ka detyrimin</w:t>
      </w:r>
      <w:r w:rsidRPr="002A0443">
        <w:rPr>
          <w:rFonts w:cs="Times New Roman"/>
          <w:bCs/>
          <w:szCs w:val="24"/>
          <w:lang w:eastAsia="sq-AL"/>
        </w:rPr>
        <w:t xml:space="preserve"> të krye</w:t>
      </w:r>
      <w:r w:rsidR="002212DF" w:rsidRPr="002A0443">
        <w:rPr>
          <w:rFonts w:cs="Times New Roman"/>
          <w:bCs/>
          <w:szCs w:val="24"/>
          <w:lang w:eastAsia="sq-AL"/>
        </w:rPr>
        <w:t>jë</w:t>
      </w:r>
      <w:r w:rsidRPr="002A0443">
        <w:rPr>
          <w:rFonts w:cs="Times New Roman"/>
          <w:bCs/>
          <w:szCs w:val="24"/>
          <w:lang w:eastAsia="sq-AL"/>
        </w:rPr>
        <w:t xml:space="preserve"> njoftimin ose depozitimin</w:t>
      </w:r>
      <w:r w:rsidR="002212DF" w:rsidRPr="002A0443">
        <w:rPr>
          <w:rFonts w:cs="Times New Roman"/>
          <w:bCs/>
          <w:szCs w:val="24"/>
          <w:lang w:eastAsia="sq-AL"/>
        </w:rPr>
        <w:t xml:space="preserve"> </w:t>
      </w:r>
      <w:r w:rsidRPr="002A0443">
        <w:rPr>
          <w:rFonts w:cs="Times New Roman"/>
          <w:bCs/>
          <w:szCs w:val="24"/>
          <w:lang w:eastAsia="sq-AL"/>
        </w:rPr>
        <w:t>vendor</w:t>
      </w:r>
      <w:r w:rsidRPr="002A0443">
        <w:rPr>
          <w:rFonts w:cs="Times New Roman"/>
          <w:szCs w:val="24"/>
        </w:rPr>
        <w:t xml:space="preserve">, </w:t>
      </w:r>
      <w:r w:rsidR="0062345C" w:rsidRPr="002A0443">
        <w:rPr>
          <w:rFonts w:cs="Times New Roman"/>
          <w:szCs w:val="24"/>
        </w:rPr>
        <w:t>Drejtoria e Përgjithshme e Tatimeve mund t’i kërkojë grupit të caktojë një entitet të vetëm përgjegjës për komunikimin procedural me administratën tatimore shqiptare.</w:t>
      </w:r>
    </w:p>
    <w:p w14:paraId="2A648973" w14:textId="77777777" w:rsidR="001921E0" w:rsidRPr="002A0443" w:rsidRDefault="001921E0" w:rsidP="004560EC">
      <w:pPr>
        <w:spacing w:after="0"/>
        <w:rPr>
          <w:rFonts w:cs="Times New Roman"/>
          <w:i/>
          <w:szCs w:val="24"/>
          <w:lang w:val="sq-AL"/>
        </w:rPr>
      </w:pPr>
    </w:p>
    <w:p w14:paraId="50B32063" w14:textId="0F0CCBCB" w:rsidR="001921E0" w:rsidRPr="002A0443" w:rsidRDefault="001921E0" w:rsidP="004560EC">
      <w:pPr>
        <w:spacing w:after="0"/>
        <w:jc w:val="center"/>
        <w:rPr>
          <w:rFonts w:cs="Times New Roman"/>
          <w:b/>
          <w:bCs/>
          <w:iCs/>
          <w:szCs w:val="24"/>
        </w:rPr>
      </w:pPr>
      <w:r w:rsidRPr="002A0443">
        <w:rPr>
          <w:rFonts w:cs="Times New Roman"/>
          <w:b/>
          <w:bCs/>
          <w:iCs/>
          <w:szCs w:val="24"/>
        </w:rPr>
        <w:t xml:space="preserve">Neni </w:t>
      </w:r>
      <w:r w:rsidR="004A123C" w:rsidRPr="002A0443">
        <w:rPr>
          <w:rFonts w:cs="Times New Roman"/>
          <w:b/>
          <w:bCs/>
          <w:iCs/>
          <w:szCs w:val="24"/>
        </w:rPr>
        <w:t>6</w:t>
      </w:r>
    </w:p>
    <w:p w14:paraId="02EE5F8B" w14:textId="72B8B08E" w:rsidR="001921E0" w:rsidRPr="002A0443" w:rsidRDefault="001921E0" w:rsidP="004560EC">
      <w:pPr>
        <w:spacing w:after="0"/>
        <w:jc w:val="center"/>
        <w:rPr>
          <w:rFonts w:cs="Times New Roman"/>
          <w:b/>
          <w:bCs/>
          <w:iCs/>
          <w:szCs w:val="24"/>
        </w:rPr>
      </w:pPr>
      <w:r w:rsidRPr="002A0443">
        <w:rPr>
          <w:rFonts w:cs="Times New Roman"/>
          <w:b/>
          <w:bCs/>
          <w:iCs/>
          <w:szCs w:val="24"/>
        </w:rPr>
        <w:t>Njoftimi paraprak për entitetin depozitues dhe juridiksionin e depozitimit</w:t>
      </w:r>
    </w:p>
    <w:p w14:paraId="0DD49F25" w14:textId="77777777" w:rsidR="004560EC" w:rsidRPr="002A0443" w:rsidRDefault="004560EC" w:rsidP="004560EC">
      <w:pPr>
        <w:spacing w:after="0"/>
        <w:jc w:val="center"/>
        <w:rPr>
          <w:rFonts w:cs="Times New Roman"/>
          <w:b/>
          <w:bCs/>
          <w:iCs/>
          <w:szCs w:val="24"/>
        </w:rPr>
      </w:pPr>
    </w:p>
    <w:p w14:paraId="0121A8F5" w14:textId="7733FB39" w:rsidR="0010587F" w:rsidRPr="002A0443" w:rsidRDefault="001921E0">
      <w:pPr>
        <w:numPr>
          <w:ilvl w:val="0"/>
          <w:numId w:val="9"/>
        </w:numPr>
        <w:spacing w:after="0"/>
        <w:rPr>
          <w:rFonts w:cs="Times New Roman"/>
          <w:iCs/>
          <w:szCs w:val="24"/>
        </w:rPr>
      </w:pPr>
      <w:r w:rsidRPr="002A0443">
        <w:rPr>
          <w:rFonts w:cs="Times New Roman"/>
          <w:iCs/>
          <w:szCs w:val="24"/>
        </w:rPr>
        <w:t xml:space="preserve">Çdo grup që ka një ose më shumë entitete përbërëse në Republikën e Shqipërisë njofton Drejtorinë e Përgjithshme të Tatimeve, përpara afatit të depozitimit të TTIR-së, </w:t>
      </w:r>
      <w:r w:rsidR="006728A8" w:rsidRPr="002A0443">
        <w:rPr>
          <w:rFonts w:cs="Times New Roman"/>
          <w:iCs/>
          <w:szCs w:val="24"/>
        </w:rPr>
        <w:t xml:space="preserve">duke paraqitur </w:t>
      </w:r>
      <w:r w:rsidRPr="002A0443">
        <w:rPr>
          <w:rFonts w:cs="Times New Roman"/>
          <w:iCs/>
          <w:szCs w:val="24"/>
        </w:rPr>
        <w:t>të paktën informacionin e mëposhtëm:</w:t>
      </w:r>
    </w:p>
    <w:p w14:paraId="73F52092" w14:textId="6799BAFE" w:rsidR="00F63AA4" w:rsidRPr="002A0443" w:rsidRDefault="0010587F" w:rsidP="004560EC">
      <w:pPr>
        <w:spacing w:after="0"/>
        <w:ind w:left="360"/>
        <w:jc w:val="left"/>
        <w:rPr>
          <w:rFonts w:cs="Times New Roman"/>
          <w:szCs w:val="24"/>
          <w:lang w:val="sq-AL"/>
        </w:rPr>
      </w:pPr>
      <w:r w:rsidRPr="002A0443">
        <w:rPr>
          <w:rFonts w:cs="Times New Roman"/>
          <w:iCs/>
          <w:szCs w:val="24"/>
        </w:rPr>
        <w:t>a) identifikimin e grupit;</w:t>
      </w:r>
      <w:r w:rsidRPr="002A0443">
        <w:rPr>
          <w:rFonts w:cs="Times New Roman"/>
          <w:iCs/>
          <w:szCs w:val="24"/>
        </w:rPr>
        <w:br/>
        <w:t xml:space="preserve">b) </w:t>
      </w:r>
      <w:r w:rsidR="00F63AA4" w:rsidRPr="002A0443">
        <w:rPr>
          <w:rFonts w:cs="Times New Roman"/>
          <w:iCs/>
          <w:szCs w:val="24"/>
        </w:rPr>
        <w:t>i</w:t>
      </w:r>
      <w:r w:rsidR="00F63AA4" w:rsidRPr="002A0443">
        <w:rPr>
          <w:rFonts w:cs="Times New Roman"/>
          <w:szCs w:val="24"/>
          <w:lang w:val="sq-AL"/>
        </w:rPr>
        <w:t>dentifikimin e entitetit që depoziton TTIR-në;</w:t>
      </w:r>
    </w:p>
    <w:p w14:paraId="57286CE8" w14:textId="4CABC017" w:rsidR="0010587F" w:rsidRPr="002A0443" w:rsidRDefault="0010587F" w:rsidP="004560EC">
      <w:pPr>
        <w:spacing w:after="0"/>
        <w:ind w:left="360"/>
        <w:jc w:val="left"/>
        <w:rPr>
          <w:rFonts w:cs="Times New Roman"/>
          <w:iCs/>
          <w:szCs w:val="24"/>
        </w:rPr>
      </w:pPr>
      <w:r w:rsidRPr="002A0443">
        <w:rPr>
          <w:rFonts w:cs="Times New Roman"/>
          <w:iCs/>
          <w:szCs w:val="24"/>
        </w:rPr>
        <w:t>c) juridiksionin e depozitimit;</w:t>
      </w:r>
      <w:r w:rsidRPr="002A0443">
        <w:rPr>
          <w:rFonts w:cs="Times New Roman"/>
          <w:iCs/>
          <w:szCs w:val="24"/>
        </w:rPr>
        <w:br/>
        <w:t>d) vitin fiskal raportues;</w:t>
      </w:r>
      <w:r w:rsidRPr="002A0443">
        <w:rPr>
          <w:rFonts w:cs="Times New Roman"/>
          <w:iCs/>
          <w:szCs w:val="24"/>
        </w:rPr>
        <w:br/>
        <w:t xml:space="preserve">e) ekzistencën ose jo të një detyrimi për depozitim vendor në Republikën e Shqipërisë. </w:t>
      </w:r>
    </w:p>
    <w:p w14:paraId="1A5128A9" w14:textId="110AA78A" w:rsidR="001921E0" w:rsidRPr="002A0443" w:rsidRDefault="001921E0">
      <w:pPr>
        <w:pStyle w:val="ListParagraph"/>
        <w:numPr>
          <w:ilvl w:val="0"/>
          <w:numId w:val="9"/>
        </w:numPr>
        <w:spacing w:after="0"/>
        <w:rPr>
          <w:rFonts w:cs="Times New Roman"/>
          <w:iCs/>
          <w:szCs w:val="24"/>
        </w:rPr>
      </w:pPr>
      <w:r w:rsidRPr="002A0443">
        <w:rPr>
          <w:rFonts w:cs="Times New Roman"/>
          <w:iCs/>
          <w:szCs w:val="24"/>
        </w:rPr>
        <w:t xml:space="preserve">Njoftimi përditësohet pa vonesë të panevojshme dhe, në çdo rast, jo më vonë se 30 ditë nga çdo ndryshim i informacionit të përcaktuar në </w:t>
      </w:r>
      <w:r w:rsidR="006728A8" w:rsidRPr="002A0443">
        <w:rPr>
          <w:rFonts w:cs="Times New Roman"/>
          <w:iCs/>
          <w:szCs w:val="24"/>
        </w:rPr>
        <w:t xml:space="preserve">pikën 1, të këtij neni, </w:t>
      </w:r>
      <w:r w:rsidRPr="002A0443">
        <w:rPr>
          <w:rFonts w:cs="Times New Roman"/>
          <w:iCs/>
          <w:szCs w:val="24"/>
        </w:rPr>
        <w:t xml:space="preserve">përfshirë </w:t>
      </w:r>
      <w:r w:rsidR="00AE438E" w:rsidRPr="002A0443">
        <w:rPr>
          <w:rFonts w:cs="Times New Roman"/>
          <w:szCs w:val="24"/>
          <w:lang w:val="sq-AL"/>
        </w:rPr>
        <w:t>ndryshimin e entitetit që depoziton TTIR-në</w:t>
      </w:r>
      <w:r w:rsidR="006728A8" w:rsidRPr="002A0443">
        <w:rPr>
          <w:rFonts w:cs="Times New Roman"/>
          <w:iCs/>
          <w:szCs w:val="24"/>
          <w:lang w:val="sq-AL"/>
        </w:rPr>
        <w:t>,</w:t>
      </w:r>
      <w:r w:rsidRPr="002A0443">
        <w:rPr>
          <w:rFonts w:cs="Times New Roman"/>
          <w:iCs/>
          <w:szCs w:val="24"/>
        </w:rPr>
        <w:t xml:space="preserve"> juridiksionit të depozitimit, rolit të entitetit përbërës në grup ose </w:t>
      </w:r>
      <w:r w:rsidR="002945F3" w:rsidRPr="002A0443">
        <w:rPr>
          <w:rFonts w:cs="Times New Roman"/>
          <w:iCs/>
          <w:szCs w:val="24"/>
        </w:rPr>
        <w:t>kushteve ligjore që përcaktojnë detyrimin për depozitim vendor</w:t>
      </w:r>
      <w:r w:rsidRPr="002A0443">
        <w:rPr>
          <w:rFonts w:cs="Times New Roman"/>
          <w:iCs/>
          <w:szCs w:val="24"/>
        </w:rPr>
        <w:t>.</w:t>
      </w:r>
    </w:p>
    <w:p w14:paraId="05102D6D" w14:textId="03AA5BD7" w:rsidR="0080044F" w:rsidRPr="002A0443" w:rsidRDefault="001921E0">
      <w:pPr>
        <w:numPr>
          <w:ilvl w:val="0"/>
          <w:numId w:val="9"/>
        </w:numPr>
        <w:spacing w:after="0"/>
        <w:rPr>
          <w:rFonts w:cs="Times New Roman"/>
          <w:iCs/>
          <w:szCs w:val="24"/>
        </w:rPr>
      </w:pPr>
      <w:r w:rsidRPr="002A0443">
        <w:rPr>
          <w:rFonts w:cs="Times New Roman"/>
          <w:iCs/>
          <w:szCs w:val="24"/>
        </w:rPr>
        <w:t xml:space="preserve">Në rast </w:t>
      </w:r>
      <w:r w:rsidR="001B0524" w:rsidRPr="002A0443">
        <w:rPr>
          <w:rFonts w:cs="Times New Roman"/>
          <w:iCs/>
          <w:szCs w:val="24"/>
        </w:rPr>
        <w:t xml:space="preserve">të </w:t>
      </w:r>
      <w:r w:rsidRPr="002A0443">
        <w:rPr>
          <w:rFonts w:cs="Times New Roman"/>
          <w:iCs/>
          <w:szCs w:val="24"/>
        </w:rPr>
        <w:t>mosdepozitimi</w:t>
      </w:r>
      <w:r w:rsidR="001B0524" w:rsidRPr="002A0443">
        <w:rPr>
          <w:rFonts w:cs="Times New Roman"/>
          <w:iCs/>
          <w:szCs w:val="24"/>
        </w:rPr>
        <w:t>t</w:t>
      </w:r>
      <w:r w:rsidRPr="002A0443">
        <w:rPr>
          <w:rFonts w:cs="Times New Roman"/>
          <w:iCs/>
          <w:szCs w:val="24"/>
        </w:rPr>
        <w:t>, depozitimi</w:t>
      </w:r>
      <w:r w:rsidR="001B0524" w:rsidRPr="002A0443">
        <w:rPr>
          <w:rFonts w:cs="Times New Roman"/>
          <w:iCs/>
          <w:szCs w:val="24"/>
        </w:rPr>
        <w:t>t</w:t>
      </w:r>
      <w:r w:rsidRPr="002A0443">
        <w:rPr>
          <w:rFonts w:cs="Times New Roman"/>
          <w:iCs/>
          <w:szCs w:val="24"/>
        </w:rPr>
        <w:t xml:space="preserve"> me vonesë ose depozitimi</w:t>
      </w:r>
      <w:r w:rsidR="001B0524" w:rsidRPr="002A0443">
        <w:rPr>
          <w:rFonts w:cs="Times New Roman"/>
          <w:iCs/>
          <w:szCs w:val="24"/>
        </w:rPr>
        <w:t>t</w:t>
      </w:r>
      <w:r w:rsidRPr="002A0443">
        <w:rPr>
          <w:rFonts w:cs="Times New Roman"/>
          <w:iCs/>
          <w:szCs w:val="24"/>
        </w:rPr>
        <w:t xml:space="preserve"> të </w:t>
      </w:r>
      <w:r w:rsidR="001B0524" w:rsidRPr="002A0443">
        <w:rPr>
          <w:rFonts w:cs="Times New Roman"/>
          <w:iCs/>
          <w:szCs w:val="24"/>
        </w:rPr>
        <w:t xml:space="preserve">një </w:t>
      </w:r>
      <w:r w:rsidRPr="002A0443">
        <w:rPr>
          <w:rFonts w:cs="Times New Roman"/>
          <w:iCs/>
          <w:szCs w:val="24"/>
        </w:rPr>
        <w:t>njoftimi</w:t>
      </w:r>
      <w:r w:rsidR="001B0524" w:rsidRPr="002A0443">
        <w:rPr>
          <w:rFonts w:cs="Times New Roman"/>
          <w:iCs/>
          <w:szCs w:val="24"/>
        </w:rPr>
        <w:t xml:space="preserve"> të pasaktë</w:t>
      </w:r>
      <w:r w:rsidRPr="002A0443">
        <w:rPr>
          <w:rFonts w:cs="Times New Roman"/>
          <w:iCs/>
          <w:szCs w:val="24"/>
        </w:rPr>
        <w:t xml:space="preserve">, Drejtoria e Përgjithshme e Tatimeve mund të kërkojë korrigjimin ose plotësimin e tij brenda një afati të përcaktuar dhe të </w:t>
      </w:r>
      <w:r w:rsidR="001B0524" w:rsidRPr="002A0443">
        <w:rPr>
          <w:rFonts w:cs="Times New Roman"/>
          <w:iCs/>
          <w:szCs w:val="24"/>
        </w:rPr>
        <w:t>zbatojë</w:t>
      </w:r>
      <w:r w:rsidRPr="002A0443">
        <w:rPr>
          <w:rFonts w:cs="Times New Roman"/>
          <w:iCs/>
          <w:szCs w:val="24"/>
        </w:rPr>
        <w:t xml:space="preserve"> masat administrative të parashikuara në këtë ligj dhe në legjislacionin për procedurat tatimore.</w:t>
      </w:r>
    </w:p>
    <w:p w14:paraId="0B227BAB" w14:textId="6AE9434E" w:rsidR="001921E0" w:rsidRPr="002A0443" w:rsidRDefault="009F5292">
      <w:pPr>
        <w:numPr>
          <w:ilvl w:val="0"/>
          <w:numId w:val="9"/>
        </w:numPr>
        <w:spacing w:after="0"/>
        <w:rPr>
          <w:rFonts w:cs="Times New Roman"/>
          <w:iCs/>
          <w:szCs w:val="24"/>
        </w:rPr>
      </w:pPr>
      <w:r w:rsidRPr="002A0443">
        <w:rPr>
          <w:rFonts w:cs="Times New Roman"/>
          <w:iCs/>
          <w:szCs w:val="24"/>
        </w:rPr>
        <w:t>Kur njoftimi i paraqitur sipas këtij neni përmban të dhënat e kërkuara nga legjislacioni për tatimin minimal global për identifikimin e entitetit që depoziton TTIR-në dhe të juridiksionit të depozitimit, nuk kërkohet paraqitja e një njoftimi tjetër për të njëjtat të dhëna.</w:t>
      </w:r>
    </w:p>
    <w:p w14:paraId="7D274C04" w14:textId="77777777" w:rsidR="00FD4EC9" w:rsidRPr="002A0443" w:rsidRDefault="00FD4EC9" w:rsidP="004560EC">
      <w:pPr>
        <w:spacing w:after="0"/>
        <w:rPr>
          <w:rFonts w:cs="Times New Roman"/>
          <w:i/>
          <w:szCs w:val="24"/>
          <w:lang w:val="sq-AL"/>
        </w:rPr>
      </w:pPr>
    </w:p>
    <w:p w14:paraId="19125B94" w14:textId="1874E02F" w:rsidR="00D572C9" w:rsidRPr="002A0443" w:rsidRDefault="003D0B62" w:rsidP="004560EC">
      <w:pPr>
        <w:pStyle w:val="Heading2"/>
        <w:spacing w:before="0"/>
        <w:rPr>
          <w:rFonts w:ascii="Times New Roman" w:hAnsi="Times New Roman" w:cs="Times New Roman"/>
          <w:color w:val="auto"/>
          <w:szCs w:val="24"/>
          <w:lang w:val="sq-AL"/>
        </w:rPr>
      </w:pPr>
      <w:r w:rsidRPr="002A0443">
        <w:rPr>
          <w:rFonts w:ascii="Times New Roman" w:eastAsia="Times New Roman" w:hAnsi="Times New Roman" w:cs="Times New Roman"/>
          <w:color w:val="auto"/>
          <w:szCs w:val="24"/>
          <w:lang w:val="sq-AL"/>
        </w:rPr>
        <w:t xml:space="preserve">Neni </w:t>
      </w:r>
      <w:r w:rsidR="004A123C" w:rsidRPr="002A0443">
        <w:rPr>
          <w:rFonts w:ascii="Times New Roman" w:eastAsia="Times New Roman" w:hAnsi="Times New Roman" w:cs="Times New Roman"/>
          <w:color w:val="auto"/>
          <w:szCs w:val="24"/>
          <w:lang w:val="sq-AL"/>
        </w:rPr>
        <w:t>7</w:t>
      </w:r>
    </w:p>
    <w:p w14:paraId="70500B70" w14:textId="77777777" w:rsidR="00D572C9" w:rsidRPr="002A0443" w:rsidRDefault="003D0B62" w:rsidP="004560EC">
      <w:pPr>
        <w:pStyle w:val="Heading3"/>
        <w:spacing w:after="0"/>
        <w:rPr>
          <w:rFonts w:ascii="Times New Roman" w:eastAsia="Times New Roman" w:hAnsi="Times New Roman" w:cs="Times New Roman"/>
          <w:color w:val="auto"/>
          <w:szCs w:val="24"/>
          <w:lang w:val="sq-AL"/>
        </w:rPr>
      </w:pPr>
      <w:r w:rsidRPr="002A0443">
        <w:rPr>
          <w:rFonts w:ascii="Times New Roman" w:eastAsia="Times New Roman" w:hAnsi="Times New Roman" w:cs="Times New Roman"/>
          <w:color w:val="auto"/>
          <w:szCs w:val="24"/>
          <w:lang w:val="sq-AL"/>
        </w:rPr>
        <w:t>Afatet e depozitimit</w:t>
      </w:r>
    </w:p>
    <w:p w14:paraId="56B0AB75" w14:textId="77777777" w:rsidR="004560EC" w:rsidRPr="002A0443" w:rsidRDefault="004560EC" w:rsidP="004560EC">
      <w:pPr>
        <w:rPr>
          <w:rFonts w:cs="Times New Roman"/>
          <w:szCs w:val="24"/>
          <w:lang w:val="sq-AL"/>
        </w:rPr>
      </w:pPr>
    </w:p>
    <w:p w14:paraId="224C1D5D" w14:textId="77777777" w:rsidR="001921E0" w:rsidRPr="002A0443" w:rsidRDefault="001921E0">
      <w:pPr>
        <w:numPr>
          <w:ilvl w:val="0"/>
          <w:numId w:val="10"/>
        </w:numPr>
        <w:spacing w:after="0"/>
        <w:rPr>
          <w:rFonts w:cs="Times New Roman"/>
          <w:szCs w:val="24"/>
        </w:rPr>
      </w:pPr>
      <w:r w:rsidRPr="002A0443">
        <w:rPr>
          <w:rFonts w:cs="Times New Roman"/>
          <w:szCs w:val="24"/>
        </w:rPr>
        <w:t xml:space="preserve">Për vitet fiskale raportuese që përkojnë me vitin kalendarik, TTIR depozitohet jo më vonë se data 31 mars e vitit të dytë pas përfundimit të vitit fiskal raportues. </w:t>
      </w:r>
    </w:p>
    <w:p w14:paraId="5D0F4C07" w14:textId="77777777" w:rsidR="001921E0" w:rsidRPr="002A0443" w:rsidRDefault="001921E0">
      <w:pPr>
        <w:numPr>
          <w:ilvl w:val="0"/>
          <w:numId w:val="10"/>
        </w:numPr>
        <w:spacing w:after="0"/>
        <w:rPr>
          <w:rFonts w:cs="Times New Roman"/>
          <w:szCs w:val="24"/>
        </w:rPr>
      </w:pPr>
      <w:r w:rsidRPr="002A0443">
        <w:rPr>
          <w:rFonts w:cs="Times New Roman"/>
          <w:szCs w:val="24"/>
        </w:rPr>
        <w:t xml:space="preserve">Për vitet fiskale raportuese që nuk përkojnë me vitin kalendarik, TTIR depozitohet jo më vonë se 15 muaj pas përfundimit të vitit fiskal raportues. </w:t>
      </w:r>
    </w:p>
    <w:p w14:paraId="2DA67E1D" w14:textId="77777777" w:rsidR="00A604F7" w:rsidRPr="002A0443" w:rsidRDefault="001921E0">
      <w:pPr>
        <w:numPr>
          <w:ilvl w:val="0"/>
          <w:numId w:val="10"/>
        </w:numPr>
        <w:spacing w:after="0"/>
        <w:rPr>
          <w:rFonts w:cs="Times New Roman"/>
          <w:szCs w:val="24"/>
        </w:rPr>
      </w:pPr>
      <w:r w:rsidRPr="002A0443">
        <w:rPr>
          <w:rFonts w:cs="Times New Roman"/>
          <w:szCs w:val="24"/>
        </w:rPr>
        <w:t xml:space="preserve">Përjashtimisht, për vitin e parë në të cilin një grup hyn në fushën e zbatimit të rregullave për tatimin minimal global, TTIR mund të depozitohet jo më vonë se 18 muaj pas përfundimit të vitit fiskal raportues, në përputhje me kushtet e përcaktuara në legjislacionin për tatimin minimal global. </w:t>
      </w:r>
    </w:p>
    <w:p w14:paraId="17D14A14" w14:textId="0F1B5529" w:rsidR="00A604F7" w:rsidRPr="002A0443" w:rsidRDefault="0002602A">
      <w:pPr>
        <w:numPr>
          <w:ilvl w:val="0"/>
          <w:numId w:val="10"/>
        </w:numPr>
        <w:spacing w:after="0"/>
        <w:rPr>
          <w:rFonts w:cs="Times New Roman"/>
          <w:szCs w:val="24"/>
        </w:rPr>
      </w:pPr>
      <w:r w:rsidRPr="002A0443">
        <w:rPr>
          <w:rFonts w:cs="Times New Roman"/>
          <w:szCs w:val="24"/>
        </w:rPr>
        <w:t xml:space="preserve">Dispozitat e këtij ligji për depozitimin dhe shkëmbimin </w:t>
      </w:r>
      <w:r w:rsidR="001921E0" w:rsidRPr="002A0443">
        <w:rPr>
          <w:rFonts w:cs="Times New Roman"/>
          <w:szCs w:val="24"/>
        </w:rPr>
        <w:t xml:space="preserve">automatik të TTIR-së sipas këtij ligji zbatohen vetëm për vitet fiskale raportuese që fillojnë </w:t>
      </w:r>
      <w:r w:rsidR="00A604F7" w:rsidRPr="002A0443">
        <w:rPr>
          <w:rFonts w:cs="Times New Roman"/>
          <w:szCs w:val="24"/>
        </w:rPr>
        <w:t>në ose pas datës së anëtarësimit të Republikës së Shqipërisë në Bashkimin Evropian.</w:t>
      </w:r>
    </w:p>
    <w:p w14:paraId="31874327" w14:textId="77777777" w:rsidR="00A604F7" w:rsidRPr="002A0443" w:rsidRDefault="00A604F7" w:rsidP="004560EC">
      <w:pPr>
        <w:spacing w:after="0"/>
        <w:ind w:left="720"/>
        <w:jc w:val="center"/>
        <w:rPr>
          <w:rFonts w:cs="Times New Roman"/>
          <w:b/>
          <w:szCs w:val="24"/>
          <w:lang w:val="sq-AL"/>
        </w:rPr>
      </w:pPr>
    </w:p>
    <w:p w14:paraId="5C172DBC" w14:textId="78C826D9" w:rsidR="00D572C9" w:rsidRPr="002A0443" w:rsidRDefault="003D0B62" w:rsidP="004560EC">
      <w:pPr>
        <w:spacing w:after="0"/>
        <w:ind w:left="720"/>
        <w:jc w:val="center"/>
        <w:rPr>
          <w:rFonts w:cs="Times New Roman"/>
          <w:b/>
          <w:szCs w:val="24"/>
          <w:lang w:val="sq-AL"/>
        </w:rPr>
      </w:pPr>
      <w:r w:rsidRPr="002A0443">
        <w:rPr>
          <w:rFonts w:cs="Times New Roman"/>
          <w:b/>
          <w:szCs w:val="24"/>
          <w:lang w:val="sq-AL"/>
        </w:rPr>
        <w:t xml:space="preserve">Neni </w:t>
      </w:r>
      <w:r w:rsidR="004A123C" w:rsidRPr="002A0443">
        <w:rPr>
          <w:rFonts w:cs="Times New Roman"/>
          <w:b/>
          <w:szCs w:val="24"/>
          <w:lang w:val="sq-AL"/>
        </w:rPr>
        <w:t>8</w:t>
      </w:r>
    </w:p>
    <w:p w14:paraId="1DC881F0" w14:textId="641660C0" w:rsidR="00724513" w:rsidRPr="002A0443" w:rsidRDefault="003D0B62" w:rsidP="004560EC">
      <w:pPr>
        <w:pStyle w:val="Heading3"/>
        <w:spacing w:after="0"/>
        <w:rPr>
          <w:rFonts w:ascii="Times New Roman" w:eastAsia="Times New Roman" w:hAnsi="Times New Roman" w:cs="Times New Roman"/>
          <w:color w:val="auto"/>
          <w:szCs w:val="24"/>
          <w:lang w:val="sq-AL"/>
        </w:rPr>
      </w:pPr>
      <w:r w:rsidRPr="002A0443">
        <w:rPr>
          <w:rFonts w:ascii="Times New Roman" w:eastAsia="Times New Roman" w:hAnsi="Times New Roman" w:cs="Times New Roman"/>
          <w:color w:val="auto"/>
          <w:szCs w:val="24"/>
          <w:lang w:val="sq-AL"/>
        </w:rPr>
        <w:t>Forma, gjuha, monedha dhe kanali i depozitimit</w:t>
      </w:r>
    </w:p>
    <w:p w14:paraId="1AB4378A" w14:textId="77777777" w:rsidR="004560EC" w:rsidRPr="002A0443" w:rsidRDefault="004560EC" w:rsidP="004560EC">
      <w:pPr>
        <w:rPr>
          <w:rFonts w:cs="Times New Roman"/>
          <w:szCs w:val="24"/>
          <w:lang w:val="sq-AL"/>
        </w:rPr>
      </w:pPr>
    </w:p>
    <w:p w14:paraId="6FFEE5BC" w14:textId="77777777" w:rsidR="00724513" w:rsidRPr="002A0443" w:rsidRDefault="00724513">
      <w:pPr>
        <w:numPr>
          <w:ilvl w:val="0"/>
          <w:numId w:val="11"/>
        </w:numPr>
        <w:spacing w:after="0"/>
        <w:rPr>
          <w:rFonts w:cs="Times New Roman"/>
          <w:szCs w:val="24"/>
        </w:rPr>
      </w:pPr>
      <w:r w:rsidRPr="002A0443">
        <w:rPr>
          <w:rFonts w:cs="Times New Roman"/>
          <w:szCs w:val="24"/>
        </w:rPr>
        <w:t xml:space="preserve">TTIR depozitohet vetëm në formë elektronike, nëpërmjet sistemit elektronik të përdorur për këtë qëllim nga Drejtoria e Përgjithshme e Tatimeve. </w:t>
      </w:r>
    </w:p>
    <w:p w14:paraId="20C05F4D" w14:textId="37121F35" w:rsidR="00724513" w:rsidRPr="002A0443" w:rsidRDefault="00724513">
      <w:pPr>
        <w:numPr>
          <w:ilvl w:val="0"/>
          <w:numId w:val="11"/>
        </w:numPr>
        <w:spacing w:after="0"/>
        <w:rPr>
          <w:rFonts w:cs="Times New Roman"/>
          <w:szCs w:val="24"/>
        </w:rPr>
      </w:pPr>
      <w:r w:rsidRPr="002A0443">
        <w:rPr>
          <w:rFonts w:cs="Times New Roman"/>
          <w:szCs w:val="24"/>
        </w:rPr>
        <w:t xml:space="preserve">TTIR paraqitet në gjuhën shqipe. </w:t>
      </w:r>
      <w:r w:rsidR="00A04448" w:rsidRPr="002A0443">
        <w:rPr>
          <w:rFonts w:cs="Times New Roman"/>
          <w:szCs w:val="24"/>
        </w:rPr>
        <w:t>E</w:t>
      </w:r>
      <w:r w:rsidRPr="002A0443">
        <w:rPr>
          <w:rFonts w:cs="Times New Roman"/>
          <w:szCs w:val="24"/>
        </w:rPr>
        <w:t xml:space="preserve">lementet strukturore të të dhënave, përfshirë etiketat teknike, skemat XML, vlerat e kontrolluara, kodet e fushave, emërtimet e atributeve dhe çdo element tjetër teknik i kërkuar nga specifikimet dhe standardet teknike të Bashkimit Evropian, paraqiten në gjuhën angleze në masën e përcaktuar nga vendimi i </w:t>
      </w:r>
      <w:r w:rsidR="00A04448" w:rsidRPr="002A0443">
        <w:rPr>
          <w:rFonts w:cs="Times New Roman"/>
          <w:szCs w:val="24"/>
        </w:rPr>
        <w:t>K</w:t>
      </w:r>
      <w:r w:rsidRPr="002A0443">
        <w:rPr>
          <w:rFonts w:cs="Times New Roman"/>
          <w:szCs w:val="24"/>
        </w:rPr>
        <w:t xml:space="preserve">ëshillit të </w:t>
      </w:r>
      <w:r w:rsidR="00A04448" w:rsidRPr="002A0443">
        <w:rPr>
          <w:rFonts w:cs="Times New Roman"/>
          <w:szCs w:val="24"/>
        </w:rPr>
        <w:t>M</w:t>
      </w:r>
      <w:r w:rsidRPr="002A0443">
        <w:rPr>
          <w:rFonts w:cs="Times New Roman"/>
          <w:szCs w:val="24"/>
        </w:rPr>
        <w:t>inistrave</w:t>
      </w:r>
      <w:r w:rsidR="00A04448" w:rsidRPr="002A0443">
        <w:rPr>
          <w:rFonts w:cs="Times New Roman"/>
          <w:szCs w:val="24"/>
        </w:rPr>
        <w:t xml:space="preserve"> që nxirret në zbatim të këtij ligji</w:t>
      </w:r>
      <w:r w:rsidRPr="002A0443">
        <w:rPr>
          <w:rFonts w:cs="Times New Roman"/>
          <w:szCs w:val="24"/>
        </w:rPr>
        <w:t xml:space="preserve"> dhe specifikimet përkatëse të Komisionit Evropian. </w:t>
      </w:r>
    </w:p>
    <w:p w14:paraId="0F14C625" w14:textId="36E960AF" w:rsidR="00724513" w:rsidRPr="002A0443" w:rsidRDefault="00724513">
      <w:pPr>
        <w:numPr>
          <w:ilvl w:val="0"/>
          <w:numId w:val="11"/>
        </w:numPr>
        <w:spacing w:after="0"/>
        <w:rPr>
          <w:rFonts w:cs="Times New Roman"/>
          <w:szCs w:val="24"/>
        </w:rPr>
      </w:pPr>
      <w:r w:rsidRPr="002A0443">
        <w:rPr>
          <w:rFonts w:cs="Times New Roman"/>
          <w:szCs w:val="24"/>
        </w:rPr>
        <w:t xml:space="preserve">Vlerat monetare raportohen në monedhën e përdorur në pasqyrat financiare të konsoliduara për përgatitjen e TTIR-së. </w:t>
      </w:r>
      <w:r w:rsidR="00AB4C67" w:rsidRPr="002A0443">
        <w:rPr>
          <w:rFonts w:cs="Times New Roman"/>
          <w:szCs w:val="24"/>
        </w:rPr>
        <w:t>Në rastet k</w:t>
      </w:r>
      <w:r w:rsidRPr="002A0443">
        <w:rPr>
          <w:rFonts w:cs="Times New Roman"/>
          <w:szCs w:val="24"/>
        </w:rPr>
        <w:t xml:space="preserve">ur kërkohet konvertim, ai kryhet në përputhje me rregullat e përcaktuara në aktet zbatuese të Bashkimit Evropian dhe/ose standardet ndërkombëtare të referuara në to. </w:t>
      </w:r>
    </w:p>
    <w:p w14:paraId="2B02439F" w14:textId="02089E0B" w:rsidR="00724513" w:rsidRPr="002A0443" w:rsidRDefault="00AB4C67">
      <w:pPr>
        <w:numPr>
          <w:ilvl w:val="0"/>
          <w:numId w:val="11"/>
        </w:numPr>
        <w:spacing w:after="0"/>
        <w:rPr>
          <w:rFonts w:cs="Times New Roman"/>
          <w:szCs w:val="24"/>
        </w:rPr>
      </w:pPr>
      <w:r w:rsidRPr="002A0443">
        <w:rPr>
          <w:rFonts w:cs="Times New Roman"/>
          <w:szCs w:val="24"/>
        </w:rPr>
        <w:t>Në rast të mospërputhjes midis dispozitave të këtij ligji dhe specifikimeve teknike të formatit elektronik të miratuar në nivel të Bashkimit Evropian, përparësi kanë specifikimet teknike dhe formati elektronik i miratuar nga Bashkimi Evropian.</w:t>
      </w:r>
      <w:r w:rsidR="00724513" w:rsidRPr="002A0443">
        <w:rPr>
          <w:rFonts w:cs="Times New Roman"/>
          <w:szCs w:val="24"/>
        </w:rPr>
        <w:t xml:space="preserve"> </w:t>
      </w:r>
    </w:p>
    <w:p w14:paraId="623542D4" w14:textId="77777777" w:rsidR="00724513" w:rsidRPr="002A0443" w:rsidRDefault="00724513" w:rsidP="004560EC">
      <w:pPr>
        <w:spacing w:after="0"/>
        <w:rPr>
          <w:rFonts w:cs="Times New Roman"/>
          <w:szCs w:val="24"/>
          <w:lang w:val="sq-AL"/>
        </w:rPr>
      </w:pPr>
    </w:p>
    <w:p w14:paraId="615D4843" w14:textId="00E0BF8A" w:rsidR="00D572C9" w:rsidRPr="002A0443" w:rsidRDefault="003D0B62" w:rsidP="004560EC">
      <w:pPr>
        <w:pStyle w:val="Heading2"/>
        <w:spacing w:before="0"/>
        <w:rPr>
          <w:rFonts w:ascii="Times New Roman" w:hAnsi="Times New Roman" w:cs="Times New Roman"/>
          <w:color w:val="auto"/>
          <w:szCs w:val="24"/>
          <w:lang w:val="sq-AL"/>
        </w:rPr>
      </w:pPr>
      <w:r w:rsidRPr="002A0443">
        <w:rPr>
          <w:rFonts w:ascii="Times New Roman" w:eastAsia="Times New Roman" w:hAnsi="Times New Roman" w:cs="Times New Roman"/>
          <w:color w:val="auto"/>
          <w:szCs w:val="24"/>
          <w:lang w:val="sq-AL"/>
        </w:rPr>
        <w:t xml:space="preserve">Neni </w:t>
      </w:r>
      <w:r w:rsidR="004A123C" w:rsidRPr="002A0443">
        <w:rPr>
          <w:rFonts w:ascii="Times New Roman" w:eastAsia="Times New Roman" w:hAnsi="Times New Roman" w:cs="Times New Roman"/>
          <w:color w:val="auto"/>
          <w:szCs w:val="24"/>
          <w:lang w:val="sq-AL"/>
        </w:rPr>
        <w:t>9</w:t>
      </w:r>
    </w:p>
    <w:p w14:paraId="52AA2428" w14:textId="77777777" w:rsidR="00D572C9" w:rsidRPr="002A0443" w:rsidRDefault="003D0B62" w:rsidP="004560EC">
      <w:pPr>
        <w:pStyle w:val="Heading3"/>
        <w:spacing w:after="0"/>
        <w:rPr>
          <w:rFonts w:ascii="Times New Roman" w:hAnsi="Times New Roman" w:cs="Times New Roman"/>
          <w:color w:val="auto"/>
          <w:szCs w:val="24"/>
          <w:lang w:val="sq-AL"/>
        </w:rPr>
      </w:pPr>
      <w:r w:rsidRPr="002A0443">
        <w:rPr>
          <w:rFonts w:ascii="Times New Roman" w:eastAsia="Times New Roman" w:hAnsi="Times New Roman" w:cs="Times New Roman"/>
          <w:color w:val="auto"/>
          <w:szCs w:val="24"/>
          <w:lang w:val="sq-AL"/>
        </w:rPr>
        <w:t>Saktësia e deklarimit, ruajtja e dokumentacionit dhe korrigjimi</w:t>
      </w:r>
    </w:p>
    <w:p w14:paraId="244A45D4" w14:textId="0703F60D" w:rsidR="002F27C9" w:rsidRPr="002A0443" w:rsidRDefault="002F27C9" w:rsidP="004560EC">
      <w:pPr>
        <w:spacing w:after="0"/>
        <w:rPr>
          <w:rFonts w:cs="Times New Roman"/>
          <w:szCs w:val="24"/>
        </w:rPr>
      </w:pPr>
    </w:p>
    <w:p w14:paraId="5065891E" w14:textId="48374C79" w:rsidR="002F27C9" w:rsidRPr="002A0443" w:rsidRDefault="009616AE">
      <w:pPr>
        <w:numPr>
          <w:ilvl w:val="0"/>
          <w:numId w:val="12"/>
        </w:numPr>
        <w:spacing w:after="0"/>
        <w:rPr>
          <w:rFonts w:cs="Times New Roman"/>
          <w:szCs w:val="24"/>
        </w:rPr>
      </w:pPr>
      <w:r w:rsidRPr="002A0443">
        <w:rPr>
          <w:rFonts w:cs="Times New Roman"/>
          <w:bCs/>
          <w:szCs w:val="24"/>
          <w:lang w:val="sq-AL"/>
        </w:rPr>
        <w:t>Entiteti që depoziton TTIR-në</w:t>
      </w:r>
      <w:r w:rsidRPr="002A0443">
        <w:rPr>
          <w:rFonts w:cs="Times New Roman"/>
          <w:b/>
          <w:bCs/>
          <w:szCs w:val="24"/>
          <w:lang w:val="sq-AL"/>
        </w:rPr>
        <w:t xml:space="preserve"> </w:t>
      </w:r>
      <w:r w:rsidR="002F27C9" w:rsidRPr="002A0443">
        <w:rPr>
          <w:rFonts w:cs="Times New Roman"/>
          <w:szCs w:val="24"/>
        </w:rPr>
        <w:t xml:space="preserve">dhe çdo entitet përbërës shqiptar i përfshirë në TTIR është i detyruar të ruajë dokumentacionin, evidencat dhe shpjegimet mbështetëse të përdorura për përgatitjen e TTIR-së, për periudhën e ruajtjes së dokumentacionit sipas legjislacionit tatimor dhe </w:t>
      </w:r>
      <w:r w:rsidR="00760674" w:rsidRPr="002A0443">
        <w:rPr>
          <w:rFonts w:cs="Times New Roman"/>
          <w:szCs w:val="24"/>
        </w:rPr>
        <w:t xml:space="preserve">për </w:t>
      </w:r>
      <w:r w:rsidR="002F27C9" w:rsidRPr="002A0443">
        <w:rPr>
          <w:rFonts w:cs="Times New Roman"/>
          <w:szCs w:val="24"/>
        </w:rPr>
        <w:t>kontab</w:t>
      </w:r>
      <w:r w:rsidR="00760674" w:rsidRPr="002A0443">
        <w:rPr>
          <w:rFonts w:cs="Times New Roman"/>
          <w:szCs w:val="24"/>
        </w:rPr>
        <w:t>i</w:t>
      </w:r>
      <w:r w:rsidR="002F27C9" w:rsidRPr="002A0443">
        <w:rPr>
          <w:rFonts w:cs="Times New Roman"/>
          <w:szCs w:val="24"/>
        </w:rPr>
        <w:t>l</w:t>
      </w:r>
      <w:r w:rsidR="00760674" w:rsidRPr="002A0443">
        <w:rPr>
          <w:rFonts w:cs="Times New Roman"/>
          <w:szCs w:val="24"/>
        </w:rPr>
        <w:t>itetin</w:t>
      </w:r>
      <w:r w:rsidR="002F27C9" w:rsidRPr="002A0443">
        <w:rPr>
          <w:rFonts w:cs="Times New Roman"/>
          <w:szCs w:val="24"/>
        </w:rPr>
        <w:t xml:space="preserve"> në fuqi, dhe në çdo rast deri në përfundimin e afateve të kontrollit, vlerësimit dhe ankimit për periudhën përkatëse. </w:t>
      </w:r>
    </w:p>
    <w:p w14:paraId="624A1917" w14:textId="42764C70" w:rsidR="002F27C9" w:rsidRPr="002A0443" w:rsidRDefault="002F27C9">
      <w:pPr>
        <w:numPr>
          <w:ilvl w:val="0"/>
          <w:numId w:val="12"/>
        </w:numPr>
        <w:spacing w:after="0"/>
        <w:rPr>
          <w:rFonts w:cs="Times New Roman"/>
          <w:szCs w:val="24"/>
        </w:rPr>
      </w:pPr>
      <w:r w:rsidRPr="002A0443">
        <w:rPr>
          <w:rFonts w:cs="Times New Roman"/>
          <w:szCs w:val="24"/>
        </w:rPr>
        <w:t>Kur konstatohet pasaktësi materiale, mungesë informacioni, gabim teknik, gabim identifikues ose ndryshim i të dhënave të deklaruara</w:t>
      </w:r>
      <w:r w:rsidR="00A71D1D" w:rsidRPr="002A0443">
        <w:rPr>
          <w:rFonts w:cs="Times New Roman"/>
          <w:szCs w:val="24"/>
          <w:lang w:val="sq-AL"/>
        </w:rPr>
        <w:t xml:space="preserve">, </w:t>
      </w:r>
      <w:r w:rsidR="008F4B58" w:rsidRPr="002A0443">
        <w:rPr>
          <w:rFonts w:cs="Times New Roman"/>
          <w:szCs w:val="24"/>
          <w:lang w:val="sq-AL"/>
        </w:rPr>
        <w:t>entiteti që depoziton TTIR-në bë</w:t>
      </w:r>
      <w:r w:rsidR="00760674" w:rsidRPr="002A0443">
        <w:rPr>
          <w:rFonts w:cs="Times New Roman"/>
          <w:szCs w:val="24"/>
          <w:lang w:val="sq-AL"/>
        </w:rPr>
        <w:t>n</w:t>
      </w:r>
      <w:r w:rsidR="008F4B58" w:rsidRPr="002A0443">
        <w:rPr>
          <w:rFonts w:cs="Times New Roman"/>
          <w:szCs w:val="24"/>
          <w:lang w:val="sq-AL"/>
        </w:rPr>
        <w:t xml:space="preserve"> korrigjimin përkatës </w:t>
      </w:r>
      <w:r w:rsidRPr="002A0443">
        <w:rPr>
          <w:rFonts w:cs="Times New Roman"/>
          <w:szCs w:val="24"/>
        </w:rPr>
        <w:t xml:space="preserve">pa vonesë të pajustifikuar, sipas procedurës së përcaktuar në aktin sekondar. </w:t>
      </w:r>
    </w:p>
    <w:p w14:paraId="4FB17559" w14:textId="77777777" w:rsidR="002F27C9" w:rsidRPr="002A0443" w:rsidRDefault="002F27C9">
      <w:pPr>
        <w:numPr>
          <w:ilvl w:val="0"/>
          <w:numId w:val="12"/>
        </w:numPr>
        <w:spacing w:after="0"/>
        <w:rPr>
          <w:rFonts w:cs="Times New Roman"/>
          <w:szCs w:val="24"/>
        </w:rPr>
      </w:pPr>
      <w:r w:rsidRPr="002A0443">
        <w:rPr>
          <w:rFonts w:cs="Times New Roman"/>
          <w:szCs w:val="24"/>
        </w:rPr>
        <w:t>Drejtoria e Përgjithshme e Tatimeve mund të kërkojë dokumente shtesë, sqarime, versione të korrigjuara, prova të depozitimit qendror në juridiksion tjetër, ose evidenca të përshtatshmërisë së marrëveshjes së kualifikuar të autoritetit kompetent.</w:t>
      </w:r>
    </w:p>
    <w:p w14:paraId="590284AC" w14:textId="77777777" w:rsidR="009B6BB5" w:rsidRPr="002A0443" w:rsidRDefault="009B6BB5" w:rsidP="008725F1">
      <w:pPr>
        <w:spacing w:after="0"/>
        <w:ind w:left="360"/>
        <w:rPr>
          <w:rFonts w:cs="Times New Roman"/>
          <w:szCs w:val="24"/>
        </w:rPr>
      </w:pPr>
    </w:p>
    <w:p w14:paraId="7100E6C9" w14:textId="77777777" w:rsidR="009B6BB5" w:rsidRPr="002A0443" w:rsidRDefault="003D0B62" w:rsidP="004560EC">
      <w:pPr>
        <w:pStyle w:val="Heading1"/>
        <w:spacing w:before="0" w:after="0"/>
        <w:rPr>
          <w:rFonts w:ascii="Times New Roman" w:eastAsia="Times New Roman" w:hAnsi="Times New Roman" w:cs="Times New Roman"/>
          <w:b w:val="0"/>
          <w:color w:val="auto"/>
          <w:sz w:val="24"/>
          <w:szCs w:val="24"/>
          <w:lang w:val="sq-AL"/>
        </w:rPr>
      </w:pPr>
      <w:r w:rsidRPr="002A0443">
        <w:rPr>
          <w:rFonts w:ascii="Times New Roman" w:eastAsia="Times New Roman" w:hAnsi="Times New Roman" w:cs="Times New Roman"/>
          <w:b w:val="0"/>
          <w:color w:val="auto"/>
          <w:sz w:val="24"/>
          <w:szCs w:val="24"/>
          <w:lang w:val="sq-AL"/>
        </w:rPr>
        <w:t>KREU III</w:t>
      </w:r>
    </w:p>
    <w:p w14:paraId="2DECE047" w14:textId="50A8A64E" w:rsidR="00D0264C" w:rsidRPr="002A0443" w:rsidRDefault="003D0B62" w:rsidP="004560EC">
      <w:pPr>
        <w:pStyle w:val="Heading1"/>
        <w:spacing w:before="0" w:after="0"/>
        <w:rPr>
          <w:rFonts w:ascii="Times New Roman" w:eastAsia="Times New Roman" w:hAnsi="Times New Roman" w:cs="Times New Roman"/>
          <w:b w:val="0"/>
          <w:color w:val="auto"/>
          <w:sz w:val="24"/>
          <w:szCs w:val="24"/>
          <w:lang w:val="sq-AL"/>
        </w:rPr>
      </w:pPr>
      <w:r w:rsidRPr="002A0443">
        <w:rPr>
          <w:rFonts w:ascii="Times New Roman" w:eastAsia="Times New Roman" w:hAnsi="Times New Roman" w:cs="Times New Roman"/>
          <w:b w:val="0"/>
          <w:color w:val="auto"/>
          <w:sz w:val="24"/>
          <w:szCs w:val="24"/>
          <w:lang w:val="sq-AL"/>
        </w:rPr>
        <w:t xml:space="preserve"> </w:t>
      </w:r>
    </w:p>
    <w:p w14:paraId="28963124" w14:textId="6752E77D" w:rsidR="00791CF5" w:rsidRPr="002A0443" w:rsidRDefault="00791CF5" w:rsidP="004560EC">
      <w:pPr>
        <w:spacing w:after="0"/>
        <w:jc w:val="center"/>
        <w:rPr>
          <w:rFonts w:cs="Times New Roman"/>
          <w:b/>
          <w:bCs/>
          <w:szCs w:val="24"/>
        </w:rPr>
      </w:pPr>
      <w:r w:rsidRPr="002A0443">
        <w:rPr>
          <w:rFonts w:cs="Times New Roman"/>
          <w:b/>
          <w:bCs/>
          <w:szCs w:val="24"/>
        </w:rPr>
        <w:t xml:space="preserve">Neni </w:t>
      </w:r>
      <w:r w:rsidR="004A123C" w:rsidRPr="002A0443">
        <w:rPr>
          <w:rFonts w:cs="Times New Roman"/>
          <w:b/>
          <w:bCs/>
          <w:szCs w:val="24"/>
        </w:rPr>
        <w:t>10</w:t>
      </w:r>
    </w:p>
    <w:p w14:paraId="0633F301" w14:textId="247E9E93" w:rsidR="00791CF5" w:rsidRPr="002A0443" w:rsidRDefault="00791CF5" w:rsidP="004560EC">
      <w:pPr>
        <w:spacing w:after="0"/>
        <w:jc w:val="center"/>
        <w:rPr>
          <w:rFonts w:cs="Times New Roman"/>
          <w:b/>
          <w:bCs/>
          <w:szCs w:val="24"/>
        </w:rPr>
      </w:pPr>
      <w:r w:rsidRPr="002A0443">
        <w:rPr>
          <w:rFonts w:cs="Times New Roman"/>
          <w:b/>
          <w:bCs/>
          <w:szCs w:val="24"/>
        </w:rPr>
        <w:t>Shkëmbimi automatik i TTIR-së</w:t>
      </w:r>
    </w:p>
    <w:p w14:paraId="301B87DD" w14:textId="77777777" w:rsidR="009D4FBB" w:rsidRPr="002A0443" w:rsidRDefault="009D4FBB" w:rsidP="004560EC">
      <w:pPr>
        <w:spacing w:after="0"/>
        <w:jc w:val="center"/>
        <w:rPr>
          <w:rFonts w:cs="Times New Roman"/>
          <w:b/>
          <w:bCs/>
          <w:szCs w:val="24"/>
        </w:rPr>
      </w:pPr>
    </w:p>
    <w:p w14:paraId="11FE2257" w14:textId="527430AC" w:rsidR="00791CF5" w:rsidRPr="002A0443" w:rsidRDefault="00634496">
      <w:pPr>
        <w:numPr>
          <w:ilvl w:val="0"/>
          <w:numId w:val="13"/>
        </w:numPr>
        <w:spacing w:after="0"/>
        <w:rPr>
          <w:rFonts w:cs="Times New Roman"/>
          <w:szCs w:val="24"/>
        </w:rPr>
      </w:pPr>
      <w:r w:rsidRPr="002A0443">
        <w:rPr>
          <w:rFonts w:cs="Times New Roman"/>
          <w:szCs w:val="24"/>
        </w:rPr>
        <w:t xml:space="preserve">Drejtoria e Përgjithshme e Tatimeve dërgon TTIR-në tek autoritetet përkatëse të shteteve të tjera anëtare përmes shkëmbimit automatik të informacionit, duke zbatuar </w:t>
      </w:r>
      <w:r w:rsidR="00835E95" w:rsidRPr="002A0443">
        <w:rPr>
          <w:rFonts w:cs="Times New Roman"/>
          <w:szCs w:val="24"/>
        </w:rPr>
        <w:t>rregullat</w:t>
      </w:r>
      <w:r w:rsidRPr="002A0443">
        <w:rPr>
          <w:rFonts w:cs="Times New Roman"/>
          <w:szCs w:val="24"/>
        </w:rPr>
        <w:t xml:space="preserve"> e </w:t>
      </w:r>
      <w:r w:rsidRPr="002A0443">
        <w:rPr>
          <w:rFonts w:cs="Times New Roman"/>
          <w:szCs w:val="24"/>
        </w:rPr>
        <w:lastRenderedPageBreak/>
        <w:t>shpërndarjes të përcaktuar</w:t>
      </w:r>
      <w:r w:rsidR="00835E95" w:rsidRPr="002A0443">
        <w:rPr>
          <w:rFonts w:cs="Times New Roman"/>
          <w:szCs w:val="24"/>
        </w:rPr>
        <w:t>a</w:t>
      </w:r>
      <w:r w:rsidRPr="002A0443">
        <w:rPr>
          <w:rFonts w:cs="Times New Roman"/>
          <w:szCs w:val="24"/>
        </w:rPr>
        <w:t xml:space="preserve"> në këtë ligj dhe në vendimin e Këshillit të Ministrave që nxirret në zbatim të këtij ligji.</w:t>
      </w:r>
    </w:p>
    <w:p w14:paraId="5D782730" w14:textId="77777777" w:rsidR="00791CF5" w:rsidRPr="002A0443" w:rsidRDefault="00791CF5">
      <w:pPr>
        <w:numPr>
          <w:ilvl w:val="0"/>
          <w:numId w:val="13"/>
        </w:numPr>
        <w:spacing w:after="0"/>
        <w:rPr>
          <w:rFonts w:cs="Times New Roman"/>
          <w:szCs w:val="24"/>
        </w:rPr>
      </w:pPr>
      <w:r w:rsidRPr="002A0443">
        <w:rPr>
          <w:rFonts w:cs="Times New Roman"/>
          <w:szCs w:val="24"/>
        </w:rPr>
        <w:t xml:space="preserve">Shkëmbimi i TTIR-së së depozituar brenda afatit kryhet jo më vonë se 3 muaj pas afatit të depozitimit për vitin fiskal raportues përkatës. </w:t>
      </w:r>
    </w:p>
    <w:p w14:paraId="6584567E" w14:textId="77777777" w:rsidR="00791CF5" w:rsidRPr="002A0443" w:rsidRDefault="00791CF5">
      <w:pPr>
        <w:numPr>
          <w:ilvl w:val="0"/>
          <w:numId w:val="13"/>
        </w:numPr>
        <w:spacing w:after="0"/>
        <w:rPr>
          <w:rFonts w:cs="Times New Roman"/>
          <w:szCs w:val="24"/>
        </w:rPr>
      </w:pPr>
      <w:r w:rsidRPr="002A0443">
        <w:rPr>
          <w:rFonts w:cs="Times New Roman"/>
          <w:szCs w:val="24"/>
        </w:rPr>
        <w:t xml:space="preserve">TTIR-të e marra pas afatit të depozitimit komunikohen jo më vonë se 3 muaj nga data e marrjes së tyre. </w:t>
      </w:r>
    </w:p>
    <w:p w14:paraId="20F71BDB" w14:textId="77777777" w:rsidR="00791CF5" w:rsidRPr="002A0443" w:rsidRDefault="00791CF5">
      <w:pPr>
        <w:numPr>
          <w:ilvl w:val="0"/>
          <w:numId w:val="13"/>
        </w:numPr>
        <w:spacing w:after="0"/>
        <w:rPr>
          <w:rFonts w:cs="Times New Roman"/>
          <w:szCs w:val="24"/>
        </w:rPr>
      </w:pPr>
      <w:r w:rsidRPr="002A0443">
        <w:rPr>
          <w:rFonts w:cs="Times New Roman"/>
          <w:szCs w:val="24"/>
        </w:rPr>
        <w:t xml:space="preserve">Korrigjimet, zëvendësimet dhe fshirjet e pranuara nga Drejtoria e Përgjithshme e Tatimeve komunikohen pa vonesë dhe, në çdo rast, në përputhje me rregullat dhe afatet e përcaktuara në aktin sekondar. </w:t>
      </w:r>
    </w:p>
    <w:p w14:paraId="42F4729B" w14:textId="77777777" w:rsidR="00791CF5" w:rsidRPr="002A0443" w:rsidRDefault="00791CF5">
      <w:pPr>
        <w:numPr>
          <w:ilvl w:val="0"/>
          <w:numId w:val="13"/>
        </w:numPr>
        <w:spacing w:after="0"/>
        <w:rPr>
          <w:rFonts w:cs="Times New Roman"/>
          <w:szCs w:val="24"/>
        </w:rPr>
      </w:pPr>
      <w:r w:rsidRPr="002A0443">
        <w:rPr>
          <w:rFonts w:cs="Times New Roman"/>
          <w:szCs w:val="24"/>
        </w:rPr>
        <w:t xml:space="preserve">Komunikimi bëhet në formatin standard kompjuterik të miratuar nga Komisioni Evropian dhe nëpërmjet kanaleve elektronike të komunikimit të Bashkimit Evropian të zbatueshme për këtë kategori shkëmbimi. </w:t>
      </w:r>
    </w:p>
    <w:p w14:paraId="36DD7A2D" w14:textId="77777777" w:rsidR="00791CF5" w:rsidRPr="002A0443" w:rsidRDefault="00791CF5">
      <w:pPr>
        <w:numPr>
          <w:ilvl w:val="0"/>
          <w:numId w:val="13"/>
        </w:numPr>
        <w:spacing w:after="0"/>
        <w:rPr>
          <w:rFonts w:cs="Times New Roman"/>
          <w:szCs w:val="24"/>
        </w:rPr>
      </w:pPr>
      <w:r w:rsidRPr="002A0443">
        <w:rPr>
          <w:rFonts w:cs="Times New Roman"/>
          <w:szCs w:val="24"/>
        </w:rPr>
        <w:t xml:space="preserve">Në rastet kur informacioni nuk transmetohet brenda afateve të përcaktuara, administrata tatimore njofton autoritetin kompetent përkatës dhe bashkëpunon me të për përcaktimin e shkaqeve dhe realizimin e shkëmbimit brenda afateve të zbatueshme. </w:t>
      </w:r>
    </w:p>
    <w:p w14:paraId="69A4F054" w14:textId="77777777" w:rsidR="00791CF5" w:rsidRPr="002A0443" w:rsidRDefault="00791CF5">
      <w:pPr>
        <w:numPr>
          <w:ilvl w:val="0"/>
          <w:numId w:val="13"/>
        </w:numPr>
        <w:spacing w:after="0"/>
        <w:rPr>
          <w:rFonts w:cs="Times New Roman"/>
          <w:szCs w:val="24"/>
        </w:rPr>
      </w:pPr>
      <w:r w:rsidRPr="002A0443">
        <w:rPr>
          <w:rFonts w:cs="Times New Roman"/>
          <w:szCs w:val="24"/>
        </w:rPr>
        <w:t>Drejtoria e Përgjithshme e Tatimeve ruan informacionin e marrë nëpërmjet deklarimit dhe shkëmbimit automatik të Deklaratës Informative të Tatimit Shtesë (TTIR) për aq kohë sa është e nevojshme për qëllimet e këtij ligji dhe, në çdo rast, jo më pak se 5 (pesë) vjet nga data e marrjes së tij.</w:t>
      </w:r>
    </w:p>
    <w:p w14:paraId="6A7769F3" w14:textId="0357F027" w:rsidR="00E77DB5" w:rsidRPr="002A0443" w:rsidRDefault="00E77DB5" w:rsidP="004560EC">
      <w:pPr>
        <w:spacing w:after="0"/>
        <w:rPr>
          <w:rFonts w:cs="Times New Roman"/>
          <w:szCs w:val="24"/>
          <w:lang w:val="sq-AL"/>
        </w:rPr>
      </w:pPr>
    </w:p>
    <w:p w14:paraId="13A40E43" w14:textId="5C7ED9D9" w:rsidR="00213088" w:rsidRPr="002A0443" w:rsidRDefault="003D0B62" w:rsidP="004560EC">
      <w:pPr>
        <w:pStyle w:val="Heading2"/>
        <w:spacing w:before="0"/>
        <w:rPr>
          <w:rFonts w:ascii="Times New Roman" w:eastAsia="Times New Roman" w:hAnsi="Times New Roman" w:cs="Times New Roman"/>
          <w:bCs w:val="0"/>
          <w:color w:val="auto"/>
          <w:szCs w:val="24"/>
          <w:lang w:val="sq-AL"/>
        </w:rPr>
      </w:pPr>
      <w:r w:rsidRPr="002A0443">
        <w:rPr>
          <w:rFonts w:ascii="Times New Roman" w:eastAsia="Times New Roman" w:hAnsi="Times New Roman" w:cs="Times New Roman"/>
          <w:bCs w:val="0"/>
          <w:color w:val="auto"/>
          <w:szCs w:val="24"/>
          <w:lang w:val="sq-AL"/>
        </w:rPr>
        <w:t>Neni 1</w:t>
      </w:r>
      <w:r w:rsidR="004A123C" w:rsidRPr="002A0443">
        <w:rPr>
          <w:rFonts w:ascii="Times New Roman" w:eastAsia="Times New Roman" w:hAnsi="Times New Roman" w:cs="Times New Roman"/>
          <w:bCs w:val="0"/>
          <w:color w:val="auto"/>
          <w:szCs w:val="24"/>
          <w:lang w:val="sq-AL"/>
        </w:rPr>
        <w:t>1</w:t>
      </w:r>
      <w:r w:rsidR="00213088" w:rsidRPr="002A0443">
        <w:rPr>
          <w:rFonts w:ascii="Times New Roman" w:eastAsia="Times New Roman" w:hAnsi="Times New Roman" w:cs="Times New Roman"/>
          <w:bCs w:val="0"/>
          <w:color w:val="auto"/>
          <w:szCs w:val="24"/>
          <w:lang w:val="sq-AL"/>
        </w:rPr>
        <w:br/>
      </w:r>
      <w:r w:rsidR="00835E95" w:rsidRPr="002A0443">
        <w:rPr>
          <w:rFonts w:ascii="Times New Roman" w:eastAsia="Times New Roman" w:hAnsi="Times New Roman" w:cs="Times New Roman"/>
          <w:bCs w:val="0"/>
          <w:color w:val="auto"/>
          <w:szCs w:val="24"/>
          <w:lang w:val="sq-AL"/>
        </w:rPr>
        <w:t>Rregullat</w:t>
      </w:r>
      <w:r w:rsidR="00213088" w:rsidRPr="002A0443">
        <w:rPr>
          <w:rFonts w:ascii="Times New Roman" w:eastAsia="Times New Roman" w:hAnsi="Times New Roman" w:cs="Times New Roman"/>
          <w:bCs w:val="0"/>
          <w:color w:val="auto"/>
          <w:szCs w:val="24"/>
          <w:lang w:val="sq-AL"/>
        </w:rPr>
        <w:t xml:space="preserve"> e shpërndarjes së TTIR-së</w:t>
      </w:r>
    </w:p>
    <w:p w14:paraId="556FCDB3" w14:textId="77777777" w:rsidR="009B6BB5" w:rsidRPr="002A0443" w:rsidRDefault="009B6BB5" w:rsidP="009B6BB5">
      <w:pPr>
        <w:rPr>
          <w:rFonts w:cs="Times New Roman"/>
          <w:szCs w:val="24"/>
          <w:lang w:val="sq-AL"/>
        </w:rPr>
      </w:pPr>
    </w:p>
    <w:p w14:paraId="17C3CDAD" w14:textId="00FACB5D" w:rsidR="00213088" w:rsidRPr="002A0443" w:rsidRDefault="00213088">
      <w:pPr>
        <w:pStyle w:val="ListParagraph"/>
        <w:numPr>
          <w:ilvl w:val="0"/>
          <w:numId w:val="20"/>
        </w:numPr>
        <w:spacing w:after="0" w:line="240" w:lineRule="auto"/>
        <w:rPr>
          <w:rFonts w:cs="Times New Roman"/>
          <w:szCs w:val="24"/>
          <w:lang w:val="sq-AL"/>
        </w:rPr>
      </w:pPr>
      <w:r w:rsidRPr="002A0443">
        <w:rPr>
          <w:rFonts w:cs="Times New Roman"/>
          <w:szCs w:val="24"/>
          <w:lang w:val="sq-AL"/>
        </w:rPr>
        <w:t>Kur Drejtoria e Përgjithshme e Tatimeve merr TTIR-në e depozituar nga entiteti mëmë i fundit ose nga entiteti i caktuar për deklarim, ajo komunikon, nëpërmjet shkëmbimit automatik të informacionit, Seksionin e Përgjithshëm të TTIR-së tek shtetet anëtare zbatuese ku ndodhen entiteti mëmë i fundit ose entitetet përbërëse të grupit.</w:t>
      </w:r>
    </w:p>
    <w:p w14:paraId="4DB61534" w14:textId="10EBAD6E" w:rsidR="00213088" w:rsidRPr="002A0443" w:rsidRDefault="00213088">
      <w:pPr>
        <w:pStyle w:val="ListParagraph"/>
        <w:numPr>
          <w:ilvl w:val="0"/>
          <w:numId w:val="20"/>
        </w:numPr>
        <w:spacing w:after="0" w:line="240" w:lineRule="auto"/>
        <w:rPr>
          <w:rFonts w:cs="Times New Roman"/>
          <w:szCs w:val="24"/>
          <w:lang w:val="sq-AL"/>
        </w:rPr>
      </w:pPr>
      <w:r w:rsidRPr="002A0443">
        <w:rPr>
          <w:rFonts w:cs="Times New Roman"/>
          <w:szCs w:val="24"/>
          <w:lang w:val="sq-AL"/>
        </w:rPr>
        <w:t>Drejtoria e Përgjithshme e Tatimeve komunikon Seksionin e Përgjithshëm të TTIR-së, me përjashtim të informacionit përmbledhës të nivelit të lartë të modelit standard, tek shtetet anëtare që zbatojnë vetëm tatimin e brendshëm të kualifikuar shtesë (TMBKS/QDTT/QDMTT).</w:t>
      </w:r>
    </w:p>
    <w:p w14:paraId="5D583DF0" w14:textId="563CF666" w:rsidR="00213088" w:rsidRPr="002A0443" w:rsidRDefault="00213088">
      <w:pPr>
        <w:pStyle w:val="ListParagraph"/>
        <w:numPr>
          <w:ilvl w:val="0"/>
          <w:numId w:val="20"/>
        </w:numPr>
        <w:spacing w:after="0" w:line="240" w:lineRule="auto"/>
        <w:rPr>
          <w:rFonts w:cs="Times New Roman"/>
          <w:szCs w:val="24"/>
          <w:lang w:val="sq-AL"/>
        </w:rPr>
      </w:pPr>
      <w:r w:rsidRPr="002A0443">
        <w:rPr>
          <w:rFonts w:cs="Times New Roman"/>
          <w:szCs w:val="24"/>
          <w:lang w:val="sq-AL"/>
        </w:rPr>
        <w:t>Drejtoria e Përgjithshme e Tatimeve komunikon një ose më shumë Seksione Juridiksionale tek shtetet anëtare që kanë të drejta tatimore, përfshirë të drejtat për tatimin e brendshëm të kualifikuar shtesë (TMBKS/QDTT/QDMTT), në lidhje me juridiksionet përkatëse.</w:t>
      </w:r>
    </w:p>
    <w:p w14:paraId="1D4CF60F" w14:textId="1DDA81A9" w:rsidR="00213088" w:rsidRPr="002A0443" w:rsidRDefault="00213088">
      <w:pPr>
        <w:pStyle w:val="ListParagraph"/>
        <w:numPr>
          <w:ilvl w:val="0"/>
          <w:numId w:val="20"/>
        </w:numPr>
        <w:spacing w:after="0" w:line="240" w:lineRule="auto"/>
        <w:rPr>
          <w:rFonts w:cs="Times New Roman"/>
          <w:szCs w:val="24"/>
          <w:lang w:val="sq-AL"/>
        </w:rPr>
      </w:pPr>
      <w:r w:rsidRPr="002A0443">
        <w:rPr>
          <w:rFonts w:cs="Times New Roman"/>
          <w:szCs w:val="24"/>
          <w:lang w:val="sq-AL"/>
        </w:rPr>
        <w:t>Juridiksionet që zbatojnë rregullin për fitimin e nëntatuar (RFN/UTPR) me përqindje zero marrin vetëm pjesën e TTIR-së që përmban informacionin për atribuimin e tatimit shtesë sipas rregullave RFN/UTPR për atë juridiksion.</w:t>
      </w:r>
    </w:p>
    <w:p w14:paraId="2C885712" w14:textId="10213831" w:rsidR="00213088" w:rsidRPr="002A0443" w:rsidRDefault="00213088">
      <w:pPr>
        <w:pStyle w:val="ListParagraph"/>
        <w:numPr>
          <w:ilvl w:val="0"/>
          <w:numId w:val="20"/>
        </w:numPr>
        <w:spacing w:after="0" w:line="240" w:lineRule="auto"/>
        <w:rPr>
          <w:rFonts w:cs="Times New Roman"/>
          <w:szCs w:val="24"/>
          <w:lang w:val="sq-AL"/>
        </w:rPr>
      </w:pPr>
      <w:r w:rsidRPr="002A0443">
        <w:rPr>
          <w:rFonts w:cs="Times New Roman"/>
          <w:szCs w:val="24"/>
          <w:lang w:val="sq-AL"/>
        </w:rPr>
        <w:t>Vendimi i Këshillit të Ministrave</w:t>
      </w:r>
      <w:r w:rsidR="00354AB7" w:rsidRPr="002A0443">
        <w:rPr>
          <w:rFonts w:cs="Times New Roman"/>
          <w:szCs w:val="24"/>
          <w:lang w:val="sq-AL"/>
        </w:rPr>
        <w:t xml:space="preserve">, që nxirret në zbatim të këtij ligji, </w:t>
      </w:r>
      <w:r w:rsidRPr="002A0443">
        <w:rPr>
          <w:rFonts w:cs="Times New Roman"/>
          <w:szCs w:val="24"/>
          <w:lang w:val="sq-AL"/>
        </w:rPr>
        <w:t>përcakton në mënyrë të detajuar tabelën kombëtare të shpërndarjes, rregullat e përcaktimit të juridiksioneve marrëse dhe kontrollet e përputhshmërisë së procesit të shpërndarjes, në përputhje me specifikimet dhe aktet zbatuese të Bashkimit Evropian.</w:t>
      </w:r>
    </w:p>
    <w:p w14:paraId="2CEA5E0A" w14:textId="77777777" w:rsidR="00E859B9" w:rsidRPr="002A0443" w:rsidRDefault="00E859B9" w:rsidP="004560EC">
      <w:pPr>
        <w:spacing w:after="0"/>
        <w:rPr>
          <w:rFonts w:cs="Times New Roman"/>
          <w:i/>
          <w:szCs w:val="24"/>
          <w:lang w:val="sq-AL"/>
        </w:rPr>
      </w:pPr>
    </w:p>
    <w:p w14:paraId="510FC4A4" w14:textId="0702C964" w:rsidR="00D572C9" w:rsidRPr="002A0443" w:rsidRDefault="003D0B62" w:rsidP="004560EC">
      <w:pPr>
        <w:pStyle w:val="Heading2"/>
        <w:spacing w:before="0"/>
        <w:rPr>
          <w:rFonts w:ascii="Times New Roman" w:hAnsi="Times New Roman" w:cs="Times New Roman"/>
          <w:color w:val="auto"/>
          <w:szCs w:val="24"/>
          <w:lang w:val="sq-AL"/>
        </w:rPr>
      </w:pPr>
      <w:r w:rsidRPr="002A0443">
        <w:rPr>
          <w:rFonts w:ascii="Times New Roman" w:eastAsia="Times New Roman" w:hAnsi="Times New Roman" w:cs="Times New Roman"/>
          <w:color w:val="auto"/>
          <w:szCs w:val="24"/>
          <w:lang w:val="sq-AL"/>
        </w:rPr>
        <w:t>Neni 1</w:t>
      </w:r>
      <w:r w:rsidR="004A123C" w:rsidRPr="002A0443">
        <w:rPr>
          <w:rFonts w:ascii="Times New Roman" w:eastAsia="Times New Roman" w:hAnsi="Times New Roman" w:cs="Times New Roman"/>
          <w:color w:val="auto"/>
          <w:szCs w:val="24"/>
          <w:lang w:val="sq-AL"/>
        </w:rPr>
        <w:t>2</w:t>
      </w:r>
    </w:p>
    <w:p w14:paraId="64F79D5E" w14:textId="77777777" w:rsidR="00D572C9" w:rsidRPr="002A0443" w:rsidRDefault="003D0B62" w:rsidP="004560EC">
      <w:pPr>
        <w:pStyle w:val="Heading3"/>
        <w:spacing w:after="0"/>
        <w:rPr>
          <w:rFonts w:ascii="Times New Roman" w:eastAsia="Times New Roman" w:hAnsi="Times New Roman" w:cs="Times New Roman"/>
          <w:color w:val="auto"/>
          <w:szCs w:val="24"/>
          <w:lang w:val="sq-AL"/>
        </w:rPr>
      </w:pPr>
      <w:r w:rsidRPr="002A0443">
        <w:rPr>
          <w:rFonts w:ascii="Times New Roman" w:eastAsia="Times New Roman" w:hAnsi="Times New Roman" w:cs="Times New Roman"/>
          <w:color w:val="auto"/>
          <w:szCs w:val="24"/>
          <w:lang w:val="sq-AL"/>
        </w:rPr>
        <w:t>Shmangia e depozitimit të dyfishtë dhe marrëveshjet e kualifikuara</w:t>
      </w:r>
    </w:p>
    <w:p w14:paraId="47744144" w14:textId="77777777" w:rsidR="008725F1" w:rsidRPr="002A0443" w:rsidRDefault="008725F1" w:rsidP="008725F1">
      <w:pPr>
        <w:rPr>
          <w:rFonts w:cs="Times New Roman"/>
          <w:szCs w:val="24"/>
          <w:lang w:val="sq-AL"/>
        </w:rPr>
      </w:pPr>
    </w:p>
    <w:p w14:paraId="6B32E6C3" w14:textId="49D3826D" w:rsidR="000E7A32" w:rsidRPr="002A0443" w:rsidRDefault="008725F1">
      <w:pPr>
        <w:numPr>
          <w:ilvl w:val="0"/>
          <w:numId w:val="14"/>
        </w:numPr>
        <w:tabs>
          <w:tab w:val="left" w:pos="360"/>
          <w:tab w:val="num" w:pos="450"/>
        </w:tabs>
        <w:spacing w:after="0"/>
        <w:ind w:left="450"/>
        <w:rPr>
          <w:rFonts w:cs="Times New Roman"/>
          <w:szCs w:val="24"/>
        </w:rPr>
      </w:pPr>
      <w:r w:rsidRPr="002A0443">
        <w:rPr>
          <w:rFonts w:cs="Times New Roman"/>
          <w:szCs w:val="24"/>
        </w:rPr>
        <w:lastRenderedPageBreak/>
        <w:t xml:space="preserve"> </w:t>
      </w:r>
      <w:r w:rsidR="000E7A32" w:rsidRPr="002A0443">
        <w:rPr>
          <w:rFonts w:cs="Times New Roman"/>
          <w:szCs w:val="24"/>
        </w:rPr>
        <w:t>Kur Republika e Shqipërisë e merr TTIR-në nëpërmjet shkëmbimit automatik nga</w:t>
      </w:r>
      <w:r w:rsidRPr="002A0443">
        <w:rPr>
          <w:rFonts w:cs="Times New Roman"/>
          <w:szCs w:val="24"/>
        </w:rPr>
        <w:t xml:space="preserve"> </w:t>
      </w:r>
      <w:r w:rsidR="000E7A32" w:rsidRPr="002A0443">
        <w:rPr>
          <w:rFonts w:cs="Times New Roman"/>
          <w:szCs w:val="24"/>
        </w:rPr>
        <w:t xml:space="preserve">juridiksioni i depozitimit, në bazë të një marrëveshjeje të kualifikuar ndërmjet autoriteteve kompetente, depozitimi vendor nuk kërkohet. </w:t>
      </w:r>
    </w:p>
    <w:p w14:paraId="1ACBC6F8" w14:textId="523F68C3" w:rsidR="000E7A32" w:rsidRPr="002A0443" w:rsidRDefault="008725F1">
      <w:pPr>
        <w:numPr>
          <w:ilvl w:val="0"/>
          <w:numId w:val="14"/>
        </w:numPr>
        <w:tabs>
          <w:tab w:val="left" w:pos="360"/>
          <w:tab w:val="num" w:pos="450"/>
        </w:tabs>
        <w:spacing w:after="0"/>
        <w:ind w:left="450"/>
        <w:rPr>
          <w:rFonts w:cs="Times New Roman"/>
          <w:szCs w:val="24"/>
        </w:rPr>
      </w:pPr>
      <w:r w:rsidRPr="002A0443">
        <w:rPr>
          <w:rFonts w:cs="Times New Roman"/>
          <w:szCs w:val="24"/>
        </w:rPr>
        <w:t xml:space="preserve"> </w:t>
      </w:r>
      <w:r w:rsidR="000E7A32" w:rsidRPr="002A0443">
        <w:rPr>
          <w:rFonts w:cs="Times New Roman"/>
          <w:szCs w:val="24"/>
        </w:rPr>
        <w:t xml:space="preserve">Drejtoria e Përgjithshme e Tatimeve mban dhe publikon listën e juridiksioneve të depozitimit për të cilat ekziston një bazë e vlefshme për shkëmbim automatik të TTIR-së me Republikën e Shqipërisë, në përputhje me marrëveshjet e kualifikuara ndërmjet autoriteteve kompetente. </w:t>
      </w:r>
    </w:p>
    <w:p w14:paraId="169CE2F3" w14:textId="65A2E085" w:rsidR="000E7A32" w:rsidRPr="002A0443" w:rsidRDefault="008725F1">
      <w:pPr>
        <w:numPr>
          <w:ilvl w:val="0"/>
          <w:numId w:val="14"/>
        </w:numPr>
        <w:tabs>
          <w:tab w:val="left" w:pos="360"/>
          <w:tab w:val="num" w:pos="450"/>
        </w:tabs>
        <w:spacing w:after="0"/>
        <w:ind w:left="450"/>
        <w:rPr>
          <w:rFonts w:cs="Times New Roman"/>
          <w:szCs w:val="24"/>
        </w:rPr>
      </w:pPr>
      <w:r w:rsidRPr="002A0443">
        <w:rPr>
          <w:rFonts w:cs="Times New Roman"/>
          <w:szCs w:val="24"/>
        </w:rPr>
        <w:t xml:space="preserve"> </w:t>
      </w:r>
      <w:r w:rsidR="000E7A32" w:rsidRPr="002A0443">
        <w:rPr>
          <w:rFonts w:cs="Times New Roman"/>
          <w:szCs w:val="24"/>
        </w:rPr>
        <w:t xml:space="preserve">Drejtoria e Përgjithshme e Tatimeve mund të kërkojë prova që depozitimi qendror është kryer, që TTIR-ja është pranuar teknikisht ose konsiderohet e pranueshme sipas rregullave të juridiksionit të depozitimit, si dhe që juridiksioni i depozitimit do ta komunikojë atë në mënyrë automatike në përputhje me marrëveshjen e kualifikuar. </w:t>
      </w:r>
    </w:p>
    <w:p w14:paraId="1BBB495D" w14:textId="10D61276" w:rsidR="000E7A32" w:rsidRPr="002A0443" w:rsidRDefault="008725F1">
      <w:pPr>
        <w:numPr>
          <w:ilvl w:val="0"/>
          <w:numId w:val="14"/>
        </w:numPr>
        <w:tabs>
          <w:tab w:val="left" w:pos="360"/>
          <w:tab w:val="num" w:pos="450"/>
        </w:tabs>
        <w:spacing w:after="0"/>
        <w:ind w:left="450"/>
        <w:rPr>
          <w:rFonts w:cs="Times New Roman"/>
          <w:szCs w:val="24"/>
        </w:rPr>
      </w:pPr>
      <w:r w:rsidRPr="002A0443">
        <w:rPr>
          <w:rFonts w:cs="Times New Roman"/>
          <w:szCs w:val="24"/>
        </w:rPr>
        <w:t xml:space="preserve"> </w:t>
      </w:r>
      <w:r w:rsidR="000E7A32" w:rsidRPr="002A0443">
        <w:rPr>
          <w:rFonts w:cs="Times New Roman"/>
          <w:szCs w:val="24"/>
        </w:rPr>
        <w:t xml:space="preserve">Në rast dyshimi të arsyeshëm </w:t>
      </w:r>
      <w:r w:rsidR="00A67971" w:rsidRPr="002A0443">
        <w:rPr>
          <w:rFonts w:cs="Times New Roman"/>
          <w:szCs w:val="24"/>
        </w:rPr>
        <w:t>për</w:t>
      </w:r>
      <w:r w:rsidR="000E7A32" w:rsidRPr="002A0443">
        <w:rPr>
          <w:rFonts w:cs="Times New Roman"/>
          <w:szCs w:val="24"/>
        </w:rPr>
        <w:t xml:space="preserve"> mungesën e shkëmbimit automatik ose mbi mungesën e vlefshmërisë së marrëveshjes së kualifikuar, Drejtoria e Përgjithshme e Tatimeve mund të aktivizojë detyrimin për depozitim vendor sipas procedurës së përcaktuar me vendim të Këshillit të Ministrave</w:t>
      </w:r>
      <w:r w:rsidR="00A67971" w:rsidRPr="002A0443">
        <w:rPr>
          <w:rFonts w:cs="Times New Roman"/>
          <w:szCs w:val="24"/>
        </w:rPr>
        <w:t>, që nxirret në zbatim të këtij ligji</w:t>
      </w:r>
      <w:r w:rsidR="000E7A32" w:rsidRPr="002A0443">
        <w:rPr>
          <w:rFonts w:cs="Times New Roman"/>
          <w:szCs w:val="24"/>
        </w:rPr>
        <w:t>.</w:t>
      </w:r>
    </w:p>
    <w:p w14:paraId="7AE74E18" w14:textId="77777777" w:rsidR="000E7A32" w:rsidRPr="002A0443" w:rsidRDefault="000E7A32" w:rsidP="004560EC">
      <w:pPr>
        <w:spacing w:after="0"/>
        <w:rPr>
          <w:rFonts w:cs="Times New Roman"/>
          <w:b/>
          <w:szCs w:val="24"/>
          <w:lang w:val="sq-AL"/>
        </w:rPr>
      </w:pPr>
    </w:p>
    <w:p w14:paraId="0CF96F4F" w14:textId="77777777" w:rsidR="004F7A05" w:rsidRPr="002A0443" w:rsidRDefault="004F7A05" w:rsidP="004560EC">
      <w:pPr>
        <w:spacing w:after="0"/>
        <w:jc w:val="center"/>
        <w:rPr>
          <w:rFonts w:cs="Times New Roman"/>
          <w:b/>
          <w:szCs w:val="24"/>
          <w:lang w:val="sq-AL"/>
        </w:rPr>
      </w:pPr>
      <w:r w:rsidRPr="002A0443">
        <w:rPr>
          <w:rFonts w:cs="Times New Roman"/>
          <w:b/>
          <w:szCs w:val="24"/>
          <w:lang w:val="sq-AL"/>
        </w:rPr>
        <w:tab/>
        <w:t>Neni 13</w:t>
      </w:r>
    </w:p>
    <w:p w14:paraId="582FE3EB" w14:textId="77777777" w:rsidR="004F7A05" w:rsidRPr="002A0443" w:rsidRDefault="004F7A05" w:rsidP="004560EC">
      <w:pPr>
        <w:spacing w:after="0"/>
        <w:jc w:val="center"/>
        <w:rPr>
          <w:rFonts w:cs="Times New Roman"/>
          <w:b/>
          <w:szCs w:val="24"/>
          <w:lang w:val="sq-AL"/>
        </w:rPr>
      </w:pPr>
      <w:r w:rsidRPr="002A0443">
        <w:rPr>
          <w:rFonts w:cs="Times New Roman"/>
          <w:b/>
          <w:szCs w:val="24"/>
          <w:lang w:val="sq-AL"/>
        </w:rPr>
        <w:t>Përdorimi i lejuar, konfidencialiteti dhe mbrojtja e të dhënave</w:t>
      </w:r>
    </w:p>
    <w:p w14:paraId="5DA61DB8" w14:textId="5E7503EB" w:rsidR="000E7A32" w:rsidRPr="002A0443" w:rsidRDefault="000E7A32" w:rsidP="004560EC">
      <w:pPr>
        <w:tabs>
          <w:tab w:val="left" w:pos="4356"/>
        </w:tabs>
        <w:spacing w:after="0"/>
        <w:rPr>
          <w:rFonts w:cs="Times New Roman"/>
          <w:szCs w:val="24"/>
          <w:lang w:val="sq-AL"/>
        </w:rPr>
      </w:pPr>
    </w:p>
    <w:p w14:paraId="4D9417A2" w14:textId="7F8811A8" w:rsidR="00D572C9" w:rsidRPr="002A0443" w:rsidRDefault="00B821FE" w:rsidP="00876C73">
      <w:pPr>
        <w:pStyle w:val="ListParagraph"/>
        <w:numPr>
          <w:ilvl w:val="0"/>
          <w:numId w:val="21"/>
        </w:numPr>
        <w:spacing w:after="0"/>
        <w:rPr>
          <w:rFonts w:cs="Times New Roman"/>
          <w:szCs w:val="24"/>
          <w:lang w:val="sq-AL"/>
        </w:rPr>
      </w:pPr>
      <w:r w:rsidRPr="002A0443">
        <w:rPr>
          <w:rFonts w:cs="Times New Roman"/>
          <w:szCs w:val="24"/>
          <w:lang w:val="sq-AL"/>
        </w:rPr>
        <w:t>I</w:t>
      </w:r>
      <w:r w:rsidRPr="002A0443">
        <w:rPr>
          <w:rFonts w:cs="Times New Roman"/>
          <w:szCs w:val="24"/>
        </w:rPr>
        <w:t>nformacioni i marrë ose</w:t>
      </w:r>
      <w:r w:rsidR="003F6A8A" w:rsidRPr="002A0443">
        <w:rPr>
          <w:rFonts w:cs="Times New Roman"/>
          <w:szCs w:val="24"/>
        </w:rPr>
        <w:t xml:space="preserve"> </w:t>
      </w:r>
      <w:r w:rsidRPr="002A0443">
        <w:rPr>
          <w:rFonts w:cs="Times New Roman"/>
          <w:szCs w:val="24"/>
        </w:rPr>
        <w:t xml:space="preserve">i </w:t>
      </w:r>
      <w:r w:rsidR="003F6A8A" w:rsidRPr="002A0443">
        <w:rPr>
          <w:rFonts w:cs="Times New Roman"/>
          <w:szCs w:val="24"/>
        </w:rPr>
        <w:t xml:space="preserve">shkëmbyer në zbatim të </w:t>
      </w:r>
      <w:r w:rsidRPr="002A0443">
        <w:rPr>
          <w:rFonts w:cs="Times New Roman"/>
          <w:szCs w:val="24"/>
        </w:rPr>
        <w:t>këtij ligji përdoret vetëm për administrimin, zbatimin, kontrollin, analizën e riskut, mbikëqyrjen statistikore dhe funksionet e tjera zyrtare që lidhen drejtpërdrejt me zbatimin e TMBKS/QDMTT, RPA/IIR, RFN/UTPR dhe detyrimeve të tjera që rrjedhin nga Ligji për Tatimin Minimal Global.</w:t>
      </w:r>
    </w:p>
    <w:p w14:paraId="455B8C40" w14:textId="0220E4E4" w:rsidR="00D572C9" w:rsidRPr="002A0443" w:rsidRDefault="003D0B62" w:rsidP="00876C73">
      <w:pPr>
        <w:pStyle w:val="ListParagraph"/>
        <w:numPr>
          <w:ilvl w:val="0"/>
          <w:numId w:val="21"/>
        </w:numPr>
        <w:spacing w:after="0"/>
        <w:rPr>
          <w:rFonts w:cs="Times New Roman"/>
          <w:szCs w:val="24"/>
          <w:lang w:val="sq-AL"/>
        </w:rPr>
      </w:pPr>
      <w:r w:rsidRPr="002A0443">
        <w:rPr>
          <w:rFonts w:cs="Times New Roman"/>
          <w:szCs w:val="24"/>
          <w:lang w:val="sq-AL"/>
        </w:rPr>
        <w:t>Informacioni i TTIR-së trajtohet si sekret tatimor dhe mbrohet me të njëjtin nivel konfidencialiteti si informacioni i siguruar sipas legjislacionit shqiptar për procedurat tatimo</w:t>
      </w:r>
      <w:r w:rsidR="009246D2" w:rsidRPr="002A0443">
        <w:rPr>
          <w:rFonts w:cs="Times New Roman"/>
          <w:szCs w:val="24"/>
          <w:lang w:val="sq-AL"/>
        </w:rPr>
        <w:t xml:space="preserve">re dhe ligjit </w:t>
      </w:r>
      <w:r w:rsidR="003F6A8A" w:rsidRPr="002A0443">
        <w:rPr>
          <w:rFonts w:cs="Times New Roman"/>
          <w:szCs w:val="24"/>
          <w:lang w:val="sq-AL"/>
        </w:rPr>
        <w:t xml:space="preserve">për </w:t>
      </w:r>
      <w:r w:rsidR="00943F04" w:rsidRPr="002A0443">
        <w:rPr>
          <w:rFonts w:cs="Times New Roman"/>
          <w:szCs w:val="24"/>
          <w:lang w:val="sq-AL"/>
        </w:rPr>
        <w:t>t</w:t>
      </w:r>
      <w:r w:rsidR="003F6A8A" w:rsidRPr="002A0443">
        <w:rPr>
          <w:rFonts w:cs="Times New Roman"/>
          <w:szCs w:val="24"/>
          <w:lang w:val="sq-AL"/>
        </w:rPr>
        <w:t xml:space="preserve">atimin </w:t>
      </w:r>
      <w:r w:rsidR="00943F04" w:rsidRPr="002A0443">
        <w:rPr>
          <w:rFonts w:cs="Times New Roman"/>
          <w:szCs w:val="24"/>
          <w:lang w:val="sq-AL"/>
        </w:rPr>
        <w:t>m</w:t>
      </w:r>
      <w:r w:rsidR="003F6A8A" w:rsidRPr="002A0443">
        <w:rPr>
          <w:rFonts w:cs="Times New Roman"/>
          <w:szCs w:val="24"/>
          <w:lang w:val="sq-AL"/>
        </w:rPr>
        <w:t xml:space="preserve">inimal </w:t>
      </w:r>
      <w:r w:rsidR="00943F04" w:rsidRPr="002A0443">
        <w:rPr>
          <w:rFonts w:cs="Times New Roman"/>
          <w:szCs w:val="24"/>
          <w:lang w:val="sq-AL"/>
        </w:rPr>
        <w:t>g</w:t>
      </w:r>
      <w:r w:rsidR="003F6A8A" w:rsidRPr="002A0443">
        <w:rPr>
          <w:rFonts w:cs="Times New Roman"/>
          <w:szCs w:val="24"/>
          <w:lang w:val="sq-AL"/>
        </w:rPr>
        <w:t>lobal</w:t>
      </w:r>
      <w:r w:rsidRPr="002A0443">
        <w:rPr>
          <w:rFonts w:cs="Times New Roman"/>
          <w:szCs w:val="24"/>
          <w:lang w:val="sq-AL"/>
        </w:rPr>
        <w:t>.</w:t>
      </w:r>
    </w:p>
    <w:p w14:paraId="0485F4C9" w14:textId="52DC8564" w:rsidR="00C63EA2" w:rsidRPr="002A0443" w:rsidRDefault="003D0B62" w:rsidP="00876C73">
      <w:pPr>
        <w:pStyle w:val="ListParagraph"/>
        <w:numPr>
          <w:ilvl w:val="0"/>
          <w:numId w:val="21"/>
        </w:numPr>
        <w:spacing w:after="0"/>
        <w:rPr>
          <w:rFonts w:cs="Times New Roman"/>
          <w:szCs w:val="24"/>
        </w:rPr>
      </w:pPr>
      <w:r w:rsidRPr="002A0443">
        <w:rPr>
          <w:rFonts w:cs="Times New Roman"/>
          <w:szCs w:val="24"/>
          <w:lang w:val="sq-AL"/>
        </w:rPr>
        <w:t>Përpunimi i të dhënave personale sipas këtij ligji konsiderohet i nevojshëm për përmbushjen e një detyrimi ligjor dhe kryhet vetëm për qëllime të përcaktuara qartë, me masa të përshtatshme sigurie, gjurmueshmëri dhe kufizim të aksesit.</w:t>
      </w:r>
      <w:r w:rsidR="00C63EA2" w:rsidRPr="002A0443">
        <w:rPr>
          <w:rFonts w:cs="Times New Roman"/>
          <w:szCs w:val="24"/>
        </w:rPr>
        <w:t xml:space="preserve"> </w:t>
      </w:r>
    </w:p>
    <w:p w14:paraId="633BACB6" w14:textId="167D28E3" w:rsidR="00231592" w:rsidRPr="002A0443" w:rsidRDefault="00C63EA2" w:rsidP="00876C73">
      <w:pPr>
        <w:pStyle w:val="ListParagraph"/>
        <w:numPr>
          <w:ilvl w:val="0"/>
          <w:numId w:val="21"/>
        </w:numPr>
        <w:spacing w:after="0"/>
        <w:rPr>
          <w:rFonts w:cs="Times New Roman"/>
          <w:szCs w:val="24"/>
        </w:rPr>
      </w:pPr>
      <w:r w:rsidRPr="002A0443">
        <w:rPr>
          <w:rFonts w:cs="Times New Roman"/>
          <w:szCs w:val="24"/>
        </w:rPr>
        <w:t>Administrata tatimore siguron mekanizma efektivë për përdorimin, analizimin dhe monitorimin e informacionit të marrë nëpërmjet deklarimit dhe shkëmbimit automatik të TTIR.</w:t>
      </w:r>
    </w:p>
    <w:p w14:paraId="74F35847" w14:textId="258F9BB4" w:rsidR="00231592" w:rsidRPr="002A0443" w:rsidRDefault="00231592" w:rsidP="00876C73">
      <w:pPr>
        <w:pStyle w:val="ListParagraph"/>
        <w:numPr>
          <w:ilvl w:val="0"/>
          <w:numId w:val="21"/>
        </w:numPr>
        <w:spacing w:after="0"/>
        <w:rPr>
          <w:rFonts w:cs="Times New Roman"/>
          <w:szCs w:val="24"/>
          <w:lang w:val="sq-AL"/>
        </w:rPr>
      </w:pPr>
      <w:r w:rsidRPr="002A0443">
        <w:rPr>
          <w:rFonts w:cs="Times New Roman"/>
          <w:szCs w:val="24"/>
          <w:lang w:val="sq-AL"/>
        </w:rPr>
        <w:t>Komisioni Evropian mund të ketë akses vetëm në informacionin dhe në masën e parashikuar nga legjislacioni i Bashkimit Evropian</w:t>
      </w:r>
      <w:r w:rsidRPr="002A0443">
        <w:rPr>
          <w:rFonts w:cs="Times New Roman"/>
          <w:i/>
          <w:szCs w:val="24"/>
          <w:lang w:val="sq-AL"/>
        </w:rPr>
        <w:t>.</w:t>
      </w:r>
    </w:p>
    <w:p w14:paraId="202378C5" w14:textId="22B8620D" w:rsidR="001F2A4E" w:rsidRPr="002A0443" w:rsidRDefault="001F2A4E" w:rsidP="00876C73">
      <w:pPr>
        <w:pStyle w:val="ListParagraph"/>
        <w:numPr>
          <w:ilvl w:val="0"/>
          <w:numId w:val="21"/>
        </w:numPr>
        <w:spacing w:after="0"/>
        <w:rPr>
          <w:rFonts w:cs="Times New Roman"/>
          <w:szCs w:val="24"/>
        </w:rPr>
      </w:pPr>
      <w:r w:rsidRPr="002A0443">
        <w:rPr>
          <w:rFonts w:cs="Times New Roman"/>
          <w:szCs w:val="24"/>
        </w:rPr>
        <w:t>Drejtoria e Përgjithshme e Tatimeve përgatit çdo vit, statistika mbi vëllimin e shkëmbimeve automatike të informacionit, si dhe informacion mbi kostot administrative dhe kostot e tjera përkatëse, si edhe mbi përfitimet që lidhen me shkëmbimet e realizuara dhe çdo ndryshim të mundshëm që rrjedh prej tyre, si për administrat</w:t>
      </w:r>
      <w:r w:rsidR="004F7A05" w:rsidRPr="002A0443">
        <w:rPr>
          <w:rFonts w:cs="Times New Roman"/>
          <w:szCs w:val="24"/>
        </w:rPr>
        <w:t xml:space="preserve">ën </w:t>
      </w:r>
      <w:r w:rsidRPr="002A0443">
        <w:rPr>
          <w:rFonts w:cs="Times New Roman"/>
          <w:szCs w:val="24"/>
        </w:rPr>
        <w:t>tatimore ashtu edhe për palët e treta.</w:t>
      </w:r>
    </w:p>
    <w:p w14:paraId="1571A322" w14:textId="77777777" w:rsidR="00231592" w:rsidRPr="002A0443" w:rsidRDefault="00231592" w:rsidP="004560EC">
      <w:pPr>
        <w:pStyle w:val="ListParagraph"/>
        <w:spacing w:after="0"/>
        <w:rPr>
          <w:rFonts w:cs="Times New Roman"/>
          <w:szCs w:val="24"/>
          <w:lang w:val="sq-AL"/>
        </w:rPr>
      </w:pPr>
    </w:p>
    <w:p w14:paraId="342598CC" w14:textId="2F109F88" w:rsidR="00D0264C" w:rsidRPr="002A0443" w:rsidRDefault="003D0B62" w:rsidP="004560EC">
      <w:pPr>
        <w:pStyle w:val="Heading1"/>
        <w:spacing w:before="0" w:after="0"/>
        <w:rPr>
          <w:rFonts w:ascii="Times New Roman" w:eastAsia="Times New Roman" w:hAnsi="Times New Roman" w:cs="Times New Roman"/>
          <w:color w:val="auto"/>
          <w:sz w:val="24"/>
          <w:szCs w:val="24"/>
          <w:lang w:val="sq-AL"/>
        </w:rPr>
      </w:pPr>
      <w:r w:rsidRPr="002A0443">
        <w:rPr>
          <w:rFonts w:ascii="Times New Roman" w:eastAsia="Times New Roman" w:hAnsi="Times New Roman" w:cs="Times New Roman"/>
          <w:color w:val="auto"/>
          <w:sz w:val="24"/>
          <w:szCs w:val="24"/>
          <w:lang w:val="sq-AL"/>
        </w:rPr>
        <w:t>KREU IV</w:t>
      </w:r>
    </w:p>
    <w:p w14:paraId="2E426DC0" w14:textId="40706D80" w:rsidR="00D572C9" w:rsidRPr="002A0443" w:rsidRDefault="003D0B62" w:rsidP="004560EC">
      <w:pPr>
        <w:pStyle w:val="Heading1"/>
        <w:spacing w:before="0" w:after="0"/>
        <w:rPr>
          <w:rFonts w:ascii="Times New Roman" w:eastAsia="Times New Roman" w:hAnsi="Times New Roman" w:cs="Times New Roman"/>
          <w:color w:val="auto"/>
          <w:sz w:val="24"/>
          <w:szCs w:val="24"/>
          <w:lang w:val="sq-AL"/>
        </w:rPr>
      </w:pPr>
      <w:r w:rsidRPr="002A0443">
        <w:rPr>
          <w:rFonts w:ascii="Times New Roman" w:eastAsia="Times New Roman" w:hAnsi="Times New Roman" w:cs="Times New Roman"/>
          <w:color w:val="auto"/>
          <w:sz w:val="24"/>
          <w:szCs w:val="24"/>
          <w:lang w:val="sq-AL"/>
        </w:rPr>
        <w:t>ADMINISTRIMI DHE ZBATIMI</w:t>
      </w:r>
    </w:p>
    <w:p w14:paraId="17C11A7D" w14:textId="77777777" w:rsidR="005513D2" w:rsidRPr="002A0443" w:rsidRDefault="005513D2" w:rsidP="005513D2">
      <w:pPr>
        <w:rPr>
          <w:rFonts w:cs="Times New Roman"/>
          <w:szCs w:val="24"/>
          <w:lang w:val="sq-AL"/>
        </w:rPr>
      </w:pPr>
    </w:p>
    <w:p w14:paraId="384CD009" w14:textId="77777777" w:rsidR="004B4622" w:rsidRPr="002A0443" w:rsidRDefault="004B4622" w:rsidP="004560EC">
      <w:pPr>
        <w:shd w:val="clear" w:color="auto" w:fill="FFFFFF"/>
        <w:spacing w:after="0" w:line="240" w:lineRule="auto"/>
        <w:jc w:val="center"/>
        <w:textAlignment w:val="baseline"/>
        <w:rPr>
          <w:rFonts w:cs="Times New Roman"/>
          <w:b/>
          <w:bCs/>
          <w:szCs w:val="24"/>
        </w:rPr>
      </w:pPr>
      <w:r w:rsidRPr="002A0443">
        <w:rPr>
          <w:rFonts w:cs="Times New Roman"/>
          <w:b/>
          <w:bCs/>
          <w:szCs w:val="24"/>
        </w:rPr>
        <w:lastRenderedPageBreak/>
        <w:t>Neni 14</w:t>
      </w:r>
      <w:r w:rsidRPr="002A0443">
        <w:rPr>
          <w:rFonts w:cs="Times New Roman"/>
          <w:szCs w:val="24"/>
        </w:rPr>
        <w:br/>
      </w:r>
      <w:r w:rsidRPr="002A0443">
        <w:rPr>
          <w:rFonts w:cs="Times New Roman"/>
          <w:b/>
          <w:bCs/>
          <w:szCs w:val="24"/>
        </w:rPr>
        <w:t>Autoriteti kompetent</w:t>
      </w:r>
    </w:p>
    <w:p w14:paraId="3DEB088F" w14:textId="77777777" w:rsidR="005513D2" w:rsidRPr="002A0443" w:rsidRDefault="005513D2" w:rsidP="004560EC">
      <w:pPr>
        <w:shd w:val="clear" w:color="auto" w:fill="FFFFFF"/>
        <w:spacing w:after="0" w:line="240" w:lineRule="auto"/>
        <w:jc w:val="center"/>
        <w:textAlignment w:val="baseline"/>
        <w:rPr>
          <w:rFonts w:cs="Times New Roman"/>
          <w:szCs w:val="24"/>
        </w:rPr>
      </w:pPr>
    </w:p>
    <w:p w14:paraId="75D5C3C8" w14:textId="231E9517" w:rsidR="004B4622" w:rsidRPr="002A0443" w:rsidRDefault="004B4622">
      <w:pPr>
        <w:pStyle w:val="ListParagraph"/>
        <w:numPr>
          <w:ilvl w:val="0"/>
          <w:numId w:val="19"/>
        </w:numPr>
        <w:shd w:val="clear" w:color="auto" w:fill="FFFFFF"/>
        <w:spacing w:after="0" w:line="240" w:lineRule="auto"/>
        <w:rPr>
          <w:rFonts w:cs="Times New Roman"/>
          <w:szCs w:val="24"/>
        </w:rPr>
      </w:pPr>
      <w:r w:rsidRPr="002A0443">
        <w:rPr>
          <w:rFonts w:cs="Times New Roman"/>
          <w:szCs w:val="24"/>
        </w:rPr>
        <w:t>Drejtoria e Përgjithshme e Tatimeve caktohet si autoriteti kompetent për zbatimin e këtij ligji.</w:t>
      </w:r>
    </w:p>
    <w:p w14:paraId="24C4D0AF" w14:textId="466565DA" w:rsidR="004B4622" w:rsidRPr="002A0443" w:rsidRDefault="007B0C09">
      <w:pPr>
        <w:pStyle w:val="ListParagraph"/>
        <w:numPr>
          <w:ilvl w:val="0"/>
          <w:numId w:val="19"/>
        </w:numPr>
        <w:shd w:val="clear" w:color="auto" w:fill="FFFFFF"/>
        <w:spacing w:after="0" w:line="240" w:lineRule="auto"/>
        <w:rPr>
          <w:rFonts w:cs="Times New Roman"/>
          <w:szCs w:val="24"/>
        </w:rPr>
      </w:pPr>
      <w:r w:rsidRPr="002A0443">
        <w:rPr>
          <w:rFonts w:cs="Times New Roman"/>
          <w:szCs w:val="24"/>
        </w:rPr>
        <w:t>Drejtoria e Përgjithshme e Tatimeve</w:t>
      </w:r>
      <w:r w:rsidR="004B4622" w:rsidRPr="002A0443">
        <w:rPr>
          <w:rFonts w:cs="Times New Roman"/>
          <w:szCs w:val="24"/>
        </w:rPr>
        <w:t xml:space="preserve"> administron dhe përdor informacionin TTIR për qëllimet e përcaktuara në këtë ligj.</w:t>
      </w:r>
    </w:p>
    <w:p w14:paraId="7E251B76" w14:textId="77777777" w:rsidR="005513D2" w:rsidRPr="002A0443" w:rsidRDefault="005513D2" w:rsidP="007B0C09">
      <w:pPr>
        <w:pStyle w:val="ListParagraph"/>
        <w:shd w:val="clear" w:color="auto" w:fill="FFFFFF"/>
        <w:spacing w:after="0" w:line="240" w:lineRule="auto"/>
        <w:ind w:left="450"/>
        <w:rPr>
          <w:rFonts w:cs="Times New Roman"/>
          <w:szCs w:val="24"/>
        </w:rPr>
      </w:pPr>
    </w:p>
    <w:p w14:paraId="4A7F3A0C" w14:textId="4F9DA61C" w:rsidR="00D572C9" w:rsidRPr="002A0443" w:rsidRDefault="003D0B62" w:rsidP="004560EC">
      <w:pPr>
        <w:pStyle w:val="Heading2"/>
        <w:spacing w:before="0"/>
        <w:rPr>
          <w:rFonts w:ascii="Times New Roman" w:hAnsi="Times New Roman" w:cs="Times New Roman"/>
          <w:color w:val="auto"/>
          <w:szCs w:val="24"/>
          <w:lang w:val="sq-AL"/>
        </w:rPr>
      </w:pPr>
      <w:r w:rsidRPr="002A0443">
        <w:rPr>
          <w:rFonts w:ascii="Times New Roman" w:eastAsia="Times New Roman" w:hAnsi="Times New Roman" w:cs="Times New Roman"/>
          <w:color w:val="auto"/>
          <w:szCs w:val="24"/>
          <w:lang w:val="sq-AL"/>
        </w:rPr>
        <w:t>Neni 1</w:t>
      </w:r>
      <w:r w:rsidR="004A123C" w:rsidRPr="002A0443">
        <w:rPr>
          <w:rFonts w:ascii="Times New Roman" w:eastAsia="Times New Roman" w:hAnsi="Times New Roman" w:cs="Times New Roman"/>
          <w:color w:val="auto"/>
          <w:szCs w:val="24"/>
          <w:lang w:val="sq-AL"/>
        </w:rPr>
        <w:t>5</w:t>
      </w:r>
    </w:p>
    <w:p w14:paraId="02761FFB" w14:textId="5FEE5B89" w:rsidR="00CA36BE" w:rsidRPr="002A0443" w:rsidRDefault="003D0B62" w:rsidP="004560EC">
      <w:pPr>
        <w:pStyle w:val="Heading3"/>
        <w:spacing w:after="0"/>
        <w:rPr>
          <w:rFonts w:ascii="Times New Roman" w:eastAsia="Times New Roman" w:hAnsi="Times New Roman" w:cs="Times New Roman"/>
          <w:color w:val="auto"/>
          <w:szCs w:val="24"/>
          <w:lang w:val="sq-AL"/>
        </w:rPr>
      </w:pPr>
      <w:r w:rsidRPr="002A0443">
        <w:rPr>
          <w:rFonts w:ascii="Times New Roman" w:eastAsia="Times New Roman" w:hAnsi="Times New Roman" w:cs="Times New Roman"/>
          <w:color w:val="auto"/>
          <w:szCs w:val="24"/>
          <w:lang w:val="sq-AL"/>
        </w:rPr>
        <w:t>Kontrollet, kërkesat për informacion dhe verifikimet</w:t>
      </w:r>
    </w:p>
    <w:p w14:paraId="150FEF04" w14:textId="77777777" w:rsidR="005513D2" w:rsidRPr="002A0443" w:rsidRDefault="005513D2" w:rsidP="005513D2">
      <w:pPr>
        <w:rPr>
          <w:rFonts w:cs="Times New Roman"/>
          <w:szCs w:val="24"/>
          <w:lang w:val="sq-AL"/>
        </w:rPr>
      </w:pPr>
    </w:p>
    <w:p w14:paraId="08B599CF" w14:textId="0DC82666" w:rsidR="00CA36BE" w:rsidRPr="002A0443" w:rsidRDefault="00CA36BE">
      <w:pPr>
        <w:numPr>
          <w:ilvl w:val="0"/>
          <w:numId w:val="15"/>
        </w:numPr>
        <w:spacing w:after="0"/>
        <w:rPr>
          <w:rFonts w:cs="Times New Roman"/>
          <w:szCs w:val="24"/>
        </w:rPr>
      </w:pPr>
      <w:r w:rsidRPr="002A0443">
        <w:rPr>
          <w:rFonts w:cs="Times New Roman"/>
          <w:szCs w:val="24"/>
        </w:rPr>
        <w:t xml:space="preserve">Drejtoria e Përgjithshme e Tatimeve ka të drejtë të verifikojë saktësinë dhe plotësinë e njoftimeve, TTIR-ve dhe korrigjimeve, si dhe përputhshmërinë e tyre me ligjin për tatimin minimal efektiv, këtë ligj dhe aktet zbatuese përkatëse. </w:t>
      </w:r>
    </w:p>
    <w:p w14:paraId="39DA4177" w14:textId="3B8482EA" w:rsidR="00CA36BE" w:rsidRPr="002A0443" w:rsidRDefault="00CA36BE">
      <w:pPr>
        <w:numPr>
          <w:ilvl w:val="0"/>
          <w:numId w:val="15"/>
        </w:numPr>
        <w:spacing w:after="0"/>
        <w:rPr>
          <w:rFonts w:cs="Times New Roman"/>
          <w:szCs w:val="24"/>
        </w:rPr>
      </w:pPr>
      <w:r w:rsidRPr="002A0443">
        <w:rPr>
          <w:rFonts w:cs="Times New Roman"/>
          <w:szCs w:val="24"/>
        </w:rPr>
        <w:t xml:space="preserve">Drejtoria e Përgjithshme e Tatimeve mund të kërkojë dokumente, regjistra, prova të klasifikimit të entiteteve, pasqyra financiare të konsoliduara, shënime shpjeguese, evidenca të zgjedhjeve sipas rregullave të tatimit minimal efektiv dhe çdo provë tjetër relevante. </w:t>
      </w:r>
    </w:p>
    <w:p w14:paraId="050E4399" w14:textId="77777777" w:rsidR="00CA36BE" w:rsidRPr="002A0443" w:rsidRDefault="00CA36BE">
      <w:pPr>
        <w:numPr>
          <w:ilvl w:val="0"/>
          <w:numId w:val="15"/>
        </w:numPr>
        <w:spacing w:after="0"/>
        <w:rPr>
          <w:rFonts w:cs="Times New Roman"/>
          <w:szCs w:val="24"/>
        </w:rPr>
      </w:pPr>
      <w:r w:rsidRPr="002A0443">
        <w:rPr>
          <w:rFonts w:cs="Times New Roman"/>
          <w:szCs w:val="24"/>
        </w:rPr>
        <w:t xml:space="preserve">Entitetet raportuese, kur është e mundur, mund të verifikojnë nëpërmjet mjeteve elektronike vlefshmërinë e numrit të identifikimit tatimor (TIN) të tatimpaguesve, vetëm për qëllime të sigurimit të saktësisë së të dhënave të raportuara. </w:t>
      </w:r>
    </w:p>
    <w:p w14:paraId="0F43F2D1" w14:textId="76B7B105" w:rsidR="00CA36BE" w:rsidRPr="002A0443" w:rsidRDefault="00CA36BE">
      <w:pPr>
        <w:numPr>
          <w:ilvl w:val="0"/>
          <w:numId w:val="15"/>
        </w:numPr>
        <w:spacing w:after="0"/>
        <w:rPr>
          <w:rFonts w:cs="Times New Roman"/>
          <w:szCs w:val="24"/>
        </w:rPr>
      </w:pPr>
      <w:r w:rsidRPr="002A0443">
        <w:rPr>
          <w:rFonts w:cs="Times New Roman"/>
          <w:szCs w:val="24"/>
        </w:rPr>
        <w:t xml:space="preserve">Kur kontrolli në Republikën e Shqipërisë tregon se TTIR-ja e depozituar ose e marrë </w:t>
      </w:r>
      <w:r w:rsidR="00B95BEF" w:rsidRPr="002A0443">
        <w:rPr>
          <w:rFonts w:cs="Times New Roman"/>
          <w:szCs w:val="24"/>
        </w:rPr>
        <w:t>përmes</w:t>
      </w:r>
      <w:r w:rsidRPr="002A0443">
        <w:rPr>
          <w:rFonts w:cs="Times New Roman"/>
          <w:szCs w:val="24"/>
        </w:rPr>
        <w:t xml:space="preserve"> shkëmbim</w:t>
      </w:r>
      <w:r w:rsidR="00B95BEF" w:rsidRPr="002A0443">
        <w:rPr>
          <w:rFonts w:cs="Times New Roman"/>
          <w:szCs w:val="24"/>
        </w:rPr>
        <w:t>it</w:t>
      </w:r>
      <w:r w:rsidRPr="002A0443">
        <w:rPr>
          <w:rFonts w:cs="Times New Roman"/>
          <w:szCs w:val="24"/>
        </w:rPr>
        <w:t xml:space="preserve"> automatik është e pasaktë, Drejtoria e Përgjithshme e Tatimeve kërkon korrigjimin e saj sipas rregullave të përcaktuara në </w:t>
      </w:r>
      <w:r w:rsidR="00B95BEF" w:rsidRPr="002A0443">
        <w:rPr>
          <w:rFonts w:cs="Times New Roman"/>
          <w:szCs w:val="24"/>
        </w:rPr>
        <w:t xml:space="preserve">vendimin e Këshillit të Ministrave që nxirret në zbatim të këtij ligji </w:t>
      </w:r>
      <w:r w:rsidRPr="002A0443">
        <w:rPr>
          <w:rFonts w:cs="Times New Roman"/>
          <w:szCs w:val="24"/>
        </w:rPr>
        <w:t>dhe, kur është e nevojshme, komunikon me autoritetet kompetente të shteteve të tjera anëtare nëpërmjet mekanizmave të shkëmbimit automatik të informacionit.</w:t>
      </w:r>
    </w:p>
    <w:p w14:paraId="73934150" w14:textId="77777777" w:rsidR="00CA36BE" w:rsidRPr="002A0443" w:rsidRDefault="00CA36BE" w:rsidP="004560EC">
      <w:pPr>
        <w:spacing w:after="0"/>
        <w:rPr>
          <w:rFonts w:cs="Times New Roman"/>
          <w:szCs w:val="24"/>
          <w:lang w:val="sq-AL"/>
        </w:rPr>
      </w:pPr>
    </w:p>
    <w:p w14:paraId="1B2BB32B" w14:textId="787EB392" w:rsidR="0070680D" w:rsidRPr="002A0443" w:rsidRDefault="0070680D" w:rsidP="004560EC">
      <w:pPr>
        <w:pStyle w:val="Heading2"/>
        <w:spacing w:before="0"/>
        <w:rPr>
          <w:rFonts w:ascii="Times New Roman" w:hAnsi="Times New Roman" w:cs="Times New Roman"/>
          <w:color w:val="auto"/>
          <w:szCs w:val="24"/>
        </w:rPr>
      </w:pPr>
      <w:r w:rsidRPr="002A0443">
        <w:rPr>
          <w:rFonts w:ascii="Times New Roman" w:hAnsi="Times New Roman" w:cs="Times New Roman"/>
          <w:color w:val="auto"/>
          <w:szCs w:val="24"/>
        </w:rPr>
        <w:t>Neni 16</w:t>
      </w:r>
    </w:p>
    <w:p w14:paraId="48236F89" w14:textId="2B70A30B" w:rsidR="0070680D" w:rsidRPr="002A0443" w:rsidRDefault="0070680D" w:rsidP="004560EC">
      <w:pPr>
        <w:pStyle w:val="Heading2"/>
        <w:spacing w:before="0"/>
        <w:rPr>
          <w:rFonts w:ascii="Times New Roman" w:hAnsi="Times New Roman" w:cs="Times New Roman"/>
          <w:color w:val="auto"/>
          <w:szCs w:val="24"/>
        </w:rPr>
      </w:pPr>
      <w:r w:rsidRPr="002A0443">
        <w:rPr>
          <w:rFonts w:ascii="Times New Roman" w:hAnsi="Times New Roman" w:cs="Times New Roman"/>
          <w:color w:val="auto"/>
          <w:szCs w:val="24"/>
        </w:rPr>
        <w:t>Sanksionet administrative</w:t>
      </w:r>
    </w:p>
    <w:p w14:paraId="0FEB8254" w14:textId="77777777" w:rsidR="005513D2" w:rsidRPr="002A0443" w:rsidRDefault="005513D2" w:rsidP="005513D2">
      <w:pPr>
        <w:rPr>
          <w:rFonts w:cs="Times New Roman"/>
          <w:szCs w:val="24"/>
        </w:rPr>
      </w:pPr>
    </w:p>
    <w:p w14:paraId="61FCEE9F" w14:textId="547AD47C" w:rsidR="00976316" w:rsidRPr="002A0443" w:rsidRDefault="00976316">
      <w:pPr>
        <w:pStyle w:val="ListParagraph"/>
        <w:numPr>
          <w:ilvl w:val="0"/>
          <w:numId w:val="22"/>
        </w:numPr>
        <w:spacing w:after="0" w:line="240" w:lineRule="auto"/>
        <w:rPr>
          <w:rFonts w:cs="Times New Roman"/>
          <w:szCs w:val="24"/>
          <w:lang w:val="sq-AL"/>
        </w:rPr>
      </w:pPr>
      <w:r w:rsidRPr="002A0443">
        <w:rPr>
          <w:rFonts w:cs="Times New Roman"/>
          <w:szCs w:val="24"/>
          <w:lang w:val="sq-AL"/>
        </w:rPr>
        <w:t xml:space="preserve">Shkeljet e detyrimeve të parashikuara në këtë ligj përbëjnë kundërvajtje administrative dhe sanksionohen sipas legjislacionit në fuqi për procedurat tatimore dhe Ligjit </w:t>
      </w:r>
      <w:r w:rsidR="00D1686B">
        <w:rPr>
          <w:rFonts w:cs="Times New Roman"/>
          <w:szCs w:val="24"/>
          <w:lang w:val="sq-AL"/>
        </w:rPr>
        <w:t>“</w:t>
      </w:r>
      <w:r w:rsidRPr="002A0443">
        <w:rPr>
          <w:rFonts w:cs="Times New Roman"/>
          <w:szCs w:val="24"/>
          <w:lang w:val="sq-AL"/>
        </w:rPr>
        <w:t>Për sigurimin e një niveli minimal global të tatimit për grupet e shoqërive shumëkombëshe dhe grupet e mëdha vendase</w:t>
      </w:r>
      <w:r w:rsidR="00D1686B">
        <w:rPr>
          <w:rFonts w:cs="Times New Roman"/>
          <w:szCs w:val="24"/>
          <w:lang w:val="sq-AL"/>
        </w:rPr>
        <w:t>”</w:t>
      </w:r>
      <w:r w:rsidRPr="002A0443">
        <w:rPr>
          <w:rFonts w:cs="Times New Roman"/>
          <w:szCs w:val="24"/>
          <w:lang w:val="sq-AL"/>
        </w:rPr>
        <w:t>, për aq sa janë të zbatueshme.</w:t>
      </w:r>
    </w:p>
    <w:p w14:paraId="3F5B3A01" w14:textId="6B20500C" w:rsidR="00976316" w:rsidRPr="002A0443" w:rsidRDefault="00976316">
      <w:pPr>
        <w:pStyle w:val="ListParagraph"/>
        <w:numPr>
          <w:ilvl w:val="0"/>
          <w:numId w:val="22"/>
        </w:numPr>
        <w:spacing w:after="0" w:line="240" w:lineRule="auto"/>
        <w:rPr>
          <w:rFonts w:cs="Times New Roman"/>
          <w:szCs w:val="24"/>
          <w:lang w:val="sq-AL"/>
        </w:rPr>
      </w:pPr>
      <w:r w:rsidRPr="002A0443">
        <w:rPr>
          <w:rFonts w:cs="Times New Roman"/>
          <w:szCs w:val="24"/>
          <w:lang w:val="sq-AL"/>
        </w:rPr>
        <w:t>Procedura e konstatimit, shqyrtimit, vendosjes dhe ekzekutimit të sanksioneve kryhet sipas legjislacionit për procedurat tatimore.</w:t>
      </w:r>
    </w:p>
    <w:p w14:paraId="7CD21ACA" w14:textId="6F49A30E" w:rsidR="008F4B58" w:rsidRPr="002A0443" w:rsidRDefault="008F4B58">
      <w:pPr>
        <w:pStyle w:val="ListParagraph"/>
        <w:numPr>
          <w:ilvl w:val="0"/>
          <w:numId w:val="22"/>
        </w:numPr>
        <w:spacing w:after="0" w:line="240" w:lineRule="auto"/>
        <w:rPr>
          <w:rFonts w:cs="Times New Roman"/>
          <w:i/>
          <w:szCs w:val="24"/>
          <w:lang w:val="sq-AL"/>
        </w:rPr>
      </w:pPr>
      <w:r w:rsidRPr="002A0443">
        <w:rPr>
          <w:rFonts w:cs="Times New Roman"/>
          <w:szCs w:val="24"/>
          <w:lang w:val="sq-AL"/>
        </w:rPr>
        <w:t>Kur e njëjta mospërmbushje përbën njëkohësisht shkelje sipas këtij ligji dhe sipas Ligjit për Tatimin Minimal Global, nuk vendosen dy masa administrative për të njëjtin fakt; zbatohet vetëm dispozita më e posaçme ose, kur kjo nuk është e qartë, dispozita që sanksionon drejt</w:t>
      </w:r>
      <w:r w:rsidR="009B5A82" w:rsidRPr="002A0443">
        <w:rPr>
          <w:rFonts w:cs="Times New Roman"/>
          <w:szCs w:val="24"/>
          <w:lang w:val="sq-AL"/>
        </w:rPr>
        <w:t>përdrejt detyrimin kryesor të cë</w:t>
      </w:r>
      <w:r w:rsidRPr="002A0443">
        <w:rPr>
          <w:rFonts w:cs="Times New Roman"/>
          <w:szCs w:val="24"/>
          <w:lang w:val="sq-AL"/>
        </w:rPr>
        <w:t>nuar</w:t>
      </w:r>
      <w:r w:rsidRPr="002A0443">
        <w:rPr>
          <w:rFonts w:cs="Times New Roman"/>
          <w:i/>
          <w:szCs w:val="24"/>
          <w:lang w:val="sq-AL"/>
        </w:rPr>
        <w:t xml:space="preserve">. </w:t>
      </w:r>
    </w:p>
    <w:p w14:paraId="76E73BFB" w14:textId="77777777" w:rsidR="00A457C3" w:rsidRPr="002A0443" w:rsidRDefault="00A457C3" w:rsidP="004560EC">
      <w:pPr>
        <w:pStyle w:val="Heading2"/>
        <w:spacing w:before="0"/>
        <w:rPr>
          <w:rFonts w:ascii="Times New Roman" w:eastAsia="Times New Roman" w:hAnsi="Times New Roman" w:cs="Times New Roman"/>
          <w:color w:val="auto"/>
          <w:szCs w:val="24"/>
          <w:lang w:val="sq-AL"/>
        </w:rPr>
      </w:pPr>
    </w:p>
    <w:p w14:paraId="4B510833" w14:textId="2903191D" w:rsidR="00D572C9" w:rsidRPr="002A0443" w:rsidRDefault="003D0B62" w:rsidP="004560EC">
      <w:pPr>
        <w:pStyle w:val="Heading2"/>
        <w:spacing w:before="0"/>
        <w:rPr>
          <w:rFonts w:ascii="Times New Roman" w:hAnsi="Times New Roman" w:cs="Times New Roman"/>
          <w:color w:val="auto"/>
          <w:szCs w:val="24"/>
          <w:lang w:val="sq-AL"/>
        </w:rPr>
      </w:pPr>
      <w:r w:rsidRPr="002A0443">
        <w:rPr>
          <w:rFonts w:ascii="Times New Roman" w:eastAsia="Times New Roman" w:hAnsi="Times New Roman" w:cs="Times New Roman"/>
          <w:color w:val="auto"/>
          <w:szCs w:val="24"/>
          <w:lang w:val="sq-AL"/>
        </w:rPr>
        <w:t>Neni 1</w:t>
      </w:r>
      <w:r w:rsidR="004A123C" w:rsidRPr="002A0443">
        <w:rPr>
          <w:rFonts w:ascii="Times New Roman" w:eastAsia="Times New Roman" w:hAnsi="Times New Roman" w:cs="Times New Roman"/>
          <w:color w:val="auto"/>
          <w:szCs w:val="24"/>
          <w:lang w:val="sq-AL"/>
        </w:rPr>
        <w:t>7</w:t>
      </w:r>
    </w:p>
    <w:p w14:paraId="7EB468E9" w14:textId="6D8E215E" w:rsidR="00D572C9" w:rsidRPr="002A0443" w:rsidRDefault="0057013F" w:rsidP="004560EC">
      <w:pPr>
        <w:pStyle w:val="Heading3"/>
        <w:spacing w:after="0"/>
        <w:rPr>
          <w:rFonts w:ascii="Times New Roman" w:eastAsia="Times New Roman" w:hAnsi="Times New Roman" w:cs="Times New Roman"/>
          <w:color w:val="auto"/>
          <w:szCs w:val="24"/>
          <w:lang w:val="sq-AL"/>
        </w:rPr>
      </w:pPr>
      <w:r w:rsidRPr="002A0443">
        <w:rPr>
          <w:rFonts w:ascii="Times New Roman" w:eastAsia="Times New Roman" w:hAnsi="Times New Roman" w:cs="Times New Roman"/>
          <w:color w:val="auto"/>
          <w:szCs w:val="24"/>
          <w:lang w:val="sq-AL"/>
        </w:rPr>
        <w:t>Aktet nënligjore dhe rregullat e zbatimit</w:t>
      </w:r>
      <w:r w:rsidR="003D0B62" w:rsidRPr="002A0443">
        <w:rPr>
          <w:rFonts w:ascii="Times New Roman" w:eastAsia="Times New Roman" w:hAnsi="Times New Roman" w:cs="Times New Roman"/>
          <w:color w:val="auto"/>
          <w:szCs w:val="24"/>
          <w:lang w:val="sq-AL"/>
        </w:rPr>
        <w:t xml:space="preserve"> </w:t>
      </w:r>
    </w:p>
    <w:p w14:paraId="00A30951" w14:textId="77777777" w:rsidR="00ED4D75" w:rsidRPr="002A0443" w:rsidRDefault="00ED4D75" w:rsidP="004560EC">
      <w:pPr>
        <w:spacing w:after="0"/>
        <w:rPr>
          <w:rFonts w:cs="Times New Roman"/>
          <w:szCs w:val="24"/>
          <w:lang w:val="sq-AL"/>
        </w:rPr>
      </w:pPr>
    </w:p>
    <w:p w14:paraId="17E955D2" w14:textId="304DE0AE" w:rsidR="00ED4D75" w:rsidRPr="002A0443" w:rsidRDefault="00FB7593" w:rsidP="005513D2">
      <w:pPr>
        <w:spacing w:after="0"/>
        <w:rPr>
          <w:rFonts w:cs="Times New Roman"/>
          <w:szCs w:val="24"/>
          <w:lang w:val="sq-AL"/>
        </w:rPr>
      </w:pPr>
      <w:r w:rsidRPr="002A0443">
        <w:rPr>
          <w:rFonts w:cs="Times New Roman"/>
          <w:szCs w:val="24"/>
        </w:rPr>
        <w:lastRenderedPageBreak/>
        <w:t>Ngarkohet Këshilli i Minist</w:t>
      </w:r>
      <w:r w:rsidR="00984C87" w:rsidRPr="002A0443">
        <w:rPr>
          <w:rFonts w:cs="Times New Roman"/>
          <w:szCs w:val="24"/>
        </w:rPr>
        <w:t>rave të nxjerrë vendimin</w:t>
      </w:r>
      <w:r w:rsidRPr="002A0443">
        <w:rPr>
          <w:rFonts w:cs="Times New Roman"/>
          <w:szCs w:val="24"/>
        </w:rPr>
        <w:t xml:space="preserve"> në zbatim të këtij ligji </w:t>
      </w:r>
      <w:r w:rsidR="00ED4D75" w:rsidRPr="002A0443">
        <w:rPr>
          <w:rFonts w:cs="Times New Roman"/>
          <w:szCs w:val="24"/>
        </w:rPr>
        <w:t xml:space="preserve">brenda dy viteve nga hyrja në fuqi e </w:t>
      </w:r>
      <w:r w:rsidRPr="002A0443">
        <w:rPr>
          <w:rFonts w:cs="Times New Roman"/>
          <w:szCs w:val="24"/>
        </w:rPr>
        <w:t xml:space="preserve">tij. </w:t>
      </w:r>
    </w:p>
    <w:p w14:paraId="320301DE" w14:textId="06D2F779" w:rsidR="0057013F" w:rsidRPr="002A0443" w:rsidRDefault="0057013F" w:rsidP="004560EC">
      <w:pPr>
        <w:spacing w:after="0"/>
        <w:rPr>
          <w:rFonts w:cs="Times New Roman"/>
          <w:szCs w:val="24"/>
          <w:lang w:val="sq-AL"/>
        </w:rPr>
      </w:pPr>
    </w:p>
    <w:p w14:paraId="666C9081" w14:textId="032DDC72" w:rsidR="00926EB2" w:rsidRPr="002A0443" w:rsidRDefault="00E21CC1" w:rsidP="004560EC">
      <w:pPr>
        <w:spacing w:after="0"/>
        <w:jc w:val="center"/>
        <w:rPr>
          <w:rFonts w:cs="Times New Roman"/>
          <w:b/>
          <w:szCs w:val="24"/>
          <w:lang w:val="sq-AL"/>
        </w:rPr>
      </w:pPr>
      <w:r w:rsidRPr="002A0443">
        <w:rPr>
          <w:rFonts w:cs="Times New Roman"/>
          <w:b/>
          <w:szCs w:val="24"/>
          <w:lang w:val="sq-AL"/>
        </w:rPr>
        <w:t>Neni 18</w:t>
      </w:r>
    </w:p>
    <w:p w14:paraId="6AC5A0D7" w14:textId="77777777" w:rsidR="00FC7AF5" w:rsidRPr="002A0443" w:rsidRDefault="00FC7AF5" w:rsidP="004560EC">
      <w:pPr>
        <w:spacing w:after="0" w:line="300" w:lineRule="atLeast"/>
        <w:jc w:val="center"/>
        <w:rPr>
          <w:rFonts w:cs="Times New Roman"/>
          <w:b/>
          <w:szCs w:val="24"/>
        </w:rPr>
      </w:pPr>
      <w:r w:rsidRPr="002A0443">
        <w:rPr>
          <w:rFonts w:cs="Times New Roman"/>
          <w:b/>
          <w:szCs w:val="24"/>
        </w:rPr>
        <w:t>Dispozita kalimtare për TTIR</w:t>
      </w:r>
    </w:p>
    <w:p w14:paraId="116EB531" w14:textId="01220E52" w:rsidR="00E21CC1" w:rsidRPr="002A0443" w:rsidRDefault="00E21CC1" w:rsidP="004560EC">
      <w:pPr>
        <w:spacing w:after="0"/>
        <w:jc w:val="left"/>
        <w:rPr>
          <w:rFonts w:cs="Times New Roman"/>
          <w:b/>
          <w:szCs w:val="24"/>
          <w:lang w:val="sq-AL"/>
        </w:rPr>
      </w:pPr>
    </w:p>
    <w:p w14:paraId="61995F66" w14:textId="36E406E8" w:rsidR="00ED4D75" w:rsidRPr="002A0443" w:rsidRDefault="00D23AC7">
      <w:pPr>
        <w:pStyle w:val="ListParagraph"/>
        <w:numPr>
          <w:ilvl w:val="0"/>
          <w:numId w:val="16"/>
        </w:numPr>
        <w:spacing w:after="0"/>
        <w:rPr>
          <w:rFonts w:cs="Times New Roman"/>
          <w:szCs w:val="24"/>
          <w:lang w:val="sq-AL"/>
        </w:rPr>
      </w:pPr>
      <w:r w:rsidRPr="002A0443">
        <w:rPr>
          <w:rFonts w:cs="Times New Roman"/>
          <w:szCs w:val="24"/>
          <w:lang w:val="sq-AL"/>
        </w:rPr>
        <w:t xml:space="preserve">Viti i parë fiskal raportues për qëllime të këtij ligji është </w:t>
      </w:r>
      <w:r w:rsidR="00ED4D75" w:rsidRPr="002A0443">
        <w:rPr>
          <w:rFonts w:cs="Times New Roman"/>
          <w:szCs w:val="24"/>
        </w:rPr>
        <w:t>viti fiskal që fillon në ose pas datës së anëtarësimit të Republikës së Shqipërisë në Bashkimin Evropian.</w:t>
      </w:r>
    </w:p>
    <w:p w14:paraId="65942687" w14:textId="73035323" w:rsidR="009915B4" w:rsidRPr="002A0443" w:rsidRDefault="00EC2B62">
      <w:pPr>
        <w:pStyle w:val="ListParagraph"/>
        <w:numPr>
          <w:ilvl w:val="0"/>
          <w:numId w:val="16"/>
        </w:numPr>
        <w:spacing w:after="0"/>
        <w:rPr>
          <w:rFonts w:cs="Times New Roman"/>
          <w:szCs w:val="24"/>
          <w:lang w:val="sq-AL"/>
        </w:rPr>
      </w:pPr>
      <w:r w:rsidRPr="002A0443">
        <w:rPr>
          <w:rFonts w:cs="Times New Roman"/>
          <w:bCs/>
          <w:szCs w:val="24"/>
        </w:rPr>
        <w:t xml:space="preserve">Shkëmbimi i informacionit për Deklaratën Informative të Tatimit Shtesë (TTIR) për vitin e parë raportues kryhet jo më vonë se 6 (gjashtë) muaj pas përfundimit të afatit të depozitimit për këtë vit fiskal. </w:t>
      </w:r>
    </w:p>
    <w:p w14:paraId="5FC975CA" w14:textId="342ECF35" w:rsidR="00CE0A92" w:rsidRPr="002A0443" w:rsidRDefault="00EC2B62">
      <w:pPr>
        <w:pStyle w:val="ListParagraph"/>
        <w:numPr>
          <w:ilvl w:val="0"/>
          <w:numId w:val="16"/>
        </w:numPr>
        <w:spacing w:after="0"/>
        <w:rPr>
          <w:rFonts w:cs="Times New Roman"/>
          <w:szCs w:val="24"/>
          <w:lang w:val="sq-AL"/>
        </w:rPr>
      </w:pPr>
      <w:r w:rsidRPr="002A0443">
        <w:rPr>
          <w:rFonts w:cs="Times New Roman"/>
          <w:bCs/>
          <w:szCs w:val="24"/>
        </w:rPr>
        <w:t>Në çdo rast, shkëmbimi i parë i informacionit sipas këtij ligji nuk kryhet më herët</w:t>
      </w:r>
      <w:r w:rsidR="00273B57" w:rsidRPr="002A0443">
        <w:rPr>
          <w:rFonts w:cs="Times New Roman"/>
          <w:bCs/>
          <w:szCs w:val="24"/>
        </w:rPr>
        <w:t xml:space="preserve"> se </w:t>
      </w:r>
      <w:r w:rsidR="00CE0A92" w:rsidRPr="002A0443">
        <w:rPr>
          <w:rFonts w:cs="Times New Roman"/>
          <w:szCs w:val="24"/>
          <w:lang w:val="sq-AL"/>
        </w:rPr>
        <w:t>data e anëtarësimit të Shqipërisë në Bashkimin Evropian, në përputhje me Traktatin e Anëtarësimit.</w:t>
      </w:r>
    </w:p>
    <w:p w14:paraId="6A5276A3" w14:textId="185DE7D9" w:rsidR="009915B4" w:rsidRPr="002A0443" w:rsidRDefault="009915B4" w:rsidP="004560EC">
      <w:pPr>
        <w:pStyle w:val="ListParagraph"/>
        <w:spacing w:after="0"/>
        <w:rPr>
          <w:rFonts w:cs="Times New Roman"/>
          <w:szCs w:val="24"/>
          <w:lang w:val="sq-AL"/>
        </w:rPr>
      </w:pPr>
    </w:p>
    <w:p w14:paraId="143FFD9E" w14:textId="4A16DE14" w:rsidR="00273B57" w:rsidRPr="002A0443" w:rsidRDefault="00273B57" w:rsidP="009B3A42">
      <w:pPr>
        <w:spacing w:after="0"/>
        <w:jc w:val="center"/>
        <w:rPr>
          <w:rFonts w:cs="Times New Roman"/>
          <w:b/>
          <w:szCs w:val="24"/>
          <w:lang w:val="sq-AL"/>
        </w:rPr>
      </w:pPr>
      <w:r w:rsidRPr="002A0443">
        <w:rPr>
          <w:rFonts w:cs="Times New Roman"/>
          <w:b/>
          <w:szCs w:val="24"/>
          <w:lang w:val="sq-AL"/>
        </w:rPr>
        <w:t>Neni 19</w:t>
      </w:r>
    </w:p>
    <w:p w14:paraId="426590BA" w14:textId="720DBE07" w:rsidR="00046859" w:rsidRPr="002A0443" w:rsidRDefault="00046859" w:rsidP="009B3A42">
      <w:pPr>
        <w:spacing w:after="0"/>
        <w:contextualSpacing/>
        <w:jc w:val="center"/>
        <w:rPr>
          <w:rFonts w:eastAsiaTheme="minorEastAsia" w:cs="Times New Roman"/>
          <w:b/>
          <w:szCs w:val="24"/>
          <w:lang w:val="sq-AL"/>
        </w:rPr>
      </w:pPr>
      <w:r w:rsidRPr="002A0443">
        <w:rPr>
          <w:rFonts w:eastAsiaTheme="minorEastAsia" w:cs="Times New Roman"/>
          <w:b/>
          <w:szCs w:val="24"/>
          <w:lang w:val="sq-AL"/>
        </w:rPr>
        <w:t>Hyrja në fuqi</w:t>
      </w:r>
    </w:p>
    <w:p w14:paraId="44A5A920" w14:textId="77777777" w:rsidR="00D4667C" w:rsidRPr="002A0443" w:rsidRDefault="00D4667C" w:rsidP="004560EC">
      <w:pPr>
        <w:spacing w:after="0"/>
        <w:ind w:left="3600" w:firstLine="720"/>
        <w:contextualSpacing/>
        <w:rPr>
          <w:rFonts w:eastAsiaTheme="minorEastAsia" w:cs="Times New Roman"/>
          <w:b/>
          <w:szCs w:val="24"/>
          <w:lang w:val="sq-AL"/>
        </w:rPr>
      </w:pPr>
    </w:p>
    <w:p w14:paraId="5ED333FE" w14:textId="5A668E57" w:rsidR="007245C4" w:rsidRPr="002A0443" w:rsidRDefault="00ED4D75" w:rsidP="00D4667C">
      <w:pPr>
        <w:spacing w:after="0"/>
        <w:rPr>
          <w:rFonts w:cs="Times New Roman"/>
          <w:szCs w:val="24"/>
          <w:lang w:val="sq-AL"/>
        </w:rPr>
      </w:pPr>
      <w:r w:rsidRPr="002A0443">
        <w:rPr>
          <w:rFonts w:cs="Times New Roman"/>
          <w:szCs w:val="24"/>
        </w:rPr>
        <w:t>Ky ligj hyn në fuqi 15 ditë pas publikimit të tij në Fletoren Zyrtare dhe dispozitat e tij fillojnë të zbatohen më 1 janar të vitit fiskal që fillon në ose pas datës së anëtarësimit të Republikës së Shqipërisë në Bashkimin Evropian.</w:t>
      </w:r>
    </w:p>
    <w:p w14:paraId="42B87F3F" w14:textId="4C45EA9A" w:rsidR="00D572C9" w:rsidRPr="002A0443" w:rsidRDefault="00D572C9" w:rsidP="004560EC">
      <w:pPr>
        <w:spacing w:after="0"/>
        <w:rPr>
          <w:rFonts w:cs="Times New Roman"/>
          <w:szCs w:val="24"/>
          <w:lang w:val="sq-AL"/>
        </w:rPr>
      </w:pPr>
    </w:p>
    <w:sectPr w:rsidR="00D572C9" w:rsidRPr="002A0443" w:rsidSect="004560EC">
      <w:footerReference w:type="default" r:id="rId9"/>
      <w:pgSz w:w="11907" w:h="16840" w:code="9"/>
      <w:pgMar w:top="1440" w:right="1440" w:bottom="1440" w:left="144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991C3" w14:textId="77777777" w:rsidR="0075311C" w:rsidRDefault="0075311C">
      <w:pPr>
        <w:spacing w:after="0" w:line="240" w:lineRule="auto"/>
      </w:pPr>
      <w:r>
        <w:separator/>
      </w:r>
    </w:p>
  </w:endnote>
  <w:endnote w:type="continuationSeparator" w:id="0">
    <w:p w14:paraId="0952D9F0" w14:textId="77777777" w:rsidR="0075311C" w:rsidRDefault="0075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880899"/>
      <w:docPartObj>
        <w:docPartGallery w:val="Page Numbers (Bottom of Page)"/>
        <w:docPartUnique/>
      </w:docPartObj>
    </w:sdtPr>
    <w:sdtEndPr>
      <w:rPr>
        <w:noProof/>
      </w:rPr>
    </w:sdtEndPr>
    <w:sdtContent>
      <w:p w14:paraId="120B72D3" w14:textId="11783B40" w:rsidR="004560EC" w:rsidRDefault="004560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5C1528" w14:textId="24209BF3" w:rsidR="00D572C9" w:rsidRDefault="00D572C9" w:rsidP="00D0264C">
    <w:pPr>
      <w:pStyle w:val="Footer"/>
      <w:tabs>
        <w:tab w:val="clear" w:pos="4680"/>
        <w:tab w:val="center" w:pos="142"/>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39707" w14:textId="77777777" w:rsidR="0075311C" w:rsidRDefault="0075311C">
      <w:pPr>
        <w:spacing w:after="0" w:line="240" w:lineRule="auto"/>
      </w:pPr>
      <w:r>
        <w:separator/>
      </w:r>
    </w:p>
  </w:footnote>
  <w:footnote w:type="continuationSeparator" w:id="0">
    <w:p w14:paraId="0C666025" w14:textId="77777777" w:rsidR="0075311C" w:rsidRDefault="0075311C">
      <w:pPr>
        <w:spacing w:after="0" w:line="240" w:lineRule="auto"/>
      </w:pPr>
      <w:r>
        <w:continuationSeparator/>
      </w:r>
    </w:p>
  </w:footnote>
  <w:footnote w:id="1">
    <w:p w14:paraId="32568E79" w14:textId="23FC5D77" w:rsidR="009E074F" w:rsidRPr="009E074F" w:rsidRDefault="009E074F">
      <w:pPr>
        <w:pStyle w:val="FootnoteText"/>
        <w:rPr>
          <w:lang w:val="sq-AL"/>
        </w:rPr>
      </w:pPr>
      <w:r>
        <w:rPr>
          <w:rStyle w:val="FootnoteReference"/>
        </w:rPr>
        <w:footnoteRef/>
      </w:r>
      <w:r>
        <w:t xml:space="preserve"> </w:t>
      </w:r>
      <w:r w:rsidRPr="009E074F">
        <w:t xml:space="preserve">Ky ligj është përafruar plotësisht me Direktivën e Këshillit (BE) 2025/872, të datës 14 prill 2025, </w:t>
      </w:r>
      <w:r w:rsidR="00D1686B">
        <w:t>“</w:t>
      </w:r>
      <w:r w:rsidRPr="009E074F">
        <w:t>Për ndryshimin e Direktivës 2011/16/BE mbi bashkëpunimin administrativ në fushën e tatimeve</w:t>
      </w:r>
      <w:r w:rsidR="00D1686B">
        <w:t>”</w:t>
      </w:r>
      <w:r w:rsidRPr="009E074F">
        <w:t>. Numri CELEX 32025L0872, Fletorja Zyrtare e Bashkimit Evropian, seria L, datë 6.5.2025.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7F862F3"/>
    <w:multiLevelType w:val="hybridMultilevel"/>
    <w:tmpl w:val="A5DA1D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150B22"/>
    <w:multiLevelType w:val="hybridMultilevel"/>
    <w:tmpl w:val="F9C8292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A4464EF"/>
    <w:multiLevelType w:val="multilevel"/>
    <w:tmpl w:val="FE50D1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BB114F1"/>
    <w:multiLevelType w:val="multilevel"/>
    <w:tmpl w:val="600ADAF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309C192F"/>
    <w:multiLevelType w:val="multilevel"/>
    <w:tmpl w:val="9B6AC4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8177A90"/>
    <w:multiLevelType w:val="hybridMultilevel"/>
    <w:tmpl w:val="0B90CD28"/>
    <w:lvl w:ilvl="0" w:tplc="0409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2" w15:restartNumberingAfterBreak="0">
    <w:nsid w:val="479A13E0"/>
    <w:multiLevelType w:val="multilevel"/>
    <w:tmpl w:val="43C2C5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03A0C3C"/>
    <w:multiLevelType w:val="hybridMultilevel"/>
    <w:tmpl w:val="BDA02102"/>
    <w:lvl w:ilvl="0" w:tplc="7986A9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39470C"/>
    <w:multiLevelType w:val="hybridMultilevel"/>
    <w:tmpl w:val="366ADE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166C56"/>
    <w:multiLevelType w:val="multilevel"/>
    <w:tmpl w:val="BC965D7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6" w15:restartNumberingAfterBreak="0">
    <w:nsid w:val="61C76430"/>
    <w:multiLevelType w:val="multilevel"/>
    <w:tmpl w:val="B378B766"/>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67492B2C"/>
    <w:multiLevelType w:val="hybridMultilevel"/>
    <w:tmpl w:val="E10C37E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6A8B2030"/>
    <w:multiLevelType w:val="multilevel"/>
    <w:tmpl w:val="10C49C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6AF16ADC"/>
    <w:multiLevelType w:val="multilevel"/>
    <w:tmpl w:val="919A23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6D1C2BE7"/>
    <w:multiLevelType w:val="multilevel"/>
    <w:tmpl w:val="C964BB1A"/>
    <w:lvl w:ilvl="0">
      <w:start w:val="1"/>
      <w:numFmt w:val="decimal"/>
      <w:lvlText w:val="%1."/>
      <w:lvlJc w:val="left"/>
      <w:pPr>
        <w:tabs>
          <w:tab w:val="num" w:pos="360"/>
        </w:tabs>
        <w:ind w:left="360" w:hanging="360"/>
      </w:pPr>
      <w:rPr>
        <w:color w:val="000000" w:themeColor="text1"/>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0FD6A34"/>
    <w:multiLevelType w:val="hybridMultilevel"/>
    <w:tmpl w:val="9CA293F4"/>
    <w:lvl w:ilvl="0" w:tplc="A3C67710">
      <w:start w:val="1"/>
      <w:numFmt w:val="decimal"/>
      <w:lvlText w:val="%1."/>
      <w:lvlJc w:val="left"/>
      <w:pPr>
        <w:ind w:left="450" w:hanging="360"/>
      </w:pPr>
      <w:rPr>
        <w:rFonts w:hint="default"/>
        <w:i w:val="0"/>
        <w:i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78D60C7C"/>
    <w:multiLevelType w:val="multilevel"/>
    <w:tmpl w:val="3AECC3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401103785">
    <w:abstractNumId w:val="5"/>
  </w:num>
  <w:num w:numId="2" w16cid:durableId="1901743537">
    <w:abstractNumId w:val="3"/>
  </w:num>
  <w:num w:numId="3" w16cid:durableId="2015640917">
    <w:abstractNumId w:val="2"/>
  </w:num>
  <w:num w:numId="4" w16cid:durableId="430317974">
    <w:abstractNumId w:val="4"/>
  </w:num>
  <w:num w:numId="5" w16cid:durableId="1974871729">
    <w:abstractNumId w:val="1"/>
  </w:num>
  <w:num w:numId="6" w16cid:durableId="1789154582">
    <w:abstractNumId w:val="0"/>
  </w:num>
  <w:num w:numId="7" w16cid:durableId="1247180438">
    <w:abstractNumId w:val="9"/>
  </w:num>
  <w:num w:numId="8" w16cid:durableId="723456629">
    <w:abstractNumId w:val="19"/>
  </w:num>
  <w:num w:numId="9" w16cid:durableId="1133600641">
    <w:abstractNumId w:val="16"/>
  </w:num>
  <w:num w:numId="10" w16cid:durableId="1832402956">
    <w:abstractNumId w:val="18"/>
  </w:num>
  <w:num w:numId="11" w16cid:durableId="241918413">
    <w:abstractNumId w:val="10"/>
  </w:num>
  <w:num w:numId="12" w16cid:durableId="243035228">
    <w:abstractNumId w:val="22"/>
  </w:num>
  <w:num w:numId="13" w16cid:durableId="1912498299">
    <w:abstractNumId w:val="12"/>
  </w:num>
  <w:num w:numId="14" w16cid:durableId="1959138110">
    <w:abstractNumId w:val="20"/>
  </w:num>
  <w:num w:numId="15" w16cid:durableId="325938343">
    <w:abstractNumId w:val="15"/>
  </w:num>
  <w:num w:numId="16" w16cid:durableId="733357191">
    <w:abstractNumId w:val="13"/>
  </w:num>
  <w:num w:numId="17" w16cid:durableId="1151602072">
    <w:abstractNumId w:val="11"/>
  </w:num>
  <w:num w:numId="18" w16cid:durableId="108361847">
    <w:abstractNumId w:val="8"/>
  </w:num>
  <w:num w:numId="19" w16cid:durableId="933973475">
    <w:abstractNumId w:val="17"/>
  </w:num>
  <w:num w:numId="20" w16cid:durableId="528880535">
    <w:abstractNumId w:val="14"/>
  </w:num>
  <w:num w:numId="21" w16cid:durableId="1562869146">
    <w:abstractNumId w:val="7"/>
  </w:num>
  <w:num w:numId="22" w16cid:durableId="1851483992">
    <w:abstractNumId w:val="21"/>
  </w:num>
  <w:num w:numId="23" w16cid:durableId="2098478921">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0DDD"/>
    <w:rsid w:val="000062E0"/>
    <w:rsid w:val="000063A2"/>
    <w:rsid w:val="0001269F"/>
    <w:rsid w:val="0002306F"/>
    <w:rsid w:val="0002602A"/>
    <w:rsid w:val="00034616"/>
    <w:rsid w:val="00046859"/>
    <w:rsid w:val="0006063C"/>
    <w:rsid w:val="00083547"/>
    <w:rsid w:val="000A4233"/>
    <w:rsid w:val="000B6C7E"/>
    <w:rsid w:val="000C421D"/>
    <w:rsid w:val="000D0826"/>
    <w:rsid w:val="000E7A32"/>
    <w:rsid w:val="000F511A"/>
    <w:rsid w:val="0010587F"/>
    <w:rsid w:val="00117785"/>
    <w:rsid w:val="0013475C"/>
    <w:rsid w:val="00137246"/>
    <w:rsid w:val="00145A1C"/>
    <w:rsid w:val="0015074B"/>
    <w:rsid w:val="001523C2"/>
    <w:rsid w:val="00155FF0"/>
    <w:rsid w:val="00163DA8"/>
    <w:rsid w:val="0016565B"/>
    <w:rsid w:val="00186F92"/>
    <w:rsid w:val="001921E0"/>
    <w:rsid w:val="001A1BD7"/>
    <w:rsid w:val="001A3FD8"/>
    <w:rsid w:val="001A69E0"/>
    <w:rsid w:val="001B0524"/>
    <w:rsid w:val="001B26C5"/>
    <w:rsid w:val="001B61F3"/>
    <w:rsid w:val="001C1532"/>
    <w:rsid w:val="001C61FD"/>
    <w:rsid w:val="001D59A1"/>
    <w:rsid w:val="001D7D28"/>
    <w:rsid w:val="001E7991"/>
    <w:rsid w:val="001F1532"/>
    <w:rsid w:val="001F2A4E"/>
    <w:rsid w:val="0020628B"/>
    <w:rsid w:val="00213088"/>
    <w:rsid w:val="002212DF"/>
    <w:rsid w:val="00231592"/>
    <w:rsid w:val="00244E39"/>
    <w:rsid w:val="00246461"/>
    <w:rsid w:val="00251AF0"/>
    <w:rsid w:val="002662BF"/>
    <w:rsid w:val="00273B57"/>
    <w:rsid w:val="002945F3"/>
    <w:rsid w:val="0029639D"/>
    <w:rsid w:val="002967E1"/>
    <w:rsid w:val="002A0443"/>
    <w:rsid w:val="002B29FB"/>
    <w:rsid w:val="002E61A7"/>
    <w:rsid w:val="002F27C9"/>
    <w:rsid w:val="002F797D"/>
    <w:rsid w:val="00326F90"/>
    <w:rsid w:val="00354203"/>
    <w:rsid w:val="00354AB7"/>
    <w:rsid w:val="003625A0"/>
    <w:rsid w:val="00364A92"/>
    <w:rsid w:val="00376AC9"/>
    <w:rsid w:val="00376BC8"/>
    <w:rsid w:val="0038577A"/>
    <w:rsid w:val="00397D74"/>
    <w:rsid w:val="003A60A7"/>
    <w:rsid w:val="003B2992"/>
    <w:rsid w:val="003B37CD"/>
    <w:rsid w:val="003B42EF"/>
    <w:rsid w:val="003B61E4"/>
    <w:rsid w:val="003D0B62"/>
    <w:rsid w:val="003D212C"/>
    <w:rsid w:val="003F1676"/>
    <w:rsid w:val="003F6A8A"/>
    <w:rsid w:val="00414D61"/>
    <w:rsid w:val="0043386E"/>
    <w:rsid w:val="004363BE"/>
    <w:rsid w:val="004421DB"/>
    <w:rsid w:val="0045475E"/>
    <w:rsid w:val="004560EC"/>
    <w:rsid w:val="004757A4"/>
    <w:rsid w:val="00484B56"/>
    <w:rsid w:val="004910A2"/>
    <w:rsid w:val="00493D44"/>
    <w:rsid w:val="00497F0A"/>
    <w:rsid w:val="004A123C"/>
    <w:rsid w:val="004A136D"/>
    <w:rsid w:val="004B4622"/>
    <w:rsid w:val="004C1907"/>
    <w:rsid w:val="004D2802"/>
    <w:rsid w:val="004E74AE"/>
    <w:rsid w:val="004E7D4E"/>
    <w:rsid w:val="004F4D89"/>
    <w:rsid w:val="004F64DA"/>
    <w:rsid w:val="004F7A05"/>
    <w:rsid w:val="00513C5A"/>
    <w:rsid w:val="00520E50"/>
    <w:rsid w:val="00525675"/>
    <w:rsid w:val="00534771"/>
    <w:rsid w:val="005407FB"/>
    <w:rsid w:val="00543A7B"/>
    <w:rsid w:val="00545F3F"/>
    <w:rsid w:val="0054665E"/>
    <w:rsid w:val="005477B8"/>
    <w:rsid w:val="00550296"/>
    <w:rsid w:val="00550CD6"/>
    <w:rsid w:val="005513D2"/>
    <w:rsid w:val="0057013F"/>
    <w:rsid w:val="005A346D"/>
    <w:rsid w:val="005A7601"/>
    <w:rsid w:val="005B5952"/>
    <w:rsid w:val="005B7E30"/>
    <w:rsid w:val="005D07DB"/>
    <w:rsid w:val="005E66A2"/>
    <w:rsid w:val="005F297F"/>
    <w:rsid w:val="005F77E0"/>
    <w:rsid w:val="006072D6"/>
    <w:rsid w:val="006106A0"/>
    <w:rsid w:val="0062345C"/>
    <w:rsid w:val="00630798"/>
    <w:rsid w:val="00634496"/>
    <w:rsid w:val="00641AD1"/>
    <w:rsid w:val="00655C7A"/>
    <w:rsid w:val="0067054A"/>
    <w:rsid w:val="006728A8"/>
    <w:rsid w:val="00697DE5"/>
    <w:rsid w:val="006A082D"/>
    <w:rsid w:val="006A59E7"/>
    <w:rsid w:val="006A7888"/>
    <w:rsid w:val="006C2829"/>
    <w:rsid w:val="006D0393"/>
    <w:rsid w:val="006D0E33"/>
    <w:rsid w:val="006D6107"/>
    <w:rsid w:val="006F45EE"/>
    <w:rsid w:val="007041A6"/>
    <w:rsid w:val="0070680D"/>
    <w:rsid w:val="00712721"/>
    <w:rsid w:val="007135BA"/>
    <w:rsid w:val="00714881"/>
    <w:rsid w:val="00722B44"/>
    <w:rsid w:val="00724513"/>
    <w:rsid w:val="007245C4"/>
    <w:rsid w:val="00727AA2"/>
    <w:rsid w:val="00746B13"/>
    <w:rsid w:val="0075311C"/>
    <w:rsid w:val="00753D96"/>
    <w:rsid w:val="00757CE8"/>
    <w:rsid w:val="00760674"/>
    <w:rsid w:val="00761FEF"/>
    <w:rsid w:val="0076699F"/>
    <w:rsid w:val="00775149"/>
    <w:rsid w:val="007755B2"/>
    <w:rsid w:val="00786C3A"/>
    <w:rsid w:val="00791CF5"/>
    <w:rsid w:val="007A1FF2"/>
    <w:rsid w:val="007B0C09"/>
    <w:rsid w:val="007C073E"/>
    <w:rsid w:val="007E7F93"/>
    <w:rsid w:val="007F1A1F"/>
    <w:rsid w:val="0080044F"/>
    <w:rsid w:val="008048CF"/>
    <w:rsid w:val="0081445E"/>
    <w:rsid w:val="00835C46"/>
    <w:rsid w:val="00835E95"/>
    <w:rsid w:val="0085423F"/>
    <w:rsid w:val="00855D47"/>
    <w:rsid w:val="00863D03"/>
    <w:rsid w:val="008725F1"/>
    <w:rsid w:val="00876C73"/>
    <w:rsid w:val="00877A11"/>
    <w:rsid w:val="00883C84"/>
    <w:rsid w:val="008A2AF8"/>
    <w:rsid w:val="008B4619"/>
    <w:rsid w:val="008B66E0"/>
    <w:rsid w:val="008D3441"/>
    <w:rsid w:val="008D76E2"/>
    <w:rsid w:val="008E1A84"/>
    <w:rsid w:val="008F0B91"/>
    <w:rsid w:val="008F4B58"/>
    <w:rsid w:val="00921FDD"/>
    <w:rsid w:val="009246D2"/>
    <w:rsid w:val="00926EB2"/>
    <w:rsid w:val="00930A81"/>
    <w:rsid w:val="00930B70"/>
    <w:rsid w:val="00943F04"/>
    <w:rsid w:val="009506EC"/>
    <w:rsid w:val="00950F79"/>
    <w:rsid w:val="00951811"/>
    <w:rsid w:val="00953EB4"/>
    <w:rsid w:val="00954E4D"/>
    <w:rsid w:val="009616AE"/>
    <w:rsid w:val="00961846"/>
    <w:rsid w:val="00976316"/>
    <w:rsid w:val="009834C2"/>
    <w:rsid w:val="00984C5D"/>
    <w:rsid w:val="00984C87"/>
    <w:rsid w:val="009915B4"/>
    <w:rsid w:val="00992B6B"/>
    <w:rsid w:val="009A26AF"/>
    <w:rsid w:val="009A79EE"/>
    <w:rsid w:val="009B3A42"/>
    <w:rsid w:val="009B5A82"/>
    <w:rsid w:val="009B5E24"/>
    <w:rsid w:val="009B6BB5"/>
    <w:rsid w:val="009C122D"/>
    <w:rsid w:val="009C149E"/>
    <w:rsid w:val="009D4FBB"/>
    <w:rsid w:val="009E074F"/>
    <w:rsid w:val="009E4AB2"/>
    <w:rsid w:val="009F5292"/>
    <w:rsid w:val="00A015C4"/>
    <w:rsid w:val="00A04448"/>
    <w:rsid w:val="00A07802"/>
    <w:rsid w:val="00A14D3E"/>
    <w:rsid w:val="00A1507C"/>
    <w:rsid w:val="00A31593"/>
    <w:rsid w:val="00A346C2"/>
    <w:rsid w:val="00A43697"/>
    <w:rsid w:val="00A457C3"/>
    <w:rsid w:val="00A604F7"/>
    <w:rsid w:val="00A664C1"/>
    <w:rsid w:val="00A6676C"/>
    <w:rsid w:val="00A67971"/>
    <w:rsid w:val="00A71D1D"/>
    <w:rsid w:val="00A9579A"/>
    <w:rsid w:val="00AA17DB"/>
    <w:rsid w:val="00AA1D8D"/>
    <w:rsid w:val="00AA3DE5"/>
    <w:rsid w:val="00AB34E8"/>
    <w:rsid w:val="00AB4C67"/>
    <w:rsid w:val="00AC353B"/>
    <w:rsid w:val="00AC578D"/>
    <w:rsid w:val="00AD0903"/>
    <w:rsid w:val="00AE438E"/>
    <w:rsid w:val="00AF0DF8"/>
    <w:rsid w:val="00AF55DC"/>
    <w:rsid w:val="00B04588"/>
    <w:rsid w:val="00B177A2"/>
    <w:rsid w:val="00B20E49"/>
    <w:rsid w:val="00B21C27"/>
    <w:rsid w:val="00B2441E"/>
    <w:rsid w:val="00B47730"/>
    <w:rsid w:val="00B679BC"/>
    <w:rsid w:val="00B821FE"/>
    <w:rsid w:val="00B82555"/>
    <w:rsid w:val="00B91E0F"/>
    <w:rsid w:val="00B95BEF"/>
    <w:rsid w:val="00B96A4A"/>
    <w:rsid w:val="00B96ED9"/>
    <w:rsid w:val="00BA0FE5"/>
    <w:rsid w:val="00BA1917"/>
    <w:rsid w:val="00BA46F7"/>
    <w:rsid w:val="00BB2CF2"/>
    <w:rsid w:val="00BC225B"/>
    <w:rsid w:val="00BD49A7"/>
    <w:rsid w:val="00BE3482"/>
    <w:rsid w:val="00C32455"/>
    <w:rsid w:val="00C57418"/>
    <w:rsid w:val="00C61F26"/>
    <w:rsid w:val="00C62028"/>
    <w:rsid w:val="00C63EA2"/>
    <w:rsid w:val="00C7533A"/>
    <w:rsid w:val="00C92736"/>
    <w:rsid w:val="00CA152E"/>
    <w:rsid w:val="00CA36BE"/>
    <w:rsid w:val="00CB0664"/>
    <w:rsid w:val="00CB5E31"/>
    <w:rsid w:val="00CC39C7"/>
    <w:rsid w:val="00CE0A92"/>
    <w:rsid w:val="00CE19C3"/>
    <w:rsid w:val="00CE2C91"/>
    <w:rsid w:val="00CE7541"/>
    <w:rsid w:val="00CF3AF6"/>
    <w:rsid w:val="00CF7B5E"/>
    <w:rsid w:val="00D0264C"/>
    <w:rsid w:val="00D04472"/>
    <w:rsid w:val="00D13815"/>
    <w:rsid w:val="00D1686B"/>
    <w:rsid w:val="00D20C5E"/>
    <w:rsid w:val="00D23AC7"/>
    <w:rsid w:val="00D35E1C"/>
    <w:rsid w:val="00D379F1"/>
    <w:rsid w:val="00D42E0F"/>
    <w:rsid w:val="00D4667C"/>
    <w:rsid w:val="00D572C9"/>
    <w:rsid w:val="00D70FBD"/>
    <w:rsid w:val="00D75641"/>
    <w:rsid w:val="00D82D0B"/>
    <w:rsid w:val="00D871B8"/>
    <w:rsid w:val="00D946C0"/>
    <w:rsid w:val="00DD09A1"/>
    <w:rsid w:val="00DF490A"/>
    <w:rsid w:val="00E036D1"/>
    <w:rsid w:val="00E15981"/>
    <w:rsid w:val="00E21CC1"/>
    <w:rsid w:val="00E227FD"/>
    <w:rsid w:val="00E324F2"/>
    <w:rsid w:val="00E70ADC"/>
    <w:rsid w:val="00E77DB5"/>
    <w:rsid w:val="00E8324B"/>
    <w:rsid w:val="00E859B9"/>
    <w:rsid w:val="00E9177F"/>
    <w:rsid w:val="00EA74FB"/>
    <w:rsid w:val="00EC2B62"/>
    <w:rsid w:val="00ED4D75"/>
    <w:rsid w:val="00ED75A4"/>
    <w:rsid w:val="00EE0141"/>
    <w:rsid w:val="00EE22CD"/>
    <w:rsid w:val="00F02C46"/>
    <w:rsid w:val="00F31594"/>
    <w:rsid w:val="00F41EFB"/>
    <w:rsid w:val="00F42107"/>
    <w:rsid w:val="00F511D4"/>
    <w:rsid w:val="00F63AA4"/>
    <w:rsid w:val="00F73AF6"/>
    <w:rsid w:val="00F87347"/>
    <w:rsid w:val="00FA33DA"/>
    <w:rsid w:val="00FB7593"/>
    <w:rsid w:val="00FC693F"/>
    <w:rsid w:val="00FC7AF5"/>
    <w:rsid w:val="00FD4CF3"/>
    <w:rsid w:val="00FD4EC9"/>
    <w:rsid w:val="00FF5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D33BA2"/>
  <w14:defaultImageDpi w14:val="300"/>
  <w15:docId w15:val="{BCD79AB2-0D42-4808-9F97-1A55EE06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jc w:val="both"/>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240"/>
      <w:jc w:val="center"/>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jc w:val="center"/>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jc w:val="center"/>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jc w:val="center"/>
    </w:pPr>
    <w:rPr>
      <w:rFonts w:asciiTheme="majorHAnsi" w:eastAsiaTheme="majorEastAsia" w:hAnsiTheme="majorHAnsi" w:cstheme="majorBidi"/>
      <w:b/>
      <w:color w:val="17365D" w:themeColor="text2" w:themeShade="BF"/>
      <w:spacing w:val="5"/>
      <w:kern w:val="28"/>
      <w:sz w:val="3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sselectedend">
    <w:name w:val="isselectedend"/>
    <w:basedOn w:val="Normal"/>
    <w:rsid w:val="00525675"/>
    <w:pPr>
      <w:spacing w:before="100" w:beforeAutospacing="1" w:after="100" w:afterAutospacing="1" w:line="240" w:lineRule="auto"/>
      <w:jc w:val="left"/>
    </w:pPr>
    <w:rPr>
      <w:rFonts w:cs="Times New Roman"/>
      <w:szCs w:val="24"/>
    </w:rPr>
  </w:style>
  <w:style w:type="paragraph" w:styleId="NormalWeb">
    <w:name w:val="Normal (Web)"/>
    <w:basedOn w:val="Normal"/>
    <w:uiPriority w:val="99"/>
    <w:semiHidden/>
    <w:unhideWhenUsed/>
    <w:rsid w:val="00246461"/>
    <w:pPr>
      <w:spacing w:before="100" w:beforeAutospacing="1" w:after="100" w:afterAutospacing="1" w:line="240" w:lineRule="auto"/>
      <w:jc w:val="left"/>
    </w:pPr>
    <w:rPr>
      <w:rFonts w:cs="Times New Roman"/>
      <w:szCs w:val="24"/>
    </w:rPr>
  </w:style>
  <w:style w:type="paragraph" w:styleId="FootnoteText">
    <w:name w:val="footnote text"/>
    <w:basedOn w:val="Normal"/>
    <w:link w:val="FootnoteTextChar"/>
    <w:uiPriority w:val="99"/>
    <w:semiHidden/>
    <w:unhideWhenUsed/>
    <w:rsid w:val="009E07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74F"/>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9E07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4588">
      <w:bodyDiv w:val="1"/>
      <w:marLeft w:val="0"/>
      <w:marRight w:val="0"/>
      <w:marTop w:val="0"/>
      <w:marBottom w:val="0"/>
      <w:divBdr>
        <w:top w:val="none" w:sz="0" w:space="0" w:color="auto"/>
        <w:left w:val="none" w:sz="0" w:space="0" w:color="auto"/>
        <w:bottom w:val="none" w:sz="0" w:space="0" w:color="auto"/>
        <w:right w:val="none" w:sz="0" w:space="0" w:color="auto"/>
      </w:divBdr>
    </w:div>
    <w:div w:id="456988839">
      <w:bodyDiv w:val="1"/>
      <w:marLeft w:val="0"/>
      <w:marRight w:val="0"/>
      <w:marTop w:val="0"/>
      <w:marBottom w:val="0"/>
      <w:divBdr>
        <w:top w:val="none" w:sz="0" w:space="0" w:color="auto"/>
        <w:left w:val="none" w:sz="0" w:space="0" w:color="auto"/>
        <w:bottom w:val="none" w:sz="0" w:space="0" w:color="auto"/>
        <w:right w:val="none" w:sz="0" w:space="0" w:color="auto"/>
      </w:divBdr>
    </w:div>
    <w:div w:id="761143915">
      <w:bodyDiv w:val="1"/>
      <w:marLeft w:val="0"/>
      <w:marRight w:val="0"/>
      <w:marTop w:val="0"/>
      <w:marBottom w:val="0"/>
      <w:divBdr>
        <w:top w:val="none" w:sz="0" w:space="0" w:color="auto"/>
        <w:left w:val="none" w:sz="0" w:space="0" w:color="auto"/>
        <w:bottom w:val="none" w:sz="0" w:space="0" w:color="auto"/>
        <w:right w:val="none" w:sz="0" w:space="0" w:color="auto"/>
      </w:divBdr>
      <w:divsChild>
        <w:div w:id="1567378598">
          <w:marLeft w:val="0"/>
          <w:marRight w:val="0"/>
          <w:marTop w:val="0"/>
          <w:marBottom w:val="0"/>
          <w:divBdr>
            <w:top w:val="none" w:sz="0" w:space="0" w:color="auto"/>
            <w:left w:val="none" w:sz="0" w:space="0" w:color="auto"/>
            <w:bottom w:val="none" w:sz="0" w:space="0" w:color="auto"/>
            <w:right w:val="none" w:sz="0" w:space="0" w:color="auto"/>
          </w:divBdr>
        </w:div>
      </w:divsChild>
    </w:div>
    <w:div w:id="765419397">
      <w:bodyDiv w:val="1"/>
      <w:marLeft w:val="0"/>
      <w:marRight w:val="0"/>
      <w:marTop w:val="0"/>
      <w:marBottom w:val="0"/>
      <w:divBdr>
        <w:top w:val="none" w:sz="0" w:space="0" w:color="auto"/>
        <w:left w:val="none" w:sz="0" w:space="0" w:color="auto"/>
        <w:bottom w:val="none" w:sz="0" w:space="0" w:color="auto"/>
        <w:right w:val="none" w:sz="0" w:space="0" w:color="auto"/>
      </w:divBdr>
    </w:div>
    <w:div w:id="779761317">
      <w:bodyDiv w:val="1"/>
      <w:marLeft w:val="0"/>
      <w:marRight w:val="0"/>
      <w:marTop w:val="0"/>
      <w:marBottom w:val="0"/>
      <w:divBdr>
        <w:top w:val="none" w:sz="0" w:space="0" w:color="auto"/>
        <w:left w:val="none" w:sz="0" w:space="0" w:color="auto"/>
        <w:bottom w:val="none" w:sz="0" w:space="0" w:color="auto"/>
        <w:right w:val="none" w:sz="0" w:space="0" w:color="auto"/>
      </w:divBdr>
    </w:div>
    <w:div w:id="1068923497">
      <w:bodyDiv w:val="1"/>
      <w:marLeft w:val="0"/>
      <w:marRight w:val="0"/>
      <w:marTop w:val="0"/>
      <w:marBottom w:val="0"/>
      <w:divBdr>
        <w:top w:val="none" w:sz="0" w:space="0" w:color="auto"/>
        <w:left w:val="none" w:sz="0" w:space="0" w:color="auto"/>
        <w:bottom w:val="none" w:sz="0" w:space="0" w:color="auto"/>
        <w:right w:val="none" w:sz="0" w:space="0" w:color="auto"/>
      </w:divBdr>
      <w:divsChild>
        <w:div w:id="511844546">
          <w:marLeft w:val="0"/>
          <w:marRight w:val="0"/>
          <w:marTop w:val="0"/>
          <w:marBottom w:val="0"/>
          <w:divBdr>
            <w:top w:val="none" w:sz="0" w:space="0" w:color="auto"/>
            <w:left w:val="none" w:sz="0" w:space="0" w:color="auto"/>
            <w:bottom w:val="none" w:sz="0" w:space="0" w:color="auto"/>
            <w:right w:val="none" w:sz="0" w:space="0" w:color="auto"/>
          </w:divBdr>
          <w:divsChild>
            <w:div w:id="232158701">
              <w:marLeft w:val="0"/>
              <w:marRight w:val="0"/>
              <w:marTop w:val="0"/>
              <w:marBottom w:val="0"/>
              <w:divBdr>
                <w:top w:val="none" w:sz="0" w:space="0" w:color="auto"/>
                <w:left w:val="none" w:sz="0" w:space="0" w:color="auto"/>
                <w:bottom w:val="none" w:sz="0" w:space="0" w:color="auto"/>
                <w:right w:val="none" w:sz="0" w:space="0" w:color="auto"/>
              </w:divBdr>
              <w:divsChild>
                <w:div w:id="1707680921">
                  <w:marLeft w:val="0"/>
                  <w:marRight w:val="0"/>
                  <w:marTop w:val="0"/>
                  <w:marBottom w:val="0"/>
                  <w:divBdr>
                    <w:top w:val="none" w:sz="0" w:space="0" w:color="auto"/>
                    <w:left w:val="none" w:sz="0" w:space="0" w:color="auto"/>
                    <w:bottom w:val="none" w:sz="0" w:space="0" w:color="auto"/>
                    <w:right w:val="none" w:sz="0" w:space="0" w:color="auto"/>
                  </w:divBdr>
                  <w:divsChild>
                    <w:div w:id="1605578121">
                      <w:marLeft w:val="0"/>
                      <w:marRight w:val="0"/>
                      <w:marTop w:val="0"/>
                      <w:marBottom w:val="0"/>
                      <w:divBdr>
                        <w:top w:val="none" w:sz="0" w:space="0" w:color="auto"/>
                        <w:left w:val="none" w:sz="0" w:space="0" w:color="auto"/>
                        <w:bottom w:val="none" w:sz="0" w:space="0" w:color="auto"/>
                        <w:right w:val="none" w:sz="0" w:space="0" w:color="auto"/>
                      </w:divBdr>
                      <w:divsChild>
                        <w:div w:id="192496083">
                          <w:marLeft w:val="0"/>
                          <w:marRight w:val="0"/>
                          <w:marTop w:val="0"/>
                          <w:marBottom w:val="0"/>
                          <w:divBdr>
                            <w:top w:val="none" w:sz="0" w:space="0" w:color="auto"/>
                            <w:left w:val="none" w:sz="0" w:space="0" w:color="auto"/>
                            <w:bottom w:val="none" w:sz="0" w:space="0" w:color="auto"/>
                            <w:right w:val="none" w:sz="0" w:space="0" w:color="auto"/>
                          </w:divBdr>
                          <w:divsChild>
                            <w:div w:id="647976109">
                              <w:marLeft w:val="0"/>
                              <w:marRight w:val="0"/>
                              <w:marTop w:val="0"/>
                              <w:marBottom w:val="0"/>
                              <w:divBdr>
                                <w:top w:val="none" w:sz="0" w:space="0" w:color="auto"/>
                                <w:left w:val="none" w:sz="0" w:space="0" w:color="auto"/>
                                <w:bottom w:val="none" w:sz="0" w:space="0" w:color="auto"/>
                                <w:right w:val="none" w:sz="0" w:space="0" w:color="auto"/>
                              </w:divBdr>
                              <w:divsChild>
                                <w:div w:id="1374035441">
                                  <w:marLeft w:val="0"/>
                                  <w:marRight w:val="0"/>
                                  <w:marTop w:val="0"/>
                                  <w:marBottom w:val="0"/>
                                  <w:divBdr>
                                    <w:top w:val="none" w:sz="0" w:space="0" w:color="auto"/>
                                    <w:left w:val="none" w:sz="0" w:space="0" w:color="auto"/>
                                    <w:bottom w:val="none" w:sz="0" w:space="0" w:color="auto"/>
                                    <w:right w:val="none" w:sz="0" w:space="0" w:color="auto"/>
                                  </w:divBdr>
                                  <w:divsChild>
                                    <w:div w:id="11486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556256">
      <w:bodyDiv w:val="1"/>
      <w:marLeft w:val="0"/>
      <w:marRight w:val="0"/>
      <w:marTop w:val="0"/>
      <w:marBottom w:val="0"/>
      <w:divBdr>
        <w:top w:val="none" w:sz="0" w:space="0" w:color="auto"/>
        <w:left w:val="none" w:sz="0" w:space="0" w:color="auto"/>
        <w:bottom w:val="none" w:sz="0" w:space="0" w:color="auto"/>
        <w:right w:val="none" w:sz="0" w:space="0" w:color="auto"/>
      </w:divBdr>
      <w:divsChild>
        <w:div w:id="816142277">
          <w:marLeft w:val="0"/>
          <w:marRight w:val="0"/>
          <w:marTop w:val="0"/>
          <w:marBottom w:val="0"/>
          <w:divBdr>
            <w:top w:val="none" w:sz="0" w:space="0" w:color="auto"/>
            <w:left w:val="none" w:sz="0" w:space="0" w:color="auto"/>
            <w:bottom w:val="none" w:sz="0" w:space="0" w:color="auto"/>
            <w:right w:val="none" w:sz="0" w:space="0" w:color="auto"/>
          </w:divBdr>
        </w:div>
      </w:divsChild>
    </w:div>
    <w:div w:id="1430656457">
      <w:bodyDiv w:val="1"/>
      <w:marLeft w:val="0"/>
      <w:marRight w:val="0"/>
      <w:marTop w:val="0"/>
      <w:marBottom w:val="0"/>
      <w:divBdr>
        <w:top w:val="none" w:sz="0" w:space="0" w:color="auto"/>
        <w:left w:val="none" w:sz="0" w:space="0" w:color="auto"/>
        <w:bottom w:val="none" w:sz="0" w:space="0" w:color="auto"/>
        <w:right w:val="none" w:sz="0" w:space="0" w:color="auto"/>
      </w:divBdr>
    </w:div>
    <w:div w:id="1590625207">
      <w:bodyDiv w:val="1"/>
      <w:marLeft w:val="0"/>
      <w:marRight w:val="0"/>
      <w:marTop w:val="0"/>
      <w:marBottom w:val="0"/>
      <w:divBdr>
        <w:top w:val="none" w:sz="0" w:space="0" w:color="auto"/>
        <w:left w:val="none" w:sz="0" w:space="0" w:color="auto"/>
        <w:bottom w:val="none" w:sz="0" w:space="0" w:color="auto"/>
        <w:right w:val="none" w:sz="0" w:space="0" w:color="auto"/>
      </w:divBdr>
    </w:div>
    <w:div w:id="1672637783">
      <w:bodyDiv w:val="1"/>
      <w:marLeft w:val="0"/>
      <w:marRight w:val="0"/>
      <w:marTop w:val="0"/>
      <w:marBottom w:val="0"/>
      <w:divBdr>
        <w:top w:val="none" w:sz="0" w:space="0" w:color="auto"/>
        <w:left w:val="none" w:sz="0" w:space="0" w:color="auto"/>
        <w:bottom w:val="none" w:sz="0" w:space="0" w:color="auto"/>
        <w:right w:val="none" w:sz="0" w:space="0" w:color="auto"/>
      </w:divBdr>
    </w:div>
    <w:div w:id="1742632436">
      <w:bodyDiv w:val="1"/>
      <w:marLeft w:val="0"/>
      <w:marRight w:val="0"/>
      <w:marTop w:val="0"/>
      <w:marBottom w:val="0"/>
      <w:divBdr>
        <w:top w:val="none" w:sz="0" w:space="0" w:color="auto"/>
        <w:left w:val="none" w:sz="0" w:space="0" w:color="auto"/>
        <w:bottom w:val="none" w:sz="0" w:space="0" w:color="auto"/>
        <w:right w:val="none" w:sz="0" w:space="0" w:color="auto"/>
      </w:divBdr>
      <w:divsChild>
        <w:div w:id="1412846437">
          <w:marLeft w:val="0"/>
          <w:marRight w:val="0"/>
          <w:marTop w:val="0"/>
          <w:marBottom w:val="0"/>
          <w:divBdr>
            <w:top w:val="none" w:sz="0" w:space="0" w:color="auto"/>
            <w:left w:val="none" w:sz="0" w:space="0" w:color="auto"/>
            <w:bottom w:val="none" w:sz="0" w:space="0" w:color="auto"/>
            <w:right w:val="none" w:sz="0" w:space="0" w:color="auto"/>
          </w:divBdr>
        </w:div>
      </w:divsChild>
    </w:div>
    <w:div w:id="1743211408">
      <w:bodyDiv w:val="1"/>
      <w:marLeft w:val="0"/>
      <w:marRight w:val="0"/>
      <w:marTop w:val="0"/>
      <w:marBottom w:val="0"/>
      <w:divBdr>
        <w:top w:val="none" w:sz="0" w:space="0" w:color="auto"/>
        <w:left w:val="none" w:sz="0" w:space="0" w:color="auto"/>
        <w:bottom w:val="none" w:sz="0" w:space="0" w:color="auto"/>
        <w:right w:val="none" w:sz="0" w:space="0" w:color="auto"/>
      </w:divBdr>
    </w:div>
    <w:div w:id="1767918827">
      <w:bodyDiv w:val="1"/>
      <w:marLeft w:val="0"/>
      <w:marRight w:val="0"/>
      <w:marTop w:val="0"/>
      <w:marBottom w:val="0"/>
      <w:divBdr>
        <w:top w:val="none" w:sz="0" w:space="0" w:color="auto"/>
        <w:left w:val="none" w:sz="0" w:space="0" w:color="auto"/>
        <w:bottom w:val="none" w:sz="0" w:space="0" w:color="auto"/>
        <w:right w:val="none" w:sz="0" w:space="0" w:color="auto"/>
      </w:divBdr>
    </w:div>
    <w:div w:id="1857110880">
      <w:bodyDiv w:val="1"/>
      <w:marLeft w:val="0"/>
      <w:marRight w:val="0"/>
      <w:marTop w:val="0"/>
      <w:marBottom w:val="0"/>
      <w:divBdr>
        <w:top w:val="none" w:sz="0" w:space="0" w:color="auto"/>
        <w:left w:val="none" w:sz="0" w:space="0" w:color="auto"/>
        <w:bottom w:val="none" w:sz="0" w:space="0" w:color="auto"/>
        <w:right w:val="none" w:sz="0" w:space="0" w:color="auto"/>
      </w:divBdr>
    </w:div>
    <w:div w:id="2055809777">
      <w:bodyDiv w:val="1"/>
      <w:marLeft w:val="0"/>
      <w:marRight w:val="0"/>
      <w:marTop w:val="0"/>
      <w:marBottom w:val="0"/>
      <w:divBdr>
        <w:top w:val="none" w:sz="0" w:space="0" w:color="auto"/>
        <w:left w:val="none" w:sz="0" w:space="0" w:color="auto"/>
        <w:bottom w:val="none" w:sz="0" w:space="0" w:color="auto"/>
        <w:right w:val="none" w:sz="0" w:space="0" w:color="auto"/>
      </w:divBdr>
    </w:div>
    <w:div w:id="2102218732">
      <w:bodyDiv w:val="1"/>
      <w:marLeft w:val="0"/>
      <w:marRight w:val="0"/>
      <w:marTop w:val="0"/>
      <w:marBottom w:val="0"/>
      <w:divBdr>
        <w:top w:val="none" w:sz="0" w:space="0" w:color="auto"/>
        <w:left w:val="none" w:sz="0" w:space="0" w:color="auto"/>
        <w:bottom w:val="none" w:sz="0" w:space="0" w:color="auto"/>
        <w:right w:val="none" w:sz="0" w:space="0" w:color="auto"/>
      </w:divBdr>
      <w:divsChild>
        <w:div w:id="342175191">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E8945-9B61-452D-90A7-8A61BB3D5D08}">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94</TotalTime>
  <Pages>10</Pages>
  <Words>3270</Words>
  <Characters>18642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Author</cp:lastModifiedBy>
  <cp:revision>95</cp:revision>
  <cp:lastPrinted>2026-06-11T08:11:00Z</cp:lastPrinted>
  <dcterms:created xsi:type="dcterms:W3CDTF">2026-06-25T15:27:00Z</dcterms:created>
  <dcterms:modified xsi:type="dcterms:W3CDTF">2026-07-01T13:26:00Z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731a3149-5c91-4d9a-a8cf-5240ad1b5d02</vt:lpwstr>
  </property>
</Properties>
</file>