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17236729" w:rsidR="00922FEB" w:rsidRPr="007E4C0D" w:rsidRDefault="00922FEB" w:rsidP="00036F88">
      <w:pPr>
        <w:pStyle w:val="BodyText"/>
        <w:jc w:val="center"/>
        <w:rPr>
          <w:rFonts w:ascii="Times New Roman" w:hAnsi="Times New Roman" w:cs="Times New Roman"/>
          <w:sz w:val="18"/>
          <w:szCs w:val="18"/>
        </w:rPr>
      </w:pPr>
      <w:r w:rsidRPr="007E4C0D">
        <w:rPr>
          <w:rFonts w:ascii="Times New Roman" w:hAnsi="Times New Roman" w:cs="Times New Roman"/>
          <w:sz w:val="18"/>
          <w:szCs w:val="18"/>
        </w:rPr>
        <w:t>TABELA E TRANSPONZIMI</w:t>
      </w:r>
      <w:r w:rsidR="00D927D6" w:rsidRPr="007E4C0D">
        <w:rPr>
          <w:rFonts w:ascii="Times New Roman" w:hAnsi="Times New Roman" w:cs="Times New Roman"/>
          <w:sz w:val="18"/>
          <w:szCs w:val="18"/>
        </w:rPr>
        <w:t>T</w:t>
      </w:r>
    </w:p>
    <w:p w14:paraId="34DF4CE6" w14:textId="77777777" w:rsidR="00922FEB" w:rsidRPr="007E4C0D"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630"/>
        <w:gridCol w:w="5310"/>
        <w:gridCol w:w="540"/>
        <w:gridCol w:w="630"/>
        <w:gridCol w:w="4950"/>
        <w:gridCol w:w="720"/>
        <w:gridCol w:w="3420"/>
      </w:tblGrid>
      <w:tr w:rsidR="00260632" w:rsidRPr="007E4C0D" w14:paraId="61092F5B" w14:textId="77777777" w:rsidTr="00593EF8">
        <w:trPr>
          <w:tblHeader/>
        </w:trPr>
        <w:tc>
          <w:tcPr>
            <w:tcW w:w="5940" w:type="dxa"/>
            <w:gridSpan w:val="2"/>
          </w:tcPr>
          <w:p w14:paraId="0B5FD659" w14:textId="77777777" w:rsidR="00D927D6" w:rsidRPr="007E4C0D" w:rsidRDefault="00D927D6" w:rsidP="00D927D6">
            <w:pPr>
              <w:pBdr>
                <w:top w:val="nil"/>
                <w:left w:val="nil"/>
                <w:bottom w:val="nil"/>
                <w:right w:val="nil"/>
                <w:between w:val="nil"/>
              </w:pBdr>
              <w:spacing w:before="120"/>
              <w:jc w:val="both"/>
              <w:rPr>
                <w:rFonts w:ascii="Times New Roman" w:hAnsi="Times New Roman" w:cs="Times New Roman"/>
                <w:color w:val="333333"/>
                <w:sz w:val="18"/>
                <w:szCs w:val="18"/>
                <w:shd w:val="clear" w:color="auto" w:fill="FFFFFF"/>
              </w:rPr>
            </w:pPr>
            <w:r w:rsidRPr="007E4C0D">
              <w:rPr>
                <w:rFonts w:ascii="Times New Roman" w:hAnsi="Times New Roman" w:cs="Times New Roman"/>
                <w:color w:val="333333"/>
                <w:sz w:val="18"/>
                <w:szCs w:val="18"/>
                <w:shd w:val="clear" w:color="auto" w:fill="FFFFFF"/>
              </w:rPr>
              <w:t>Legjislacioni i Bashkimit Evropian:</w:t>
            </w:r>
          </w:p>
          <w:p w14:paraId="6ACE0314" w14:textId="2C2C92DD" w:rsidR="00546900" w:rsidRPr="007E4C0D" w:rsidRDefault="00D927D6" w:rsidP="00546900">
            <w:pPr>
              <w:pStyle w:val="oj-doc-ti"/>
              <w:rPr>
                <w:sz w:val="18"/>
                <w:szCs w:val="18"/>
              </w:rPr>
            </w:pPr>
            <w:r w:rsidRPr="007E4C0D">
              <w:rPr>
                <w:sz w:val="18"/>
                <w:szCs w:val="18"/>
              </w:rPr>
              <w:t xml:space="preserve">Direktiva e Këshillit </w:t>
            </w:r>
            <w:r w:rsidR="00546900" w:rsidRPr="007E4C0D">
              <w:rPr>
                <w:sz w:val="18"/>
                <w:szCs w:val="18"/>
              </w:rPr>
              <w:t>(BE) 2025/872</w:t>
            </w:r>
            <w:r w:rsidRPr="007E4C0D">
              <w:rPr>
                <w:sz w:val="18"/>
                <w:szCs w:val="18"/>
              </w:rPr>
              <w:t xml:space="preserve">, e datës </w:t>
            </w:r>
            <w:r w:rsidR="00546900" w:rsidRPr="007E4C0D">
              <w:rPr>
                <w:sz w:val="18"/>
                <w:szCs w:val="18"/>
              </w:rPr>
              <w:t>14 prill 2025</w:t>
            </w:r>
            <w:r w:rsidRPr="007E4C0D">
              <w:rPr>
                <w:sz w:val="18"/>
                <w:szCs w:val="18"/>
              </w:rPr>
              <w:t xml:space="preserve">, </w:t>
            </w:r>
            <w:r w:rsidR="00546900" w:rsidRPr="007E4C0D">
              <w:rPr>
                <w:sz w:val="18"/>
                <w:szCs w:val="18"/>
              </w:rPr>
              <w:t>që ndryshon Direktivën</w:t>
            </w:r>
            <w:r w:rsidRPr="007E4C0D">
              <w:rPr>
                <w:sz w:val="18"/>
                <w:szCs w:val="18"/>
              </w:rPr>
              <w:t xml:space="preserve"> </w:t>
            </w:r>
            <w:r w:rsidR="00546900" w:rsidRPr="007E4C0D">
              <w:rPr>
                <w:sz w:val="18"/>
                <w:szCs w:val="18"/>
              </w:rPr>
              <w:t>201/16/BE për bashkëpunimin administrativ në fushën e taksimit</w:t>
            </w:r>
          </w:p>
          <w:p w14:paraId="7595DA82" w14:textId="4AC4B210" w:rsidR="009D0B38" w:rsidRPr="0055735A" w:rsidRDefault="009D0B38" w:rsidP="0055735A">
            <w:pPr>
              <w:pBdr>
                <w:top w:val="nil"/>
                <w:left w:val="nil"/>
                <w:bottom w:val="nil"/>
                <w:right w:val="nil"/>
                <w:between w:val="nil"/>
              </w:pBdr>
              <w:spacing w:before="120"/>
              <w:jc w:val="both"/>
              <w:rPr>
                <w:rFonts w:ascii="Times New Roman" w:eastAsia="Calibri" w:hAnsi="Times New Roman" w:cs="Times New Roman"/>
                <w:sz w:val="18"/>
                <w:szCs w:val="18"/>
              </w:rPr>
            </w:pPr>
          </w:p>
        </w:tc>
        <w:tc>
          <w:tcPr>
            <w:tcW w:w="10260" w:type="dxa"/>
            <w:gridSpan w:val="5"/>
            <w:vAlign w:val="center"/>
          </w:tcPr>
          <w:p w14:paraId="36CEDCBE" w14:textId="77777777" w:rsidR="00D927D6" w:rsidRPr="007E4C0D" w:rsidRDefault="00D927D6" w:rsidP="00036F88">
            <w:pPr>
              <w:jc w:val="both"/>
              <w:rPr>
                <w:rFonts w:ascii="Times New Roman" w:eastAsia="Calibri" w:hAnsi="Times New Roman" w:cs="Times New Roman"/>
                <w:sz w:val="18"/>
                <w:szCs w:val="18"/>
              </w:rPr>
            </w:pPr>
          </w:p>
          <w:p w14:paraId="7ACAF46C" w14:textId="5F075182" w:rsidR="00462F38" w:rsidRPr="007E4C0D" w:rsidRDefault="00D927D6" w:rsidP="00036F88">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Legjislacioni shqiptar i propozuar:</w:t>
            </w:r>
          </w:p>
          <w:p w14:paraId="7D0BBA4B" w14:textId="77777777" w:rsidR="00D927D6" w:rsidRPr="007E4C0D" w:rsidRDefault="00D927D6" w:rsidP="00036F88">
            <w:pPr>
              <w:jc w:val="both"/>
              <w:rPr>
                <w:rFonts w:ascii="Times New Roman" w:eastAsia="Calibri" w:hAnsi="Times New Roman" w:cs="Times New Roman"/>
                <w:sz w:val="18"/>
                <w:szCs w:val="18"/>
              </w:rPr>
            </w:pPr>
          </w:p>
          <w:p w14:paraId="6FF890AD" w14:textId="55E7C3C9" w:rsidR="004F7895" w:rsidRPr="007E4C0D" w:rsidRDefault="00D927D6" w:rsidP="00D927D6">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1. “Për deklaratën informative të tatimit shtesë dhe shkëmbimin automatik të saj”</w:t>
            </w:r>
          </w:p>
          <w:p w14:paraId="54479403" w14:textId="77777777" w:rsidR="00D927D6" w:rsidRPr="007E4C0D" w:rsidRDefault="00D927D6" w:rsidP="00036F88">
            <w:pPr>
              <w:jc w:val="both"/>
              <w:rPr>
                <w:rFonts w:ascii="Times New Roman" w:hAnsi="Times New Roman" w:cs="Times New Roman"/>
                <w:sz w:val="18"/>
                <w:szCs w:val="18"/>
              </w:rPr>
            </w:pPr>
          </w:p>
          <w:p w14:paraId="3102C9DB" w14:textId="0D96264A" w:rsidR="001D652C" w:rsidRPr="007E4C0D" w:rsidRDefault="001D652C" w:rsidP="00036F88">
            <w:pPr>
              <w:jc w:val="both"/>
              <w:rPr>
                <w:rFonts w:ascii="Times New Roman" w:hAnsi="Times New Roman" w:cs="Times New Roman"/>
                <w:sz w:val="18"/>
                <w:szCs w:val="18"/>
              </w:rPr>
            </w:pPr>
            <w:r w:rsidRPr="007E4C0D">
              <w:rPr>
                <w:rFonts w:ascii="Times New Roman" w:hAnsi="Times New Roman" w:cs="Times New Roman"/>
                <w:sz w:val="18"/>
                <w:szCs w:val="18"/>
              </w:rPr>
              <w:t>Shkalla e përgjithshme e përafrimit me ndryshimet kombëtare:</w:t>
            </w:r>
          </w:p>
          <w:p w14:paraId="4BF192B6" w14:textId="77777777" w:rsidR="00D927D6" w:rsidRPr="007E4C0D" w:rsidRDefault="00D927D6" w:rsidP="00036F88">
            <w:pPr>
              <w:jc w:val="both"/>
              <w:rPr>
                <w:rFonts w:ascii="Times New Roman" w:hAnsi="Times New Roman" w:cs="Times New Roman"/>
                <w:sz w:val="18"/>
                <w:szCs w:val="18"/>
              </w:rPr>
            </w:pPr>
          </w:p>
          <w:p w14:paraId="5306AA67" w14:textId="77777777" w:rsidR="001D652C" w:rsidRPr="007E4C0D" w:rsidRDefault="001D652C" w:rsidP="00DF3533">
            <w:pPr>
              <w:pStyle w:val="ListParagraph"/>
              <w:numPr>
                <w:ilvl w:val="0"/>
                <w:numId w:val="1"/>
              </w:numPr>
              <w:spacing w:after="0" w:line="240" w:lineRule="auto"/>
              <w:jc w:val="both"/>
              <w:rPr>
                <w:rFonts w:ascii="Times New Roman" w:hAnsi="Times New Roman" w:cs="Times New Roman"/>
                <w:sz w:val="18"/>
                <w:szCs w:val="18"/>
              </w:rPr>
            </w:pPr>
            <w:r w:rsidRPr="007E4C0D">
              <w:rPr>
                <w:rFonts w:ascii="Times New Roman" w:hAnsi="Times New Roman" w:cs="Times New Roman"/>
                <w:sz w:val="18"/>
                <w:szCs w:val="18"/>
              </w:rPr>
              <w:t>F - pajtueshmëri e plotë</w:t>
            </w:r>
          </w:p>
          <w:p w14:paraId="41C41513" w14:textId="112DCBA7" w:rsidR="001D652C" w:rsidRPr="007E4C0D" w:rsidRDefault="00D927D6" w:rsidP="00036F88">
            <w:pPr>
              <w:jc w:val="both"/>
              <w:rPr>
                <w:rFonts w:ascii="Times New Roman" w:hAnsi="Times New Roman" w:cs="Times New Roman"/>
                <w:sz w:val="18"/>
                <w:szCs w:val="18"/>
              </w:rPr>
            </w:pPr>
            <w:r w:rsidRPr="007E4C0D">
              <w:rPr>
                <w:rFonts w:ascii="Times New Roman" w:hAnsi="Times New Roman" w:cs="Times New Roman"/>
                <w:sz w:val="18"/>
                <w:szCs w:val="18"/>
              </w:rPr>
              <w:t xml:space="preserve">                </w:t>
            </w:r>
            <w:r w:rsidR="001D652C" w:rsidRPr="007E4C0D">
              <w:rPr>
                <w:rFonts w:ascii="Times New Roman" w:hAnsi="Times New Roman" w:cs="Times New Roman"/>
                <w:sz w:val="18"/>
                <w:szCs w:val="18"/>
              </w:rPr>
              <w:t>P - pajtueshmëri e pjesëshme</w:t>
            </w:r>
          </w:p>
          <w:p w14:paraId="289EB650" w14:textId="7CE3AC2B" w:rsidR="00922FEB" w:rsidRPr="007E4C0D" w:rsidRDefault="00D927D6" w:rsidP="00036F88">
            <w:pPr>
              <w:jc w:val="both"/>
              <w:rPr>
                <w:rFonts w:ascii="Times New Roman" w:eastAsia="Calibri" w:hAnsi="Times New Roman" w:cs="Times New Roman"/>
                <w:sz w:val="18"/>
                <w:szCs w:val="18"/>
              </w:rPr>
            </w:pPr>
            <w:r w:rsidRPr="007E4C0D">
              <w:rPr>
                <w:rFonts w:ascii="Times New Roman" w:hAnsi="Times New Roman" w:cs="Times New Roman"/>
                <w:sz w:val="18"/>
                <w:szCs w:val="18"/>
              </w:rPr>
              <w:t xml:space="preserve">                </w:t>
            </w:r>
            <w:r w:rsidR="001D652C" w:rsidRPr="007E4C0D">
              <w:rPr>
                <w:rFonts w:ascii="Times New Roman" w:hAnsi="Times New Roman" w:cs="Times New Roman"/>
                <w:sz w:val="18"/>
                <w:szCs w:val="18"/>
              </w:rPr>
              <w:t>N - mosrespektim</w:t>
            </w:r>
          </w:p>
          <w:p w14:paraId="6BC4DEF2" w14:textId="77777777" w:rsidR="00922FEB" w:rsidRPr="007E4C0D" w:rsidRDefault="00922FEB" w:rsidP="00036F88">
            <w:pPr>
              <w:rPr>
                <w:rFonts w:ascii="Times New Roman" w:eastAsia="Calibri" w:hAnsi="Times New Roman" w:cs="Times New Roman"/>
                <w:sz w:val="18"/>
                <w:szCs w:val="18"/>
              </w:rPr>
            </w:pPr>
          </w:p>
          <w:p w14:paraId="7AA9D97B" w14:textId="77777777" w:rsidR="00922FEB" w:rsidRPr="007E4C0D" w:rsidRDefault="00922FEB" w:rsidP="00036F88">
            <w:pPr>
              <w:rPr>
                <w:rFonts w:ascii="Times New Roman" w:eastAsia="Calibri" w:hAnsi="Times New Roman" w:cs="Times New Roman"/>
                <w:sz w:val="18"/>
                <w:szCs w:val="18"/>
              </w:rPr>
            </w:pPr>
            <w:r w:rsidRPr="007E4C0D">
              <w:rPr>
                <w:rFonts w:ascii="Times New Roman" w:eastAsia="Calibri" w:hAnsi="Times New Roman" w:cs="Times New Roman"/>
                <w:sz w:val="18"/>
                <w:szCs w:val="18"/>
              </w:rPr>
              <w:t xml:space="preserve"> </w:t>
            </w:r>
          </w:p>
        </w:tc>
      </w:tr>
      <w:tr w:rsidR="00260632" w:rsidRPr="007E4C0D" w14:paraId="01827783" w14:textId="77777777" w:rsidTr="00593EF8">
        <w:trPr>
          <w:tblHeader/>
        </w:trPr>
        <w:tc>
          <w:tcPr>
            <w:tcW w:w="630" w:type="dxa"/>
            <w:shd w:val="clear" w:color="auto" w:fill="BFBFBF"/>
          </w:tcPr>
          <w:p w14:paraId="52A84D2B" w14:textId="721D3075" w:rsidR="004F619A" w:rsidRPr="007E4C0D" w:rsidRDefault="004F619A" w:rsidP="00036F88">
            <w:pPr>
              <w:jc w:val="center"/>
              <w:rPr>
                <w:rFonts w:ascii="Times New Roman" w:eastAsia="Times New Roman" w:hAnsi="Times New Roman" w:cs="Times New Roman"/>
                <w:sz w:val="18"/>
                <w:szCs w:val="18"/>
              </w:rPr>
            </w:pPr>
            <w:r w:rsidRPr="007E4C0D">
              <w:rPr>
                <w:rFonts w:ascii="Times New Roman" w:hAnsi="Times New Roman" w:cs="Times New Roman"/>
                <w:sz w:val="18"/>
                <w:szCs w:val="18"/>
              </w:rPr>
              <w:t>1</w:t>
            </w:r>
          </w:p>
        </w:tc>
        <w:tc>
          <w:tcPr>
            <w:tcW w:w="5310" w:type="dxa"/>
            <w:shd w:val="clear" w:color="auto" w:fill="BFBFBF"/>
          </w:tcPr>
          <w:p w14:paraId="1DA553D3" w14:textId="64D8F57B" w:rsidR="004F619A" w:rsidRPr="007E4C0D" w:rsidRDefault="004F619A"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2</w:t>
            </w:r>
          </w:p>
        </w:tc>
        <w:tc>
          <w:tcPr>
            <w:tcW w:w="540" w:type="dxa"/>
            <w:shd w:val="clear" w:color="auto" w:fill="BFBFBF"/>
          </w:tcPr>
          <w:p w14:paraId="6A8D7A06" w14:textId="724E6EFC" w:rsidR="004F619A" w:rsidRPr="007E4C0D" w:rsidRDefault="004F619A"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3</w:t>
            </w:r>
          </w:p>
        </w:tc>
        <w:tc>
          <w:tcPr>
            <w:tcW w:w="630" w:type="dxa"/>
            <w:shd w:val="clear" w:color="auto" w:fill="BFBFBF"/>
          </w:tcPr>
          <w:p w14:paraId="508F371C" w14:textId="4604AAB0" w:rsidR="004F619A" w:rsidRPr="007E4C0D" w:rsidRDefault="004F619A"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4</w:t>
            </w:r>
          </w:p>
        </w:tc>
        <w:tc>
          <w:tcPr>
            <w:tcW w:w="4950" w:type="dxa"/>
            <w:shd w:val="clear" w:color="auto" w:fill="BFBFBF"/>
          </w:tcPr>
          <w:p w14:paraId="2141FB79" w14:textId="3C150691" w:rsidR="004F619A" w:rsidRPr="007E4C0D" w:rsidRDefault="004F619A"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5</w:t>
            </w:r>
          </w:p>
        </w:tc>
        <w:tc>
          <w:tcPr>
            <w:tcW w:w="720" w:type="dxa"/>
            <w:shd w:val="clear" w:color="auto" w:fill="BFBFBF"/>
          </w:tcPr>
          <w:p w14:paraId="7B5923AD" w14:textId="0DA9C058" w:rsidR="004F619A" w:rsidRPr="007E4C0D" w:rsidRDefault="004F619A"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6</w:t>
            </w:r>
          </w:p>
        </w:tc>
        <w:tc>
          <w:tcPr>
            <w:tcW w:w="3420" w:type="dxa"/>
            <w:shd w:val="clear" w:color="auto" w:fill="BFBFBF"/>
          </w:tcPr>
          <w:p w14:paraId="25BA9212" w14:textId="4444B760" w:rsidR="004F619A" w:rsidRPr="007E4C0D" w:rsidRDefault="004F619A"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7</w:t>
            </w:r>
          </w:p>
        </w:tc>
      </w:tr>
      <w:tr w:rsidR="00D927D6" w:rsidRPr="007E4C0D" w14:paraId="405531F1" w14:textId="77777777" w:rsidTr="00593EF8">
        <w:trPr>
          <w:tblHeader/>
        </w:trPr>
        <w:tc>
          <w:tcPr>
            <w:tcW w:w="630" w:type="dxa"/>
            <w:shd w:val="clear" w:color="auto" w:fill="BFBFBF"/>
          </w:tcPr>
          <w:p w14:paraId="1E9FDE14" w14:textId="6C495D3B"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Neni</w:t>
            </w:r>
          </w:p>
        </w:tc>
        <w:tc>
          <w:tcPr>
            <w:tcW w:w="5310" w:type="dxa"/>
            <w:shd w:val="clear" w:color="auto" w:fill="BFBFBF"/>
          </w:tcPr>
          <w:p w14:paraId="76176853" w14:textId="3FBD7BEE"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Teksti</w:t>
            </w:r>
          </w:p>
        </w:tc>
        <w:tc>
          <w:tcPr>
            <w:tcW w:w="540" w:type="dxa"/>
            <w:shd w:val="clear" w:color="auto" w:fill="BFBFBF"/>
          </w:tcPr>
          <w:p w14:paraId="7B0A27CB" w14:textId="653AF341"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Referenca</w:t>
            </w:r>
          </w:p>
        </w:tc>
        <w:tc>
          <w:tcPr>
            <w:tcW w:w="630" w:type="dxa"/>
            <w:shd w:val="clear" w:color="auto" w:fill="BFBFBF"/>
          </w:tcPr>
          <w:p w14:paraId="4FA58976" w14:textId="1B9AAC3C"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Neni</w:t>
            </w:r>
          </w:p>
        </w:tc>
        <w:tc>
          <w:tcPr>
            <w:tcW w:w="4950" w:type="dxa"/>
            <w:shd w:val="clear" w:color="auto" w:fill="BFBFBF"/>
          </w:tcPr>
          <w:p w14:paraId="1C97514E" w14:textId="5FBF1928"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Teksti</w:t>
            </w:r>
          </w:p>
        </w:tc>
        <w:tc>
          <w:tcPr>
            <w:tcW w:w="720" w:type="dxa"/>
            <w:shd w:val="clear" w:color="auto" w:fill="BFBFBF"/>
          </w:tcPr>
          <w:p w14:paraId="7416E437" w14:textId="267A8793"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Përputhshmëria</w:t>
            </w:r>
          </w:p>
        </w:tc>
        <w:tc>
          <w:tcPr>
            <w:tcW w:w="3420" w:type="dxa"/>
            <w:shd w:val="clear" w:color="auto" w:fill="BFBFBF"/>
          </w:tcPr>
          <w:p w14:paraId="2D3E0BBE" w14:textId="051025DA"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Shënime</w:t>
            </w:r>
          </w:p>
        </w:tc>
      </w:tr>
    </w:tbl>
    <w:p w14:paraId="1F69D40D" w14:textId="3855042B" w:rsidR="00922FEB" w:rsidRPr="007E4C0D"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630"/>
        <w:gridCol w:w="5310"/>
        <w:gridCol w:w="540"/>
        <w:gridCol w:w="630"/>
        <w:gridCol w:w="4964"/>
        <w:gridCol w:w="720"/>
        <w:gridCol w:w="3406"/>
      </w:tblGrid>
      <w:tr w:rsidR="00260632" w:rsidRPr="007E4C0D" w14:paraId="32F4D837" w14:textId="77777777" w:rsidTr="00593EF8">
        <w:trPr>
          <w:tblHeader/>
        </w:trPr>
        <w:tc>
          <w:tcPr>
            <w:tcW w:w="630" w:type="dxa"/>
            <w:shd w:val="clear" w:color="auto" w:fill="BFBFBF"/>
          </w:tcPr>
          <w:p w14:paraId="623B109C" w14:textId="4AA779B1" w:rsidR="000A7EA3" w:rsidRPr="007E4C0D" w:rsidRDefault="000A7EA3" w:rsidP="00036F88">
            <w:pPr>
              <w:jc w:val="center"/>
              <w:rPr>
                <w:rFonts w:ascii="Times New Roman" w:eastAsia="Times New Roman" w:hAnsi="Times New Roman" w:cs="Times New Roman"/>
                <w:sz w:val="18"/>
                <w:szCs w:val="18"/>
              </w:rPr>
            </w:pPr>
            <w:r w:rsidRPr="007E4C0D">
              <w:rPr>
                <w:rFonts w:ascii="Times New Roman" w:hAnsi="Times New Roman" w:cs="Times New Roman"/>
                <w:sz w:val="18"/>
                <w:szCs w:val="18"/>
              </w:rPr>
              <w:t>1</w:t>
            </w:r>
          </w:p>
        </w:tc>
        <w:tc>
          <w:tcPr>
            <w:tcW w:w="5310" w:type="dxa"/>
            <w:shd w:val="clear" w:color="auto" w:fill="BFBFBF"/>
          </w:tcPr>
          <w:p w14:paraId="0EF916BA" w14:textId="15F44D6D" w:rsidR="000A7EA3" w:rsidRPr="007E4C0D" w:rsidRDefault="000A7EA3" w:rsidP="00036F88">
            <w:pPr>
              <w:jc w:val="center"/>
              <w:rPr>
                <w:rFonts w:ascii="Times New Roman" w:eastAsia="Times New Roman" w:hAnsi="Times New Roman" w:cs="Times New Roman"/>
                <w:iCs/>
                <w:sz w:val="18"/>
                <w:szCs w:val="18"/>
              </w:rPr>
            </w:pPr>
            <w:r w:rsidRPr="007E4C0D">
              <w:rPr>
                <w:rFonts w:ascii="Times New Roman" w:hAnsi="Times New Roman" w:cs="Times New Roman"/>
                <w:sz w:val="18"/>
                <w:szCs w:val="18"/>
              </w:rPr>
              <w:t>2</w:t>
            </w:r>
          </w:p>
        </w:tc>
        <w:tc>
          <w:tcPr>
            <w:tcW w:w="540" w:type="dxa"/>
            <w:shd w:val="clear" w:color="auto" w:fill="D0CECE" w:themeFill="background2" w:themeFillShade="E6"/>
          </w:tcPr>
          <w:p w14:paraId="04E9A02F" w14:textId="584B0512" w:rsidR="000A7EA3" w:rsidRPr="007E4C0D" w:rsidRDefault="000A7EA3" w:rsidP="00036F88">
            <w:pPr>
              <w:jc w:val="center"/>
              <w:rPr>
                <w:rFonts w:ascii="Times New Roman" w:hAnsi="Times New Roman" w:cs="Times New Roman"/>
                <w:sz w:val="18"/>
                <w:szCs w:val="18"/>
              </w:rPr>
            </w:pPr>
            <w:r w:rsidRPr="007E4C0D">
              <w:rPr>
                <w:rFonts w:ascii="Times New Roman" w:hAnsi="Times New Roman" w:cs="Times New Roman"/>
                <w:sz w:val="18"/>
                <w:szCs w:val="18"/>
              </w:rPr>
              <w:t>3</w:t>
            </w:r>
          </w:p>
        </w:tc>
        <w:tc>
          <w:tcPr>
            <w:tcW w:w="630" w:type="dxa"/>
            <w:shd w:val="clear" w:color="auto" w:fill="BFBFBF"/>
          </w:tcPr>
          <w:p w14:paraId="11B2F0E9" w14:textId="510E5F67" w:rsidR="000A7EA3" w:rsidRPr="007E4C0D" w:rsidRDefault="000A7EA3"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4</w:t>
            </w:r>
          </w:p>
        </w:tc>
        <w:tc>
          <w:tcPr>
            <w:tcW w:w="4964" w:type="dxa"/>
            <w:shd w:val="clear" w:color="auto" w:fill="BFBFBF"/>
          </w:tcPr>
          <w:p w14:paraId="18D0D936" w14:textId="2F6EC06B" w:rsidR="000A7EA3" w:rsidRPr="007E4C0D" w:rsidRDefault="000A7EA3"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5</w:t>
            </w:r>
          </w:p>
        </w:tc>
        <w:tc>
          <w:tcPr>
            <w:tcW w:w="720" w:type="dxa"/>
            <w:shd w:val="clear" w:color="auto" w:fill="BFBFBF"/>
          </w:tcPr>
          <w:p w14:paraId="1F29B9CC" w14:textId="46D8A615" w:rsidR="000A7EA3" w:rsidRPr="007E4C0D" w:rsidRDefault="000A7EA3"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6</w:t>
            </w:r>
          </w:p>
        </w:tc>
        <w:tc>
          <w:tcPr>
            <w:tcW w:w="3406" w:type="dxa"/>
            <w:shd w:val="clear" w:color="auto" w:fill="BFBFBF"/>
          </w:tcPr>
          <w:p w14:paraId="1EC97E09" w14:textId="00684BF9" w:rsidR="000A7EA3" w:rsidRPr="007E4C0D" w:rsidRDefault="000A7EA3" w:rsidP="00036F88">
            <w:pPr>
              <w:jc w:val="center"/>
              <w:rPr>
                <w:rFonts w:ascii="Times New Roman" w:eastAsia="Times New Roman" w:hAnsi="Times New Roman" w:cs="Times New Roman"/>
                <w:i/>
                <w:sz w:val="18"/>
                <w:szCs w:val="18"/>
              </w:rPr>
            </w:pPr>
            <w:r w:rsidRPr="007E4C0D">
              <w:rPr>
                <w:rFonts w:ascii="Times New Roman" w:hAnsi="Times New Roman" w:cs="Times New Roman"/>
                <w:sz w:val="18"/>
                <w:szCs w:val="18"/>
              </w:rPr>
              <w:t>7</w:t>
            </w:r>
          </w:p>
        </w:tc>
      </w:tr>
      <w:tr w:rsidR="00D927D6" w:rsidRPr="007E4C0D" w14:paraId="33DF4310" w14:textId="77777777" w:rsidTr="00593EF8">
        <w:trPr>
          <w:tblHeader/>
        </w:trPr>
        <w:tc>
          <w:tcPr>
            <w:tcW w:w="630" w:type="dxa"/>
            <w:shd w:val="clear" w:color="auto" w:fill="BFBFBF"/>
          </w:tcPr>
          <w:p w14:paraId="39F8C6F9" w14:textId="23F3E2F5" w:rsidR="00D927D6" w:rsidRPr="007E4C0D" w:rsidRDefault="00D927D6" w:rsidP="00D927D6">
            <w:pPr>
              <w:jc w:val="center"/>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Neni</w:t>
            </w:r>
          </w:p>
        </w:tc>
        <w:tc>
          <w:tcPr>
            <w:tcW w:w="5310" w:type="dxa"/>
            <w:shd w:val="clear" w:color="auto" w:fill="BFBFBF"/>
          </w:tcPr>
          <w:p w14:paraId="17F6068A" w14:textId="39AC22C5" w:rsidR="00D927D6" w:rsidRPr="007E4C0D" w:rsidRDefault="00D927D6" w:rsidP="00D927D6">
            <w:pPr>
              <w:jc w:val="center"/>
              <w:rPr>
                <w:rFonts w:ascii="Times New Roman" w:eastAsia="Times New Roman" w:hAnsi="Times New Roman" w:cs="Times New Roman"/>
                <w:iCs/>
                <w:sz w:val="18"/>
                <w:szCs w:val="18"/>
              </w:rPr>
            </w:pPr>
            <w:r w:rsidRPr="007E4C0D">
              <w:rPr>
                <w:rFonts w:ascii="Times New Roman" w:eastAsia="Times New Roman" w:hAnsi="Times New Roman" w:cs="Times New Roman"/>
                <w:sz w:val="18"/>
                <w:szCs w:val="18"/>
              </w:rPr>
              <w:t>Teksti</w:t>
            </w:r>
          </w:p>
        </w:tc>
        <w:tc>
          <w:tcPr>
            <w:tcW w:w="540" w:type="dxa"/>
            <w:shd w:val="clear" w:color="auto" w:fill="D0CECE" w:themeFill="background2" w:themeFillShade="E6"/>
          </w:tcPr>
          <w:p w14:paraId="476E07DB" w14:textId="7B498593" w:rsidR="00D927D6" w:rsidRPr="007E4C0D" w:rsidRDefault="00D927D6" w:rsidP="00D927D6">
            <w:pPr>
              <w:jc w:val="center"/>
              <w:rPr>
                <w:rFonts w:ascii="Times New Roman" w:hAnsi="Times New Roman" w:cs="Times New Roman"/>
                <w:sz w:val="18"/>
                <w:szCs w:val="18"/>
              </w:rPr>
            </w:pPr>
            <w:r w:rsidRPr="007E4C0D">
              <w:rPr>
                <w:rFonts w:ascii="Times New Roman" w:eastAsia="Times New Roman" w:hAnsi="Times New Roman" w:cs="Times New Roman"/>
                <w:sz w:val="18"/>
                <w:szCs w:val="18"/>
              </w:rPr>
              <w:t>Referenca</w:t>
            </w:r>
          </w:p>
        </w:tc>
        <w:tc>
          <w:tcPr>
            <w:tcW w:w="630" w:type="dxa"/>
            <w:shd w:val="clear" w:color="auto" w:fill="BFBFBF"/>
          </w:tcPr>
          <w:p w14:paraId="5B81B475" w14:textId="79AC7A39" w:rsidR="00D927D6" w:rsidRPr="007E4C0D" w:rsidRDefault="00D927D6" w:rsidP="00D927D6">
            <w:pPr>
              <w:jc w:val="center"/>
              <w:rPr>
                <w:rFonts w:ascii="Times New Roman" w:eastAsia="Times New Roman" w:hAnsi="Times New Roman" w:cs="Times New Roman"/>
                <w:i/>
                <w:sz w:val="18"/>
                <w:szCs w:val="18"/>
              </w:rPr>
            </w:pPr>
            <w:r w:rsidRPr="007E4C0D">
              <w:rPr>
                <w:rFonts w:ascii="Times New Roman" w:eastAsia="Times New Roman" w:hAnsi="Times New Roman" w:cs="Times New Roman"/>
                <w:sz w:val="18"/>
                <w:szCs w:val="18"/>
              </w:rPr>
              <w:t>Neni</w:t>
            </w:r>
          </w:p>
        </w:tc>
        <w:tc>
          <w:tcPr>
            <w:tcW w:w="4964" w:type="dxa"/>
            <w:shd w:val="clear" w:color="auto" w:fill="BFBFBF"/>
          </w:tcPr>
          <w:p w14:paraId="19F4D508" w14:textId="09054815" w:rsidR="00D927D6" w:rsidRPr="007E4C0D" w:rsidRDefault="00D927D6" w:rsidP="00D927D6">
            <w:pPr>
              <w:jc w:val="center"/>
              <w:rPr>
                <w:rFonts w:ascii="Times New Roman" w:eastAsia="Times New Roman" w:hAnsi="Times New Roman" w:cs="Times New Roman"/>
                <w:i/>
                <w:sz w:val="18"/>
                <w:szCs w:val="18"/>
              </w:rPr>
            </w:pPr>
            <w:r w:rsidRPr="007E4C0D">
              <w:rPr>
                <w:rFonts w:ascii="Times New Roman" w:eastAsia="Times New Roman" w:hAnsi="Times New Roman" w:cs="Times New Roman"/>
                <w:sz w:val="18"/>
                <w:szCs w:val="18"/>
              </w:rPr>
              <w:t>Teksti</w:t>
            </w:r>
          </w:p>
        </w:tc>
        <w:tc>
          <w:tcPr>
            <w:tcW w:w="720" w:type="dxa"/>
            <w:shd w:val="clear" w:color="auto" w:fill="BFBFBF"/>
          </w:tcPr>
          <w:p w14:paraId="609D564B" w14:textId="7D81588A" w:rsidR="00D927D6" w:rsidRPr="007E4C0D" w:rsidRDefault="00D927D6" w:rsidP="00D927D6">
            <w:pPr>
              <w:jc w:val="center"/>
              <w:rPr>
                <w:rFonts w:ascii="Times New Roman" w:eastAsia="Times New Roman" w:hAnsi="Times New Roman" w:cs="Times New Roman"/>
                <w:i/>
                <w:sz w:val="18"/>
                <w:szCs w:val="18"/>
              </w:rPr>
            </w:pPr>
            <w:r w:rsidRPr="007E4C0D">
              <w:rPr>
                <w:rFonts w:ascii="Times New Roman" w:eastAsia="Times New Roman" w:hAnsi="Times New Roman" w:cs="Times New Roman"/>
                <w:sz w:val="18"/>
                <w:szCs w:val="18"/>
              </w:rPr>
              <w:t>Përputhshmëria</w:t>
            </w:r>
          </w:p>
        </w:tc>
        <w:tc>
          <w:tcPr>
            <w:tcW w:w="3406" w:type="dxa"/>
            <w:shd w:val="clear" w:color="auto" w:fill="BFBFBF"/>
          </w:tcPr>
          <w:p w14:paraId="0F04528A" w14:textId="231B0C2C" w:rsidR="00D927D6" w:rsidRPr="007E4C0D" w:rsidRDefault="00D927D6" w:rsidP="00D927D6">
            <w:pPr>
              <w:jc w:val="center"/>
              <w:rPr>
                <w:rFonts w:ascii="Times New Roman" w:eastAsia="Times New Roman" w:hAnsi="Times New Roman" w:cs="Times New Roman"/>
                <w:i/>
                <w:sz w:val="18"/>
                <w:szCs w:val="18"/>
              </w:rPr>
            </w:pPr>
            <w:r w:rsidRPr="007E4C0D">
              <w:rPr>
                <w:rFonts w:ascii="Times New Roman" w:eastAsia="Times New Roman" w:hAnsi="Times New Roman" w:cs="Times New Roman"/>
                <w:sz w:val="18"/>
                <w:szCs w:val="18"/>
              </w:rPr>
              <w:t>Shënime</w:t>
            </w:r>
          </w:p>
        </w:tc>
      </w:tr>
      <w:tr w:rsidR="00260632" w:rsidRPr="007E4C0D" w14:paraId="3101C841" w14:textId="77777777" w:rsidTr="00593EF8">
        <w:tc>
          <w:tcPr>
            <w:tcW w:w="630" w:type="dxa"/>
            <w:shd w:val="clear" w:color="auto" w:fill="92D050"/>
          </w:tcPr>
          <w:p w14:paraId="171C88DE" w14:textId="77777777" w:rsidR="000A7EA3" w:rsidRPr="007E4C0D" w:rsidRDefault="000A7EA3" w:rsidP="00036F88">
            <w:pPr>
              <w:rPr>
                <w:rFonts w:ascii="Times New Roman" w:eastAsia="Calibri" w:hAnsi="Times New Roman" w:cs="Times New Roman"/>
                <w:sz w:val="18"/>
                <w:szCs w:val="18"/>
              </w:rPr>
            </w:pPr>
          </w:p>
        </w:tc>
        <w:tc>
          <w:tcPr>
            <w:tcW w:w="5310" w:type="dxa"/>
            <w:shd w:val="clear" w:color="auto" w:fill="92D050"/>
          </w:tcPr>
          <w:p w14:paraId="3CBB6E23" w14:textId="71A0F858" w:rsidR="000A7EA3" w:rsidRPr="007E4C0D" w:rsidRDefault="000A7EA3" w:rsidP="00036F88">
            <w:pPr>
              <w:pStyle w:val="Heading1"/>
              <w:rPr>
                <w:rFonts w:ascii="Times New Roman" w:eastAsia="Calibri" w:hAnsi="Times New Roman" w:cs="Times New Roman"/>
                <w:color w:val="auto"/>
                <w:sz w:val="18"/>
                <w:szCs w:val="18"/>
              </w:rPr>
            </w:pPr>
          </w:p>
        </w:tc>
        <w:tc>
          <w:tcPr>
            <w:tcW w:w="540" w:type="dxa"/>
          </w:tcPr>
          <w:p w14:paraId="4950B37F" w14:textId="77777777" w:rsidR="000A7EA3" w:rsidRPr="007E4C0D" w:rsidRDefault="000A7EA3" w:rsidP="00036F88">
            <w:pPr>
              <w:rPr>
                <w:rFonts w:ascii="Times New Roman" w:eastAsia="Calibri" w:hAnsi="Times New Roman" w:cs="Times New Roman"/>
                <w:sz w:val="18"/>
                <w:szCs w:val="18"/>
              </w:rPr>
            </w:pPr>
          </w:p>
        </w:tc>
        <w:tc>
          <w:tcPr>
            <w:tcW w:w="630" w:type="dxa"/>
            <w:shd w:val="clear" w:color="auto" w:fill="92D050"/>
          </w:tcPr>
          <w:p w14:paraId="4039FF8E" w14:textId="633026E3" w:rsidR="000A7EA3" w:rsidRPr="007E4C0D" w:rsidRDefault="000A7EA3" w:rsidP="00036F88">
            <w:pPr>
              <w:rPr>
                <w:rFonts w:ascii="Times New Roman" w:eastAsia="Calibri" w:hAnsi="Times New Roman" w:cs="Times New Roman"/>
                <w:sz w:val="18"/>
                <w:szCs w:val="18"/>
              </w:rPr>
            </w:pPr>
          </w:p>
        </w:tc>
        <w:tc>
          <w:tcPr>
            <w:tcW w:w="4964" w:type="dxa"/>
            <w:shd w:val="clear" w:color="auto" w:fill="92D050"/>
          </w:tcPr>
          <w:p w14:paraId="6FBBB339" w14:textId="77777777" w:rsidR="0077636B" w:rsidRPr="007E4C0D" w:rsidRDefault="0077636B" w:rsidP="00036F88">
            <w:pPr>
              <w:jc w:val="center"/>
              <w:rPr>
                <w:rFonts w:ascii="Times New Roman" w:hAnsi="Times New Roman" w:cs="Times New Roman"/>
                <w:sz w:val="18"/>
                <w:szCs w:val="18"/>
              </w:rPr>
            </w:pPr>
            <w:r w:rsidRPr="007E4C0D">
              <w:rPr>
                <w:rFonts w:ascii="Times New Roman" w:hAnsi="Times New Roman" w:cs="Times New Roman"/>
                <w:sz w:val="18"/>
                <w:szCs w:val="18"/>
              </w:rPr>
              <w:t>KAPITULLI I</w:t>
            </w:r>
          </w:p>
          <w:p w14:paraId="0ED77E48" w14:textId="77777777" w:rsidR="0077636B" w:rsidRPr="007E4C0D" w:rsidRDefault="0077636B" w:rsidP="00036F88">
            <w:pPr>
              <w:jc w:val="center"/>
              <w:rPr>
                <w:rFonts w:ascii="Times New Roman" w:hAnsi="Times New Roman" w:cs="Times New Roman"/>
                <w:sz w:val="18"/>
                <w:szCs w:val="18"/>
              </w:rPr>
            </w:pPr>
            <w:r w:rsidRPr="007E4C0D">
              <w:rPr>
                <w:rFonts w:ascii="Times New Roman" w:hAnsi="Times New Roman" w:cs="Times New Roman"/>
                <w:sz w:val="18"/>
                <w:szCs w:val="18"/>
              </w:rPr>
              <w:t>DISPOZITA TË PËRGJITHSHME</w:t>
            </w:r>
          </w:p>
          <w:p w14:paraId="0C0DB225" w14:textId="77777777" w:rsidR="000A7EA3" w:rsidRPr="007E4C0D" w:rsidRDefault="000A7EA3" w:rsidP="00036F88">
            <w:pPr>
              <w:rPr>
                <w:rFonts w:ascii="Times New Roman" w:eastAsia="Calibri" w:hAnsi="Times New Roman" w:cs="Times New Roman"/>
                <w:sz w:val="18"/>
                <w:szCs w:val="18"/>
              </w:rPr>
            </w:pPr>
          </w:p>
        </w:tc>
        <w:tc>
          <w:tcPr>
            <w:tcW w:w="720" w:type="dxa"/>
            <w:shd w:val="clear" w:color="auto" w:fill="92D050"/>
          </w:tcPr>
          <w:p w14:paraId="0477FAD4" w14:textId="77777777" w:rsidR="000A7EA3" w:rsidRPr="007E4C0D" w:rsidRDefault="000A7EA3" w:rsidP="00036F88">
            <w:pPr>
              <w:rPr>
                <w:rFonts w:ascii="Times New Roman" w:eastAsia="Calibri" w:hAnsi="Times New Roman" w:cs="Times New Roman"/>
                <w:sz w:val="18"/>
                <w:szCs w:val="18"/>
              </w:rPr>
            </w:pPr>
          </w:p>
        </w:tc>
        <w:tc>
          <w:tcPr>
            <w:tcW w:w="3406" w:type="dxa"/>
            <w:shd w:val="clear" w:color="auto" w:fill="92D050"/>
          </w:tcPr>
          <w:p w14:paraId="09DE5223" w14:textId="77777777" w:rsidR="000A7EA3" w:rsidRPr="007E4C0D" w:rsidRDefault="000A7EA3" w:rsidP="00036F88">
            <w:pPr>
              <w:rPr>
                <w:rFonts w:ascii="Times New Roman" w:eastAsia="Calibri" w:hAnsi="Times New Roman" w:cs="Times New Roman"/>
                <w:sz w:val="18"/>
                <w:szCs w:val="18"/>
              </w:rPr>
            </w:pPr>
          </w:p>
        </w:tc>
      </w:tr>
      <w:tr w:rsidR="00260632" w:rsidRPr="007E4C0D" w14:paraId="6560FCB0" w14:textId="77777777" w:rsidTr="00593EF8">
        <w:tc>
          <w:tcPr>
            <w:tcW w:w="630" w:type="dxa"/>
            <w:shd w:val="clear" w:color="auto" w:fill="F2F2F2"/>
          </w:tcPr>
          <w:p w14:paraId="2C6C40A7" w14:textId="77777777" w:rsidR="000A7EA3" w:rsidRPr="007E4C0D" w:rsidRDefault="000A7EA3" w:rsidP="00036F88">
            <w:pPr>
              <w:jc w:val="center"/>
              <w:rPr>
                <w:rFonts w:ascii="Times New Roman" w:eastAsia="Calibri" w:hAnsi="Times New Roman" w:cs="Times New Roman"/>
                <w:i/>
                <w:iCs/>
                <w:sz w:val="18"/>
                <w:szCs w:val="18"/>
              </w:rPr>
            </w:pPr>
          </w:p>
        </w:tc>
        <w:tc>
          <w:tcPr>
            <w:tcW w:w="5310" w:type="dxa"/>
            <w:shd w:val="clear" w:color="auto" w:fill="F2F2F2"/>
          </w:tcPr>
          <w:p w14:paraId="4FF914BE" w14:textId="168F1192" w:rsidR="00990A3C" w:rsidRPr="007E4C0D" w:rsidRDefault="00990A3C" w:rsidP="00546900">
            <w:pPr>
              <w:rPr>
                <w:rFonts w:ascii="Times New Roman" w:hAnsi="Times New Roman" w:cs="Times New Roman"/>
                <w:sz w:val="18"/>
                <w:szCs w:val="18"/>
              </w:rPr>
            </w:pPr>
            <w:bookmarkStart w:id="0" w:name="articolul1"/>
            <w:bookmarkEnd w:id="0"/>
          </w:p>
        </w:tc>
        <w:tc>
          <w:tcPr>
            <w:tcW w:w="540" w:type="dxa"/>
          </w:tcPr>
          <w:p w14:paraId="63FB219E" w14:textId="77777777" w:rsidR="000A7EA3" w:rsidRPr="007E4C0D" w:rsidRDefault="000A7EA3" w:rsidP="00036F88">
            <w:pPr>
              <w:rPr>
                <w:rFonts w:ascii="Times New Roman" w:eastAsia="Calibri" w:hAnsi="Times New Roman" w:cs="Times New Roman"/>
                <w:sz w:val="18"/>
                <w:szCs w:val="18"/>
              </w:rPr>
            </w:pPr>
          </w:p>
        </w:tc>
        <w:tc>
          <w:tcPr>
            <w:tcW w:w="630" w:type="dxa"/>
            <w:shd w:val="clear" w:color="auto" w:fill="F2F2F2"/>
          </w:tcPr>
          <w:p w14:paraId="373E1C1C" w14:textId="3802F198" w:rsidR="000A7EA3" w:rsidRPr="007E4C0D" w:rsidRDefault="000A7EA3" w:rsidP="00036F88">
            <w:pPr>
              <w:rPr>
                <w:rFonts w:ascii="Times New Roman" w:eastAsia="Calibri" w:hAnsi="Times New Roman" w:cs="Times New Roman"/>
                <w:sz w:val="18"/>
                <w:szCs w:val="18"/>
              </w:rPr>
            </w:pPr>
          </w:p>
        </w:tc>
        <w:tc>
          <w:tcPr>
            <w:tcW w:w="4964" w:type="dxa"/>
            <w:shd w:val="clear" w:color="auto" w:fill="F2F2F2"/>
          </w:tcPr>
          <w:p w14:paraId="64C93E4E" w14:textId="449C89EF" w:rsidR="000A7EA3" w:rsidRPr="007E4C0D" w:rsidRDefault="000A7EA3" w:rsidP="00036F88">
            <w:pPr>
              <w:rPr>
                <w:rFonts w:ascii="Times New Roman" w:hAnsi="Times New Roman" w:cs="Times New Roman"/>
                <w:sz w:val="18"/>
                <w:szCs w:val="18"/>
              </w:rPr>
            </w:pPr>
          </w:p>
        </w:tc>
        <w:tc>
          <w:tcPr>
            <w:tcW w:w="720" w:type="dxa"/>
            <w:shd w:val="clear" w:color="auto" w:fill="F2F2F2"/>
          </w:tcPr>
          <w:p w14:paraId="176811E7" w14:textId="77777777" w:rsidR="000A7EA3" w:rsidRPr="007E4C0D" w:rsidRDefault="000A7EA3" w:rsidP="00036F88">
            <w:pPr>
              <w:jc w:val="center"/>
              <w:rPr>
                <w:rFonts w:ascii="Times New Roman" w:eastAsia="Calibri" w:hAnsi="Times New Roman" w:cs="Times New Roman"/>
                <w:sz w:val="18"/>
                <w:szCs w:val="18"/>
              </w:rPr>
            </w:pPr>
          </w:p>
        </w:tc>
        <w:tc>
          <w:tcPr>
            <w:tcW w:w="3406" w:type="dxa"/>
            <w:shd w:val="clear" w:color="auto" w:fill="F2F2F2"/>
          </w:tcPr>
          <w:p w14:paraId="0E837D0C" w14:textId="77777777" w:rsidR="000A7EA3" w:rsidRPr="007E4C0D" w:rsidRDefault="000A7EA3" w:rsidP="00036F88">
            <w:pPr>
              <w:rPr>
                <w:rFonts w:ascii="Times New Roman" w:eastAsia="Calibri" w:hAnsi="Times New Roman" w:cs="Times New Roman"/>
                <w:sz w:val="18"/>
                <w:szCs w:val="18"/>
              </w:rPr>
            </w:pPr>
          </w:p>
        </w:tc>
      </w:tr>
      <w:tr w:rsidR="00AB1D5E" w:rsidRPr="007E4C0D" w14:paraId="3ADF72B1" w14:textId="77777777" w:rsidTr="00593EF8">
        <w:tc>
          <w:tcPr>
            <w:tcW w:w="630" w:type="dxa"/>
            <w:shd w:val="clear" w:color="auto" w:fill="F2F2F2"/>
          </w:tcPr>
          <w:p w14:paraId="6471999F" w14:textId="77777777" w:rsidR="00AB1D5E" w:rsidRPr="007E4C0D" w:rsidRDefault="00AB1D5E" w:rsidP="00036F88">
            <w:pPr>
              <w:jc w:val="center"/>
              <w:rPr>
                <w:rFonts w:ascii="Times New Roman" w:eastAsia="Calibri" w:hAnsi="Times New Roman" w:cs="Times New Roman"/>
                <w:i/>
                <w:iCs/>
                <w:sz w:val="18"/>
                <w:szCs w:val="18"/>
              </w:rPr>
            </w:pPr>
          </w:p>
        </w:tc>
        <w:tc>
          <w:tcPr>
            <w:tcW w:w="5310" w:type="dxa"/>
            <w:shd w:val="clear" w:color="auto" w:fill="F2F2F2"/>
          </w:tcPr>
          <w:p w14:paraId="751F4675" w14:textId="207225D0" w:rsidR="00AB1D5E" w:rsidRPr="007E4C0D" w:rsidRDefault="00F65BBF" w:rsidP="00F65BBF">
            <w:pPr>
              <w:spacing w:before="100" w:beforeAutospacing="1" w:after="100" w:afterAutospacing="1"/>
              <w:jc w:val="both"/>
              <w:rPr>
                <w:rFonts w:ascii="Times New Roman" w:hAnsi="Times New Roman" w:cs="Times New Roman"/>
                <w:sz w:val="18"/>
                <w:szCs w:val="18"/>
              </w:rPr>
            </w:pPr>
            <w:r w:rsidRPr="007E4C0D">
              <w:rPr>
                <w:rFonts w:ascii="Times New Roman" w:hAnsi="Times New Roman" w:cs="Times New Roman"/>
                <w:sz w:val="18"/>
                <w:szCs w:val="18"/>
              </w:rPr>
              <w:t>Preambula</w:t>
            </w:r>
            <w:r w:rsidR="0061348B" w:rsidRPr="007E4C0D">
              <w:rPr>
                <w:rFonts w:ascii="Times New Roman" w:hAnsi="Times New Roman" w:cs="Times New Roman"/>
                <w:sz w:val="18"/>
                <w:szCs w:val="18"/>
              </w:rPr>
              <w:t xml:space="preserve">, pika </w:t>
            </w:r>
            <w:r w:rsidRPr="007E4C0D">
              <w:rPr>
                <w:rFonts w:ascii="Times New Roman" w:hAnsi="Times New Roman" w:cs="Times New Roman"/>
                <w:sz w:val="18"/>
                <w:szCs w:val="18"/>
              </w:rPr>
              <w:t xml:space="preserve">2. </w:t>
            </w:r>
            <w:r w:rsidR="00786076" w:rsidRPr="007E4C0D">
              <w:rPr>
                <w:rFonts w:ascii="Times New Roman" w:hAnsi="Times New Roman" w:cs="Times New Roman"/>
                <w:sz w:val="18"/>
                <w:szCs w:val="18"/>
              </w:rPr>
              <w:t>Direktiva (BE) 2022/2523 tashmë përcakton rregullat për paraqitjen e deklaratave të informacionit për tatimin shtesë (Top-up tax) dhe përvijon në mënyrë të përgjithshme kategoritë e informacionit që duhet të raportohen nga grupet e ndërmarrjeve shumëkombëshe (“MNE”) dhe grupet vendase në shkallë të gjerë të përfshira në këtë Direktivë. Administratat tatimore kanë nevojë për këto deklarata të informacionit për tatimin shtesë për të kryer një vlerësim të përshtatshëm të rrezikut, për të vlerësuar saktësinë e detyrimit tatimor dhe për të monitoruar nëse grupet MNE dhe grupet vendase në shkallë të gjerë i zbatojnë në mënyrë korrekte rregullat e përcaktuara në Direktivën (BE) 2022/2523.</w:t>
            </w:r>
          </w:p>
        </w:tc>
        <w:tc>
          <w:tcPr>
            <w:tcW w:w="540" w:type="dxa"/>
          </w:tcPr>
          <w:p w14:paraId="4BDEE8FE" w14:textId="77777777" w:rsidR="00AB1D5E" w:rsidRPr="007E4C0D" w:rsidRDefault="00AB1D5E" w:rsidP="00036F88">
            <w:pPr>
              <w:rPr>
                <w:rFonts w:ascii="Times New Roman" w:eastAsia="Calibri" w:hAnsi="Times New Roman" w:cs="Times New Roman"/>
                <w:sz w:val="18"/>
                <w:szCs w:val="18"/>
              </w:rPr>
            </w:pPr>
          </w:p>
        </w:tc>
        <w:tc>
          <w:tcPr>
            <w:tcW w:w="630" w:type="dxa"/>
            <w:shd w:val="clear" w:color="auto" w:fill="F2F2F2"/>
          </w:tcPr>
          <w:p w14:paraId="419D4718" w14:textId="77777777" w:rsidR="00AB1D5E" w:rsidRPr="007E4C0D" w:rsidRDefault="00AB1D5E" w:rsidP="00036F88">
            <w:pPr>
              <w:rPr>
                <w:rFonts w:ascii="Times New Roman" w:eastAsia="Calibri" w:hAnsi="Times New Roman" w:cs="Times New Roman"/>
                <w:sz w:val="18"/>
                <w:szCs w:val="18"/>
              </w:rPr>
            </w:pPr>
          </w:p>
        </w:tc>
        <w:tc>
          <w:tcPr>
            <w:tcW w:w="4964" w:type="dxa"/>
            <w:shd w:val="clear" w:color="auto" w:fill="F2F2F2"/>
          </w:tcPr>
          <w:p w14:paraId="355E7C84" w14:textId="77777777" w:rsidR="003A23CF" w:rsidRPr="007E4C0D" w:rsidRDefault="003A23CF" w:rsidP="006E373F">
            <w:pPr>
              <w:spacing w:before="100" w:beforeAutospacing="1" w:after="100" w:afterAutospacing="1"/>
              <w:jc w:val="center"/>
              <w:rPr>
                <w:rFonts w:ascii="Times New Roman" w:hAnsi="Times New Roman" w:cs="Times New Roman"/>
                <w:b/>
                <w:bCs/>
                <w:sz w:val="18"/>
                <w:szCs w:val="18"/>
              </w:rPr>
            </w:pPr>
            <w:r w:rsidRPr="007E4C0D">
              <w:rPr>
                <w:rFonts w:ascii="Times New Roman" w:hAnsi="Times New Roman" w:cs="Times New Roman"/>
                <w:b/>
                <w:bCs/>
                <w:sz w:val="18"/>
                <w:szCs w:val="18"/>
              </w:rPr>
              <w:t>Neni 14</w:t>
            </w:r>
            <w:r w:rsidRPr="007E4C0D">
              <w:rPr>
                <w:rFonts w:ascii="Times New Roman" w:hAnsi="Times New Roman" w:cs="Times New Roman"/>
                <w:b/>
                <w:bCs/>
                <w:sz w:val="18"/>
                <w:szCs w:val="18"/>
              </w:rPr>
              <w:br/>
              <w:t>Autoriteti kompetent</w:t>
            </w:r>
          </w:p>
          <w:p w14:paraId="76F90560" w14:textId="77777777" w:rsidR="006E373F" w:rsidRPr="007E4C0D" w:rsidRDefault="006E373F" w:rsidP="006E373F">
            <w:pPr>
              <w:pStyle w:val="ListParagraph"/>
              <w:numPr>
                <w:ilvl w:val="0"/>
                <w:numId w:val="50"/>
              </w:numPr>
              <w:spacing w:before="100" w:beforeAutospacing="1" w:after="100" w:afterAutospacing="1" w:line="240" w:lineRule="auto"/>
              <w:jc w:val="both"/>
              <w:rPr>
                <w:rFonts w:ascii="Times New Roman" w:hAnsi="Times New Roman" w:cs="Times New Roman"/>
                <w:sz w:val="18"/>
                <w:szCs w:val="18"/>
              </w:rPr>
            </w:pPr>
            <w:r w:rsidRPr="007E4C0D">
              <w:rPr>
                <w:rFonts w:ascii="Times New Roman" w:hAnsi="Times New Roman" w:cs="Times New Roman"/>
                <w:sz w:val="18"/>
                <w:szCs w:val="18"/>
              </w:rPr>
              <w:t>Drejtoria e Përgjithshme e Tatimeve caktohet si autoriteti kompetent për zbatimin e këtij ligji.</w:t>
            </w:r>
          </w:p>
          <w:p w14:paraId="4A5036ED" w14:textId="77777777" w:rsidR="006E373F" w:rsidRPr="007E4C0D" w:rsidRDefault="006E373F" w:rsidP="006E373F">
            <w:pPr>
              <w:pStyle w:val="ListParagraph"/>
              <w:numPr>
                <w:ilvl w:val="0"/>
                <w:numId w:val="50"/>
              </w:numPr>
              <w:spacing w:before="100" w:beforeAutospacing="1" w:after="100" w:afterAutospacing="1" w:line="240" w:lineRule="auto"/>
              <w:jc w:val="both"/>
              <w:rPr>
                <w:rFonts w:ascii="Times New Roman" w:hAnsi="Times New Roman" w:cs="Times New Roman"/>
                <w:sz w:val="18"/>
                <w:szCs w:val="18"/>
              </w:rPr>
            </w:pPr>
            <w:r w:rsidRPr="007E4C0D">
              <w:rPr>
                <w:rFonts w:ascii="Times New Roman" w:hAnsi="Times New Roman" w:cs="Times New Roman"/>
                <w:sz w:val="18"/>
                <w:szCs w:val="18"/>
              </w:rPr>
              <w:t>Drejtoria e Përgjithshme e Tatimeve administron dhe përdor informacionin TTIR për qëllimet e përcaktuara në këtë ligj.</w:t>
            </w:r>
          </w:p>
          <w:p w14:paraId="49BD2FFF" w14:textId="77777777" w:rsidR="00AB1D5E" w:rsidRPr="007E4C0D" w:rsidRDefault="00AB1D5E" w:rsidP="006E373F">
            <w:pPr>
              <w:spacing w:before="100" w:beforeAutospacing="1" w:after="100" w:afterAutospacing="1"/>
              <w:jc w:val="both"/>
              <w:rPr>
                <w:rFonts w:ascii="Times New Roman" w:hAnsi="Times New Roman" w:cs="Times New Roman"/>
                <w:sz w:val="18"/>
                <w:szCs w:val="18"/>
              </w:rPr>
            </w:pPr>
          </w:p>
        </w:tc>
        <w:tc>
          <w:tcPr>
            <w:tcW w:w="720" w:type="dxa"/>
            <w:shd w:val="clear" w:color="auto" w:fill="F2F2F2"/>
          </w:tcPr>
          <w:p w14:paraId="79E72007" w14:textId="1A032CAD" w:rsidR="00AB1D5E" w:rsidRPr="007E4C0D" w:rsidRDefault="00C02651" w:rsidP="00036F88">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shd w:val="clear" w:color="auto" w:fill="F2F2F2"/>
          </w:tcPr>
          <w:p w14:paraId="32C496F1" w14:textId="77777777" w:rsidR="00AB1D5E" w:rsidRPr="007E4C0D" w:rsidRDefault="00AB1D5E" w:rsidP="00036F88">
            <w:pPr>
              <w:rPr>
                <w:rFonts w:ascii="Times New Roman" w:eastAsia="Calibri" w:hAnsi="Times New Roman" w:cs="Times New Roman"/>
                <w:sz w:val="18"/>
                <w:szCs w:val="18"/>
              </w:rPr>
            </w:pPr>
          </w:p>
        </w:tc>
      </w:tr>
      <w:tr w:rsidR="00260632" w:rsidRPr="007E4C0D" w14:paraId="7F6FBBB8" w14:textId="77777777" w:rsidTr="00593EF8">
        <w:trPr>
          <w:trHeight w:val="1520"/>
        </w:trPr>
        <w:tc>
          <w:tcPr>
            <w:tcW w:w="630" w:type="dxa"/>
          </w:tcPr>
          <w:p w14:paraId="54CAE924" w14:textId="77777777" w:rsidR="000A7EA3" w:rsidRPr="007E4C0D" w:rsidRDefault="000A7EA3" w:rsidP="00036F88">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lastRenderedPageBreak/>
              <w:t>1</w:t>
            </w:r>
          </w:p>
        </w:tc>
        <w:tc>
          <w:tcPr>
            <w:tcW w:w="5310" w:type="dxa"/>
          </w:tcPr>
          <w:p w14:paraId="1B7A31A5" w14:textId="4B35B363"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Direktiva 2011/16/BE ndryshohet si më poshtë:</w:t>
            </w:r>
          </w:p>
          <w:p w14:paraId="60F4EA87" w14:textId="662FC710"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(1)</w:t>
            </w:r>
          </w:p>
          <w:p w14:paraId="6A745D04" w14:textId="51F49271"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nenin 3, pika (9) ndryshohet si më poshtë:</w:t>
            </w:r>
          </w:p>
          <w:p w14:paraId="51E45A75" w14:textId="2EA2ECE4"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(a)</w:t>
            </w:r>
          </w:p>
          <w:p w14:paraId="0091A3F7" w14:textId="3B66B9A0"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nënparagrafi i parë, ndryshohet si më poshtë vijon:</w:t>
            </w:r>
          </w:p>
          <w:p w14:paraId="6FA573F4" w14:textId="6E7A3069"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(i)</w:t>
            </w:r>
          </w:p>
          <w:p w14:paraId="71E15C49" w14:textId="6EEBFDF2"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pika (a) zëvendësohet me sa vijon:</w:t>
            </w:r>
          </w:p>
          <w:p w14:paraId="6B9AC218" w14:textId="60A023F4"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'(a)</w:t>
            </w:r>
          </w:p>
          <w:p w14:paraId="759D0942" w14:textId="218428FA"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për qëllimet e Nenit 8(1) dhe Neneve 8a deri në 8ae, komunikimi sistematik i informacionit të paracaktuar në një Shtet tjetër Anëtar, pa kërkesë paraprake, në intervale të rregullta të paracaktuara. Për qëllimet e Nenit 8(1), referenca ndaj informacionit të disponueshëm lidhet me informacionin në dosjet tatimore të Shtetit Anëtar që komunikon informacionin, i cili është i rikuperueshëm në përputhje me procedurat për mbledhjen dhe përpunimin e informacionit në atë Shtet Anëtar;</w:t>
            </w:r>
          </w:p>
          <w:p w14:paraId="55DA6AB8" w14:textId="6624C507"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(ii)</w:t>
            </w:r>
          </w:p>
          <w:p w14:paraId="36BA6B77" w14:textId="0FCA2BFA"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pika (c) zëvendësohet me sa vijon:</w:t>
            </w:r>
          </w:p>
          <w:p w14:paraId="6E86DCFF" w14:textId="5A05D848"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'(c)</w:t>
            </w:r>
          </w:p>
          <w:p w14:paraId="644165D6" w14:textId="10337B8C"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për qëllimet e dispozitave të kësaj Direktive përveç neneve 8(1) dhe 8(3a) dhe neneve 8a deri në 8ae, komunikimi sistematik i informacionit të paracaktuar të parashikuar në nënparagrafin e parë, pikat (a) dhe (b), të kësaj pike.</w:t>
            </w:r>
          </w:p>
          <w:p w14:paraId="7F87AE90" w14:textId="221765A8"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lastRenderedPageBreak/>
              <w:t>(b)</w:t>
            </w:r>
          </w:p>
          <w:p w14:paraId="396387BB" w14:textId="76A38F8E" w:rsidR="00613D48"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nënparagrafi i dytë zëvendësohet me tekstin e mëposhtëm:</w:t>
            </w:r>
          </w:p>
          <w:p w14:paraId="1B250F4A" w14:textId="3A5ADF4F" w:rsidR="00546900" w:rsidRPr="007E4C0D" w:rsidRDefault="00613D48" w:rsidP="00613D48">
            <w:pPr>
              <w:spacing w:before="100" w:beforeAutospacing="1" w:after="100" w:afterAutospacing="1"/>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kontekstin e këtij neni, neneve 8(3a), 8(7a) dhe 21(2) të kësaj Direktive dhe Shtojcës IV të kësaj Direktive, çdo term me shkronjë të madhe do të ketë kuptimin që ka sipas përkufizimeve përkatëse të përcaktuara në Shtojcën I të kësaj Direktive. Në kontekstin e nenit 21(5) dhe nenit 25(3) dhe (4) të kësaj Direktive, çdo term me shkronjë të madhe do të ketë kuptimin që ka sipas përkufizimeve përkatëse të përcaktuara në Shtojcën I, V ose VI të kësaj Direktive. Në kontekstin e nenit 8aa të kësaj Direktive dhe Shtojcës III të kësaj Direktive, çdo term me shkronjë të madhe do të ketë kuptimin që ka sipas përkufizimeve përkatëse të përcaktuara në Shtojcën III të kësaj Direktive. Në kontekstin e nenit 8ac të kësaj Direktive dhe Shtojcës V të kësaj Direktive, çdo term me shkronjë të madhe do të ketë kuptimin që ka sipas përkufizimeve përkatëse të përcaktuara në Shtojcën V të kësaj Direktive. Në kontekstin e nenit 8ad të kësaj Direktive dhe Shtojcës VI të kësaj Direktive, çdo term me shkronjë të madhe do të ketë kuptimin që ka sipas përkufizimeve përkatëse të përcaktuara në Shtojcën VI të kësaj Direktive." Në kontekstin e neneve 8ae dhe 9a të kësaj Direktive dhe Shtojcës VII të kësaj Direktive, çdo term do të ketë të njëjtin kuptim siç përcaktohet në nenin 3, nenin 9(2), pika (a), nenin 16(4), (6), (8) dhe (11), nenin 17(1), nenin 21(5), nenin 22(1), nenin 24(4) dhe (6), nenin 26(2), nenin 27(3), (4) dhe (5), nenin 28(1), nenin 30(2), nenin 31(1), nenin 32, nenin 33(1), nenin 35(1), nenin 36(1), nenin 37(1), nenin 39(1), nenin 42(1), nenin 44(1), nenin 47(1) dhe nenin 49(3) të Direktivës së Këshillit (BE) 2022/2523 (*1). Për më tepër, çdo term me shkronjë të madhe do të ketë të njëjtin kuptim siç përcaktohet në Seksionin I të Shtojcës VII të kësaj Direktive.</w:t>
            </w:r>
          </w:p>
          <w:p w14:paraId="22239502" w14:textId="4A18373B" w:rsidR="00546900" w:rsidRPr="007E4C0D" w:rsidRDefault="00546900" w:rsidP="00266B43">
            <w:pPr>
              <w:jc w:val="both"/>
              <w:rPr>
                <w:rFonts w:ascii="Times New Roman" w:eastAsia="Calibri" w:hAnsi="Times New Roman" w:cs="Times New Roman"/>
                <w:iCs/>
                <w:sz w:val="18"/>
                <w:szCs w:val="18"/>
              </w:rPr>
            </w:pPr>
          </w:p>
          <w:p w14:paraId="1E0BB38B" w14:textId="41F39E8F" w:rsidR="00546900" w:rsidRPr="007E4C0D" w:rsidRDefault="00546900" w:rsidP="00266B43">
            <w:pPr>
              <w:jc w:val="both"/>
              <w:rPr>
                <w:rFonts w:ascii="Times New Roman" w:eastAsia="Calibri" w:hAnsi="Times New Roman" w:cs="Times New Roman"/>
                <w:iCs/>
                <w:sz w:val="18"/>
                <w:szCs w:val="18"/>
              </w:rPr>
            </w:pPr>
          </w:p>
          <w:p w14:paraId="075EF7ED" w14:textId="1B328152" w:rsidR="000A7EA3" w:rsidRPr="007E4C0D" w:rsidRDefault="000A7EA3" w:rsidP="00546900">
            <w:pPr>
              <w:jc w:val="both"/>
              <w:rPr>
                <w:rFonts w:ascii="Times New Roman" w:eastAsia="Calibri" w:hAnsi="Times New Roman" w:cs="Times New Roman"/>
                <w:iCs/>
                <w:sz w:val="18"/>
                <w:szCs w:val="18"/>
              </w:rPr>
            </w:pPr>
          </w:p>
        </w:tc>
        <w:tc>
          <w:tcPr>
            <w:tcW w:w="540" w:type="dxa"/>
          </w:tcPr>
          <w:p w14:paraId="6D951FCC" w14:textId="3D3CD675" w:rsidR="000A7EA3" w:rsidRPr="007E4C0D" w:rsidRDefault="000A7EA3" w:rsidP="00036F88">
            <w:pPr>
              <w:jc w:val="center"/>
              <w:rPr>
                <w:rFonts w:ascii="Times New Roman" w:eastAsia="Calibri" w:hAnsi="Times New Roman" w:cs="Times New Roman"/>
                <w:sz w:val="18"/>
                <w:szCs w:val="18"/>
              </w:rPr>
            </w:pPr>
          </w:p>
        </w:tc>
        <w:tc>
          <w:tcPr>
            <w:tcW w:w="630" w:type="dxa"/>
          </w:tcPr>
          <w:p w14:paraId="5FFEB46D" w14:textId="77777777" w:rsidR="00E7462C" w:rsidRPr="007E4C0D" w:rsidRDefault="00E7462C" w:rsidP="00036F88">
            <w:pPr>
              <w:jc w:val="center"/>
              <w:rPr>
                <w:rFonts w:ascii="Times New Roman" w:eastAsia="Calibri" w:hAnsi="Times New Roman" w:cs="Times New Roman"/>
                <w:sz w:val="18"/>
                <w:szCs w:val="18"/>
              </w:rPr>
            </w:pPr>
          </w:p>
          <w:p w14:paraId="01880ABB" w14:textId="77777777" w:rsidR="00E7462C" w:rsidRPr="007E4C0D" w:rsidRDefault="00E7462C" w:rsidP="00036F88">
            <w:pPr>
              <w:jc w:val="center"/>
              <w:rPr>
                <w:rFonts w:ascii="Times New Roman" w:eastAsia="Calibri" w:hAnsi="Times New Roman" w:cs="Times New Roman"/>
                <w:sz w:val="18"/>
                <w:szCs w:val="18"/>
              </w:rPr>
            </w:pPr>
          </w:p>
          <w:p w14:paraId="1EA67046" w14:textId="77777777" w:rsidR="00E7462C" w:rsidRPr="007E4C0D" w:rsidRDefault="00E7462C" w:rsidP="00036F88">
            <w:pPr>
              <w:jc w:val="center"/>
              <w:rPr>
                <w:rFonts w:ascii="Times New Roman" w:eastAsia="Calibri" w:hAnsi="Times New Roman" w:cs="Times New Roman"/>
                <w:sz w:val="18"/>
                <w:szCs w:val="18"/>
              </w:rPr>
            </w:pPr>
          </w:p>
          <w:p w14:paraId="6A163C88" w14:textId="77777777" w:rsidR="00E7462C" w:rsidRPr="007E4C0D" w:rsidRDefault="00E7462C" w:rsidP="00036F88">
            <w:pPr>
              <w:jc w:val="center"/>
              <w:rPr>
                <w:rFonts w:ascii="Times New Roman" w:eastAsia="Calibri" w:hAnsi="Times New Roman" w:cs="Times New Roman"/>
                <w:sz w:val="18"/>
                <w:szCs w:val="18"/>
              </w:rPr>
            </w:pPr>
          </w:p>
          <w:p w14:paraId="7B749314" w14:textId="722E022C" w:rsidR="000A7EA3" w:rsidRPr="007E4C0D" w:rsidRDefault="009E22EF" w:rsidP="00036F88">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4964" w:type="dxa"/>
          </w:tcPr>
          <w:p w14:paraId="3D793E70" w14:textId="77777777" w:rsidR="00FD7583" w:rsidRPr="007E4C0D" w:rsidRDefault="00FD7583" w:rsidP="00FD7583">
            <w:pPr>
              <w:jc w:val="center"/>
              <w:rPr>
                <w:rFonts w:ascii="Times New Roman" w:eastAsia="Calibri" w:hAnsi="Times New Roman" w:cs="Times New Roman"/>
                <w:sz w:val="18"/>
                <w:szCs w:val="18"/>
              </w:rPr>
            </w:pPr>
          </w:p>
          <w:p w14:paraId="59FA8E5C" w14:textId="77777777" w:rsidR="00E7462C" w:rsidRPr="007E4C0D" w:rsidRDefault="00E7462C" w:rsidP="00FD7583">
            <w:pPr>
              <w:jc w:val="center"/>
              <w:rPr>
                <w:rFonts w:ascii="Times New Roman" w:eastAsia="Calibri" w:hAnsi="Times New Roman" w:cs="Times New Roman"/>
                <w:sz w:val="18"/>
                <w:szCs w:val="18"/>
              </w:rPr>
            </w:pPr>
          </w:p>
          <w:p w14:paraId="79F5D77A" w14:textId="77777777" w:rsidR="00E7462C" w:rsidRPr="007E4C0D" w:rsidRDefault="00E7462C" w:rsidP="00FD7583">
            <w:pPr>
              <w:jc w:val="center"/>
              <w:rPr>
                <w:rFonts w:ascii="Times New Roman" w:eastAsia="Calibri" w:hAnsi="Times New Roman" w:cs="Times New Roman"/>
                <w:sz w:val="18"/>
                <w:szCs w:val="18"/>
              </w:rPr>
            </w:pPr>
          </w:p>
          <w:p w14:paraId="414007D8" w14:textId="77777777" w:rsidR="00E7462C" w:rsidRPr="007E4C0D" w:rsidRDefault="00E7462C" w:rsidP="00FD7583">
            <w:pPr>
              <w:jc w:val="center"/>
              <w:rPr>
                <w:rFonts w:ascii="Times New Roman" w:eastAsia="Calibri" w:hAnsi="Times New Roman" w:cs="Times New Roman"/>
                <w:sz w:val="18"/>
                <w:szCs w:val="18"/>
              </w:rPr>
            </w:pPr>
          </w:p>
          <w:p w14:paraId="7D2CEC06" w14:textId="67584AF2" w:rsidR="000A7EA3" w:rsidRPr="007E4C0D" w:rsidRDefault="009E22EF" w:rsidP="00FD7583">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720" w:type="dxa"/>
          </w:tcPr>
          <w:p w14:paraId="6060B9E6" w14:textId="77777777" w:rsidR="00E7462C" w:rsidRPr="007E4C0D" w:rsidRDefault="00E7462C" w:rsidP="00036F88">
            <w:pPr>
              <w:jc w:val="center"/>
              <w:rPr>
                <w:rFonts w:ascii="Times New Roman" w:eastAsia="Calibri" w:hAnsi="Times New Roman" w:cs="Times New Roman"/>
                <w:sz w:val="18"/>
                <w:szCs w:val="18"/>
              </w:rPr>
            </w:pPr>
          </w:p>
          <w:p w14:paraId="20A9F665" w14:textId="77777777" w:rsidR="00E7462C" w:rsidRPr="007E4C0D" w:rsidRDefault="00E7462C" w:rsidP="00036F88">
            <w:pPr>
              <w:jc w:val="center"/>
              <w:rPr>
                <w:rFonts w:ascii="Times New Roman" w:eastAsia="Calibri" w:hAnsi="Times New Roman" w:cs="Times New Roman"/>
                <w:sz w:val="18"/>
                <w:szCs w:val="18"/>
              </w:rPr>
            </w:pPr>
          </w:p>
          <w:p w14:paraId="42B60841" w14:textId="77777777" w:rsidR="00E7462C" w:rsidRPr="007E4C0D" w:rsidRDefault="00E7462C" w:rsidP="00036F88">
            <w:pPr>
              <w:jc w:val="center"/>
              <w:rPr>
                <w:rFonts w:ascii="Times New Roman" w:eastAsia="Calibri" w:hAnsi="Times New Roman" w:cs="Times New Roman"/>
                <w:sz w:val="18"/>
                <w:szCs w:val="18"/>
              </w:rPr>
            </w:pPr>
          </w:p>
          <w:p w14:paraId="0AC2091C" w14:textId="77777777" w:rsidR="00E7462C" w:rsidRPr="007E4C0D" w:rsidRDefault="00E7462C" w:rsidP="00036F88">
            <w:pPr>
              <w:jc w:val="center"/>
              <w:rPr>
                <w:rFonts w:ascii="Times New Roman" w:eastAsia="Calibri" w:hAnsi="Times New Roman" w:cs="Times New Roman"/>
                <w:sz w:val="18"/>
                <w:szCs w:val="18"/>
              </w:rPr>
            </w:pPr>
          </w:p>
          <w:p w14:paraId="3F6791D3" w14:textId="5C678765" w:rsidR="000A7EA3" w:rsidRPr="007E4C0D" w:rsidRDefault="009E22EF" w:rsidP="00036F88">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3406" w:type="dxa"/>
          </w:tcPr>
          <w:p w14:paraId="03521802" w14:textId="03C8FE78" w:rsidR="000A7EA3" w:rsidRPr="007E4C0D" w:rsidRDefault="009E22EF" w:rsidP="00036F88">
            <w:pPr>
              <w:rPr>
                <w:rFonts w:ascii="Times New Roman" w:eastAsia="Calibri" w:hAnsi="Times New Roman" w:cs="Times New Roman"/>
                <w:sz w:val="18"/>
                <w:szCs w:val="18"/>
              </w:rPr>
            </w:pPr>
            <w:r w:rsidRPr="007E4C0D">
              <w:rPr>
                <w:rFonts w:ascii="Times New Roman" w:eastAsia="Calibri" w:hAnsi="Times New Roman" w:cs="Times New Roman"/>
                <w:sz w:val="18"/>
                <w:szCs w:val="18"/>
              </w:rPr>
              <w:t>Dispozita dhe lidhet me përkufizimin e shkëmbimit automatik të informacionit në nivel të Direktivës 2011/16/BE. Nuk kërkon transpozim të drejtpërdrejtë në legjislacionin kombëtar. Zbatimi i saj sigurohet në mënyrë funksionale përmes dispozitave që rregullojnë shkëmbimin automatik të Deklaratës Informative të Tatimit Shtesë (TTIR), në veçanti nenet përkatëse mbi shkëmbimin automatik të informacionit në këtë ligj.</w:t>
            </w:r>
          </w:p>
        </w:tc>
      </w:tr>
      <w:tr w:rsidR="003C045B" w:rsidRPr="007E4C0D" w14:paraId="6F796DB6" w14:textId="77777777" w:rsidTr="00593EF8">
        <w:trPr>
          <w:trHeight w:val="278"/>
        </w:trPr>
        <w:tc>
          <w:tcPr>
            <w:tcW w:w="630" w:type="dxa"/>
            <w:shd w:val="clear" w:color="auto" w:fill="F2F2F2"/>
          </w:tcPr>
          <w:p w14:paraId="78A89E6F" w14:textId="77777777" w:rsidR="003C045B" w:rsidRPr="007E4C0D" w:rsidRDefault="003C045B" w:rsidP="003C045B">
            <w:pPr>
              <w:jc w:val="center"/>
              <w:rPr>
                <w:rFonts w:ascii="Times New Roman" w:eastAsia="Calibri" w:hAnsi="Times New Roman" w:cs="Times New Roman"/>
                <w:i/>
                <w:sz w:val="18"/>
                <w:szCs w:val="18"/>
              </w:rPr>
            </w:pPr>
          </w:p>
        </w:tc>
        <w:tc>
          <w:tcPr>
            <w:tcW w:w="5310" w:type="dxa"/>
            <w:shd w:val="clear" w:color="auto" w:fill="F2F2F2"/>
          </w:tcPr>
          <w:p w14:paraId="7F7DAD97" w14:textId="77777777" w:rsidR="00546900" w:rsidRPr="007E4C0D" w:rsidRDefault="00546900" w:rsidP="00A235BE">
            <w:pPr>
              <w:jc w:val="both"/>
              <w:rPr>
                <w:rFonts w:ascii="Times New Roman" w:hAnsi="Times New Roman" w:cs="Times New Roman"/>
                <w:sz w:val="18"/>
                <w:szCs w:val="18"/>
              </w:rPr>
            </w:pPr>
          </w:p>
          <w:p w14:paraId="49315876"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ab/>
            </w:r>
          </w:p>
          <w:p w14:paraId="051B7BB1"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Neni 8(3a) zëvendësohet me tekstin e mëposhtëm:</w:t>
            </w:r>
          </w:p>
          <w:p w14:paraId="0A64DA18" w14:textId="77777777" w:rsidR="00613D48" w:rsidRPr="007E4C0D" w:rsidRDefault="00613D48" w:rsidP="00613D48">
            <w:pPr>
              <w:jc w:val="both"/>
              <w:rPr>
                <w:rFonts w:ascii="Times New Roman" w:eastAsia="Times New Roman" w:hAnsi="Times New Roman" w:cs="Times New Roman"/>
                <w:sz w:val="18"/>
                <w:szCs w:val="18"/>
              </w:rPr>
            </w:pPr>
          </w:p>
          <w:p w14:paraId="5A0F8550"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lastRenderedPageBreak/>
              <w:t>'3a. Çdo Shtet Anëtar duhet të marrë masat e nevojshme për të kërkuar që Institucionet e tij Financiare Raportuese të zbatojnë rregullat e raportimit dhe kujdesit të duhur të përfshira në Shtojcat I dhe II dhe të sigurojnë zbatimin efektiv dhe pajtueshmërinë me këto rregulla në përputhje me Seksionin IX të Shtojcës I.</w:t>
            </w:r>
          </w:p>
          <w:p w14:paraId="207A298D" w14:textId="77777777" w:rsidR="00613D48" w:rsidRPr="007E4C0D" w:rsidRDefault="00613D48" w:rsidP="00613D48">
            <w:pPr>
              <w:jc w:val="both"/>
              <w:rPr>
                <w:rFonts w:ascii="Times New Roman" w:eastAsia="Times New Roman" w:hAnsi="Times New Roman" w:cs="Times New Roman"/>
                <w:sz w:val="18"/>
                <w:szCs w:val="18"/>
              </w:rPr>
            </w:pPr>
          </w:p>
          <w:p w14:paraId="0998D7C0"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përputhje me rregullat përkatëse të raportimit dhe kujdesit të duhur të përfshira në Shtojcat I dhe II, autoriteti kompetent i secilit Shtet Anëtar, me anë të shkëmbimit automatik, duhet t'i komunikojë autoritetit kompetent të çdo Shteti tjetër Anëtar, brenda afatit të përcaktuar në pikën (b) të paragrafit 6, informacionin e mëposhtëm në lidhje me periudhat tatimore që nga 1 janari 2016 në lidhje me një Llogari të Raportueshme:</w:t>
            </w:r>
          </w:p>
          <w:p w14:paraId="479985D7" w14:textId="77777777" w:rsidR="00613D48" w:rsidRPr="007E4C0D" w:rsidRDefault="00613D48" w:rsidP="00613D48">
            <w:pPr>
              <w:jc w:val="both"/>
              <w:rPr>
                <w:rFonts w:ascii="Times New Roman" w:eastAsia="Times New Roman" w:hAnsi="Times New Roman" w:cs="Times New Roman"/>
                <w:sz w:val="18"/>
                <w:szCs w:val="18"/>
              </w:rPr>
            </w:pPr>
          </w:p>
          <w:p w14:paraId="67B05F92"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(a)</w:t>
            </w:r>
          </w:p>
          <w:p w14:paraId="744F5567" w14:textId="77777777" w:rsidR="00613D48" w:rsidRPr="007E4C0D" w:rsidRDefault="00613D48" w:rsidP="00613D48">
            <w:pPr>
              <w:jc w:val="both"/>
              <w:rPr>
                <w:rFonts w:ascii="Times New Roman" w:eastAsia="Times New Roman" w:hAnsi="Times New Roman" w:cs="Times New Roman"/>
                <w:sz w:val="18"/>
                <w:szCs w:val="18"/>
              </w:rPr>
            </w:pPr>
          </w:p>
          <w:p w14:paraId="228C49CE"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emri, adresa, NIPT-i dhe data dhe vendi i lindjes (në rastin e një individi) të çdo Personi të Raportueshëm që është Mbajtës Llogarie i llogarisë dhe, në rastin e çdo Enti që është Mbajtës Llogarie dhe që, pas zbatimit të rregullave të kujdesit të duhur në përputhje me Shtojcat I dhe II, identifikohet se ka një ose më shumë Persona Kontrollues që janë Persona të Raportueshëm, emri, adresa dhe NIPT-i i Entitetit dhe emri, adresa, NIPT-i dhe data dhe vendi i lindjes së çdo Personi të Raportueshëm;</w:t>
            </w:r>
          </w:p>
          <w:p w14:paraId="7AF82133" w14:textId="77777777" w:rsidR="00613D48" w:rsidRPr="007E4C0D" w:rsidRDefault="00613D48" w:rsidP="00613D48">
            <w:pPr>
              <w:jc w:val="both"/>
              <w:rPr>
                <w:rFonts w:ascii="Times New Roman" w:eastAsia="Times New Roman" w:hAnsi="Times New Roman" w:cs="Times New Roman"/>
                <w:sz w:val="18"/>
                <w:szCs w:val="18"/>
              </w:rPr>
            </w:pPr>
          </w:p>
          <w:p w14:paraId="1C1E98AA"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(b)</w:t>
            </w:r>
          </w:p>
          <w:p w14:paraId="5CD38467" w14:textId="77777777" w:rsidR="00613D48" w:rsidRPr="007E4C0D" w:rsidRDefault="00613D48" w:rsidP="00613D48">
            <w:pPr>
              <w:jc w:val="both"/>
              <w:rPr>
                <w:rFonts w:ascii="Times New Roman" w:eastAsia="Times New Roman" w:hAnsi="Times New Roman" w:cs="Times New Roman"/>
                <w:sz w:val="18"/>
                <w:szCs w:val="18"/>
              </w:rPr>
            </w:pPr>
          </w:p>
          <w:p w14:paraId="398B4AAB"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numrin e llogarisë (ose ekuivalentin funksional në mungesë të një numri llogarie);</w:t>
            </w:r>
          </w:p>
          <w:p w14:paraId="2FBC6780" w14:textId="77777777" w:rsidR="00613D48" w:rsidRPr="007E4C0D" w:rsidRDefault="00613D48" w:rsidP="00613D48">
            <w:pPr>
              <w:jc w:val="both"/>
              <w:rPr>
                <w:rFonts w:ascii="Times New Roman" w:eastAsia="Times New Roman" w:hAnsi="Times New Roman" w:cs="Times New Roman"/>
                <w:sz w:val="18"/>
                <w:szCs w:val="18"/>
              </w:rPr>
            </w:pPr>
          </w:p>
          <w:p w14:paraId="69DB6A1F"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(c)</w:t>
            </w:r>
          </w:p>
          <w:p w14:paraId="21831230" w14:textId="77777777" w:rsidR="00613D48" w:rsidRPr="007E4C0D" w:rsidRDefault="00613D48" w:rsidP="00613D48">
            <w:pPr>
              <w:jc w:val="both"/>
              <w:rPr>
                <w:rFonts w:ascii="Times New Roman" w:eastAsia="Times New Roman" w:hAnsi="Times New Roman" w:cs="Times New Roman"/>
                <w:sz w:val="18"/>
                <w:szCs w:val="18"/>
              </w:rPr>
            </w:pPr>
          </w:p>
          <w:p w14:paraId="3C5D76A2"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emrin dhe numrin identifikues (nëse ka) të Institucionit Financiar Raportues;</w:t>
            </w:r>
          </w:p>
          <w:p w14:paraId="689CEB5B" w14:textId="77777777" w:rsidR="00613D48" w:rsidRPr="007E4C0D" w:rsidRDefault="00613D48" w:rsidP="00613D48">
            <w:pPr>
              <w:jc w:val="both"/>
              <w:rPr>
                <w:rFonts w:ascii="Times New Roman" w:eastAsia="Times New Roman" w:hAnsi="Times New Roman" w:cs="Times New Roman"/>
                <w:sz w:val="18"/>
                <w:szCs w:val="18"/>
              </w:rPr>
            </w:pPr>
          </w:p>
          <w:p w14:paraId="66FDFF56"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(d)</w:t>
            </w:r>
          </w:p>
          <w:p w14:paraId="39397B0E" w14:textId="77777777" w:rsidR="00613D48" w:rsidRPr="007E4C0D" w:rsidRDefault="00613D48" w:rsidP="00613D48">
            <w:pPr>
              <w:jc w:val="both"/>
              <w:rPr>
                <w:rFonts w:ascii="Times New Roman" w:eastAsia="Times New Roman" w:hAnsi="Times New Roman" w:cs="Times New Roman"/>
                <w:sz w:val="18"/>
                <w:szCs w:val="18"/>
              </w:rPr>
            </w:pPr>
          </w:p>
          <w:p w14:paraId="6D32A8BE"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 xml:space="preserve">bilanci ose vlera e llogarisë (duke përfshirë, në rastin e një Kontrate Sigurimi me Vlerë në Para ose Kontrate Anuiteti, Vlerën në Para ose </w:t>
            </w:r>
            <w:r w:rsidRPr="007E4C0D">
              <w:rPr>
                <w:rFonts w:ascii="Times New Roman" w:eastAsia="Times New Roman" w:hAnsi="Times New Roman" w:cs="Times New Roman"/>
                <w:sz w:val="18"/>
                <w:szCs w:val="18"/>
              </w:rPr>
              <w:lastRenderedPageBreak/>
              <w:t>vlerën e dorëzimit) në fund të vitit kalendarik përkatës ose periudhës tjetër të përshtatshme raportuese ose, nëse llogaria është mbyllur gjatë atij viti ose periudhe, mbyllja e llogarisë;</w:t>
            </w:r>
          </w:p>
          <w:p w14:paraId="4B806700" w14:textId="77777777" w:rsidR="00613D48" w:rsidRPr="007E4C0D" w:rsidRDefault="00613D48" w:rsidP="00613D48">
            <w:pPr>
              <w:jc w:val="both"/>
              <w:rPr>
                <w:rFonts w:ascii="Times New Roman" w:eastAsia="Times New Roman" w:hAnsi="Times New Roman" w:cs="Times New Roman"/>
                <w:sz w:val="18"/>
                <w:szCs w:val="18"/>
              </w:rPr>
            </w:pPr>
          </w:p>
          <w:p w14:paraId="17FC4D15"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(e)</w:t>
            </w:r>
          </w:p>
          <w:p w14:paraId="4525EF8D" w14:textId="77777777" w:rsidR="00613D48" w:rsidRPr="007E4C0D" w:rsidRDefault="00613D48" w:rsidP="00613D48">
            <w:pPr>
              <w:jc w:val="both"/>
              <w:rPr>
                <w:rFonts w:ascii="Times New Roman" w:eastAsia="Times New Roman" w:hAnsi="Times New Roman" w:cs="Times New Roman"/>
                <w:sz w:val="18"/>
                <w:szCs w:val="18"/>
              </w:rPr>
            </w:pPr>
          </w:p>
          <w:p w14:paraId="5B63D4A7"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rastin e çdo Llogarie Kujdestarie:</w:t>
            </w:r>
          </w:p>
          <w:p w14:paraId="1FE2021B" w14:textId="77777777" w:rsidR="00613D48" w:rsidRPr="007E4C0D" w:rsidRDefault="00613D48" w:rsidP="00613D48">
            <w:pPr>
              <w:jc w:val="both"/>
              <w:rPr>
                <w:rFonts w:ascii="Times New Roman" w:eastAsia="Times New Roman" w:hAnsi="Times New Roman" w:cs="Times New Roman"/>
                <w:sz w:val="18"/>
                <w:szCs w:val="18"/>
              </w:rPr>
            </w:pPr>
          </w:p>
          <w:p w14:paraId="3C778DD1"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(i)</w:t>
            </w:r>
          </w:p>
          <w:p w14:paraId="518853C1" w14:textId="77777777" w:rsidR="00613D48" w:rsidRPr="007E4C0D" w:rsidRDefault="00613D48" w:rsidP="00613D48">
            <w:pPr>
              <w:jc w:val="both"/>
              <w:rPr>
                <w:rFonts w:ascii="Times New Roman" w:eastAsia="Times New Roman" w:hAnsi="Times New Roman" w:cs="Times New Roman"/>
                <w:sz w:val="18"/>
                <w:szCs w:val="18"/>
              </w:rPr>
            </w:pPr>
          </w:p>
          <w:p w14:paraId="7602023B"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shuma totale bruto e interesit, shuma totale bruto e dividentëve dhe shuma totale bruto e të ardhurave të tjera të gjeneruara në lidhje me asetet e mbajtura në llogari, në secilin rast të paguara ose të kredituara në llogari (ose në lidhje me llogarinë) gjatë vitit kalendarik ose periudhës tjetër të përshtatshme raportuese; dhe</w:t>
            </w:r>
          </w:p>
          <w:p w14:paraId="461C7995" w14:textId="77777777" w:rsidR="00613D48" w:rsidRPr="007E4C0D" w:rsidRDefault="00613D48" w:rsidP="00613D48">
            <w:pPr>
              <w:jc w:val="both"/>
              <w:rPr>
                <w:rFonts w:ascii="Times New Roman" w:eastAsia="Times New Roman" w:hAnsi="Times New Roman" w:cs="Times New Roman"/>
                <w:sz w:val="18"/>
                <w:szCs w:val="18"/>
              </w:rPr>
            </w:pPr>
          </w:p>
          <w:p w14:paraId="4D71358D"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(ii)</w:t>
            </w:r>
          </w:p>
          <w:p w14:paraId="0B2035B2" w14:textId="77777777" w:rsidR="00613D48" w:rsidRPr="007E4C0D" w:rsidRDefault="00613D48" w:rsidP="00613D48">
            <w:pPr>
              <w:jc w:val="both"/>
              <w:rPr>
                <w:rFonts w:ascii="Times New Roman" w:eastAsia="Times New Roman" w:hAnsi="Times New Roman" w:cs="Times New Roman"/>
                <w:sz w:val="18"/>
                <w:szCs w:val="18"/>
              </w:rPr>
            </w:pPr>
          </w:p>
          <w:p w14:paraId="6DB8AE79"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të ardhurat totale bruto nga shitja ose shpengimi i Aseteve Financiare të paguara ose të kredituara në llogari gjatë vitit kalendarik ose periudhës tjetër të përshtatshme raportuese në lidhje me të cilën Institucioni Financiar Raportues ka vepruar si kujdestar, ndërmjetës, i emëruar ose ndryshe si agjent për Mbajtësin e Llogarisë;</w:t>
            </w:r>
          </w:p>
          <w:p w14:paraId="610A5CBA" w14:textId="77777777" w:rsidR="00613D48" w:rsidRPr="007E4C0D" w:rsidRDefault="00613D48" w:rsidP="00613D48">
            <w:pPr>
              <w:jc w:val="both"/>
              <w:rPr>
                <w:rFonts w:ascii="Times New Roman" w:eastAsia="Times New Roman" w:hAnsi="Times New Roman" w:cs="Times New Roman"/>
                <w:sz w:val="18"/>
                <w:szCs w:val="18"/>
              </w:rPr>
            </w:pPr>
          </w:p>
          <w:p w14:paraId="659446AD"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(f)</w:t>
            </w:r>
          </w:p>
          <w:p w14:paraId="04684566" w14:textId="77777777" w:rsidR="00613D48" w:rsidRPr="007E4C0D" w:rsidRDefault="00613D48" w:rsidP="00613D48">
            <w:pPr>
              <w:jc w:val="both"/>
              <w:rPr>
                <w:rFonts w:ascii="Times New Roman" w:eastAsia="Times New Roman" w:hAnsi="Times New Roman" w:cs="Times New Roman"/>
                <w:sz w:val="18"/>
                <w:szCs w:val="18"/>
              </w:rPr>
            </w:pPr>
          </w:p>
          <w:p w14:paraId="2F3B18C5"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rastin e çdo Llogarie Depozituese, shuma totale bruto e interesit të paguar ose të kredituar në llogari gjatë vitit kalendarik ose periudhës tjetër të përshtatshme raportuese;</w:t>
            </w:r>
          </w:p>
          <w:p w14:paraId="093218AF" w14:textId="77777777" w:rsidR="00613D48" w:rsidRPr="007E4C0D" w:rsidRDefault="00613D48" w:rsidP="00613D48">
            <w:pPr>
              <w:jc w:val="both"/>
              <w:rPr>
                <w:rFonts w:ascii="Times New Roman" w:eastAsia="Times New Roman" w:hAnsi="Times New Roman" w:cs="Times New Roman"/>
                <w:sz w:val="18"/>
                <w:szCs w:val="18"/>
              </w:rPr>
            </w:pPr>
          </w:p>
          <w:p w14:paraId="61E9A041"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(g)</w:t>
            </w:r>
          </w:p>
          <w:p w14:paraId="5AB5BDAC" w14:textId="77777777" w:rsidR="00613D48" w:rsidRPr="007E4C0D" w:rsidRDefault="00613D48" w:rsidP="00613D48">
            <w:pPr>
              <w:jc w:val="both"/>
              <w:rPr>
                <w:rFonts w:ascii="Times New Roman" w:eastAsia="Times New Roman" w:hAnsi="Times New Roman" w:cs="Times New Roman"/>
                <w:sz w:val="18"/>
                <w:szCs w:val="18"/>
              </w:rPr>
            </w:pPr>
          </w:p>
          <w:p w14:paraId="093A4415"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rastin e çdo llogarie që nuk përshkruhet në pikën (e) ose pikën (f), shuma totale bruto e paguar ose e kredituar Mbajtësit të Llogarisë në lidhje me llogarinë gjatë vitit kalendarik ose periudhës tjetër të përshtatshme raportuese në lidhje me të cilën Institucioni Financiar Raportues është debitori ose obliguesi, duke përfshirë shumën totale të çdo pagese shpengimi të bërë Mbajtësit të Llogarisë gjatë vitit kalendarik ose periudhës tjetër të përshtatshme raportuese;</w:t>
            </w:r>
          </w:p>
          <w:p w14:paraId="1B528FE1" w14:textId="77777777" w:rsidR="00613D48" w:rsidRPr="007E4C0D" w:rsidRDefault="00613D48" w:rsidP="00613D48">
            <w:pPr>
              <w:jc w:val="both"/>
              <w:rPr>
                <w:rFonts w:ascii="Times New Roman" w:eastAsia="Times New Roman" w:hAnsi="Times New Roman" w:cs="Times New Roman"/>
                <w:sz w:val="18"/>
                <w:szCs w:val="18"/>
              </w:rPr>
            </w:pPr>
          </w:p>
          <w:p w14:paraId="496671B2"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(h)</w:t>
            </w:r>
          </w:p>
          <w:p w14:paraId="7A249406" w14:textId="77777777" w:rsidR="00613D48" w:rsidRPr="007E4C0D" w:rsidRDefault="00613D48" w:rsidP="00613D48">
            <w:pPr>
              <w:jc w:val="both"/>
              <w:rPr>
                <w:rFonts w:ascii="Times New Roman" w:eastAsia="Times New Roman" w:hAnsi="Times New Roman" w:cs="Times New Roman"/>
                <w:sz w:val="18"/>
                <w:szCs w:val="18"/>
              </w:rPr>
            </w:pPr>
          </w:p>
          <w:p w14:paraId="684FACA1"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nëse është dhënë një vetë-çertifikim i vlefshëm për secilin Mbajtës të Llogarisë;</w:t>
            </w:r>
          </w:p>
          <w:p w14:paraId="539E7F78" w14:textId="77777777" w:rsidR="00613D48" w:rsidRPr="007E4C0D" w:rsidRDefault="00613D48" w:rsidP="00613D48">
            <w:pPr>
              <w:jc w:val="both"/>
              <w:rPr>
                <w:rFonts w:ascii="Times New Roman" w:eastAsia="Times New Roman" w:hAnsi="Times New Roman" w:cs="Times New Roman"/>
                <w:sz w:val="18"/>
                <w:szCs w:val="18"/>
              </w:rPr>
            </w:pPr>
          </w:p>
          <w:p w14:paraId="028CF66A"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(i)</w:t>
            </w:r>
          </w:p>
          <w:p w14:paraId="74D5EF7C" w14:textId="77777777" w:rsidR="00613D48" w:rsidRPr="007E4C0D" w:rsidRDefault="00613D48" w:rsidP="00613D48">
            <w:pPr>
              <w:jc w:val="both"/>
              <w:rPr>
                <w:rFonts w:ascii="Times New Roman" w:eastAsia="Times New Roman" w:hAnsi="Times New Roman" w:cs="Times New Roman"/>
                <w:sz w:val="18"/>
                <w:szCs w:val="18"/>
              </w:rPr>
            </w:pPr>
          </w:p>
          <w:p w14:paraId="4E5163FB"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roli/rolet në bazë të të cilit çdo Person i Raportueshëm që është Person Kontrollues i një Mbajtësi të Llogarisë së Entitetit është Person Kontrollues i Entitetit dhe nëse është dhënë një vetë-çertifikim i vlefshëm për secilin Person të tillë të Raportueshëm;</w:t>
            </w:r>
          </w:p>
          <w:p w14:paraId="23756F60" w14:textId="77777777" w:rsidR="00613D48" w:rsidRPr="007E4C0D" w:rsidRDefault="00613D48" w:rsidP="00613D48">
            <w:pPr>
              <w:jc w:val="both"/>
              <w:rPr>
                <w:rFonts w:ascii="Times New Roman" w:eastAsia="Times New Roman" w:hAnsi="Times New Roman" w:cs="Times New Roman"/>
                <w:sz w:val="18"/>
                <w:szCs w:val="18"/>
              </w:rPr>
            </w:pPr>
          </w:p>
          <w:p w14:paraId="6B3E6B85"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(j)</w:t>
            </w:r>
          </w:p>
          <w:p w14:paraId="54AFCF9E" w14:textId="77777777" w:rsidR="00613D48" w:rsidRPr="007E4C0D" w:rsidRDefault="00613D48" w:rsidP="00613D48">
            <w:pPr>
              <w:jc w:val="both"/>
              <w:rPr>
                <w:rFonts w:ascii="Times New Roman" w:eastAsia="Times New Roman" w:hAnsi="Times New Roman" w:cs="Times New Roman"/>
                <w:sz w:val="18"/>
                <w:szCs w:val="18"/>
              </w:rPr>
            </w:pPr>
          </w:p>
          <w:p w14:paraId="77BCB570"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llojin e llogarisë, nëse llogaria është një Llogari Para-Ekzistuese apo një Llogari e Re dhe nëse llogaria është një llogari e përbashkët, duke përfshirë numrin e Mbajtësve të Llogarisë së Përbashkët; dhe</w:t>
            </w:r>
          </w:p>
          <w:p w14:paraId="1D89901C" w14:textId="77777777" w:rsidR="00613D48" w:rsidRPr="007E4C0D" w:rsidRDefault="00613D48" w:rsidP="00613D48">
            <w:pPr>
              <w:jc w:val="both"/>
              <w:rPr>
                <w:rFonts w:ascii="Times New Roman" w:eastAsia="Times New Roman" w:hAnsi="Times New Roman" w:cs="Times New Roman"/>
                <w:sz w:val="18"/>
                <w:szCs w:val="18"/>
              </w:rPr>
            </w:pPr>
          </w:p>
          <w:p w14:paraId="416A56EA"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(k)</w:t>
            </w:r>
          </w:p>
          <w:p w14:paraId="2795398F" w14:textId="77777777" w:rsidR="00613D48" w:rsidRPr="007E4C0D" w:rsidRDefault="00613D48" w:rsidP="00613D48">
            <w:pPr>
              <w:jc w:val="both"/>
              <w:rPr>
                <w:rFonts w:ascii="Times New Roman" w:eastAsia="Times New Roman" w:hAnsi="Times New Roman" w:cs="Times New Roman"/>
                <w:sz w:val="18"/>
                <w:szCs w:val="18"/>
              </w:rPr>
            </w:pPr>
          </w:p>
          <w:p w14:paraId="22CDE1AB"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 rastin e çdo Interesi në Kapital të mbajtur në një Entitet Investimi që është një marrëveshje ligjore, roli/rolet në bazë të të cilit Personi i Raportueshëm është mbajtës i Interesit në Kapital.</w:t>
            </w:r>
          </w:p>
          <w:p w14:paraId="4F5711DF" w14:textId="77777777" w:rsidR="00613D48" w:rsidRPr="007E4C0D" w:rsidRDefault="00613D48" w:rsidP="00613D48">
            <w:pPr>
              <w:jc w:val="both"/>
              <w:rPr>
                <w:rFonts w:ascii="Times New Roman" w:eastAsia="Times New Roman" w:hAnsi="Times New Roman" w:cs="Times New Roman"/>
                <w:sz w:val="18"/>
                <w:szCs w:val="18"/>
              </w:rPr>
            </w:pPr>
          </w:p>
          <w:p w14:paraId="5A556D0E"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Për qëllimet e shkëmbimit të informacionit sipas këtij paragrafi, përveç nëse parashikohet ndryshe në këtë paragraf ose në Shtojcën I ose II, shuma dhe karakterizimi i pagesave të bëra në lidhje me një Llogari të Raportueshme do të përcaktohen në përputhje me legjislacionin kombëtar të Shtetit Anëtar që komunikon informacionin.</w:t>
            </w:r>
          </w:p>
          <w:p w14:paraId="1A459226" w14:textId="77777777" w:rsidR="00613D48" w:rsidRPr="007E4C0D" w:rsidRDefault="00613D48" w:rsidP="00613D48">
            <w:pPr>
              <w:jc w:val="both"/>
              <w:rPr>
                <w:rFonts w:ascii="Times New Roman" w:eastAsia="Times New Roman" w:hAnsi="Times New Roman" w:cs="Times New Roman"/>
                <w:sz w:val="18"/>
                <w:szCs w:val="18"/>
              </w:rPr>
            </w:pPr>
          </w:p>
          <w:p w14:paraId="7A046A08" w14:textId="77777777" w:rsidR="00613D48" w:rsidRPr="007E4C0D" w:rsidRDefault="00613D48" w:rsidP="00613D48">
            <w:pPr>
              <w:jc w:val="both"/>
              <w:rPr>
                <w:rFonts w:ascii="Times New Roman" w:eastAsia="Times New Roman" w:hAnsi="Times New Roman" w:cs="Times New Roman"/>
                <w:sz w:val="18"/>
                <w:szCs w:val="18"/>
              </w:rPr>
            </w:pPr>
            <w:r w:rsidRPr="007E4C0D">
              <w:rPr>
                <w:rFonts w:ascii="Times New Roman" w:eastAsia="Times New Roman" w:hAnsi="Times New Roman" w:cs="Times New Roman"/>
                <w:sz w:val="18"/>
                <w:szCs w:val="18"/>
              </w:rPr>
              <w:t>Nënparagrafët e parë dhe të dytë të këtij paragrafi mbizotërojnë mbi pikën (c) të paragrafit 1 ose çdo instrumenti tjetër ligjor të Bashkimit, në masën që shkëmbimi i informacionit në fjalë do të binte brenda fushëveprimit të pikës (c) të paragrafit 1 ose të çdo instrumenti tjetër ligjor të Bashkimit.</w:t>
            </w:r>
          </w:p>
          <w:p w14:paraId="1664B7E2" w14:textId="77777777" w:rsidR="00613D48" w:rsidRPr="007E4C0D" w:rsidRDefault="00613D48" w:rsidP="00613D48">
            <w:pPr>
              <w:jc w:val="both"/>
              <w:rPr>
                <w:rFonts w:ascii="Times New Roman" w:eastAsia="Times New Roman" w:hAnsi="Times New Roman" w:cs="Times New Roman"/>
                <w:sz w:val="18"/>
                <w:szCs w:val="18"/>
              </w:rPr>
            </w:pPr>
          </w:p>
          <w:p w14:paraId="069C9FFA" w14:textId="30EF200F" w:rsidR="00BF099B" w:rsidRPr="007E4C0D" w:rsidRDefault="00613D48" w:rsidP="00613D48">
            <w:pPr>
              <w:rPr>
                <w:rFonts w:ascii="Times New Roman" w:eastAsia="Times New Roman" w:hAnsi="Times New Roman" w:cs="Times New Roman"/>
                <w:vanish/>
                <w:sz w:val="18"/>
                <w:szCs w:val="18"/>
              </w:rPr>
            </w:pPr>
            <w:r w:rsidRPr="007E4C0D">
              <w:rPr>
                <w:rFonts w:ascii="Times New Roman" w:eastAsia="Times New Roman" w:hAnsi="Times New Roman" w:cs="Times New Roman"/>
                <w:sz w:val="18"/>
                <w:szCs w:val="18"/>
              </w:rPr>
              <w:lastRenderedPageBreak/>
              <w:t>Autoriteti kompetent i secilit Shtet Anëtar duhet të komunikojë informacionin e përmendur në pikat (h) deri në (k) të nënparagrafit të dytë në lidhje me periudhat tatimore që nga 1 janari 2026.</w:t>
            </w:r>
          </w:p>
          <w:p w14:paraId="77D30394" w14:textId="053097A9" w:rsidR="003C045B" w:rsidRPr="007E4C0D" w:rsidRDefault="003C045B" w:rsidP="00E17F5A">
            <w:pPr>
              <w:spacing w:before="100" w:beforeAutospacing="1" w:after="100" w:afterAutospacing="1"/>
              <w:jc w:val="both"/>
              <w:rPr>
                <w:rFonts w:ascii="Times New Roman" w:hAnsi="Times New Roman" w:cs="Times New Roman"/>
                <w:sz w:val="18"/>
                <w:szCs w:val="18"/>
              </w:rPr>
            </w:pPr>
          </w:p>
        </w:tc>
        <w:tc>
          <w:tcPr>
            <w:tcW w:w="540" w:type="dxa"/>
          </w:tcPr>
          <w:p w14:paraId="753D3D53" w14:textId="77777777" w:rsidR="003C045B" w:rsidRPr="007E4C0D" w:rsidRDefault="003C045B" w:rsidP="003C045B">
            <w:pPr>
              <w:jc w:val="center"/>
              <w:rPr>
                <w:rFonts w:ascii="Times New Roman" w:eastAsia="Calibri" w:hAnsi="Times New Roman" w:cs="Times New Roman"/>
                <w:i/>
                <w:sz w:val="18"/>
                <w:szCs w:val="18"/>
              </w:rPr>
            </w:pPr>
          </w:p>
        </w:tc>
        <w:tc>
          <w:tcPr>
            <w:tcW w:w="630" w:type="dxa"/>
            <w:shd w:val="clear" w:color="auto" w:fill="F2F2F2"/>
          </w:tcPr>
          <w:p w14:paraId="45F48BD2" w14:textId="77777777" w:rsidR="0054653E" w:rsidRPr="007E4C0D" w:rsidRDefault="0054653E" w:rsidP="003C045B">
            <w:pPr>
              <w:jc w:val="center"/>
              <w:rPr>
                <w:rFonts w:ascii="Times New Roman" w:eastAsia="Calibri" w:hAnsi="Times New Roman" w:cs="Times New Roman"/>
                <w:sz w:val="18"/>
                <w:szCs w:val="18"/>
              </w:rPr>
            </w:pPr>
          </w:p>
          <w:p w14:paraId="186C01E1" w14:textId="77777777" w:rsidR="003C045B" w:rsidRPr="007E4C0D" w:rsidRDefault="003C045B" w:rsidP="003C045B">
            <w:pPr>
              <w:jc w:val="center"/>
              <w:rPr>
                <w:rFonts w:ascii="Times New Roman" w:eastAsia="Calibri" w:hAnsi="Times New Roman" w:cs="Times New Roman"/>
                <w:sz w:val="18"/>
                <w:szCs w:val="18"/>
              </w:rPr>
            </w:pPr>
          </w:p>
          <w:p w14:paraId="07215A5F" w14:textId="77777777" w:rsidR="00E7462C" w:rsidRPr="007E4C0D" w:rsidRDefault="00E7462C" w:rsidP="003C045B">
            <w:pPr>
              <w:jc w:val="center"/>
              <w:rPr>
                <w:rFonts w:ascii="Times New Roman" w:eastAsia="Calibri" w:hAnsi="Times New Roman" w:cs="Times New Roman"/>
                <w:sz w:val="18"/>
                <w:szCs w:val="18"/>
              </w:rPr>
            </w:pPr>
          </w:p>
          <w:p w14:paraId="49667D08" w14:textId="3BB6562D" w:rsidR="00E7462C" w:rsidRPr="007E4C0D" w:rsidRDefault="00E7462C"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4964" w:type="dxa"/>
            <w:shd w:val="clear" w:color="auto" w:fill="F2F2F2"/>
          </w:tcPr>
          <w:p w14:paraId="5AEAB63D" w14:textId="77777777" w:rsidR="00C428C9" w:rsidRPr="007E4C0D" w:rsidRDefault="00C428C9" w:rsidP="00C428C9">
            <w:pPr>
              <w:jc w:val="both"/>
              <w:rPr>
                <w:rFonts w:ascii="Times New Roman" w:hAnsi="Times New Roman" w:cs="Times New Roman"/>
                <w:sz w:val="18"/>
                <w:szCs w:val="18"/>
              </w:rPr>
            </w:pPr>
          </w:p>
          <w:p w14:paraId="2DE8B532" w14:textId="77777777" w:rsidR="00C428C9" w:rsidRPr="007E4C0D" w:rsidRDefault="00C428C9" w:rsidP="00C428C9">
            <w:pPr>
              <w:jc w:val="both"/>
              <w:rPr>
                <w:rFonts w:ascii="Times New Roman" w:hAnsi="Times New Roman" w:cs="Times New Roman"/>
                <w:sz w:val="18"/>
                <w:szCs w:val="18"/>
              </w:rPr>
            </w:pPr>
          </w:p>
          <w:p w14:paraId="7BD77AB0" w14:textId="27AD111D" w:rsidR="00C428C9" w:rsidRPr="007E4C0D" w:rsidRDefault="00E7462C" w:rsidP="00E7462C">
            <w:pPr>
              <w:spacing w:before="100" w:beforeAutospacing="1" w:after="100" w:afterAutospacing="1"/>
              <w:jc w:val="center"/>
              <w:rPr>
                <w:rFonts w:ascii="Times New Roman" w:hAnsi="Times New Roman" w:cs="Times New Roman"/>
                <w:sz w:val="18"/>
                <w:szCs w:val="18"/>
              </w:rPr>
            </w:pPr>
            <w:r w:rsidRPr="007E4C0D">
              <w:rPr>
                <w:rFonts w:ascii="Times New Roman" w:hAnsi="Times New Roman" w:cs="Times New Roman"/>
                <w:sz w:val="18"/>
                <w:szCs w:val="18"/>
              </w:rPr>
              <w:t>N/A</w:t>
            </w:r>
          </w:p>
        </w:tc>
        <w:tc>
          <w:tcPr>
            <w:tcW w:w="720" w:type="dxa"/>
            <w:shd w:val="clear" w:color="auto" w:fill="F2F2F2"/>
          </w:tcPr>
          <w:p w14:paraId="151C9241" w14:textId="77777777" w:rsidR="003C045B" w:rsidRPr="007E4C0D" w:rsidRDefault="003C045B" w:rsidP="003C045B">
            <w:pPr>
              <w:jc w:val="center"/>
              <w:rPr>
                <w:rFonts w:ascii="Times New Roman" w:eastAsia="Calibri" w:hAnsi="Times New Roman" w:cs="Times New Roman"/>
                <w:sz w:val="18"/>
                <w:szCs w:val="18"/>
              </w:rPr>
            </w:pPr>
          </w:p>
          <w:p w14:paraId="638BAC9E" w14:textId="77777777" w:rsidR="00E7462C" w:rsidRPr="007E4C0D" w:rsidRDefault="00E7462C" w:rsidP="003C045B">
            <w:pPr>
              <w:jc w:val="center"/>
              <w:rPr>
                <w:rFonts w:ascii="Times New Roman" w:eastAsia="Calibri" w:hAnsi="Times New Roman" w:cs="Times New Roman"/>
                <w:sz w:val="18"/>
                <w:szCs w:val="18"/>
              </w:rPr>
            </w:pPr>
          </w:p>
          <w:p w14:paraId="7E86A744" w14:textId="77777777" w:rsidR="00E7462C" w:rsidRPr="007E4C0D" w:rsidRDefault="00E7462C" w:rsidP="003C045B">
            <w:pPr>
              <w:jc w:val="center"/>
              <w:rPr>
                <w:rFonts w:ascii="Times New Roman" w:eastAsia="Calibri" w:hAnsi="Times New Roman" w:cs="Times New Roman"/>
                <w:sz w:val="18"/>
                <w:szCs w:val="18"/>
              </w:rPr>
            </w:pPr>
          </w:p>
          <w:p w14:paraId="148AA987" w14:textId="793A7705" w:rsidR="00E7462C" w:rsidRPr="007E4C0D" w:rsidRDefault="00E7462C"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3406" w:type="dxa"/>
            <w:shd w:val="clear" w:color="auto" w:fill="F2F2F2"/>
          </w:tcPr>
          <w:p w14:paraId="26964FA0" w14:textId="7CBD1A09" w:rsidR="003C045B" w:rsidRPr="007E4C0D" w:rsidRDefault="00E7462C" w:rsidP="00E7462C">
            <w:pPr>
              <w:spacing w:line="276" w:lineRule="auto"/>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 xml:space="preserve">Dispozita i përket shkëmbimit automatik të informacionit financiar  sipas nenit 8(3a) të Direktivës 2011/16/BE dhe nuk lidhet me </w:t>
            </w:r>
            <w:r w:rsidRPr="007E4C0D">
              <w:rPr>
                <w:rFonts w:ascii="Times New Roman" w:eastAsia="Calibri" w:hAnsi="Times New Roman" w:cs="Times New Roman"/>
                <w:sz w:val="18"/>
                <w:szCs w:val="18"/>
              </w:rPr>
              <w:lastRenderedPageBreak/>
              <w:t>deklaratën e informacionit tatimor plotësues (TTIR) sipas DAC 9. Për këtë arsye, ajo nuk është objekt i këtij projektligji dhe transpozimi i saj realizohet në kuadër të legjislacionit ekzistues për shkëmbimin automatik të informacionit financiar.</w:t>
            </w:r>
          </w:p>
        </w:tc>
      </w:tr>
      <w:tr w:rsidR="003C045B" w:rsidRPr="007E4C0D" w14:paraId="54545BFE" w14:textId="77777777" w:rsidTr="00593EF8">
        <w:trPr>
          <w:trHeight w:val="1718"/>
        </w:trPr>
        <w:tc>
          <w:tcPr>
            <w:tcW w:w="630" w:type="dxa"/>
            <w:shd w:val="clear" w:color="auto" w:fill="F2F2F2"/>
          </w:tcPr>
          <w:p w14:paraId="2072CEFD" w14:textId="77777777" w:rsidR="003C045B" w:rsidRPr="007E4C0D" w:rsidRDefault="003C045B" w:rsidP="003C045B">
            <w:pPr>
              <w:jc w:val="center"/>
              <w:rPr>
                <w:rFonts w:ascii="Times New Roman" w:eastAsia="Calibri" w:hAnsi="Times New Roman" w:cs="Times New Roman"/>
                <w:i/>
                <w:sz w:val="18"/>
                <w:szCs w:val="18"/>
              </w:rPr>
            </w:pPr>
          </w:p>
        </w:tc>
        <w:tc>
          <w:tcPr>
            <w:tcW w:w="5310" w:type="dxa"/>
            <w:shd w:val="clear" w:color="auto" w:fill="FFFFFF" w:themeFill="background1"/>
          </w:tcPr>
          <w:p w14:paraId="2FE12335" w14:textId="07D9BB2E" w:rsidR="00613D48" w:rsidRPr="007E4C0D" w:rsidRDefault="00613D48" w:rsidP="005B3B67">
            <w:pPr>
              <w:pStyle w:val="oj-ti-grseq-1"/>
              <w:shd w:val="clear" w:color="auto" w:fill="FFFFFF"/>
              <w:spacing w:before="240" w:after="120"/>
              <w:jc w:val="center"/>
              <w:rPr>
                <w:rFonts w:eastAsia="Calibri"/>
                <w:b/>
                <w:iCs/>
                <w:sz w:val="18"/>
                <w:szCs w:val="18"/>
              </w:rPr>
            </w:pPr>
            <w:r w:rsidRPr="007E4C0D">
              <w:rPr>
                <w:rFonts w:eastAsia="Calibri"/>
                <w:iCs/>
                <w:sz w:val="18"/>
                <w:szCs w:val="18"/>
              </w:rPr>
              <w:t xml:space="preserve">Neni </w:t>
            </w:r>
            <w:r w:rsidRPr="007E4C0D">
              <w:rPr>
                <w:rFonts w:eastAsia="Calibri"/>
                <w:b/>
                <w:iCs/>
                <w:sz w:val="18"/>
                <w:szCs w:val="18"/>
              </w:rPr>
              <w:t>8ae</w:t>
            </w:r>
          </w:p>
          <w:p w14:paraId="708744FA" w14:textId="46EE8D08" w:rsidR="00613D48" w:rsidRPr="007E4C0D" w:rsidRDefault="00613D48" w:rsidP="005B3B67">
            <w:pPr>
              <w:pStyle w:val="oj-ti-grseq-1"/>
              <w:shd w:val="clear" w:color="auto" w:fill="FFFFFF"/>
              <w:spacing w:before="240" w:after="120"/>
              <w:jc w:val="center"/>
              <w:rPr>
                <w:rFonts w:eastAsia="Calibri"/>
                <w:b/>
                <w:iCs/>
                <w:sz w:val="18"/>
                <w:szCs w:val="18"/>
              </w:rPr>
            </w:pPr>
            <w:r w:rsidRPr="007E4C0D">
              <w:rPr>
                <w:rFonts w:eastAsia="Calibri"/>
                <w:b/>
                <w:iCs/>
                <w:sz w:val="18"/>
                <w:szCs w:val="18"/>
              </w:rPr>
              <w:t>Formati i paraqitjes dhe shkëmbimi i informacionit në lidhje me deklaratat e informacionit tatimor plotësues sipas Nenit 44 të Direktivës (BE) 2022/2523</w:t>
            </w:r>
          </w:p>
          <w:p w14:paraId="6DD152C9" w14:textId="48A54406"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1. Çdo Shtet Anëtar duhet të marrë masat e nevojshme për të kërkuar që entiteti përbërës deklarues i një grupi shumëkombësh të përdorë modelin standard të përcaktuar në Seksionin IV të Shtojcës VII të kësaj Direktive për të përmbushur detyrimet e deklarimit sipas Nenit 44 të Direktivës (BE) 2022/2523.</w:t>
            </w:r>
          </w:p>
          <w:p w14:paraId="4FB3333F" w14:textId="072F6509"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2. Autoriteti kompetent i një Shteti Anëtar që ka marrë deklaratën e informacionit tatimor plotësues të paraqitur nga subjekti mëmë përfundimtar ose subjekti i caktuar deklarues, siç përmendet në nenin 44(3), pikat (a) dhe (b), të Direktivës (BE) 2022/2523, duhet të komunikojë, me anë të shkëmbimit automatik dhe në përputhje me qasjen e mëposhtme të shpërndarjes, sa vijon:</w:t>
            </w:r>
          </w:p>
          <w:p w14:paraId="2EFC39B8" w14:textId="4043CF5B"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(a)</w:t>
            </w:r>
          </w:p>
          <w:p w14:paraId="158C9B55" w14:textId="04769BAC"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seksionin e Përgjithshëm të deklaratës së informacionit tatimor shtesë, drejtuar Shtetit Anëtar Zbatues ku ndodhen entiteti mëmë përfundimtar ose entitetet përbërëse të grupit MNE;</w:t>
            </w:r>
          </w:p>
          <w:p w14:paraId="1B36DBEE" w14:textId="553EBF25"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(b)</w:t>
            </w:r>
          </w:p>
          <w:p w14:paraId="6BB36BF8" w14:textId="6337C7FB"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Seksioni i Përgjithshëm i deklaratës së informacionit tatimor shtesë, me përjashtim të informacionit përmbledhës të nivelit të lartë në Seksionin 1.4 të saj, për Shtetet Anëtare të Kualifikuara vetëm për tatimin vendas shtesë (QDTT):</w:t>
            </w:r>
          </w:p>
          <w:p w14:paraId="48D32149" w14:textId="6DFFC458"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lastRenderedPageBreak/>
              <w:t>(i)</w:t>
            </w:r>
          </w:p>
          <w:p w14:paraId="271F031F" w14:textId="081C4DD9"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ku ndodhen subjektet përbërëse të grupit MNE;</w:t>
            </w:r>
          </w:p>
          <w:p w14:paraId="6010350F" w14:textId="40E32445"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(ii)</w:t>
            </w:r>
          </w:p>
          <w:p w14:paraId="1F26F7E6" w14:textId="64F34BDF"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ku ndodhet një sipërmarrje e përbashkët ose një anëtar i një grupi sipërmarrjesh të përbashkëta të grupit MNE nëse taksa shtesë e kualifikuar vendase vendoset në lidhje me sipërmarrjet e përbashkëta në Shtetin Anëtar;</w:t>
            </w:r>
          </w:p>
          <w:p w14:paraId="7FAAC562" w14:textId="64B29DED"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(iii)</w:t>
            </w:r>
          </w:p>
          <w:p w14:paraId="5BE7EE83" w14:textId="336166DD"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kur taksa shtesë e kualifikuar vendase vendoset në Shtetin Anëtar në lidhje me një entitet përbërës pa shtetësi ose një sipërmarrje të përbashkët pa shtetësi të grupit MNE;</w:t>
            </w:r>
          </w:p>
          <w:p w14:paraId="6BB602BC" w14:textId="77777777"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(c)</w:t>
            </w:r>
          </w:p>
          <w:p w14:paraId="4093DCC2" w14:textId="77777777" w:rsidR="00613D48" w:rsidRPr="007E4C0D" w:rsidRDefault="00613D48" w:rsidP="00613D48">
            <w:pPr>
              <w:pStyle w:val="oj-ti-grseq-1"/>
              <w:shd w:val="clear" w:color="auto" w:fill="FFFFFF"/>
              <w:spacing w:before="240" w:after="120"/>
              <w:jc w:val="both"/>
              <w:rPr>
                <w:rFonts w:eastAsia="Calibri"/>
                <w:iCs/>
                <w:sz w:val="18"/>
                <w:szCs w:val="18"/>
              </w:rPr>
            </w:pPr>
          </w:p>
          <w:p w14:paraId="34E22176" w14:textId="3AB3F6FD"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një ose më shumë seksione Juridiksionale të deklaratës së informacionit tatimor shtesë, për Shtetet Anëtare që kanë të drejta tatimore sipas Direktivës (BE) 2022/2523, duke përfshirë taksën shtesë të kualifikuar vendase, në lidhje me Shtetet Anëtare me të cilat lidhen seksione të tilla Juridiksionale.</w:t>
            </w:r>
          </w:p>
          <w:p w14:paraId="622A6BA1" w14:textId="77777777" w:rsidR="00613D48" w:rsidRPr="007E4C0D" w:rsidRDefault="00613D48" w:rsidP="00613D48">
            <w:pPr>
              <w:pStyle w:val="oj-ti-grseq-1"/>
              <w:shd w:val="clear" w:color="auto" w:fill="FFFFFF"/>
              <w:spacing w:before="240" w:after="120"/>
              <w:jc w:val="both"/>
              <w:rPr>
                <w:rFonts w:eastAsia="Calibri"/>
                <w:iCs/>
                <w:sz w:val="18"/>
                <w:szCs w:val="18"/>
              </w:rPr>
            </w:pPr>
            <w:r w:rsidRPr="007E4C0D">
              <w:rPr>
                <w:rFonts w:eastAsia="Calibri"/>
                <w:iCs/>
                <w:sz w:val="18"/>
                <w:szCs w:val="18"/>
              </w:rPr>
              <w:t>Pavarësisht nënparagrafit të parë, pika (c), juridiksioneve të UTPR-së me një përqindje të UTPR-së zero do t'u jepet vetëm pjesa e deklaratës së informacionit tatimor shtesë që përmban informacion mbi atribuimin e taksës shtesë sipas UTPR-së në lidhje me atë juridiksion, informacion i tillë që është në përputhje me një fragment të Seksionit 3.4.3 të deklaratës së informacionit tatimor shtesë, dhe Shtetit Anëtar Zbatues në të cilin ndodhet njësia mëmë përfundimtare do t'i jepen të gjitha seksionet Juridiksionale.</w:t>
            </w:r>
          </w:p>
          <w:p w14:paraId="6F7B7ABA" w14:textId="1AE56738" w:rsidR="003C045B" w:rsidRPr="007E4C0D" w:rsidRDefault="003C045B" w:rsidP="00613D48">
            <w:pPr>
              <w:pStyle w:val="oj-ti-grseq-1"/>
              <w:shd w:val="clear" w:color="auto" w:fill="FFFFFF"/>
              <w:spacing w:before="240" w:after="120"/>
              <w:jc w:val="both"/>
              <w:rPr>
                <w:rFonts w:eastAsia="Calibri"/>
                <w:iCs/>
                <w:sz w:val="18"/>
                <w:szCs w:val="18"/>
              </w:rPr>
            </w:pPr>
          </w:p>
        </w:tc>
        <w:tc>
          <w:tcPr>
            <w:tcW w:w="540" w:type="dxa"/>
            <w:shd w:val="clear" w:color="auto" w:fill="FFFFFF" w:themeFill="background1"/>
          </w:tcPr>
          <w:p w14:paraId="6F2021F6" w14:textId="77777777" w:rsidR="003C045B" w:rsidRPr="007E4C0D" w:rsidRDefault="003C045B" w:rsidP="003C045B">
            <w:pPr>
              <w:jc w:val="center"/>
              <w:rPr>
                <w:rFonts w:ascii="Times New Roman" w:eastAsia="Calibri" w:hAnsi="Times New Roman" w:cs="Times New Roman"/>
                <w:sz w:val="18"/>
                <w:szCs w:val="18"/>
              </w:rPr>
            </w:pPr>
          </w:p>
        </w:tc>
        <w:tc>
          <w:tcPr>
            <w:tcW w:w="630" w:type="dxa"/>
            <w:shd w:val="clear" w:color="auto" w:fill="FFFFFF" w:themeFill="background1"/>
          </w:tcPr>
          <w:p w14:paraId="6C998499" w14:textId="77777777" w:rsidR="003C045B" w:rsidRPr="007E4C0D" w:rsidRDefault="003C045B" w:rsidP="003C045B">
            <w:pPr>
              <w:jc w:val="center"/>
              <w:rPr>
                <w:rFonts w:ascii="Times New Roman" w:eastAsia="Calibri" w:hAnsi="Times New Roman" w:cs="Times New Roman"/>
                <w:sz w:val="18"/>
                <w:szCs w:val="18"/>
              </w:rPr>
            </w:pPr>
          </w:p>
          <w:p w14:paraId="61F59E1D" w14:textId="77777777" w:rsidR="00E7462C" w:rsidRPr="007E4C0D" w:rsidRDefault="00E7462C" w:rsidP="003C045B">
            <w:pPr>
              <w:jc w:val="center"/>
              <w:rPr>
                <w:rFonts w:ascii="Times New Roman" w:eastAsia="Calibri" w:hAnsi="Times New Roman" w:cs="Times New Roman"/>
                <w:sz w:val="18"/>
                <w:szCs w:val="18"/>
              </w:rPr>
            </w:pPr>
          </w:p>
          <w:p w14:paraId="22E5E2C7" w14:textId="77777777" w:rsidR="00E7462C" w:rsidRPr="007E4C0D" w:rsidRDefault="00E7462C" w:rsidP="003C045B">
            <w:pPr>
              <w:jc w:val="center"/>
              <w:rPr>
                <w:rFonts w:ascii="Times New Roman" w:eastAsia="Calibri" w:hAnsi="Times New Roman" w:cs="Times New Roman"/>
                <w:sz w:val="18"/>
                <w:szCs w:val="18"/>
              </w:rPr>
            </w:pPr>
          </w:p>
          <w:p w14:paraId="3EC3C5E4" w14:textId="075F66F9" w:rsidR="00E7462C" w:rsidRPr="007E4C0D" w:rsidRDefault="00E7462C" w:rsidP="003C045B">
            <w:pPr>
              <w:jc w:val="center"/>
              <w:rPr>
                <w:rFonts w:ascii="Times New Roman" w:eastAsia="Calibri" w:hAnsi="Times New Roman" w:cs="Times New Roman"/>
                <w:sz w:val="18"/>
                <w:szCs w:val="18"/>
              </w:rPr>
            </w:pPr>
          </w:p>
        </w:tc>
        <w:tc>
          <w:tcPr>
            <w:tcW w:w="4964" w:type="dxa"/>
            <w:shd w:val="clear" w:color="auto" w:fill="FFFFFF" w:themeFill="background1"/>
          </w:tcPr>
          <w:p w14:paraId="66C22D77" w14:textId="77777777" w:rsidR="00534507" w:rsidRPr="007E4C0D" w:rsidRDefault="00534507" w:rsidP="00534507">
            <w:pPr>
              <w:jc w:val="both"/>
              <w:rPr>
                <w:rFonts w:ascii="Times New Roman" w:hAnsi="Times New Roman" w:cs="Times New Roman"/>
                <w:sz w:val="18"/>
                <w:szCs w:val="18"/>
              </w:rPr>
            </w:pPr>
          </w:p>
          <w:p w14:paraId="226CCEBA" w14:textId="7E70E158" w:rsidR="007477A7" w:rsidRPr="007E4C0D" w:rsidRDefault="007477A7" w:rsidP="007477A7">
            <w:pPr>
              <w:jc w:val="both"/>
              <w:rPr>
                <w:rFonts w:ascii="Times New Roman" w:hAnsi="Times New Roman" w:cs="Times New Roman"/>
                <w:sz w:val="18"/>
                <w:szCs w:val="18"/>
              </w:rPr>
            </w:pPr>
          </w:p>
          <w:p w14:paraId="5ABF5F1A" w14:textId="77777777" w:rsidR="009E22EF" w:rsidRPr="007E4C0D" w:rsidRDefault="009E22EF" w:rsidP="009E22EF">
            <w:pPr>
              <w:jc w:val="center"/>
              <w:rPr>
                <w:rFonts w:ascii="Times New Roman" w:hAnsi="Times New Roman" w:cs="Times New Roman"/>
                <w:b/>
                <w:sz w:val="18"/>
                <w:szCs w:val="18"/>
              </w:rPr>
            </w:pPr>
            <w:r w:rsidRPr="007E4C0D">
              <w:rPr>
                <w:rFonts w:ascii="Times New Roman" w:hAnsi="Times New Roman" w:cs="Times New Roman"/>
                <w:b/>
                <w:sz w:val="18"/>
                <w:szCs w:val="18"/>
              </w:rPr>
              <w:t>Neni 1</w:t>
            </w:r>
          </w:p>
          <w:p w14:paraId="7AB046C7" w14:textId="77777777" w:rsidR="009E22EF" w:rsidRPr="007E4C0D" w:rsidRDefault="009E22EF" w:rsidP="009E22EF">
            <w:pPr>
              <w:jc w:val="center"/>
              <w:rPr>
                <w:rFonts w:ascii="Times New Roman" w:hAnsi="Times New Roman" w:cs="Times New Roman"/>
                <w:b/>
                <w:sz w:val="18"/>
                <w:szCs w:val="18"/>
              </w:rPr>
            </w:pPr>
            <w:r w:rsidRPr="007E4C0D">
              <w:rPr>
                <w:rFonts w:ascii="Times New Roman" w:hAnsi="Times New Roman" w:cs="Times New Roman"/>
                <w:b/>
                <w:sz w:val="18"/>
                <w:szCs w:val="18"/>
              </w:rPr>
              <w:t>Objekti dhe qëllimi</w:t>
            </w:r>
          </w:p>
          <w:p w14:paraId="1562CCEC"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1.</w:t>
            </w:r>
            <w:r w:rsidRPr="007E4C0D">
              <w:rPr>
                <w:rFonts w:ascii="Times New Roman" w:hAnsi="Times New Roman" w:cs="Times New Roman"/>
                <w:sz w:val="18"/>
                <w:szCs w:val="18"/>
              </w:rPr>
              <w:tab/>
              <w:t>Ky ligj përcakton rregullat për depozitimin, administrimin, përdorimin, ruajtjen, korrigjimin dhe shkëmbimin automatik të Deklaratës Informative të Tatimit Shtesë (Top-up Tax Information Return – TTIR), si dhe procedurat administrative që lidhen me këto procese.</w:t>
            </w:r>
          </w:p>
          <w:p w14:paraId="6FEB5FD1" w14:textId="0A5C47AA" w:rsidR="00D14FD8"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2.</w:t>
            </w:r>
            <w:r w:rsidRPr="007E4C0D">
              <w:rPr>
                <w:rFonts w:ascii="Times New Roman" w:hAnsi="Times New Roman" w:cs="Times New Roman"/>
                <w:sz w:val="18"/>
                <w:szCs w:val="18"/>
              </w:rPr>
              <w:tab/>
              <w:t>Qëllimi i këtij ligji është të sigurojë bashkëpunimin administrativ dhe shkëmbimin automatik të Deklaratës Informative të Tatimit Shtesë, në mbështetje të zbatimit të rregullave të tatimit minimal global dhe të detyrimeve që rrjedhin nga legjislacioni i Bashkimit Evropian.</w:t>
            </w:r>
          </w:p>
          <w:p w14:paraId="5DF6EDAD" w14:textId="77777777" w:rsidR="006E373F" w:rsidRPr="007E4C0D" w:rsidRDefault="006E373F" w:rsidP="006E373F">
            <w:pPr>
              <w:jc w:val="both"/>
              <w:rPr>
                <w:rFonts w:ascii="Times New Roman" w:hAnsi="Times New Roman" w:cs="Times New Roman"/>
                <w:sz w:val="18"/>
                <w:szCs w:val="18"/>
              </w:rPr>
            </w:pPr>
          </w:p>
          <w:p w14:paraId="33C7B5E2" w14:textId="77777777" w:rsidR="00D14FD8" w:rsidRPr="007E4C0D" w:rsidRDefault="00D14FD8" w:rsidP="00D14FD8">
            <w:pPr>
              <w:jc w:val="center"/>
              <w:rPr>
                <w:rFonts w:ascii="Times New Roman" w:hAnsi="Times New Roman" w:cs="Times New Roman"/>
                <w:b/>
                <w:sz w:val="18"/>
                <w:szCs w:val="18"/>
              </w:rPr>
            </w:pPr>
            <w:r w:rsidRPr="007E4C0D">
              <w:rPr>
                <w:rFonts w:ascii="Times New Roman" w:hAnsi="Times New Roman" w:cs="Times New Roman"/>
                <w:b/>
                <w:sz w:val="18"/>
                <w:szCs w:val="18"/>
              </w:rPr>
              <w:t>Neni 2</w:t>
            </w:r>
          </w:p>
          <w:p w14:paraId="0F997ABE" w14:textId="31A62DE0" w:rsidR="00D14FD8" w:rsidRPr="007E4C0D" w:rsidRDefault="00D14FD8" w:rsidP="00D14FD8">
            <w:pPr>
              <w:jc w:val="center"/>
              <w:rPr>
                <w:rFonts w:ascii="Times New Roman" w:hAnsi="Times New Roman" w:cs="Times New Roman"/>
                <w:b/>
                <w:sz w:val="18"/>
                <w:szCs w:val="18"/>
              </w:rPr>
            </w:pPr>
            <w:r w:rsidRPr="007E4C0D">
              <w:rPr>
                <w:rFonts w:ascii="Times New Roman" w:hAnsi="Times New Roman" w:cs="Times New Roman"/>
                <w:b/>
                <w:sz w:val="18"/>
                <w:szCs w:val="18"/>
              </w:rPr>
              <w:t>Fusha e zbatimit</w:t>
            </w:r>
          </w:p>
          <w:p w14:paraId="4F3AAB7D" w14:textId="77777777" w:rsidR="00D14FD8" w:rsidRPr="007E4C0D" w:rsidRDefault="00D14FD8" w:rsidP="00D14FD8">
            <w:pPr>
              <w:jc w:val="center"/>
              <w:rPr>
                <w:rFonts w:ascii="Times New Roman" w:hAnsi="Times New Roman" w:cs="Times New Roman"/>
                <w:b/>
                <w:sz w:val="18"/>
                <w:szCs w:val="18"/>
              </w:rPr>
            </w:pPr>
          </w:p>
          <w:p w14:paraId="2020CED6"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1.</w:t>
            </w:r>
            <w:r w:rsidRPr="007E4C0D">
              <w:rPr>
                <w:rFonts w:ascii="Times New Roman" w:hAnsi="Times New Roman" w:cs="Times New Roman"/>
                <w:sz w:val="18"/>
                <w:szCs w:val="18"/>
              </w:rPr>
              <w:tab/>
              <w:t>Ky ligj zbatohet për entitetin mëmë të fundit, entitetin e caktuar për deklarim, entitetin vendor të caktuar dhe çdo entitet përbërës rezident ose të regjistruar në Republikën e Shqipërisë, që kanë detyrime raportimi sipas ligjit “Për sigurimin e një niveli minimal global të tatimit për grupet e shoqërive shumëkombëshe dhe grupet e mëdha vendase”.</w:t>
            </w:r>
          </w:p>
          <w:p w14:paraId="25ABA6D5"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2.</w:t>
            </w:r>
            <w:r w:rsidRPr="007E4C0D">
              <w:rPr>
                <w:rFonts w:ascii="Times New Roman" w:hAnsi="Times New Roman" w:cs="Times New Roman"/>
                <w:sz w:val="18"/>
                <w:szCs w:val="18"/>
              </w:rPr>
              <w:tab/>
              <w:t>Ky ligj rregullon vetëm aspektet procedurale dhe administrative që lidhen me TTIR.</w:t>
            </w:r>
          </w:p>
          <w:p w14:paraId="32279320" w14:textId="77777777" w:rsidR="006E373F" w:rsidRPr="007E4C0D" w:rsidRDefault="006E373F" w:rsidP="006E373F">
            <w:pPr>
              <w:jc w:val="center"/>
              <w:rPr>
                <w:rFonts w:ascii="Times New Roman" w:hAnsi="Times New Roman" w:cs="Times New Roman"/>
                <w:sz w:val="18"/>
                <w:szCs w:val="18"/>
              </w:rPr>
            </w:pPr>
            <w:r w:rsidRPr="007E4C0D">
              <w:rPr>
                <w:rFonts w:ascii="Times New Roman" w:hAnsi="Times New Roman" w:cs="Times New Roman"/>
                <w:sz w:val="18"/>
                <w:szCs w:val="18"/>
              </w:rPr>
              <w:t>3.</w:t>
            </w:r>
            <w:r w:rsidRPr="007E4C0D">
              <w:rPr>
                <w:rFonts w:ascii="Times New Roman" w:hAnsi="Times New Roman" w:cs="Times New Roman"/>
                <w:sz w:val="18"/>
                <w:szCs w:val="18"/>
              </w:rPr>
              <w:tab/>
              <w:t>Përllogaritja, deklarimi dhe pagesa e tatimit shtesë rregullohen nga ligji “Për sigurimin e një niveli minimal global të tatimit për grupet e shoqërive shumëkombëshe dhe grupet e mëdha vendase”. Ky ligj nuk rregullon përllogaritjen, deklarimin dhe pagesën e tatimit shtesë, të cilat rregullohen nga Ligji për Tatimin Minimal Global.</w:t>
            </w:r>
          </w:p>
          <w:p w14:paraId="51324A59" w14:textId="77777777" w:rsidR="006E373F" w:rsidRPr="007E4C0D" w:rsidRDefault="006E373F" w:rsidP="006E373F">
            <w:pPr>
              <w:jc w:val="center"/>
              <w:rPr>
                <w:rFonts w:ascii="Times New Roman" w:hAnsi="Times New Roman" w:cs="Times New Roman"/>
                <w:sz w:val="18"/>
                <w:szCs w:val="18"/>
              </w:rPr>
            </w:pPr>
          </w:p>
          <w:p w14:paraId="36118B92" w14:textId="3343F59D" w:rsidR="00CC3FA6" w:rsidRPr="007E4C0D" w:rsidRDefault="00CC3FA6" w:rsidP="006E373F">
            <w:pPr>
              <w:jc w:val="center"/>
              <w:rPr>
                <w:rFonts w:ascii="Times New Roman" w:hAnsi="Times New Roman" w:cs="Times New Roman"/>
                <w:b/>
                <w:sz w:val="18"/>
                <w:szCs w:val="18"/>
              </w:rPr>
            </w:pPr>
            <w:r w:rsidRPr="007E4C0D">
              <w:rPr>
                <w:rFonts w:ascii="Times New Roman" w:hAnsi="Times New Roman" w:cs="Times New Roman"/>
                <w:b/>
                <w:sz w:val="18"/>
                <w:szCs w:val="18"/>
              </w:rPr>
              <w:t>Neni 5</w:t>
            </w:r>
          </w:p>
          <w:p w14:paraId="5A242233" w14:textId="77777777" w:rsidR="00CC3FA6" w:rsidRPr="007E4C0D" w:rsidRDefault="00CC3FA6" w:rsidP="00CC3FA6">
            <w:pPr>
              <w:jc w:val="center"/>
              <w:rPr>
                <w:rFonts w:ascii="Times New Roman" w:hAnsi="Times New Roman" w:cs="Times New Roman"/>
                <w:b/>
                <w:sz w:val="18"/>
                <w:szCs w:val="18"/>
              </w:rPr>
            </w:pPr>
            <w:r w:rsidRPr="007E4C0D">
              <w:rPr>
                <w:rFonts w:ascii="Times New Roman" w:hAnsi="Times New Roman" w:cs="Times New Roman"/>
                <w:b/>
                <w:sz w:val="18"/>
                <w:szCs w:val="18"/>
              </w:rPr>
              <w:t>Subjektet e detyruara për depozitimin e TTIR-së</w:t>
            </w:r>
          </w:p>
          <w:p w14:paraId="6C67E414" w14:textId="77777777" w:rsidR="006E373F" w:rsidRPr="007E4C0D" w:rsidRDefault="006E373F" w:rsidP="00CC3FA6">
            <w:pPr>
              <w:jc w:val="center"/>
              <w:rPr>
                <w:rFonts w:ascii="Times New Roman" w:hAnsi="Times New Roman" w:cs="Times New Roman"/>
                <w:b/>
                <w:sz w:val="18"/>
                <w:szCs w:val="18"/>
              </w:rPr>
            </w:pPr>
          </w:p>
          <w:p w14:paraId="36A2CC9C"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lastRenderedPageBreak/>
              <w:t>1.</w:t>
            </w:r>
            <w:r w:rsidRPr="007E4C0D">
              <w:rPr>
                <w:rFonts w:ascii="Times New Roman" w:hAnsi="Times New Roman" w:cs="Times New Roman"/>
                <w:sz w:val="18"/>
                <w:szCs w:val="18"/>
              </w:rPr>
              <w:tab/>
              <w:t>Kur entiteti mëmë i fundit ose entiteti i caktuar për deklarim është rezident në Republikën e Shqipërisë, ky entitet depoziton një TTIR të vetme për të gjithë grupin shumëkombësh ose grupin vendas në shkallë të gjerë, sipas rastit.</w:t>
            </w:r>
          </w:p>
          <w:p w14:paraId="1E905B75"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2.</w:t>
            </w:r>
            <w:r w:rsidRPr="007E4C0D">
              <w:rPr>
                <w:rFonts w:ascii="Times New Roman" w:hAnsi="Times New Roman" w:cs="Times New Roman"/>
                <w:sz w:val="18"/>
                <w:szCs w:val="18"/>
              </w:rPr>
              <w:tab/>
              <w:t>Kur as entiteti mëmë i fundit dhe as entiteti i caktuar për deklarim nuk janë rezidentë në Republikën e Shqipërisë, një entitet përbërës rezident në Republikën e Shqipërisë depoziton TTIR-në në nivel vendor vetëm nëse plotësohet një nga kushtet e mëposhtme:</w:t>
            </w:r>
          </w:p>
          <w:p w14:paraId="231168BA"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 xml:space="preserve">a) TTIR nuk është depozituar nga entiteti mëmë i fundit ose nga entiteti i caktuar për deklarim; ose </w:t>
            </w:r>
          </w:p>
          <w:p w14:paraId="6DEB7D83"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 xml:space="preserve">b) TTIR është depozituar në një juridiksion tjetër, por Republika e Shqipërisë nuk do ta marrë atë nëpërmjet shkëmbimit automatik të informacionit sipas një marrëveshjeje të kualifikuar ndërmjet autoriteteve kompetente, brenda afateve të parashikuara në atë marrëveshje. </w:t>
            </w:r>
          </w:p>
          <w:p w14:paraId="7E3AF18A"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3.</w:t>
            </w:r>
            <w:r w:rsidRPr="007E4C0D">
              <w:rPr>
                <w:rFonts w:ascii="Times New Roman" w:hAnsi="Times New Roman" w:cs="Times New Roman"/>
                <w:sz w:val="18"/>
                <w:szCs w:val="18"/>
              </w:rPr>
              <w:tab/>
              <w:t xml:space="preserve">Detyrimi për depozitim vendor nuk zbatohet kur, në bazë të marrëveshjeve në fuqi për shkëmbimin automatik të informacionit dhe të listës së juridiksioneve të kualifikuara për shkëmbim, TTIR shkëmbehet automatikisht me Republikën e Shqipërisë, në përputhje me kuadrin ndërkombëtar të shkëmbimit të informacionit. </w:t>
            </w:r>
          </w:p>
          <w:p w14:paraId="36512B27"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4.</w:t>
            </w:r>
            <w:r w:rsidRPr="007E4C0D">
              <w:rPr>
                <w:rFonts w:ascii="Times New Roman" w:hAnsi="Times New Roman" w:cs="Times New Roman"/>
                <w:sz w:val="18"/>
                <w:szCs w:val="18"/>
              </w:rPr>
              <w:tab/>
              <w:t xml:space="preserve">Kur grupi nuk përfshihet në fushën e zbatimit për një vit fiskal raportues, sipas legjislacionit për tatimin minimal global, nuk lind detyrim për depozitimin e TTIR-së për atë vit. </w:t>
            </w:r>
          </w:p>
          <w:p w14:paraId="739C1705" w14:textId="62F13FEC" w:rsidR="00AF6187"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5.</w:t>
            </w:r>
            <w:r w:rsidRPr="007E4C0D">
              <w:rPr>
                <w:rFonts w:ascii="Times New Roman" w:hAnsi="Times New Roman" w:cs="Times New Roman"/>
                <w:sz w:val="18"/>
                <w:szCs w:val="18"/>
              </w:rPr>
              <w:tab/>
              <w:t>Kur, sipas ligjit për tatimin minimal global ose këtij ligji, më shumë se një entitet përbërës në Republikën e Shqipërisë ka detyrimin të kryejë njoftimin ose depozitimin vendor, Drejtoria e Përgjithshme e Tatimeve mund t’i kërkojë grupit të caktojë një entitet të vetëm përgjegjës për komunikimin procedural me administratën tatimore shqiptare.</w:t>
            </w:r>
          </w:p>
          <w:p w14:paraId="2357D489" w14:textId="77777777" w:rsidR="00AF6187" w:rsidRPr="007E4C0D" w:rsidRDefault="00AF6187" w:rsidP="00CC3FA6">
            <w:pPr>
              <w:jc w:val="both"/>
              <w:rPr>
                <w:rFonts w:ascii="Times New Roman" w:hAnsi="Times New Roman" w:cs="Times New Roman"/>
                <w:sz w:val="18"/>
                <w:szCs w:val="18"/>
              </w:rPr>
            </w:pPr>
          </w:p>
          <w:p w14:paraId="6049B227" w14:textId="77777777" w:rsidR="00AF6187" w:rsidRPr="007E4C0D" w:rsidRDefault="00AF6187" w:rsidP="00AF6187">
            <w:pPr>
              <w:jc w:val="center"/>
              <w:rPr>
                <w:rFonts w:ascii="Times New Roman" w:hAnsi="Times New Roman" w:cs="Times New Roman"/>
                <w:b/>
                <w:sz w:val="18"/>
                <w:szCs w:val="18"/>
              </w:rPr>
            </w:pPr>
            <w:r w:rsidRPr="007E4C0D">
              <w:rPr>
                <w:rFonts w:ascii="Times New Roman" w:hAnsi="Times New Roman" w:cs="Times New Roman"/>
                <w:b/>
                <w:sz w:val="18"/>
                <w:szCs w:val="18"/>
              </w:rPr>
              <w:t>Neni 11</w:t>
            </w:r>
          </w:p>
          <w:p w14:paraId="06447C15" w14:textId="55EA4CC9" w:rsidR="00AF6187" w:rsidRPr="007E4C0D" w:rsidRDefault="006E373F" w:rsidP="00AF6187">
            <w:pPr>
              <w:jc w:val="center"/>
              <w:rPr>
                <w:rFonts w:ascii="Times New Roman" w:hAnsi="Times New Roman" w:cs="Times New Roman"/>
                <w:b/>
                <w:sz w:val="18"/>
                <w:szCs w:val="18"/>
              </w:rPr>
            </w:pPr>
            <w:r w:rsidRPr="007E4C0D">
              <w:rPr>
                <w:rFonts w:ascii="Times New Roman" w:hAnsi="Times New Roman" w:cs="Times New Roman"/>
                <w:b/>
                <w:sz w:val="18"/>
                <w:szCs w:val="18"/>
              </w:rPr>
              <w:t xml:space="preserve">Rregullat </w:t>
            </w:r>
            <w:r w:rsidR="00AF6187" w:rsidRPr="007E4C0D">
              <w:rPr>
                <w:rFonts w:ascii="Times New Roman" w:hAnsi="Times New Roman" w:cs="Times New Roman"/>
                <w:b/>
                <w:sz w:val="18"/>
                <w:szCs w:val="18"/>
              </w:rPr>
              <w:t>e shpërndarjes së TTIR-së</w:t>
            </w:r>
          </w:p>
          <w:p w14:paraId="472572BC" w14:textId="77777777" w:rsidR="00AF6187" w:rsidRPr="007E4C0D" w:rsidRDefault="00AF6187" w:rsidP="00AF6187">
            <w:pPr>
              <w:jc w:val="center"/>
              <w:rPr>
                <w:rFonts w:ascii="Times New Roman" w:hAnsi="Times New Roman" w:cs="Times New Roman"/>
                <w:b/>
                <w:sz w:val="18"/>
                <w:szCs w:val="18"/>
              </w:rPr>
            </w:pPr>
          </w:p>
          <w:p w14:paraId="5AB43770"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1.</w:t>
            </w:r>
            <w:r w:rsidRPr="007E4C0D">
              <w:rPr>
                <w:rFonts w:ascii="Times New Roman" w:hAnsi="Times New Roman" w:cs="Times New Roman"/>
                <w:sz w:val="18"/>
                <w:szCs w:val="18"/>
              </w:rPr>
              <w:tab/>
              <w:t xml:space="preserve">Kur Drejtoria e Përgjithshme e Tatimeve merr TTIR-në e depozituar nga entiteti mëmë i fundit ose nga entiteti i caktuar për deklarim, ajo komunikon, nëpërmjet shkëmbimit automatik të informacionit, Seksionin e Përgjithshëm të TTIR-së tek shtetet </w:t>
            </w:r>
            <w:r w:rsidRPr="007E4C0D">
              <w:rPr>
                <w:rFonts w:ascii="Times New Roman" w:hAnsi="Times New Roman" w:cs="Times New Roman"/>
                <w:sz w:val="18"/>
                <w:szCs w:val="18"/>
              </w:rPr>
              <w:lastRenderedPageBreak/>
              <w:t>anëtare zbatuese ku ndodhen entiteti mëmë i fundit ose entitetet përbërëse të grupit.</w:t>
            </w:r>
          </w:p>
          <w:p w14:paraId="4EBFA2EC"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2.</w:t>
            </w:r>
            <w:r w:rsidRPr="007E4C0D">
              <w:rPr>
                <w:rFonts w:ascii="Times New Roman" w:hAnsi="Times New Roman" w:cs="Times New Roman"/>
                <w:sz w:val="18"/>
                <w:szCs w:val="18"/>
              </w:rPr>
              <w:tab/>
              <w:t>Drejtoria e Përgjithshme e Tatimeve komunikon Seksionin e Përgjithshëm të TTIR-së, me përjashtim të informacionit përmbledhës të nivelit të lartë të modelit standard, tek shtetet anëtare që zbatojnë vetëm tatimin e brendshëm të kualifikuar shtesë (TMBKS/QDTT/QDMTT).</w:t>
            </w:r>
          </w:p>
          <w:p w14:paraId="28DA0C68"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3.</w:t>
            </w:r>
            <w:r w:rsidRPr="007E4C0D">
              <w:rPr>
                <w:rFonts w:ascii="Times New Roman" w:hAnsi="Times New Roman" w:cs="Times New Roman"/>
                <w:sz w:val="18"/>
                <w:szCs w:val="18"/>
              </w:rPr>
              <w:tab/>
              <w:t>Drejtoria e Përgjithshme e Tatimeve komunikon një ose më shumë Seksione Juridiksionale tek shtetet anëtare që kanë të drejta tatimore, përfshirë të drejtat për tatimin e brendshëm të kualifikuar shtesë (TMBKS/QDTT/QDMTT), në lidhje me juridiksionet përkatëse.</w:t>
            </w:r>
          </w:p>
          <w:p w14:paraId="501AAEFF" w14:textId="77777777" w:rsidR="006E373F"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4.</w:t>
            </w:r>
            <w:r w:rsidRPr="007E4C0D">
              <w:rPr>
                <w:rFonts w:ascii="Times New Roman" w:hAnsi="Times New Roman" w:cs="Times New Roman"/>
                <w:sz w:val="18"/>
                <w:szCs w:val="18"/>
              </w:rPr>
              <w:tab/>
              <w:t>Juridiksionet që zbatojnë rregullin për fitimin e nëntatuar (RFN/UTPR) me përqindje zero marrin vetëm pjesën e TTIR-së që përmban informacionin për atribuimin e tatimit shtesë sipas rregullave RFN/UTPR për atë juridiksion.</w:t>
            </w:r>
          </w:p>
          <w:p w14:paraId="778B887A" w14:textId="2AB855D6" w:rsidR="00AF6187" w:rsidRPr="007E4C0D" w:rsidRDefault="006E373F" w:rsidP="006E373F">
            <w:pPr>
              <w:jc w:val="both"/>
              <w:rPr>
                <w:rFonts w:ascii="Times New Roman" w:hAnsi="Times New Roman" w:cs="Times New Roman"/>
                <w:sz w:val="18"/>
                <w:szCs w:val="18"/>
              </w:rPr>
            </w:pPr>
            <w:r w:rsidRPr="007E4C0D">
              <w:rPr>
                <w:rFonts w:ascii="Times New Roman" w:hAnsi="Times New Roman" w:cs="Times New Roman"/>
                <w:sz w:val="18"/>
                <w:szCs w:val="18"/>
              </w:rPr>
              <w:t>5.</w:t>
            </w:r>
            <w:r w:rsidRPr="007E4C0D">
              <w:rPr>
                <w:rFonts w:ascii="Times New Roman" w:hAnsi="Times New Roman" w:cs="Times New Roman"/>
                <w:sz w:val="18"/>
                <w:szCs w:val="18"/>
              </w:rPr>
              <w:tab/>
              <w:t>Vendimi i Këshillit të Ministrave, që nxirret në zbatim të këtij ligji, përcakton në mënyrë të detajuar tabelën kombëtare të shpërndarjes, rregullat e përcaktimit të juridiksioneve marrëse dhe kontrollet e përputhshmërisë së procesit të shpërndarjes, në përputhje me specifikimet dhe aktet zbatuese të Bashkimit Evropian.</w:t>
            </w:r>
          </w:p>
        </w:tc>
        <w:tc>
          <w:tcPr>
            <w:tcW w:w="720" w:type="dxa"/>
            <w:shd w:val="clear" w:color="auto" w:fill="FFFFFF" w:themeFill="background1"/>
          </w:tcPr>
          <w:p w14:paraId="15655B97" w14:textId="77777777" w:rsidR="00E7462C" w:rsidRPr="007E4C0D" w:rsidRDefault="00E7462C" w:rsidP="003C045B">
            <w:pPr>
              <w:jc w:val="center"/>
              <w:rPr>
                <w:rFonts w:ascii="Times New Roman" w:eastAsia="Calibri" w:hAnsi="Times New Roman" w:cs="Times New Roman"/>
                <w:sz w:val="18"/>
                <w:szCs w:val="18"/>
              </w:rPr>
            </w:pPr>
          </w:p>
          <w:p w14:paraId="39F6F364" w14:textId="77777777" w:rsidR="00E7462C" w:rsidRPr="007E4C0D" w:rsidRDefault="00E7462C" w:rsidP="003C045B">
            <w:pPr>
              <w:jc w:val="center"/>
              <w:rPr>
                <w:rFonts w:ascii="Times New Roman" w:eastAsia="Calibri" w:hAnsi="Times New Roman" w:cs="Times New Roman"/>
                <w:sz w:val="18"/>
                <w:szCs w:val="18"/>
              </w:rPr>
            </w:pPr>
          </w:p>
          <w:p w14:paraId="3448EE70" w14:textId="77777777" w:rsidR="00E7462C" w:rsidRPr="007E4C0D" w:rsidRDefault="00E7462C" w:rsidP="003C045B">
            <w:pPr>
              <w:jc w:val="center"/>
              <w:rPr>
                <w:rFonts w:ascii="Times New Roman" w:eastAsia="Calibri" w:hAnsi="Times New Roman" w:cs="Times New Roman"/>
                <w:sz w:val="18"/>
                <w:szCs w:val="18"/>
              </w:rPr>
            </w:pPr>
          </w:p>
          <w:p w14:paraId="3EFFA98E" w14:textId="51E40963" w:rsidR="003C045B" w:rsidRPr="007E4C0D" w:rsidRDefault="00E7462C"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shd w:val="clear" w:color="auto" w:fill="FFFFFF" w:themeFill="background1"/>
          </w:tcPr>
          <w:p w14:paraId="71188287" w14:textId="489CC9FB" w:rsidR="003C045B" w:rsidRPr="007E4C0D" w:rsidRDefault="003C045B" w:rsidP="003C045B">
            <w:pPr>
              <w:rPr>
                <w:rFonts w:ascii="Times New Roman" w:eastAsia="Calibri" w:hAnsi="Times New Roman" w:cs="Times New Roman"/>
                <w:sz w:val="18"/>
                <w:szCs w:val="18"/>
              </w:rPr>
            </w:pPr>
          </w:p>
        </w:tc>
      </w:tr>
      <w:tr w:rsidR="003C045B" w:rsidRPr="007E4C0D" w14:paraId="65C77C64" w14:textId="77777777" w:rsidTr="00593EF8">
        <w:trPr>
          <w:trHeight w:val="1691"/>
        </w:trPr>
        <w:tc>
          <w:tcPr>
            <w:tcW w:w="630" w:type="dxa"/>
          </w:tcPr>
          <w:p w14:paraId="6050527A" w14:textId="18C04CA8" w:rsidR="003C045B" w:rsidRPr="007E4C0D" w:rsidRDefault="003C045B" w:rsidP="003C045B">
            <w:pPr>
              <w:jc w:val="both"/>
              <w:rPr>
                <w:rFonts w:ascii="Times New Roman" w:eastAsia="Calibri" w:hAnsi="Times New Roman" w:cs="Times New Roman"/>
                <w:sz w:val="18"/>
                <w:szCs w:val="18"/>
              </w:rPr>
            </w:pPr>
          </w:p>
        </w:tc>
        <w:tc>
          <w:tcPr>
            <w:tcW w:w="5310" w:type="dxa"/>
          </w:tcPr>
          <w:p w14:paraId="6AB71FC4" w14:textId="77777777" w:rsidR="00266B43" w:rsidRPr="007E4C0D" w:rsidRDefault="00266B43" w:rsidP="00266B43">
            <w:pPr>
              <w:jc w:val="both"/>
              <w:rPr>
                <w:rFonts w:ascii="Times New Roman" w:eastAsia="Times New Roman" w:hAnsi="Times New Roman" w:cs="Times New Roman"/>
                <w:color w:val="333333"/>
                <w:sz w:val="18"/>
                <w:szCs w:val="18"/>
              </w:rPr>
            </w:pPr>
          </w:p>
          <w:p w14:paraId="597C2BF6" w14:textId="6701E7B2" w:rsidR="003C045B" w:rsidRPr="007E4C0D" w:rsidRDefault="005B3B67" w:rsidP="00266B43">
            <w:pPr>
              <w:shd w:val="clear" w:color="auto" w:fill="FFFFFF"/>
              <w:spacing w:before="120"/>
              <w:jc w:val="both"/>
              <w:rPr>
                <w:rFonts w:ascii="Times New Roman" w:eastAsia="Times New Roman" w:hAnsi="Times New Roman" w:cs="Times New Roman"/>
                <w:vanish/>
                <w:color w:val="333333"/>
                <w:sz w:val="18"/>
                <w:szCs w:val="18"/>
              </w:rPr>
            </w:pPr>
            <w:r w:rsidRPr="007E4C0D">
              <w:rPr>
                <w:rFonts w:ascii="Times New Roman" w:eastAsia="Times New Roman" w:hAnsi="Times New Roman" w:cs="Times New Roman"/>
                <w:color w:val="333333"/>
                <w:sz w:val="18"/>
                <w:szCs w:val="18"/>
              </w:rPr>
              <w:t>3. Autoriteti kompetent i një Shteti Anëtar duhet të komunikojë deklaratën e informacionit të taksave plotësuese të marrë në përputhje me paragrafin 2 dhe ky komunikim duhet të bëhet jo më vonë se 3 muaj pas afatit të dorëzimit për vitin fiskal raportues.</w:t>
            </w:r>
          </w:p>
          <w:p w14:paraId="13191D8A" w14:textId="1253F63D" w:rsidR="003C045B" w:rsidRPr="007E4C0D" w:rsidRDefault="003C045B" w:rsidP="003C045B">
            <w:pPr>
              <w:jc w:val="both"/>
              <w:rPr>
                <w:rFonts w:ascii="Times New Roman" w:eastAsia="Calibri" w:hAnsi="Times New Roman" w:cs="Times New Roman"/>
                <w:iCs/>
                <w:sz w:val="18"/>
                <w:szCs w:val="18"/>
              </w:rPr>
            </w:pPr>
          </w:p>
        </w:tc>
        <w:tc>
          <w:tcPr>
            <w:tcW w:w="540" w:type="dxa"/>
          </w:tcPr>
          <w:p w14:paraId="73A9F1D9" w14:textId="24499071" w:rsidR="003C045B" w:rsidRPr="007E4C0D" w:rsidRDefault="003C045B" w:rsidP="003C045B">
            <w:pPr>
              <w:jc w:val="center"/>
              <w:rPr>
                <w:rFonts w:ascii="Times New Roman" w:eastAsia="Calibri" w:hAnsi="Times New Roman" w:cs="Times New Roman"/>
                <w:sz w:val="18"/>
                <w:szCs w:val="18"/>
              </w:rPr>
            </w:pPr>
          </w:p>
        </w:tc>
        <w:tc>
          <w:tcPr>
            <w:tcW w:w="630" w:type="dxa"/>
          </w:tcPr>
          <w:p w14:paraId="36EE66EF" w14:textId="77777777" w:rsidR="0000140B" w:rsidRPr="007E4C0D" w:rsidRDefault="0000140B" w:rsidP="003C045B">
            <w:pPr>
              <w:jc w:val="center"/>
              <w:rPr>
                <w:rFonts w:ascii="Times New Roman" w:eastAsia="Calibri" w:hAnsi="Times New Roman" w:cs="Times New Roman"/>
                <w:sz w:val="18"/>
                <w:szCs w:val="18"/>
              </w:rPr>
            </w:pPr>
          </w:p>
          <w:p w14:paraId="16B43562" w14:textId="41379F95" w:rsidR="003C045B" w:rsidRPr="007E4C0D" w:rsidRDefault="003C045B" w:rsidP="003C045B">
            <w:pPr>
              <w:jc w:val="center"/>
              <w:rPr>
                <w:rFonts w:ascii="Times New Roman" w:eastAsia="Calibri" w:hAnsi="Times New Roman" w:cs="Times New Roman"/>
                <w:sz w:val="18"/>
                <w:szCs w:val="18"/>
              </w:rPr>
            </w:pPr>
          </w:p>
        </w:tc>
        <w:tc>
          <w:tcPr>
            <w:tcW w:w="4964" w:type="dxa"/>
            <w:tcBorders>
              <w:bottom w:val="dashed" w:sz="4" w:space="0" w:color="auto"/>
            </w:tcBorders>
          </w:tcPr>
          <w:p w14:paraId="451D6404" w14:textId="77777777" w:rsidR="00DA690D" w:rsidRPr="007E4C0D" w:rsidRDefault="00DA690D" w:rsidP="00DA690D">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Neni 7</w:t>
            </w:r>
          </w:p>
          <w:p w14:paraId="1392D23C" w14:textId="1D52C9CD" w:rsidR="00DA690D" w:rsidRPr="007E4C0D" w:rsidRDefault="00DA690D" w:rsidP="00DA690D">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Afatet e depozitimit</w:t>
            </w:r>
          </w:p>
          <w:p w14:paraId="0C1475AD" w14:textId="77777777" w:rsidR="00DA690D" w:rsidRPr="007E4C0D" w:rsidRDefault="00DA690D" w:rsidP="00DA690D">
            <w:pPr>
              <w:jc w:val="center"/>
              <w:rPr>
                <w:rFonts w:ascii="Times New Roman" w:eastAsia="Calibri" w:hAnsi="Times New Roman" w:cs="Times New Roman"/>
                <w:b/>
                <w:sz w:val="18"/>
                <w:szCs w:val="18"/>
              </w:rPr>
            </w:pPr>
          </w:p>
          <w:p w14:paraId="05CBA041" w14:textId="382F856D" w:rsidR="003C045B" w:rsidRPr="007E4C0D" w:rsidRDefault="006E373F" w:rsidP="00DA690D">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1.</w:t>
            </w:r>
            <w:r w:rsidRPr="007E4C0D">
              <w:rPr>
                <w:rFonts w:ascii="Times New Roman" w:eastAsia="Calibri" w:hAnsi="Times New Roman" w:cs="Times New Roman"/>
                <w:sz w:val="18"/>
                <w:szCs w:val="18"/>
              </w:rPr>
              <w:tab/>
              <w:t>Për vitet fiskale raportuese që përkojnë me vitin kalendarik, TTIR depozitohet jo më vonë se data 31 mars e vitit të dytë pas përfundimit të vitit fiskal raportues.</w:t>
            </w:r>
          </w:p>
        </w:tc>
        <w:tc>
          <w:tcPr>
            <w:tcW w:w="720" w:type="dxa"/>
            <w:tcBorders>
              <w:bottom w:val="dashed" w:sz="4" w:space="0" w:color="auto"/>
            </w:tcBorders>
          </w:tcPr>
          <w:p w14:paraId="6FCF9030" w14:textId="6CEFFF80" w:rsidR="003C045B" w:rsidRPr="007E4C0D" w:rsidRDefault="00E7462C"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Borders>
              <w:bottom w:val="dashed" w:sz="4" w:space="0" w:color="auto"/>
            </w:tcBorders>
          </w:tcPr>
          <w:p w14:paraId="08DB7295" w14:textId="67880360" w:rsidR="003C045B" w:rsidRPr="007E4C0D" w:rsidRDefault="003C045B" w:rsidP="003C045B">
            <w:pPr>
              <w:rPr>
                <w:rFonts w:ascii="Times New Roman" w:eastAsia="Calibri" w:hAnsi="Times New Roman" w:cs="Times New Roman"/>
                <w:sz w:val="18"/>
                <w:szCs w:val="18"/>
              </w:rPr>
            </w:pPr>
          </w:p>
        </w:tc>
      </w:tr>
      <w:tr w:rsidR="003C045B" w:rsidRPr="007E4C0D" w14:paraId="7D4505B4" w14:textId="77777777" w:rsidTr="00593EF8">
        <w:trPr>
          <w:trHeight w:val="645"/>
        </w:trPr>
        <w:tc>
          <w:tcPr>
            <w:tcW w:w="630" w:type="dxa"/>
          </w:tcPr>
          <w:p w14:paraId="1080D9D2" w14:textId="139AC4B4" w:rsidR="003C045B" w:rsidRPr="007E4C0D" w:rsidRDefault="003C045B" w:rsidP="003C045B">
            <w:pPr>
              <w:jc w:val="both"/>
              <w:rPr>
                <w:rFonts w:ascii="Times New Roman" w:eastAsia="Calibri" w:hAnsi="Times New Roman" w:cs="Times New Roman"/>
                <w:sz w:val="18"/>
                <w:szCs w:val="18"/>
              </w:rPr>
            </w:pPr>
          </w:p>
        </w:tc>
        <w:tc>
          <w:tcPr>
            <w:tcW w:w="5310" w:type="dxa"/>
          </w:tcPr>
          <w:p w14:paraId="61E278E6" w14:textId="70EC5AFD" w:rsidR="00B02FF5" w:rsidRPr="007E4C0D" w:rsidRDefault="005B3B67" w:rsidP="00462F38">
            <w:pPr>
              <w:rPr>
                <w:rFonts w:ascii="Times New Roman" w:hAnsi="Times New Roman" w:cs="Times New Roman"/>
                <w:vanish/>
                <w:sz w:val="18"/>
                <w:szCs w:val="18"/>
              </w:rPr>
            </w:pPr>
            <w:r w:rsidRPr="007E4C0D">
              <w:rPr>
                <w:rFonts w:ascii="Times New Roman" w:hAnsi="Times New Roman" w:cs="Times New Roman"/>
                <w:sz w:val="18"/>
                <w:szCs w:val="18"/>
              </w:rPr>
              <w:t>4. Autoriteti kompetent i një Shteti Anëtar duhet të komunikojë deklaratën e informacionit të taksës plotësuese të marrë pas afatit të dorëzimit, dhe ky komunikim duhet të bëhet jo më vonë se 3 muaj pas datës në të cilën është marrë.</w:t>
            </w:r>
          </w:p>
          <w:p w14:paraId="3A31154C" w14:textId="6A5680DE" w:rsidR="003C045B" w:rsidRPr="007E4C0D" w:rsidRDefault="003C045B" w:rsidP="003C045B">
            <w:pPr>
              <w:jc w:val="both"/>
              <w:rPr>
                <w:rFonts w:ascii="Times New Roman" w:eastAsia="Calibri" w:hAnsi="Times New Roman" w:cs="Times New Roman"/>
                <w:iCs/>
                <w:sz w:val="18"/>
                <w:szCs w:val="18"/>
              </w:rPr>
            </w:pPr>
          </w:p>
        </w:tc>
        <w:tc>
          <w:tcPr>
            <w:tcW w:w="540" w:type="dxa"/>
          </w:tcPr>
          <w:p w14:paraId="68273547" w14:textId="0F3E768C" w:rsidR="003C045B" w:rsidRPr="007E4C0D" w:rsidRDefault="003C045B" w:rsidP="003C045B">
            <w:pPr>
              <w:jc w:val="center"/>
              <w:rPr>
                <w:rFonts w:ascii="Times New Roman" w:eastAsia="Calibri" w:hAnsi="Times New Roman" w:cs="Times New Roman"/>
                <w:sz w:val="18"/>
                <w:szCs w:val="18"/>
              </w:rPr>
            </w:pPr>
          </w:p>
        </w:tc>
        <w:tc>
          <w:tcPr>
            <w:tcW w:w="630" w:type="dxa"/>
          </w:tcPr>
          <w:p w14:paraId="6E16AAE5" w14:textId="77777777" w:rsidR="0000140B" w:rsidRPr="007E4C0D" w:rsidRDefault="0000140B" w:rsidP="003C045B">
            <w:pPr>
              <w:jc w:val="center"/>
              <w:rPr>
                <w:rFonts w:ascii="Times New Roman" w:eastAsia="Calibri" w:hAnsi="Times New Roman" w:cs="Times New Roman"/>
                <w:sz w:val="18"/>
                <w:szCs w:val="18"/>
              </w:rPr>
            </w:pPr>
          </w:p>
          <w:p w14:paraId="217830CF" w14:textId="0DF1FE9C" w:rsidR="003C045B" w:rsidRPr="007E4C0D" w:rsidRDefault="003C045B" w:rsidP="003C045B">
            <w:pPr>
              <w:jc w:val="center"/>
              <w:rPr>
                <w:rFonts w:ascii="Times New Roman" w:eastAsia="Calibri" w:hAnsi="Times New Roman" w:cs="Times New Roman"/>
                <w:sz w:val="18"/>
                <w:szCs w:val="18"/>
              </w:rPr>
            </w:pPr>
          </w:p>
        </w:tc>
        <w:tc>
          <w:tcPr>
            <w:tcW w:w="4964" w:type="dxa"/>
            <w:tcBorders>
              <w:bottom w:val="dashed" w:sz="4" w:space="0" w:color="auto"/>
            </w:tcBorders>
          </w:tcPr>
          <w:p w14:paraId="78D3DF64" w14:textId="77777777" w:rsidR="00A25B73" w:rsidRPr="007E4C0D" w:rsidRDefault="00DA690D" w:rsidP="00DA690D">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Neni 10</w:t>
            </w:r>
          </w:p>
          <w:p w14:paraId="1AF536FD" w14:textId="3A9C7B52" w:rsidR="00DA690D" w:rsidRPr="007E4C0D" w:rsidRDefault="006E373F" w:rsidP="00DA690D">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3.</w:t>
            </w:r>
            <w:r w:rsidRPr="007E4C0D">
              <w:rPr>
                <w:rFonts w:ascii="Times New Roman" w:eastAsia="Calibri" w:hAnsi="Times New Roman" w:cs="Times New Roman"/>
                <w:sz w:val="18"/>
                <w:szCs w:val="18"/>
              </w:rPr>
              <w:tab/>
              <w:t>TTIR-të e marra pas afatit të depozitimit komunikohen jo më vonë se 3 muaj nga data e marrjes së tyre.</w:t>
            </w:r>
          </w:p>
        </w:tc>
        <w:tc>
          <w:tcPr>
            <w:tcW w:w="720" w:type="dxa"/>
            <w:tcBorders>
              <w:bottom w:val="dashed" w:sz="4" w:space="0" w:color="auto"/>
            </w:tcBorders>
          </w:tcPr>
          <w:p w14:paraId="4C4B4DD1" w14:textId="4E29AFE9" w:rsidR="003C045B" w:rsidRPr="007E4C0D" w:rsidRDefault="00E7462C"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Borders>
              <w:bottom w:val="dashed" w:sz="4" w:space="0" w:color="auto"/>
            </w:tcBorders>
          </w:tcPr>
          <w:p w14:paraId="7FF536D2" w14:textId="30131ECC" w:rsidR="003C045B" w:rsidRPr="007E4C0D" w:rsidRDefault="003C045B" w:rsidP="003C045B">
            <w:pPr>
              <w:rPr>
                <w:rFonts w:ascii="Times New Roman" w:eastAsia="Calibri" w:hAnsi="Times New Roman" w:cs="Times New Roman"/>
                <w:sz w:val="18"/>
                <w:szCs w:val="18"/>
              </w:rPr>
            </w:pPr>
          </w:p>
        </w:tc>
      </w:tr>
      <w:tr w:rsidR="003C045B" w:rsidRPr="007E4C0D" w14:paraId="05E7A252" w14:textId="77777777" w:rsidTr="00593EF8">
        <w:trPr>
          <w:trHeight w:val="870"/>
        </w:trPr>
        <w:tc>
          <w:tcPr>
            <w:tcW w:w="630" w:type="dxa"/>
          </w:tcPr>
          <w:p w14:paraId="56054E51" w14:textId="1549FBFD" w:rsidR="003C045B" w:rsidRPr="007E4C0D" w:rsidRDefault="003C045B" w:rsidP="003C045B">
            <w:pPr>
              <w:jc w:val="both"/>
              <w:rPr>
                <w:rFonts w:ascii="Times New Roman" w:eastAsia="Calibri" w:hAnsi="Times New Roman" w:cs="Times New Roman"/>
                <w:sz w:val="18"/>
                <w:szCs w:val="18"/>
              </w:rPr>
            </w:pPr>
          </w:p>
        </w:tc>
        <w:tc>
          <w:tcPr>
            <w:tcW w:w="5310" w:type="dxa"/>
          </w:tcPr>
          <w:p w14:paraId="7CA0C0DA" w14:textId="77777777" w:rsidR="0000140B" w:rsidRPr="007E4C0D" w:rsidRDefault="0000140B" w:rsidP="00A235BE">
            <w:pPr>
              <w:jc w:val="both"/>
              <w:rPr>
                <w:rFonts w:ascii="Times New Roman" w:eastAsia="Calibri" w:hAnsi="Times New Roman" w:cs="Times New Roman"/>
                <w:iCs/>
                <w:sz w:val="18"/>
                <w:szCs w:val="18"/>
              </w:rPr>
            </w:pPr>
          </w:p>
          <w:p w14:paraId="249A4F98" w14:textId="054242F4" w:rsidR="003C045B" w:rsidRPr="007E4C0D" w:rsidRDefault="005B3B67" w:rsidP="00A235BE">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5. Komisioni miraton, me anë të akteve zbatuese, rregullimet praktike të nevojshme për të lehtësuar komunikimin e përmendur në paragrafin 2 të këtij neni. Këto akte zbatuese miratohen në përputhje me procedurën e përmendur në nenin 26(2).</w:t>
            </w:r>
          </w:p>
        </w:tc>
        <w:tc>
          <w:tcPr>
            <w:tcW w:w="540" w:type="dxa"/>
          </w:tcPr>
          <w:p w14:paraId="59B66D4C" w14:textId="00B84A40" w:rsidR="003C045B" w:rsidRPr="007E4C0D" w:rsidRDefault="003C045B" w:rsidP="00A235BE">
            <w:pPr>
              <w:jc w:val="both"/>
              <w:rPr>
                <w:rFonts w:ascii="Times New Roman" w:eastAsia="Calibri" w:hAnsi="Times New Roman" w:cs="Times New Roman"/>
                <w:sz w:val="18"/>
                <w:szCs w:val="18"/>
              </w:rPr>
            </w:pPr>
          </w:p>
        </w:tc>
        <w:tc>
          <w:tcPr>
            <w:tcW w:w="630" w:type="dxa"/>
          </w:tcPr>
          <w:p w14:paraId="5ABADC9F" w14:textId="4FB10FE4" w:rsidR="003C045B" w:rsidRPr="007E4C0D" w:rsidRDefault="0000140B"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 xml:space="preserve"> </w:t>
            </w:r>
          </w:p>
        </w:tc>
        <w:tc>
          <w:tcPr>
            <w:tcW w:w="4964" w:type="dxa"/>
            <w:tcBorders>
              <w:bottom w:val="dashed" w:sz="4" w:space="0" w:color="auto"/>
            </w:tcBorders>
          </w:tcPr>
          <w:p w14:paraId="23A5013C" w14:textId="22BDEEFB" w:rsidR="007477A7" w:rsidRPr="007E4C0D" w:rsidRDefault="003C045B" w:rsidP="007477A7">
            <w:pPr>
              <w:jc w:val="center"/>
              <w:rPr>
                <w:rFonts w:ascii="Times New Roman" w:hAnsi="Times New Roman" w:cs="Times New Roman"/>
                <w:sz w:val="18"/>
                <w:szCs w:val="18"/>
              </w:rPr>
            </w:pPr>
            <w:r w:rsidRPr="007E4C0D">
              <w:rPr>
                <w:rFonts w:ascii="Times New Roman" w:hAnsi="Times New Roman" w:cs="Times New Roman"/>
                <w:sz w:val="18"/>
                <w:szCs w:val="18"/>
              </w:rPr>
              <w:br/>
            </w:r>
          </w:p>
          <w:p w14:paraId="4DAEA1FE" w14:textId="554048AA" w:rsidR="003C045B" w:rsidRPr="007E4C0D" w:rsidRDefault="00E7462C" w:rsidP="00E7462C">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720" w:type="dxa"/>
            <w:tcBorders>
              <w:bottom w:val="dashed" w:sz="4" w:space="0" w:color="auto"/>
            </w:tcBorders>
          </w:tcPr>
          <w:p w14:paraId="466B2E10" w14:textId="77777777" w:rsidR="00E7462C" w:rsidRPr="007E4C0D" w:rsidRDefault="00E7462C" w:rsidP="003C045B">
            <w:pPr>
              <w:jc w:val="center"/>
              <w:rPr>
                <w:rFonts w:ascii="Times New Roman" w:eastAsia="Calibri" w:hAnsi="Times New Roman" w:cs="Times New Roman"/>
                <w:sz w:val="18"/>
                <w:szCs w:val="18"/>
              </w:rPr>
            </w:pPr>
          </w:p>
          <w:p w14:paraId="6DD6B3FA" w14:textId="77777777" w:rsidR="00E7462C" w:rsidRPr="007E4C0D" w:rsidRDefault="00E7462C" w:rsidP="003C045B">
            <w:pPr>
              <w:jc w:val="center"/>
              <w:rPr>
                <w:rFonts w:ascii="Times New Roman" w:eastAsia="Calibri" w:hAnsi="Times New Roman" w:cs="Times New Roman"/>
                <w:sz w:val="18"/>
                <w:szCs w:val="18"/>
              </w:rPr>
            </w:pPr>
          </w:p>
          <w:p w14:paraId="3F896C22" w14:textId="18D2E638" w:rsidR="003C045B" w:rsidRPr="007E4C0D" w:rsidRDefault="00E7462C"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N/A</w:t>
            </w:r>
          </w:p>
        </w:tc>
        <w:tc>
          <w:tcPr>
            <w:tcW w:w="3406" w:type="dxa"/>
            <w:tcBorders>
              <w:bottom w:val="dashed" w:sz="4" w:space="0" w:color="auto"/>
            </w:tcBorders>
          </w:tcPr>
          <w:p w14:paraId="76BFEABA" w14:textId="4DC75375" w:rsidR="000916B6" w:rsidRPr="007E4C0D" w:rsidRDefault="000916B6" w:rsidP="000916B6">
            <w:pPr>
              <w:rPr>
                <w:rFonts w:ascii="Times New Roman" w:eastAsia="Calibri" w:hAnsi="Times New Roman" w:cs="Times New Roman"/>
                <w:iCs/>
                <w:sz w:val="18"/>
                <w:szCs w:val="18"/>
              </w:rPr>
            </w:pPr>
          </w:p>
          <w:p w14:paraId="16062C8C" w14:textId="79EC06E3" w:rsidR="003C045B" w:rsidRPr="007E4C0D" w:rsidRDefault="00DA690D" w:rsidP="003C045B">
            <w:pPr>
              <w:rPr>
                <w:rFonts w:ascii="Times New Roman" w:eastAsia="Calibri" w:hAnsi="Times New Roman" w:cs="Times New Roman"/>
                <w:sz w:val="18"/>
                <w:szCs w:val="18"/>
              </w:rPr>
            </w:pPr>
            <w:r w:rsidRPr="007E4C0D">
              <w:rPr>
                <w:rFonts w:ascii="Times New Roman" w:eastAsia="Calibri" w:hAnsi="Times New Roman" w:cs="Times New Roman"/>
                <w:sz w:val="18"/>
                <w:szCs w:val="18"/>
              </w:rPr>
              <w:t>Detyrim qe i drejtohet komisionit, nu ka nevoje per transpozim</w:t>
            </w:r>
          </w:p>
        </w:tc>
      </w:tr>
      <w:tr w:rsidR="003C045B" w:rsidRPr="007E4C0D" w14:paraId="69F77E82" w14:textId="77777777" w:rsidTr="00593EF8">
        <w:tc>
          <w:tcPr>
            <w:tcW w:w="630" w:type="dxa"/>
          </w:tcPr>
          <w:p w14:paraId="69F19673" w14:textId="7B3D6D02" w:rsidR="003C045B" w:rsidRPr="007E4C0D" w:rsidRDefault="003C045B" w:rsidP="003C045B">
            <w:pPr>
              <w:jc w:val="both"/>
              <w:rPr>
                <w:rFonts w:ascii="Times New Roman" w:eastAsia="Calibri" w:hAnsi="Times New Roman" w:cs="Times New Roman"/>
                <w:sz w:val="18"/>
                <w:szCs w:val="18"/>
              </w:rPr>
            </w:pPr>
          </w:p>
        </w:tc>
        <w:tc>
          <w:tcPr>
            <w:tcW w:w="5310" w:type="dxa"/>
          </w:tcPr>
          <w:p w14:paraId="4D8B60BA" w14:textId="3F595D51" w:rsidR="00613D48" w:rsidRPr="007E4C0D" w:rsidRDefault="00613D48" w:rsidP="00613D48">
            <w:pPr>
              <w:jc w:val="both"/>
              <w:rPr>
                <w:rFonts w:ascii="Times New Roman" w:eastAsia="Calibri" w:hAnsi="Times New Roman" w:cs="Times New Roman"/>
                <w:iCs/>
                <w:sz w:val="18"/>
                <w:szCs w:val="18"/>
              </w:rPr>
            </w:pPr>
          </w:p>
          <w:p w14:paraId="7379828A" w14:textId="46AD77DA" w:rsidR="003C045B" w:rsidRPr="007E4C0D" w:rsidRDefault="005B3B67" w:rsidP="00F82F30">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6. Komisioni nuk do të ketë akses në informacionin e përmendur në paragrafin 2, pikat (a) deri në (c).</w:t>
            </w:r>
          </w:p>
        </w:tc>
        <w:tc>
          <w:tcPr>
            <w:tcW w:w="540" w:type="dxa"/>
          </w:tcPr>
          <w:p w14:paraId="126B8A65" w14:textId="484EE591" w:rsidR="003C045B" w:rsidRPr="007E4C0D" w:rsidRDefault="003C045B" w:rsidP="003C045B">
            <w:pPr>
              <w:jc w:val="center"/>
              <w:rPr>
                <w:rFonts w:ascii="Times New Roman" w:eastAsia="Calibri" w:hAnsi="Times New Roman" w:cs="Times New Roman"/>
                <w:sz w:val="18"/>
                <w:szCs w:val="18"/>
              </w:rPr>
            </w:pPr>
          </w:p>
        </w:tc>
        <w:tc>
          <w:tcPr>
            <w:tcW w:w="630" w:type="dxa"/>
          </w:tcPr>
          <w:p w14:paraId="434E11A2" w14:textId="77777777" w:rsidR="0000140B" w:rsidRPr="007E4C0D" w:rsidRDefault="0000140B" w:rsidP="003C045B">
            <w:pPr>
              <w:jc w:val="center"/>
              <w:rPr>
                <w:rFonts w:ascii="Times New Roman" w:eastAsia="Calibri" w:hAnsi="Times New Roman" w:cs="Times New Roman"/>
                <w:sz w:val="18"/>
                <w:szCs w:val="18"/>
              </w:rPr>
            </w:pPr>
          </w:p>
          <w:p w14:paraId="4F71CC44" w14:textId="56BB8142" w:rsidR="003C045B" w:rsidRPr="007E4C0D" w:rsidRDefault="003C045B" w:rsidP="003C045B">
            <w:pPr>
              <w:jc w:val="center"/>
              <w:rPr>
                <w:rFonts w:ascii="Times New Roman" w:eastAsia="Calibri" w:hAnsi="Times New Roman" w:cs="Times New Roman"/>
                <w:sz w:val="18"/>
                <w:szCs w:val="18"/>
              </w:rPr>
            </w:pPr>
          </w:p>
        </w:tc>
        <w:tc>
          <w:tcPr>
            <w:tcW w:w="4964" w:type="dxa"/>
          </w:tcPr>
          <w:p w14:paraId="76BCAD05" w14:textId="77777777" w:rsidR="00DA690D" w:rsidRPr="007E4C0D" w:rsidRDefault="00DA690D" w:rsidP="00DA690D">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Neni 13</w:t>
            </w:r>
          </w:p>
          <w:p w14:paraId="7E02E6A5" w14:textId="3F46A0BD" w:rsidR="001C7741" w:rsidRPr="007E4C0D" w:rsidRDefault="00DA690D" w:rsidP="00DA690D">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Përdorimi i lejuar, konfidencialiteti dhe mbrojtja e të dhënave</w:t>
            </w:r>
          </w:p>
          <w:p w14:paraId="2052751B" w14:textId="77777777" w:rsidR="00DA690D" w:rsidRPr="007E4C0D" w:rsidRDefault="00DA690D" w:rsidP="00DA690D">
            <w:pPr>
              <w:jc w:val="both"/>
              <w:rPr>
                <w:rFonts w:ascii="Times New Roman" w:eastAsia="Calibri" w:hAnsi="Times New Roman" w:cs="Times New Roman"/>
                <w:sz w:val="18"/>
                <w:szCs w:val="18"/>
              </w:rPr>
            </w:pPr>
          </w:p>
          <w:p w14:paraId="0B4BDD90" w14:textId="77777777" w:rsidR="003C045B" w:rsidRPr="007E4C0D" w:rsidRDefault="006E373F" w:rsidP="00B13469">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5.</w:t>
            </w:r>
            <w:r w:rsidRPr="007E4C0D">
              <w:rPr>
                <w:rFonts w:ascii="Times New Roman" w:eastAsia="Calibri" w:hAnsi="Times New Roman" w:cs="Times New Roman"/>
                <w:sz w:val="18"/>
                <w:szCs w:val="18"/>
              </w:rPr>
              <w:tab/>
              <w:t>Komisioni Evropian mund të ketë akses vetëm në informacionin dhe në masën e parashikuar nga legjislacioni i Bashkimit Evropian.</w:t>
            </w:r>
          </w:p>
          <w:p w14:paraId="5BB63C0C" w14:textId="324140DB" w:rsidR="00DF28EF" w:rsidRPr="007E4C0D" w:rsidRDefault="00DF28EF" w:rsidP="00B13469">
            <w:pPr>
              <w:jc w:val="both"/>
              <w:rPr>
                <w:rFonts w:ascii="Times New Roman" w:eastAsia="Calibri" w:hAnsi="Times New Roman" w:cs="Times New Roman"/>
                <w:sz w:val="18"/>
                <w:szCs w:val="18"/>
              </w:rPr>
            </w:pPr>
          </w:p>
        </w:tc>
        <w:tc>
          <w:tcPr>
            <w:tcW w:w="720" w:type="dxa"/>
          </w:tcPr>
          <w:p w14:paraId="352AAE90" w14:textId="77777777" w:rsidR="007B1822" w:rsidRPr="007E4C0D" w:rsidRDefault="007B1822" w:rsidP="003C045B">
            <w:pPr>
              <w:jc w:val="center"/>
              <w:rPr>
                <w:rFonts w:ascii="Times New Roman" w:eastAsia="Calibri" w:hAnsi="Times New Roman" w:cs="Times New Roman"/>
                <w:sz w:val="18"/>
                <w:szCs w:val="18"/>
              </w:rPr>
            </w:pPr>
          </w:p>
          <w:p w14:paraId="792A6F0C" w14:textId="1BD0D290" w:rsidR="003C045B"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Pr>
          <w:p w14:paraId="6BF325A1" w14:textId="47A36095" w:rsidR="003C045B" w:rsidRPr="007E4C0D" w:rsidRDefault="003C045B" w:rsidP="00462F38">
            <w:pPr>
              <w:rPr>
                <w:rFonts w:ascii="Times New Roman" w:eastAsia="Calibri" w:hAnsi="Times New Roman" w:cs="Times New Roman"/>
                <w:sz w:val="18"/>
                <w:szCs w:val="18"/>
              </w:rPr>
            </w:pPr>
          </w:p>
        </w:tc>
      </w:tr>
      <w:tr w:rsidR="003C045B" w:rsidRPr="007E4C0D" w14:paraId="602A0892" w14:textId="77777777" w:rsidTr="00593EF8">
        <w:trPr>
          <w:trHeight w:val="900"/>
        </w:trPr>
        <w:tc>
          <w:tcPr>
            <w:tcW w:w="630" w:type="dxa"/>
          </w:tcPr>
          <w:p w14:paraId="176CFC32" w14:textId="7CC0D92E" w:rsidR="003C045B" w:rsidRPr="007E4C0D" w:rsidRDefault="003C045B" w:rsidP="003C045B">
            <w:pPr>
              <w:jc w:val="both"/>
              <w:rPr>
                <w:rFonts w:ascii="Times New Roman" w:eastAsia="Calibri" w:hAnsi="Times New Roman" w:cs="Times New Roman"/>
                <w:sz w:val="18"/>
                <w:szCs w:val="18"/>
              </w:rPr>
            </w:pPr>
          </w:p>
        </w:tc>
        <w:tc>
          <w:tcPr>
            <w:tcW w:w="5310" w:type="dxa"/>
          </w:tcPr>
          <w:p w14:paraId="37B59ACE" w14:textId="1556B32D" w:rsidR="00462F38" w:rsidRPr="007E4C0D" w:rsidRDefault="00462F38" w:rsidP="00462F38">
            <w:pPr>
              <w:jc w:val="both"/>
              <w:rPr>
                <w:rFonts w:ascii="Times New Roman" w:eastAsia="Calibri" w:hAnsi="Times New Roman" w:cs="Times New Roman"/>
                <w:iCs/>
                <w:sz w:val="18"/>
                <w:szCs w:val="18"/>
              </w:rPr>
            </w:pPr>
          </w:p>
          <w:p w14:paraId="4B13DA69" w14:textId="4FD3AB4C" w:rsidR="003C045B" w:rsidRPr="007E4C0D" w:rsidRDefault="005B3B67" w:rsidP="00FC5AE0">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7. Komunikimi i informacionit, siç përmendet në paragrafët 2, 3 dhe 4 të këtij neni, bëhet duke përdorur formatin standard të kompjuterizuar të përmendur në nenin 20(4).</w:t>
            </w:r>
          </w:p>
        </w:tc>
        <w:tc>
          <w:tcPr>
            <w:tcW w:w="540" w:type="dxa"/>
          </w:tcPr>
          <w:p w14:paraId="08D27D38" w14:textId="022BD9E7" w:rsidR="003C045B" w:rsidRPr="007E4C0D" w:rsidRDefault="003C045B" w:rsidP="003C045B">
            <w:pPr>
              <w:jc w:val="center"/>
              <w:rPr>
                <w:rFonts w:ascii="Times New Roman" w:eastAsia="Calibri" w:hAnsi="Times New Roman" w:cs="Times New Roman"/>
                <w:sz w:val="18"/>
                <w:szCs w:val="18"/>
              </w:rPr>
            </w:pPr>
          </w:p>
        </w:tc>
        <w:tc>
          <w:tcPr>
            <w:tcW w:w="630" w:type="dxa"/>
          </w:tcPr>
          <w:p w14:paraId="23D4D5A1" w14:textId="77777777" w:rsidR="0000140B" w:rsidRPr="007E4C0D" w:rsidRDefault="0000140B" w:rsidP="003C045B">
            <w:pPr>
              <w:jc w:val="center"/>
              <w:rPr>
                <w:rFonts w:ascii="Times New Roman" w:eastAsia="Calibri" w:hAnsi="Times New Roman" w:cs="Times New Roman"/>
                <w:sz w:val="18"/>
                <w:szCs w:val="18"/>
              </w:rPr>
            </w:pPr>
          </w:p>
          <w:p w14:paraId="76515CA7" w14:textId="1928B325" w:rsidR="003C045B" w:rsidRPr="007E4C0D" w:rsidRDefault="003C045B" w:rsidP="003C045B">
            <w:pPr>
              <w:jc w:val="center"/>
              <w:rPr>
                <w:rFonts w:ascii="Times New Roman" w:eastAsia="Calibri" w:hAnsi="Times New Roman" w:cs="Times New Roman"/>
                <w:sz w:val="18"/>
                <w:szCs w:val="18"/>
              </w:rPr>
            </w:pPr>
          </w:p>
        </w:tc>
        <w:tc>
          <w:tcPr>
            <w:tcW w:w="4964" w:type="dxa"/>
            <w:tcBorders>
              <w:bottom w:val="dashed" w:sz="4" w:space="0" w:color="auto"/>
            </w:tcBorders>
          </w:tcPr>
          <w:p w14:paraId="68BBBD66" w14:textId="77777777" w:rsidR="00DA690D" w:rsidRPr="007E4C0D" w:rsidRDefault="003C045B" w:rsidP="00DA690D">
            <w:pPr>
              <w:spacing w:line="276" w:lineRule="auto"/>
              <w:jc w:val="center"/>
              <w:rPr>
                <w:rFonts w:ascii="Times New Roman" w:eastAsia="Calibri" w:hAnsi="Times New Roman" w:cs="Times New Roman"/>
                <w:b/>
                <w:sz w:val="18"/>
                <w:szCs w:val="18"/>
              </w:rPr>
            </w:pPr>
            <w:r w:rsidRPr="007E4C0D">
              <w:rPr>
                <w:rFonts w:ascii="Times New Roman" w:hAnsi="Times New Roman" w:cs="Times New Roman"/>
                <w:color w:val="000000" w:themeColor="text1"/>
                <w:sz w:val="18"/>
                <w:szCs w:val="18"/>
              </w:rPr>
              <w:br/>
            </w:r>
            <w:r w:rsidR="00DA690D" w:rsidRPr="007E4C0D">
              <w:rPr>
                <w:rFonts w:ascii="Times New Roman" w:eastAsia="Calibri" w:hAnsi="Times New Roman" w:cs="Times New Roman"/>
                <w:b/>
                <w:sz w:val="18"/>
                <w:szCs w:val="18"/>
              </w:rPr>
              <w:t>Neni 8</w:t>
            </w:r>
          </w:p>
          <w:p w14:paraId="055DF0FD" w14:textId="77777777" w:rsidR="00DA690D" w:rsidRPr="007E4C0D" w:rsidRDefault="00DA690D" w:rsidP="00DA690D">
            <w:pPr>
              <w:spacing w:line="276" w:lineRule="auto"/>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Forma, gjuha, monedha dhe kanali i depozitimit</w:t>
            </w:r>
          </w:p>
          <w:p w14:paraId="3CA47800" w14:textId="77777777" w:rsidR="00AF61C6" w:rsidRPr="007E4C0D" w:rsidRDefault="00AF61C6" w:rsidP="00DA690D">
            <w:pPr>
              <w:spacing w:line="276" w:lineRule="auto"/>
              <w:jc w:val="center"/>
              <w:rPr>
                <w:rFonts w:ascii="Times New Roman" w:eastAsia="Calibri" w:hAnsi="Times New Roman" w:cs="Times New Roman"/>
                <w:b/>
                <w:sz w:val="18"/>
                <w:szCs w:val="18"/>
              </w:rPr>
            </w:pPr>
          </w:p>
          <w:p w14:paraId="702ED704" w14:textId="77777777" w:rsidR="00AF61C6" w:rsidRPr="007E4C0D" w:rsidRDefault="00AF61C6" w:rsidP="00AF61C6">
            <w:pPr>
              <w:spacing w:line="276" w:lineRule="auto"/>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1.</w:t>
            </w:r>
            <w:r w:rsidRPr="007E4C0D">
              <w:rPr>
                <w:rFonts w:ascii="Times New Roman" w:eastAsia="Calibri" w:hAnsi="Times New Roman" w:cs="Times New Roman"/>
                <w:sz w:val="18"/>
                <w:szCs w:val="18"/>
              </w:rPr>
              <w:tab/>
              <w:t xml:space="preserve">TTIR depozitohet vetëm në formë elektronike, nëpërmjet sistemit elektronik të përdorur për këtë qëllim nga Drejtoria e Përgjithshme e Tatimeve. </w:t>
            </w:r>
          </w:p>
          <w:p w14:paraId="4FFBAD9D" w14:textId="77777777" w:rsidR="00AF61C6" w:rsidRPr="007E4C0D" w:rsidRDefault="00AF61C6" w:rsidP="00AF61C6">
            <w:pPr>
              <w:spacing w:line="276" w:lineRule="auto"/>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2.</w:t>
            </w:r>
            <w:r w:rsidRPr="007E4C0D">
              <w:rPr>
                <w:rFonts w:ascii="Times New Roman" w:eastAsia="Calibri" w:hAnsi="Times New Roman" w:cs="Times New Roman"/>
                <w:sz w:val="18"/>
                <w:szCs w:val="18"/>
              </w:rPr>
              <w:tab/>
              <w:t xml:space="preserve">TTIR paraqitet në gjuhën shqipe. Elementet strukturore të të dhënave, përfshirë etiketat teknike, skemat XML, vlerat e kontrolluara, kodet e fushave, emërtimet e atributeve dhe çdo element tjetër teknik i kërkuar nga specifikimet dhe standardet teknike të Bashkimit Evropian, paraqiten në gjuhën angleze në masën e përcaktuar nga vendimi i Këshillit të Ministrave që nxirret në zbatim të këtij ligji dhe specifikimet përkatëse të Komisionit Evropian. </w:t>
            </w:r>
          </w:p>
          <w:p w14:paraId="05402EF0" w14:textId="77777777" w:rsidR="00AF61C6" w:rsidRPr="007E4C0D" w:rsidRDefault="00AF61C6" w:rsidP="00AF61C6">
            <w:pPr>
              <w:spacing w:line="276" w:lineRule="auto"/>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3.</w:t>
            </w:r>
            <w:r w:rsidRPr="007E4C0D">
              <w:rPr>
                <w:rFonts w:ascii="Times New Roman" w:eastAsia="Calibri" w:hAnsi="Times New Roman" w:cs="Times New Roman"/>
                <w:sz w:val="18"/>
                <w:szCs w:val="18"/>
              </w:rPr>
              <w:tab/>
              <w:t xml:space="preserve">Vlerat monetare raportohen në monedhën e përdorur në pasqyrat financiare të konsoliduara për përgatitjen e TTIR-së. Në rastet kur kërkohet konvertim, ai kryhet në përputhje me rregullat e përcaktuara në aktet zbatuese të Bashkimit Evropian dhe/ose standardet ndërkombëtare të referuara në to. </w:t>
            </w:r>
          </w:p>
          <w:p w14:paraId="2A5C5DAB" w14:textId="0A556AEF" w:rsidR="003C045B" w:rsidRPr="007E4C0D" w:rsidRDefault="00AF61C6" w:rsidP="00AF61C6">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4.</w:t>
            </w:r>
            <w:r w:rsidRPr="007E4C0D">
              <w:rPr>
                <w:rFonts w:ascii="Times New Roman" w:eastAsia="Calibri" w:hAnsi="Times New Roman" w:cs="Times New Roman"/>
                <w:sz w:val="18"/>
                <w:szCs w:val="18"/>
              </w:rPr>
              <w:tab/>
              <w:t xml:space="preserve">Në rast të mospërputhjes midis dispozitave të këtij ligji dhe specifikimeve teknike të formatit elektronik të miratuar në nivel të Bashkimit Evropian, përparësi kanë specifikimet teknike dhe formati elektronik i miratuar nga Bashkimi Evropian. </w:t>
            </w:r>
          </w:p>
        </w:tc>
        <w:tc>
          <w:tcPr>
            <w:tcW w:w="720" w:type="dxa"/>
            <w:tcBorders>
              <w:bottom w:val="dashed" w:sz="4" w:space="0" w:color="auto"/>
            </w:tcBorders>
          </w:tcPr>
          <w:p w14:paraId="1ADB1BA9" w14:textId="77777777" w:rsidR="007B1822" w:rsidRPr="007E4C0D" w:rsidRDefault="007B1822" w:rsidP="003C045B">
            <w:pPr>
              <w:jc w:val="center"/>
              <w:rPr>
                <w:rFonts w:ascii="Times New Roman" w:eastAsia="Calibri" w:hAnsi="Times New Roman" w:cs="Times New Roman"/>
                <w:sz w:val="18"/>
                <w:szCs w:val="18"/>
              </w:rPr>
            </w:pPr>
          </w:p>
          <w:p w14:paraId="34822B49" w14:textId="43D9F00E" w:rsidR="003C045B"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Borders>
              <w:bottom w:val="dashed" w:sz="4" w:space="0" w:color="auto"/>
            </w:tcBorders>
          </w:tcPr>
          <w:p w14:paraId="00C351E9" w14:textId="2CE1D3DD" w:rsidR="003C045B" w:rsidRPr="007E4C0D" w:rsidRDefault="003C045B" w:rsidP="003C045B">
            <w:pPr>
              <w:rPr>
                <w:rFonts w:ascii="Times New Roman" w:eastAsia="Calibri" w:hAnsi="Times New Roman" w:cs="Times New Roman"/>
                <w:sz w:val="18"/>
                <w:szCs w:val="18"/>
              </w:rPr>
            </w:pPr>
          </w:p>
        </w:tc>
      </w:tr>
      <w:tr w:rsidR="003C045B" w:rsidRPr="007E4C0D" w14:paraId="7AB48AF4" w14:textId="77777777" w:rsidTr="00593EF8">
        <w:tc>
          <w:tcPr>
            <w:tcW w:w="630" w:type="dxa"/>
          </w:tcPr>
          <w:p w14:paraId="796E7F23" w14:textId="465E4252" w:rsidR="003C045B" w:rsidRPr="007E4C0D" w:rsidRDefault="003C045B" w:rsidP="003C045B">
            <w:pPr>
              <w:jc w:val="both"/>
              <w:rPr>
                <w:rFonts w:ascii="Times New Roman" w:eastAsia="Calibri" w:hAnsi="Times New Roman" w:cs="Times New Roman"/>
                <w:sz w:val="18"/>
                <w:szCs w:val="18"/>
              </w:rPr>
            </w:pPr>
          </w:p>
        </w:tc>
        <w:tc>
          <w:tcPr>
            <w:tcW w:w="5310" w:type="dxa"/>
          </w:tcPr>
          <w:p w14:paraId="1ED7987C" w14:textId="07491267" w:rsidR="005B3B67" w:rsidRPr="007E4C0D" w:rsidRDefault="005B3B67" w:rsidP="005B3B67">
            <w:pPr>
              <w:shd w:val="clear" w:color="auto" w:fill="FFFFFF"/>
              <w:spacing w:before="120"/>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Neni 8b</w:t>
            </w:r>
          </w:p>
          <w:p w14:paraId="50018C5C" w14:textId="77777777" w:rsidR="005B3B67" w:rsidRPr="007E4C0D" w:rsidRDefault="005B3B67" w:rsidP="005B3B67">
            <w:pPr>
              <w:shd w:val="clear" w:color="auto" w:fill="FFFFFF"/>
              <w:spacing w:before="120"/>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Statistikat mbi shkëmbimet automatike</w:t>
            </w:r>
          </w:p>
          <w:p w14:paraId="667291EB" w14:textId="77777777" w:rsidR="005B3B67" w:rsidRPr="007E4C0D" w:rsidRDefault="005B3B67" w:rsidP="005B3B67">
            <w:pPr>
              <w:shd w:val="clear" w:color="auto" w:fill="FFFFFF"/>
              <w:spacing w:before="120"/>
              <w:jc w:val="both"/>
              <w:rPr>
                <w:rFonts w:ascii="Times New Roman" w:eastAsia="Calibri" w:hAnsi="Times New Roman" w:cs="Times New Roman"/>
                <w:iCs/>
                <w:sz w:val="18"/>
                <w:szCs w:val="18"/>
              </w:rPr>
            </w:pPr>
          </w:p>
          <w:p w14:paraId="1F105BED" w14:textId="5454BECF" w:rsidR="003C045B" w:rsidRPr="007E4C0D" w:rsidRDefault="005B3B67" w:rsidP="005B3B67">
            <w:pPr>
              <w:shd w:val="clear" w:color="auto" w:fill="FFFFFF"/>
              <w:spacing w:before="120"/>
              <w:jc w:val="both"/>
              <w:rPr>
                <w:rFonts w:ascii="Times New Roman" w:eastAsia="Calibri" w:hAnsi="Times New Roman" w:cs="Times New Roman"/>
                <w:iCs/>
                <w:sz w:val="18"/>
                <w:szCs w:val="18"/>
                <w:highlight w:val="yellow"/>
              </w:rPr>
            </w:pPr>
            <w:r w:rsidRPr="007E4C0D">
              <w:rPr>
                <w:rFonts w:ascii="Times New Roman" w:eastAsia="Calibri" w:hAnsi="Times New Roman" w:cs="Times New Roman"/>
                <w:iCs/>
                <w:sz w:val="18"/>
                <w:szCs w:val="18"/>
              </w:rPr>
              <w:t>Shtetet Anëtare i japin Komisionit çdo vit statistika mbi vëllimin e shkëmbimeve automatike sipas neneve 8(1), 8(3a), 8aa, 8ac dhe 8ae, si dhe informacion mbi kostot dhe përfitimet administrative dhe të tjera përkatëse që lidhen me shkëmbimet që kanë ndodhur dhe çdo ndryshim të mundshëm, si për administratat tatimore ashtu edhe për palët e treta.</w:t>
            </w:r>
          </w:p>
        </w:tc>
        <w:tc>
          <w:tcPr>
            <w:tcW w:w="540" w:type="dxa"/>
          </w:tcPr>
          <w:p w14:paraId="3E152E78" w14:textId="127DB0ED" w:rsidR="003C045B" w:rsidRPr="007E4C0D" w:rsidRDefault="003C045B" w:rsidP="003C045B">
            <w:pPr>
              <w:jc w:val="center"/>
              <w:rPr>
                <w:rFonts w:ascii="Times New Roman" w:eastAsia="Calibri" w:hAnsi="Times New Roman" w:cs="Times New Roman"/>
                <w:sz w:val="18"/>
                <w:szCs w:val="18"/>
                <w:highlight w:val="yellow"/>
              </w:rPr>
            </w:pPr>
          </w:p>
        </w:tc>
        <w:tc>
          <w:tcPr>
            <w:tcW w:w="630" w:type="dxa"/>
          </w:tcPr>
          <w:p w14:paraId="038EA9EC" w14:textId="77777777" w:rsidR="0000140B" w:rsidRPr="007E4C0D" w:rsidRDefault="0000140B" w:rsidP="003C045B">
            <w:pPr>
              <w:jc w:val="center"/>
              <w:rPr>
                <w:rFonts w:ascii="Times New Roman" w:eastAsia="Calibri" w:hAnsi="Times New Roman" w:cs="Times New Roman"/>
                <w:sz w:val="18"/>
                <w:szCs w:val="18"/>
                <w:highlight w:val="yellow"/>
              </w:rPr>
            </w:pPr>
          </w:p>
          <w:p w14:paraId="0152B602" w14:textId="5B7BE209" w:rsidR="003C045B" w:rsidRPr="007E4C0D" w:rsidRDefault="003C045B" w:rsidP="003C045B">
            <w:pPr>
              <w:jc w:val="center"/>
              <w:rPr>
                <w:rFonts w:ascii="Times New Roman" w:eastAsia="Calibri" w:hAnsi="Times New Roman" w:cs="Times New Roman"/>
                <w:sz w:val="18"/>
                <w:szCs w:val="18"/>
                <w:highlight w:val="yellow"/>
              </w:rPr>
            </w:pPr>
          </w:p>
        </w:tc>
        <w:tc>
          <w:tcPr>
            <w:tcW w:w="4964" w:type="dxa"/>
          </w:tcPr>
          <w:p w14:paraId="5DA75A0D" w14:textId="77777777" w:rsidR="00BC5DCD" w:rsidRPr="007E4C0D" w:rsidRDefault="00BC5DCD" w:rsidP="003C045B">
            <w:pPr>
              <w:jc w:val="center"/>
              <w:rPr>
                <w:rFonts w:ascii="Times New Roman" w:hAnsi="Times New Roman" w:cs="Times New Roman"/>
                <w:color w:val="000000" w:themeColor="text1"/>
                <w:sz w:val="18"/>
                <w:szCs w:val="18"/>
                <w:highlight w:val="yellow"/>
              </w:rPr>
            </w:pPr>
          </w:p>
          <w:p w14:paraId="777091B3" w14:textId="77777777" w:rsidR="006A69E9" w:rsidRPr="007E4C0D" w:rsidRDefault="006A69E9" w:rsidP="006A69E9">
            <w:pPr>
              <w:jc w:val="center"/>
              <w:rPr>
                <w:rFonts w:ascii="Times New Roman" w:hAnsi="Times New Roman" w:cs="Times New Roman"/>
                <w:b/>
                <w:color w:val="000000" w:themeColor="text1"/>
                <w:sz w:val="18"/>
                <w:szCs w:val="18"/>
              </w:rPr>
            </w:pPr>
            <w:r w:rsidRPr="007E4C0D">
              <w:rPr>
                <w:rFonts w:ascii="Times New Roman" w:hAnsi="Times New Roman" w:cs="Times New Roman"/>
                <w:b/>
                <w:color w:val="000000" w:themeColor="text1"/>
                <w:sz w:val="18"/>
                <w:szCs w:val="18"/>
              </w:rPr>
              <w:t>Neni 13</w:t>
            </w:r>
          </w:p>
          <w:p w14:paraId="4822A302" w14:textId="71F258E7" w:rsidR="00780F53" w:rsidRPr="007E4C0D" w:rsidRDefault="006A69E9" w:rsidP="006A69E9">
            <w:pPr>
              <w:jc w:val="center"/>
              <w:rPr>
                <w:rFonts w:ascii="Times New Roman" w:hAnsi="Times New Roman" w:cs="Times New Roman"/>
                <w:b/>
                <w:color w:val="000000" w:themeColor="text1"/>
                <w:sz w:val="18"/>
                <w:szCs w:val="18"/>
              </w:rPr>
            </w:pPr>
            <w:r w:rsidRPr="007E4C0D">
              <w:rPr>
                <w:rFonts w:ascii="Times New Roman" w:hAnsi="Times New Roman" w:cs="Times New Roman"/>
                <w:b/>
                <w:color w:val="000000" w:themeColor="text1"/>
                <w:sz w:val="18"/>
                <w:szCs w:val="18"/>
              </w:rPr>
              <w:t>Përdorimi i lejuar, konfidencialiteti dhe mbrojtja e të dhënave</w:t>
            </w:r>
          </w:p>
          <w:p w14:paraId="79497D2A" w14:textId="77777777" w:rsidR="006A69E9" w:rsidRPr="007E4C0D" w:rsidRDefault="006A69E9" w:rsidP="006A69E9">
            <w:pPr>
              <w:jc w:val="center"/>
              <w:rPr>
                <w:rFonts w:ascii="Times New Roman" w:hAnsi="Times New Roman" w:cs="Times New Roman"/>
                <w:b/>
                <w:color w:val="000000" w:themeColor="text1"/>
                <w:sz w:val="18"/>
                <w:szCs w:val="18"/>
                <w:highlight w:val="yellow"/>
              </w:rPr>
            </w:pPr>
          </w:p>
          <w:p w14:paraId="5D1D16DC" w14:textId="26D9C507" w:rsidR="003C045B" w:rsidRPr="007E4C0D" w:rsidRDefault="00D73C0F" w:rsidP="00D73C0F">
            <w:pPr>
              <w:spacing w:line="276" w:lineRule="auto"/>
              <w:jc w:val="both"/>
              <w:rPr>
                <w:rFonts w:ascii="Times New Roman" w:eastAsia="Calibri" w:hAnsi="Times New Roman" w:cs="Times New Roman"/>
                <w:sz w:val="18"/>
                <w:szCs w:val="18"/>
                <w:highlight w:val="yellow"/>
              </w:rPr>
            </w:pPr>
            <w:r w:rsidRPr="007E4C0D">
              <w:rPr>
                <w:rFonts w:ascii="Times New Roman" w:eastAsia="Calibri" w:hAnsi="Times New Roman" w:cs="Times New Roman"/>
                <w:sz w:val="18"/>
                <w:szCs w:val="18"/>
              </w:rPr>
              <w:t>6.</w:t>
            </w:r>
            <w:r w:rsidRPr="007E4C0D">
              <w:rPr>
                <w:rFonts w:ascii="Times New Roman" w:eastAsia="Calibri" w:hAnsi="Times New Roman" w:cs="Times New Roman"/>
                <w:sz w:val="18"/>
                <w:szCs w:val="18"/>
              </w:rPr>
              <w:tab/>
              <w:t>Drejtoria e Përgjithshme e Tatimeve përgatit çdo vit, statistika mbi vëllimin e shkëmbimeve automatike të informacionit, si dhe informacion mbi kostot administrative dhe kostot e tjera përkatëse, si edhe mbi përfitimet që lidhen me shkëmbimet e realizuara dhe çdo ndryshim të mundshëm që rrjedh prej tyre, si për administratën tatimore ashtu edhe për palët e treta.</w:t>
            </w:r>
          </w:p>
        </w:tc>
        <w:tc>
          <w:tcPr>
            <w:tcW w:w="720" w:type="dxa"/>
          </w:tcPr>
          <w:p w14:paraId="53345587" w14:textId="77777777" w:rsidR="007B1822" w:rsidRPr="007E4C0D" w:rsidRDefault="007B1822" w:rsidP="003C045B">
            <w:pPr>
              <w:jc w:val="center"/>
              <w:rPr>
                <w:rFonts w:ascii="Times New Roman" w:eastAsia="Calibri" w:hAnsi="Times New Roman" w:cs="Times New Roman"/>
                <w:sz w:val="18"/>
                <w:szCs w:val="18"/>
              </w:rPr>
            </w:pPr>
          </w:p>
          <w:p w14:paraId="4002CF3D" w14:textId="528F015E" w:rsidR="003C045B" w:rsidRPr="007E4C0D" w:rsidRDefault="007B1822" w:rsidP="003C045B">
            <w:pPr>
              <w:jc w:val="center"/>
              <w:rPr>
                <w:rFonts w:ascii="Times New Roman" w:eastAsia="Calibri" w:hAnsi="Times New Roman" w:cs="Times New Roman"/>
                <w:sz w:val="18"/>
                <w:szCs w:val="18"/>
                <w:highlight w:val="yellow"/>
              </w:rPr>
            </w:pPr>
            <w:r w:rsidRPr="007E4C0D">
              <w:rPr>
                <w:rFonts w:ascii="Times New Roman" w:eastAsia="Calibri" w:hAnsi="Times New Roman" w:cs="Times New Roman"/>
                <w:sz w:val="18"/>
                <w:szCs w:val="18"/>
              </w:rPr>
              <w:t>F</w:t>
            </w:r>
          </w:p>
        </w:tc>
        <w:tc>
          <w:tcPr>
            <w:tcW w:w="3406" w:type="dxa"/>
          </w:tcPr>
          <w:p w14:paraId="46D529E2" w14:textId="0A5763DF" w:rsidR="003C045B" w:rsidRPr="007E4C0D" w:rsidRDefault="003C045B" w:rsidP="003C045B">
            <w:pPr>
              <w:rPr>
                <w:rFonts w:ascii="Times New Roman" w:eastAsia="Calibri" w:hAnsi="Times New Roman" w:cs="Times New Roman"/>
                <w:sz w:val="18"/>
                <w:szCs w:val="18"/>
                <w:highlight w:val="yellow"/>
              </w:rPr>
            </w:pPr>
          </w:p>
        </w:tc>
      </w:tr>
      <w:tr w:rsidR="003C045B" w:rsidRPr="007E4C0D" w14:paraId="26A635EE" w14:textId="77777777" w:rsidTr="00593EF8">
        <w:trPr>
          <w:trHeight w:val="1875"/>
        </w:trPr>
        <w:tc>
          <w:tcPr>
            <w:tcW w:w="630" w:type="dxa"/>
          </w:tcPr>
          <w:p w14:paraId="37347107" w14:textId="4D5D7C68" w:rsidR="003C045B" w:rsidRPr="007E4C0D" w:rsidRDefault="003C045B" w:rsidP="003C045B">
            <w:pPr>
              <w:jc w:val="both"/>
              <w:rPr>
                <w:rFonts w:ascii="Times New Roman" w:eastAsia="Calibri" w:hAnsi="Times New Roman" w:cs="Times New Roman"/>
                <w:sz w:val="18"/>
                <w:szCs w:val="18"/>
              </w:rPr>
            </w:pPr>
          </w:p>
        </w:tc>
        <w:tc>
          <w:tcPr>
            <w:tcW w:w="5310" w:type="dxa"/>
          </w:tcPr>
          <w:p w14:paraId="5E7B0D37" w14:textId="020D9DD8" w:rsidR="005B3B67" w:rsidRPr="007E4C0D" w:rsidRDefault="005B3B67" w:rsidP="005B3B67">
            <w:pPr>
              <w:shd w:val="clear" w:color="auto" w:fill="FFFFFF"/>
              <w:spacing w:before="120"/>
              <w:jc w:val="center"/>
              <w:rPr>
                <w:rFonts w:ascii="Times New Roman" w:eastAsia="Calibri" w:hAnsi="Times New Roman" w:cs="Times New Roman"/>
                <w:b/>
                <w:iCs/>
                <w:sz w:val="18"/>
                <w:szCs w:val="18"/>
              </w:rPr>
            </w:pPr>
            <w:r w:rsidRPr="007E4C0D">
              <w:rPr>
                <w:rFonts w:ascii="Times New Roman" w:eastAsia="Calibri" w:hAnsi="Times New Roman" w:cs="Times New Roman"/>
                <w:iCs/>
                <w:sz w:val="18"/>
                <w:szCs w:val="18"/>
              </w:rPr>
              <w:t xml:space="preserve">Neni </w:t>
            </w:r>
            <w:r w:rsidRPr="007E4C0D">
              <w:rPr>
                <w:rFonts w:ascii="Times New Roman" w:eastAsia="Calibri" w:hAnsi="Times New Roman" w:cs="Times New Roman"/>
                <w:b/>
                <w:iCs/>
                <w:sz w:val="18"/>
                <w:szCs w:val="18"/>
              </w:rPr>
              <w:t>9a</w:t>
            </w:r>
          </w:p>
          <w:p w14:paraId="31B6DE9C" w14:textId="77777777" w:rsidR="005B3B67" w:rsidRPr="007E4C0D" w:rsidRDefault="005B3B67" w:rsidP="005B3B67">
            <w:pPr>
              <w:shd w:val="clear" w:color="auto" w:fill="FFFFFF"/>
              <w:spacing w:before="120"/>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Bashkëpunim për korrigjimet, pajtueshmërinë dhe zbatimin në lidhje me deklaratat e informacionit tatimor shtesë</w:t>
            </w:r>
          </w:p>
          <w:p w14:paraId="4F86C22A" w14:textId="77777777" w:rsidR="005B3B67" w:rsidRPr="007E4C0D" w:rsidRDefault="005B3B67" w:rsidP="005B3B67">
            <w:pPr>
              <w:shd w:val="clear" w:color="auto" w:fill="FFFFFF"/>
              <w:spacing w:before="120"/>
              <w:jc w:val="both"/>
              <w:rPr>
                <w:rFonts w:ascii="Times New Roman" w:eastAsia="Calibri" w:hAnsi="Times New Roman" w:cs="Times New Roman"/>
                <w:iCs/>
                <w:sz w:val="18"/>
                <w:szCs w:val="18"/>
              </w:rPr>
            </w:pPr>
          </w:p>
          <w:p w14:paraId="4BF05EC2" w14:textId="7FD3A7A3" w:rsidR="00613D48" w:rsidRPr="007E4C0D" w:rsidRDefault="005B3B67" w:rsidP="005B3B67">
            <w:pPr>
              <w:shd w:val="clear" w:color="auto" w:fill="FFFFFF"/>
              <w:spacing w:before="120"/>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1. Kur autoriteti kompetent i një Shteti Anëtar ka arsye të besojë se informacioni në një deklaratë informacioni tatimor plotësues të paraqitur nga një entitet mëmë përfundimtar ose entitet i caktuar deklarues që ndodhet në juridiksionin e Shtetit tjetër Anëtar, i komunikuar sipas Nenit 8ae, kërkon korrigjimin e gabimeve të dukshme, ai duhet, pa vonesë të panevojshme, të njoftojë autoritetin kompetent të Shtetit tjetër Anëtar. Nëse autoriteti kompetent i njoftuar pranon që informacioni në deklaratën e informacionit tatimor plotësues kërkon korrigjim, ai duhet të marrë, pa vonesë të panevojshme, masat e duhura për të marrë një deklaratë të korrigjuar informacioni tatimor plotësues nga entiteti mëmë përfundimtar ose entiteti i caktuar deklarues. Ai duhet të komunikojë, pa vonesë të panevojshme, deklaratën e korrigjuar të informacionit tatimor plotësues me të gjitha autoritetet kompetente për të cilat ky informacion është subjekt shkëmbimi në përputhje me këtë Direktivë.</w:t>
            </w:r>
          </w:p>
          <w:p w14:paraId="02F6F541" w14:textId="625DB0D5" w:rsidR="003C045B" w:rsidRPr="007E4C0D" w:rsidRDefault="003C045B" w:rsidP="002511E0">
            <w:pPr>
              <w:shd w:val="clear" w:color="auto" w:fill="FFFFFF"/>
              <w:spacing w:before="120"/>
              <w:jc w:val="both"/>
              <w:rPr>
                <w:rFonts w:ascii="Times New Roman" w:eastAsia="Calibri" w:hAnsi="Times New Roman" w:cs="Times New Roman"/>
                <w:iCs/>
                <w:sz w:val="18"/>
                <w:szCs w:val="18"/>
              </w:rPr>
            </w:pPr>
          </w:p>
        </w:tc>
        <w:tc>
          <w:tcPr>
            <w:tcW w:w="540" w:type="dxa"/>
          </w:tcPr>
          <w:p w14:paraId="4490F7F0" w14:textId="5E59336E" w:rsidR="003C045B" w:rsidRPr="007E4C0D" w:rsidRDefault="003C045B" w:rsidP="003C045B">
            <w:pPr>
              <w:jc w:val="center"/>
              <w:rPr>
                <w:rFonts w:ascii="Times New Roman" w:eastAsia="Calibri" w:hAnsi="Times New Roman" w:cs="Times New Roman"/>
                <w:sz w:val="18"/>
                <w:szCs w:val="18"/>
              </w:rPr>
            </w:pPr>
          </w:p>
        </w:tc>
        <w:tc>
          <w:tcPr>
            <w:tcW w:w="630" w:type="dxa"/>
          </w:tcPr>
          <w:p w14:paraId="12429AFD" w14:textId="77777777" w:rsidR="0000140B" w:rsidRPr="007E4C0D" w:rsidRDefault="0000140B" w:rsidP="003C045B">
            <w:pPr>
              <w:jc w:val="center"/>
              <w:rPr>
                <w:rFonts w:ascii="Times New Roman" w:eastAsia="Calibri" w:hAnsi="Times New Roman" w:cs="Times New Roman"/>
                <w:sz w:val="18"/>
                <w:szCs w:val="18"/>
              </w:rPr>
            </w:pPr>
          </w:p>
          <w:p w14:paraId="3A291DFE" w14:textId="50D330D0" w:rsidR="003C045B" w:rsidRPr="007E4C0D" w:rsidRDefault="003C045B" w:rsidP="007477A7">
            <w:pPr>
              <w:rPr>
                <w:rFonts w:ascii="Times New Roman" w:eastAsia="Calibri" w:hAnsi="Times New Roman" w:cs="Times New Roman"/>
                <w:sz w:val="18"/>
                <w:szCs w:val="18"/>
              </w:rPr>
            </w:pPr>
          </w:p>
        </w:tc>
        <w:tc>
          <w:tcPr>
            <w:tcW w:w="4964" w:type="dxa"/>
            <w:tcBorders>
              <w:bottom w:val="dashed" w:sz="4" w:space="0" w:color="auto"/>
            </w:tcBorders>
          </w:tcPr>
          <w:p w14:paraId="0CB73965" w14:textId="77777777" w:rsidR="003C045B" w:rsidRPr="007E4C0D" w:rsidRDefault="003C045B" w:rsidP="003C045B">
            <w:pPr>
              <w:jc w:val="center"/>
              <w:rPr>
                <w:rFonts w:ascii="Times New Roman" w:eastAsia="Times New Roman" w:hAnsi="Times New Roman" w:cs="Times New Roman"/>
                <w:sz w:val="18"/>
                <w:szCs w:val="18"/>
                <w:lang w:eastAsia="sq-AL"/>
              </w:rPr>
            </w:pPr>
          </w:p>
          <w:p w14:paraId="2D6661FE" w14:textId="77777777" w:rsidR="00352442" w:rsidRPr="007E4C0D" w:rsidRDefault="00352442" w:rsidP="00352442">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Neni 9</w:t>
            </w:r>
          </w:p>
          <w:p w14:paraId="4BCA23D1" w14:textId="77777777" w:rsidR="00352442" w:rsidRPr="007E4C0D" w:rsidRDefault="00352442" w:rsidP="00352442">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Saktësia e deklarimit, ruajtja e dokumentacionit dhe korrigjimi</w:t>
            </w:r>
          </w:p>
          <w:p w14:paraId="24CCDAE6" w14:textId="77777777" w:rsidR="00352442" w:rsidRPr="007E4C0D" w:rsidRDefault="00352442" w:rsidP="00352442">
            <w:pPr>
              <w:jc w:val="both"/>
              <w:rPr>
                <w:rFonts w:ascii="Times New Roman" w:eastAsia="Calibri" w:hAnsi="Times New Roman" w:cs="Times New Roman"/>
                <w:sz w:val="18"/>
                <w:szCs w:val="18"/>
              </w:rPr>
            </w:pPr>
          </w:p>
          <w:p w14:paraId="4B578D64" w14:textId="77777777" w:rsidR="00CA62EB" w:rsidRPr="007E4C0D" w:rsidRDefault="00CA62EB" w:rsidP="00CA62EB">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1.</w:t>
            </w:r>
            <w:r w:rsidRPr="007E4C0D">
              <w:rPr>
                <w:rFonts w:ascii="Times New Roman" w:eastAsia="Calibri" w:hAnsi="Times New Roman" w:cs="Times New Roman"/>
                <w:sz w:val="18"/>
                <w:szCs w:val="18"/>
              </w:rPr>
              <w:tab/>
              <w:t xml:space="preserve">Entiteti që depoziton TTIR-në dhe çdo entitet përbërës shqiptar i përfshirë në TTIR është i detyruar të ruajë dokumentacionin, evidencat dhe shpjegimet mbështetëse të përdorura për përgatitjen e TTIR-së, për periudhën e ruajtjes së dokumentacionit sipas legjislacionit tatimor dhe për kontabilitetin në fuqi, dhe në çdo rast deri në përfundimin e afateve të kontrollit, vlerësimit dhe ankimit për periudhën përkatëse. </w:t>
            </w:r>
          </w:p>
          <w:p w14:paraId="78D82352" w14:textId="77777777" w:rsidR="00CA62EB" w:rsidRPr="007E4C0D" w:rsidRDefault="00CA62EB" w:rsidP="00CA62EB">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2.</w:t>
            </w:r>
            <w:r w:rsidRPr="007E4C0D">
              <w:rPr>
                <w:rFonts w:ascii="Times New Roman" w:eastAsia="Calibri" w:hAnsi="Times New Roman" w:cs="Times New Roman"/>
                <w:sz w:val="18"/>
                <w:szCs w:val="18"/>
              </w:rPr>
              <w:tab/>
              <w:t xml:space="preserve">Kur konstatohet pasaktësi materiale, mungesë informacioni, gabim teknik, gabim identifikues ose ndryshim i të dhënave të deklaruara, entiteti që depoziton TTIR-në bën korrigjimin përkatës pa vonesë të pajustifikuar, sipas procedurës së përcaktuar në aktin sekondar. </w:t>
            </w:r>
          </w:p>
          <w:p w14:paraId="184541C5" w14:textId="16CFF382" w:rsidR="00352442" w:rsidRPr="007E4C0D" w:rsidRDefault="00CA62EB" w:rsidP="00CA62EB">
            <w:pPr>
              <w:jc w:val="both"/>
              <w:rPr>
                <w:rFonts w:ascii="Times New Roman" w:eastAsia="Calibri" w:hAnsi="Times New Roman" w:cs="Times New Roman"/>
                <w:b/>
                <w:sz w:val="18"/>
                <w:szCs w:val="18"/>
              </w:rPr>
            </w:pPr>
            <w:r w:rsidRPr="007E4C0D">
              <w:rPr>
                <w:rFonts w:ascii="Times New Roman" w:eastAsia="Calibri" w:hAnsi="Times New Roman" w:cs="Times New Roman"/>
                <w:sz w:val="18"/>
                <w:szCs w:val="18"/>
              </w:rPr>
              <w:t>3.</w:t>
            </w:r>
            <w:r w:rsidRPr="007E4C0D">
              <w:rPr>
                <w:rFonts w:ascii="Times New Roman" w:eastAsia="Calibri" w:hAnsi="Times New Roman" w:cs="Times New Roman"/>
                <w:sz w:val="18"/>
                <w:szCs w:val="18"/>
              </w:rPr>
              <w:tab/>
              <w:t>Drejtoria e Përgjithshme e Tatimeve mund të kërkojë dokumente shtesë, sqarime, versione të korrigjuara, prova të depozitimit qendror në juridiksion tjetër, ose evidenca të përshtatshmërisë së marrëveshjes së kualifikuar të autoritetit kompetent.</w:t>
            </w:r>
          </w:p>
          <w:p w14:paraId="6EE17704" w14:textId="77777777" w:rsidR="00352442" w:rsidRPr="007E4C0D" w:rsidRDefault="00352442" w:rsidP="00352442">
            <w:pPr>
              <w:jc w:val="center"/>
              <w:rPr>
                <w:rFonts w:ascii="Times New Roman" w:eastAsia="Calibri" w:hAnsi="Times New Roman" w:cs="Times New Roman"/>
                <w:b/>
                <w:sz w:val="18"/>
                <w:szCs w:val="18"/>
              </w:rPr>
            </w:pPr>
          </w:p>
          <w:p w14:paraId="24142D08" w14:textId="77777777" w:rsidR="00352442" w:rsidRPr="007E4C0D" w:rsidRDefault="00352442" w:rsidP="00352442">
            <w:pPr>
              <w:jc w:val="center"/>
              <w:rPr>
                <w:rFonts w:ascii="Times New Roman" w:eastAsia="Calibri" w:hAnsi="Times New Roman" w:cs="Times New Roman"/>
                <w:b/>
                <w:sz w:val="18"/>
                <w:szCs w:val="18"/>
              </w:rPr>
            </w:pPr>
          </w:p>
          <w:p w14:paraId="0D17B65E" w14:textId="6FC2ED3D" w:rsidR="00352442" w:rsidRPr="007E4C0D" w:rsidRDefault="00352442" w:rsidP="00352442">
            <w:pPr>
              <w:jc w:val="center"/>
              <w:rPr>
                <w:rFonts w:ascii="Times New Roman" w:eastAsia="Calibri" w:hAnsi="Times New Roman" w:cs="Times New Roman"/>
                <w:b/>
                <w:sz w:val="18"/>
                <w:szCs w:val="18"/>
              </w:rPr>
            </w:pPr>
            <w:r w:rsidRPr="007E4C0D">
              <w:rPr>
                <w:rFonts w:ascii="Times New Roman" w:eastAsia="Calibri" w:hAnsi="Times New Roman" w:cs="Times New Roman"/>
                <w:b/>
                <w:sz w:val="18"/>
                <w:szCs w:val="18"/>
              </w:rPr>
              <w:t>Neni 10</w:t>
            </w:r>
          </w:p>
          <w:p w14:paraId="01EB08B4" w14:textId="77777777" w:rsidR="00352442" w:rsidRPr="007E4C0D" w:rsidRDefault="00352442" w:rsidP="00E336AC">
            <w:pPr>
              <w:jc w:val="both"/>
              <w:rPr>
                <w:rFonts w:ascii="Times New Roman" w:eastAsia="Calibri" w:hAnsi="Times New Roman" w:cs="Times New Roman"/>
                <w:sz w:val="18"/>
                <w:szCs w:val="18"/>
              </w:rPr>
            </w:pPr>
          </w:p>
          <w:p w14:paraId="3C259A8E" w14:textId="77777777" w:rsidR="003C045B" w:rsidRPr="007E4C0D" w:rsidRDefault="00CA62EB" w:rsidP="00E336AC">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4.</w:t>
            </w:r>
            <w:r w:rsidRPr="007E4C0D">
              <w:rPr>
                <w:rFonts w:ascii="Times New Roman" w:eastAsia="Calibri" w:hAnsi="Times New Roman" w:cs="Times New Roman"/>
                <w:sz w:val="18"/>
                <w:szCs w:val="18"/>
              </w:rPr>
              <w:tab/>
              <w:t>Korrigjimet, zëvendësimet dhe fshirjet e pranuara nga Drejtoria e Përgjithshme e Tatimeve komunikohen pa vonesë dhe, në çdo rast, në përputhje me rregullat dhe afatet e përcaktuara në aktin sekondar.</w:t>
            </w:r>
          </w:p>
          <w:p w14:paraId="3486BF7E" w14:textId="3376C21A" w:rsidR="00CA62EB" w:rsidRPr="007E4C0D" w:rsidRDefault="00CA62EB" w:rsidP="00E336AC">
            <w:pPr>
              <w:jc w:val="both"/>
              <w:rPr>
                <w:rFonts w:ascii="Times New Roman" w:eastAsia="Calibri" w:hAnsi="Times New Roman" w:cs="Times New Roman"/>
                <w:sz w:val="18"/>
                <w:szCs w:val="18"/>
              </w:rPr>
            </w:pPr>
          </w:p>
        </w:tc>
        <w:tc>
          <w:tcPr>
            <w:tcW w:w="720" w:type="dxa"/>
            <w:tcBorders>
              <w:bottom w:val="dashed" w:sz="4" w:space="0" w:color="auto"/>
            </w:tcBorders>
          </w:tcPr>
          <w:p w14:paraId="3EECDCCB" w14:textId="77777777" w:rsidR="007B1822" w:rsidRPr="007E4C0D" w:rsidRDefault="007B1822" w:rsidP="003C045B">
            <w:pPr>
              <w:jc w:val="center"/>
              <w:rPr>
                <w:rFonts w:ascii="Times New Roman" w:eastAsia="Calibri" w:hAnsi="Times New Roman" w:cs="Times New Roman"/>
                <w:sz w:val="18"/>
                <w:szCs w:val="18"/>
              </w:rPr>
            </w:pPr>
          </w:p>
          <w:p w14:paraId="306D02AA" w14:textId="2B643909" w:rsidR="003C045B"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Borders>
              <w:bottom w:val="dashed" w:sz="4" w:space="0" w:color="auto"/>
            </w:tcBorders>
          </w:tcPr>
          <w:p w14:paraId="610C0EF2" w14:textId="6B7DF9D5" w:rsidR="003C045B" w:rsidRPr="007E4C0D" w:rsidRDefault="003C045B" w:rsidP="002826E4">
            <w:pPr>
              <w:rPr>
                <w:rFonts w:ascii="Times New Roman" w:eastAsia="Calibri" w:hAnsi="Times New Roman" w:cs="Times New Roman"/>
                <w:sz w:val="18"/>
                <w:szCs w:val="18"/>
              </w:rPr>
            </w:pPr>
          </w:p>
        </w:tc>
      </w:tr>
      <w:tr w:rsidR="00352442" w:rsidRPr="007E4C0D" w14:paraId="2C6CF3C7" w14:textId="77777777" w:rsidTr="00593EF8">
        <w:trPr>
          <w:trHeight w:val="1875"/>
        </w:trPr>
        <w:tc>
          <w:tcPr>
            <w:tcW w:w="630" w:type="dxa"/>
          </w:tcPr>
          <w:p w14:paraId="2D934E04" w14:textId="77777777" w:rsidR="00352442" w:rsidRPr="007E4C0D" w:rsidRDefault="00352442" w:rsidP="003C045B">
            <w:pPr>
              <w:jc w:val="both"/>
              <w:rPr>
                <w:rFonts w:ascii="Times New Roman" w:eastAsia="Calibri" w:hAnsi="Times New Roman" w:cs="Times New Roman"/>
                <w:sz w:val="18"/>
                <w:szCs w:val="18"/>
              </w:rPr>
            </w:pPr>
          </w:p>
        </w:tc>
        <w:tc>
          <w:tcPr>
            <w:tcW w:w="5310" w:type="dxa"/>
          </w:tcPr>
          <w:p w14:paraId="0724B391" w14:textId="46487FA3" w:rsidR="00352442" w:rsidRPr="007E4C0D" w:rsidRDefault="00352442" w:rsidP="00352442">
            <w:pPr>
              <w:shd w:val="clear" w:color="auto" w:fill="FFFFFF"/>
              <w:spacing w:before="120" w:line="276" w:lineRule="auto"/>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2. Kur autoriteti kompetent i një Shteti Anëtar ka marrë një njoftim nga një ose më shumë subjekte përbërëse të vendosura në Shtetin e tij Anëtar se deklarata e informacionit tatimor plotësues për subjekte të tilla përbërëse duhej të dorëzohej nga subjekti mëmë përfundimtar ose subjekti i caktuar deklarues i vendosur në një Shtet tjetër Anëtar, por informacioni i përfshirë në deklaratën e informacionit tatimor plotësues nuk është komunikuar brenda afateve të specifikuara në Nenin 8ae(3) ose Nenin 27d(3) dhe (4), ai, pa vonesë të panevojshme, duhet të njoftojë autoritetin tjetër kompetent se informacioni nuk është marrë. Autoriteti kompetent i njoftuar, pa vonesë të panevojshme, duhet të përcaktojë arsyen e moskomunikimit të deklaratës përkatëse të informacionit tatimor plotësues dhe duhet të informojë autoritetin kompetent brenda 1 muaji nga marrja e njoftimit, duke përfshirë datën e pritur të shkëmbimit për deklaratën e informacionit tatimor plotësues, kur është e nevojshme. Data e pritur e shkëmbimit duhet të caktohet për një datë jo më vonë se 3 muaj nga data e marrjes së njoftimit të shkëmbimit që mungon.</w:t>
            </w:r>
          </w:p>
        </w:tc>
        <w:tc>
          <w:tcPr>
            <w:tcW w:w="540" w:type="dxa"/>
          </w:tcPr>
          <w:p w14:paraId="2609796D" w14:textId="77777777" w:rsidR="00352442" w:rsidRPr="007E4C0D" w:rsidRDefault="00352442" w:rsidP="003C045B">
            <w:pPr>
              <w:jc w:val="center"/>
              <w:rPr>
                <w:rFonts w:ascii="Times New Roman" w:eastAsia="Calibri" w:hAnsi="Times New Roman" w:cs="Times New Roman"/>
                <w:sz w:val="18"/>
                <w:szCs w:val="18"/>
              </w:rPr>
            </w:pPr>
          </w:p>
        </w:tc>
        <w:tc>
          <w:tcPr>
            <w:tcW w:w="630" w:type="dxa"/>
          </w:tcPr>
          <w:p w14:paraId="54840378" w14:textId="77777777" w:rsidR="00352442" w:rsidRPr="007E4C0D" w:rsidRDefault="00352442" w:rsidP="003C045B">
            <w:pPr>
              <w:jc w:val="center"/>
              <w:rPr>
                <w:rFonts w:ascii="Times New Roman" w:eastAsia="Calibri" w:hAnsi="Times New Roman" w:cs="Times New Roman"/>
                <w:sz w:val="18"/>
                <w:szCs w:val="18"/>
              </w:rPr>
            </w:pPr>
          </w:p>
        </w:tc>
        <w:tc>
          <w:tcPr>
            <w:tcW w:w="4964" w:type="dxa"/>
            <w:tcBorders>
              <w:bottom w:val="dashed" w:sz="4" w:space="0" w:color="auto"/>
            </w:tcBorders>
          </w:tcPr>
          <w:p w14:paraId="686D3B46" w14:textId="77777777" w:rsidR="00CA62EB" w:rsidRPr="007E4C0D" w:rsidRDefault="00CA62EB" w:rsidP="00E15B73">
            <w:pPr>
              <w:jc w:val="center"/>
              <w:rPr>
                <w:rFonts w:ascii="Times New Roman" w:eastAsia="Times New Roman" w:hAnsi="Times New Roman" w:cs="Times New Roman"/>
                <w:b/>
                <w:sz w:val="18"/>
                <w:szCs w:val="18"/>
                <w:lang w:eastAsia="sq-AL"/>
              </w:rPr>
            </w:pPr>
          </w:p>
          <w:p w14:paraId="7BD4A1EC" w14:textId="50E7D1EC" w:rsidR="00E15B73" w:rsidRPr="007E4C0D" w:rsidRDefault="00E15B73" w:rsidP="00E15B73">
            <w:pPr>
              <w:jc w:val="center"/>
              <w:rPr>
                <w:rFonts w:ascii="Times New Roman" w:eastAsia="Times New Roman" w:hAnsi="Times New Roman" w:cs="Times New Roman"/>
                <w:b/>
                <w:sz w:val="18"/>
                <w:szCs w:val="18"/>
                <w:lang w:eastAsia="sq-AL"/>
              </w:rPr>
            </w:pPr>
            <w:r w:rsidRPr="007E4C0D">
              <w:rPr>
                <w:rFonts w:ascii="Times New Roman" w:eastAsia="Times New Roman" w:hAnsi="Times New Roman" w:cs="Times New Roman"/>
                <w:b/>
                <w:sz w:val="18"/>
                <w:szCs w:val="18"/>
                <w:lang w:eastAsia="sq-AL"/>
              </w:rPr>
              <w:t>Neni 15</w:t>
            </w:r>
          </w:p>
          <w:p w14:paraId="4F199833" w14:textId="77777777" w:rsidR="00352442" w:rsidRPr="007E4C0D" w:rsidRDefault="00E15B73" w:rsidP="00E15B73">
            <w:pPr>
              <w:jc w:val="center"/>
              <w:rPr>
                <w:rFonts w:ascii="Times New Roman" w:eastAsia="Times New Roman" w:hAnsi="Times New Roman" w:cs="Times New Roman"/>
                <w:b/>
                <w:sz w:val="18"/>
                <w:szCs w:val="18"/>
                <w:lang w:eastAsia="sq-AL"/>
              </w:rPr>
            </w:pPr>
            <w:r w:rsidRPr="007E4C0D">
              <w:rPr>
                <w:rFonts w:ascii="Times New Roman" w:eastAsia="Times New Roman" w:hAnsi="Times New Roman" w:cs="Times New Roman"/>
                <w:b/>
                <w:sz w:val="18"/>
                <w:szCs w:val="18"/>
                <w:lang w:eastAsia="sq-AL"/>
              </w:rPr>
              <w:t>Kontrollet, kërkesat për informacion dhe verifikimet</w:t>
            </w:r>
          </w:p>
          <w:p w14:paraId="03AE4DB5" w14:textId="77777777" w:rsidR="00CA62EB" w:rsidRPr="007E4C0D" w:rsidRDefault="00CA62EB" w:rsidP="00E15B73">
            <w:pPr>
              <w:jc w:val="center"/>
              <w:rPr>
                <w:rFonts w:ascii="Times New Roman" w:eastAsia="Times New Roman" w:hAnsi="Times New Roman" w:cs="Times New Roman"/>
                <w:b/>
                <w:sz w:val="18"/>
                <w:szCs w:val="18"/>
                <w:lang w:eastAsia="sq-AL"/>
              </w:rPr>
            </w:pPr>
          </w:p>
          <w:p w14:paraId="441E1512" w14:textId="56DE3CA1" w:rsidR="00E15B73" w:rsidRPr="007E4C0D" w:rsidRDefault="00CA62EB" w:rsidP="00E15B73">
            <w:pPr>
              <w:jc w:val="both"/>
              <w:rPr>
                <w:rFonts w:ascii="Times New Roman" w:eastAsia="Times New Roman" w:hAnsi="Times New Roman" w:cs="Times New Roman"/>
                <w:sz w:val="18"/>
                <w:szCs w:val="18"/>
                <w:lang w:eastAsia="sq-AL"/>
              </w:rPr>
            </w:pPr>
            <w:r w:rsidRPr="007E4C0D">
              <w:rPr>
                <w:rFonts w:ascii="Times New Roman" w:eastAsia="Times New Roman" w:hAnsi="Times New Roman" w:cs="Times New Roman"/>
                <w:sz w:val="18"/>
                <w:szCs w:val="18"/>
                <w:lang w:eastAsia="sq-AL"/>
              </w:rPr>
              <w:t>4.</w:t>
            </w:r>
            <w:r w:rsidRPr="007E4C0D">
              <w:rPr>
                <w:rFonts w:ascii="Times New Roman" w:eastAsia="Times New Roman" w:hAnsi="Times New Roman" w:cs="Times New Roman"/>
                <w:sz w:val="18"/>
                <w:szCs w:val="18"/>
                <w:lang w:eastAsia="sq-AL"/>
              </w:rPr>
              <w:tab/>
              <w:t>Kur kontrolli në Republikën e Shqipërisë tregon se TTIR-ja e depozituar ose e marrë përmes shkëmbimit automatik është e pasaktë, Drejtoria e Përgjithshme e Tatimeve kërkon korrigjimin e saj sipas rregullave të përcaktuara në vendimin e Këshillit të Ministrave që nxirret në zbatim të këtij ligji dhe, kur është e nevojshme, komunikon me autoritetet kompetente të shteteve të tjera anëtare nëpërmjet mekanizmave të shkëmbimit automatik të informacionit.</w:t>
            </w:r>
          </w:p>
          <w:p w14:paraId="69581E8F" w14:textId="77777777" w:rsidR="00CA62EB" w:rsidRPr="007E4C0D" w:rsidRDefault="00CA62EB" w:rsidP="00E15B73">
            <w:pPr>
              <w:jc w:val="both"/>
              <w:rPr>
                <w:rFonts w:ascii="Times New Roman" w:eastAsia="Times New Roman" w:hAnsi="Times New Roman" w:cs="Times New Roman"/>
                <w:sz w:val="18"/>
                <w:szCs w:val="18"/>
                <w:lang w:eastAsia="sq-AL"/>
              </w:rPr>
            </w:pPr>
          </w:p>
          <w:p w14:paraId="100700EA" w14:textId="77777777" w:rsidR="00E15B73" w:rsidRPr="007E4C0D" w:rsidRDefault="00E15B73" w:rsidP="00E15B73">
            <w:pPr>
              <w:jc w:val="center"/>
              <w:rPr>
                <w:rFonts w:ascii="Times New Roman" w:eastAsia="Times New Roman" w:hAnsi="Times New Roman" w:cs="Times New Roman"/>
                <w:b/>
                <w:sz w:val="18"/>
                <w:szCs w:val="18"/>
                <w:lang w:eastAsia="sq-AL"/>
              </w:rPr>
            </w:pPr>
            <w:r w:rsidRPr="007E4C0D">
              <w:rPr>
                <w:rFonts w:ascii="Times New Roman" w:eastAsia="Times New Roman" w:hAnsi="Times New Roman" w:cs="Times New Roman"/>
                <w:b/>
                <w:sz w:val="18"/>
                <w:szCs w:val="18"/>
                <w:lang w:eastAsia="sq-AL"/>
              </w:rPr>
              <w:t>Neni 6</w:t>
            </w:r>
          </w:p>
          <w:p w14:paraId="5E92A54A" w14:textId="77777777" w:rsidR="00E15B73" w:rsidRPr="007E4C0D" w:rsidRDefault="00E15B73" w:rsidP="00E15B73">
            <w:pPr>
              <w:jc w:val="center"/>
              <w:rPr>
                <w:rFonts w:ascii="Times New Roman" w:eastAsia="Times New Roman" w:hAnsi="Times New Roman" w:cs="Times New Roman"/>
                <w:b/>
                <w:sz w:val="18"/>
                <w:szCs w:val="18"/>
                <w:lang w:eastAsia="sq-AL"/>
              </w:rPr>
            </w:pPr>
            <w:r w:rsidRPr="007E4C0D">
              <w:rPr>
                <w:rFonts w:ascii="Times New Roman" w:eastAsia="Times New Roman" w:hAnsi="Times New Roman" w:cs="Times New Roman"/>
                <w:b/>
                <w:sz w:val="18"/>
                <w:szCs w:val="18"/>
                <w:lang w:eastAsia="sq-AL"/>
              </w:rPr>
              <w:t>Njoftimi paraprak për entitetin depozitues dhe juridiksionin e depozitimit</w:t>
            </w:r>
          </w:p>
          <w:p w14:paraId="24FB7381" w14:textId="77777777" w:rsidR="00E15B73" w:rsidRPr="007E4C0D" w:rsidRDefault="00E15B73" w:rsidP="00E15B73">
            <w:pPr>
              <w:jc w:val="center"/>
              <w:rPr>
                <w:rFonts w:ascii="Times New Roman" w:eastAsia="Times New Roman" w:hAnsi="Times New Roman" w:cs="Times New Roman"/>
                <w:sz w:val="18"/>
                <w:szCs w:val="18"/>
                <w:lang w:eastAsia="sq-AL"/>
              </w:rPr>
            </w:pPr>
          </w:p>
          <w:p w14:paraId="6785E743" w14:textId="72BD73E9" w:rsidR="00E15B73" w:rsidRPr="007E4C0D" w:rsidRDefault="00524A62" w:rsidP="00E15B73">
            <w:pPr>
              <w:spacing w:line="276" w:lineRule="auto"/>
              <w:jc w:val="both"/>
              <w:rPr>
                <w:rFonts w:ascii="Times New Roman" w:eastAsia="Times New Roman" w:hAnsi="Times New Roman" w:cs="Times New Roman"/>
                <w:sz w:val="18"/>
                <w:szCs w:val="18"/>
                <w:lang w:eastAsia="sq-AL"/>
              </w:rPr>
            </w:pPr>
            <w:r w:rsidRPr="007E4C0D">
              <w:rPr>
                <w:rFonts w:ascii="Times New Roman" w:eastAsia="Times New Roman" w:hAnsi="Times New Roman" w:cs="Times New Roman"/>
                <w:sz w:val="18"/>
                <w:szCs w:val="18"/>
                <w:lang w:eastAsia="sq-AL"/>
              </w:rPr>
              <w:t>3.</w:t>
            </w:r>
            <w:r w:rsidRPr="007E4C0D">
              <w:rPr>
                <w:rFonts w:ascii="Times New Roman" w:eastAsia="Times New Roman" w:hAnsi="Times New Roman" w:cs="Times New Roman"/>
                <w:sz w:val="18"/>
                <w:szCs w:val="18"/>
                <w:lang w:eastAsia="sq-AL"/>
              </w:rPr>
              <w:tab/>
              <w:t>Në rast të mosdepozitimit, depozitimit me vonesë ose depozitimit të një njoftimi të pasaktë, Drejtoria e Përgjithshme e Tatimeve mund të kërkojë korrigjimin ose plotësimin e tij brenda një afati të përcaktuar dhe të zbatojë masat administrative të parashikuara në këtë ligj dhe në legjislacionin për procedurat tatimore.</w:t>
            </w:r>
          </w:p>
        </w:tc>
        <w:tc>
          <w:tcPr>
            <w:tcW w:w="720" w:type="dxa"/>
            <w:tcBorders>
              <w:bottom w:val="dashed" w:sz="4" w:space="0" w:color="auto"/>
            </w:tcBorders>
          </w:tcPr>
          <w:p w14:paraId="7D2C704A" w14:textId="77777777" w:rsidR="007B1822" w:rsidRPr="007E4C0D" w:rsidRDefault="007B1822" w:rsidP="003C045B">
            <w:pPr>
              <w:jc w:val="center"/>
              <w:rPr>
                <w:rFonts w:ascii="Times New Roman" w:eastAsia="Calibri" w:hAnsi="Times New Roman" w:cs="Times New Roman"/>
                <w:sz w:val="18"/>
                <w:szCs w:val="18"/>
              </w:rPr>
            </w:pPr>
          </w:p>
          <w:p w14:paraId="1705D8EC" w14:textId="2F482126" w:rsidR="00352442"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Borders>
              <w:bottom w:val="dashed" w:sz="4" w:space="0" w:color="auto"/>
            </w:tcBorders>
          </w:tcPr>
          <w:p w14:paraId="565F9892" w14:textId="77777777" w:rsidR="00352442" w:rsidRPr="007E4C0D" w:rsidRDefault="00352442" w:rsidP="002826E4">
            <w:pPr>
              <w:rPr>
                <w:rFonts w:ascii="Times New Roman" w:eastAsia="Calibri" w:hAnsi="Times New Roman" w:cs="Times New Roman"/>
                <w:sz w:val="18"/>
                <w:szCs w:val="18"/>
              </w:rPr>
            </w:pPr>
          </w:p>
        </w:tc>
      </w:tr>
      <w:tr w:rsidR="003C045B" w:rsidRPr="007E4C0D" w14:paraId="71F4D229" w14:textId="77777777" w:rsidTr="00593EF8">
        <w:tc>
          <w:tcPr>
            <w:tcW w:w="630" w:type="dxa"/>
          </w:tcPr>
          <w:p w14:paraId="5E9580EC" w14:textId="38D2E61A" w:rsidR="003C045B" w:rsidRPr="007E4C0D" w:rsidRDefault="003C045B" w:rsidP="003C045B">
            <w:pPr>
              <w:jc w:val="both"/>
              <w:rPr>
                <w:rFonts w:ascii="Times New Roman" w:eastAsia="Calibri" w:hAnsi="Times New Roman" w:cs="Times New Roman"/>
                <w:sz w:val="18"/>
                <w:szCs w:val="18"/>
              </w:rPr>
            </w:pPr>
          </w:p>
        </w:tc>
        <w:tc>
          <w:tcPr>
            <w:tcW w:w="5310" w:type="dxa"/>
          </w:tcPr>
          <w:p w14:paraId="426F32D0" w14:textId="1523E3B8" w:rsidR="005B3B67" w:rsidRPr="007E4C0D" w:rsidRDefault="005B3B67" w:rsidP="005B3B67">
            <w:pPr>
              <w:pStyle w:val="Heading2"/>
              <w:spacing w:after="120" w:line="288" w:lineRule="atLeast"/>
              <w:jc w:val="both"/>
              <w:rPr>
                <w:rFonts w:ascii="Times New Roman" w:eastAsia="Calibri" w:hAnsi="Times New Roman" w:cs="Times New Roman"/>
                <w:iCs/>
                <w:color w:val="auto"/>
                <w:sz w:val="18"/>
                <w:szCs w:val="18"/>
              </w:rPr>
            </w:pPr>
            <w:r w:rsidRPr="007E4C0D">
              <w:rPr>
                <w:rFonts w:ascii="Times New Roman" w:eastAsia="Calibri" w:hAnsi="Times New Roman" w:cs="Times New Roman"/>
                <w:iCs/>
                <w:color w:val="auto"/>
                <w:sz w:val="18"/>
                <w:szCs w:val="18"/>
              </w:rPr>
              <w:t>(6) në nenin 18, paragrafi 4 zëvendësohet me tekstin e mëposhtëm:</w:t>
            </w:r>
          </w:p>
          <w:p w14:paraId="287FB5C7" w14:textId="3EFD1F24" w:rsidR="003C045B" w:rsidRPr="007E4C0D" w:rsidRDefault="005B3B67" w:rsidP="005B3B67">
            <w:pPr>
              <w:pStyle w:val="Heading2"/>
              <w:spacing w:after="120" w:line="288" w:lineRule="atLeast"/>
              <w:jc w:val="both"/>
              <w:rPr>
                <w:rFonts w:ascii="Times New Roman" w:eastAsia="Calibri" w:hAnsi="Times New Roman" w:cs="Times New Roman"/>
                <w:iCs/>
                <w:color w:val="auto"/>
                <w:sz w:val="18"/>
                <w:szCs w:val="18"/>
              </w:rPr>
            </w:pPr>
            <w:r w:rsidRPr="007E4C0D">
              <w:rPr>
                <w:rFonts w:ascii="Times New Roman" w:eastAsia="Calibri" w:hAnsi="Times New Roman" w:cs="Times New Roman"/>
                <w:iCs/>
                <w:color w:val="auto"/>
                <w:sz w:val="18"/>
                <w:szCs w:val="18"/>
              </w:rPr>
              <w:t>'4. Autoriteti kompetent i secilit Shtet Anëtar duhet të krijojë një mekanizëm efektiv për të siguruar përdorimin e informacionit të fituar nëpërmjet raportimit ose shkëmbimit të informacionit sipas neneve 8 deri në 8ae.'</w:t>
            </w:r>
          </w:p>
        </w:tc>
        <w:tc>
          <w:tcPr>
            <w:tcW w:w="540" w:type="dxa"/>
          </w:tcPr>
          <w:p w14:paraId="4801E7A0" w14:textId="1D4E9A6D" w:rsidR="003C045B" w:rsidRPr="007E4C0D" w:rsidRDefault="003C045B" w:rsidP="003C045B">
            <w:pPr>
              <w:jc w:val="center"/>
              <w:rPr>
                <w:rFonts w:ascii="Times New Roman" w:eastAsia="Calibri" w:hAnsi="Times New Roman" w:cs="Times New Roman"/>
                <w:sz w:val="18"/>
                <w:szCs w:val="18"/>
              </w:rPr>
            </w:pPr>
          </w:p>
        </w:tc>
        <w:tc>
          <w:tcPr>
            <w:tcW w:w="630" w:type="dxa"/>
          </w:tcPr>
          <w:p w14:paraId="6B5BB182" w14:textId="77777777" w:rsidR="0000140B" w:rsidRPr="007E4C0D" w:rsidRDefault="0000140B" w:rsidP="003C045B">
            <w:pPr>
              <w:jc w:val="center"/>
              <w:rPr>
                <w:rFonts w:ascii="Times New Roman" w:eastAsia="Calibri" w:hAnsi="Times New Roman" w:cs="Times New Roman"/>
                <w:sz w:val="18"/>
                <w:szCs w:val="18"/>
              </w:rPr>
            </w:pPr>
          </w:p>
          <w:p w14:paraId="6BB648EA" w14:textId="0E7DF4E7" w:rsidR="003C045B" w:rsidRPr="007E4C0D" w:rsidRDefault="003C045B" w:rsidP="007477A7">
            <w:pPr>
              <w:rPr>
                <w:rFonts w:ascii="Times New Roman" w:eastAsia="Calibri" w:hAnsi="Times New Roman" w:cs="Times New Roman"/>
                <w:sz w:val="18"/>
                <w:szCs w:val="18"/>
              </w:rPr>
            </w:pPr>
          </w:p>
        </w:tc>
        <w:tc>
          <w:tcPr>
            <w:tcW w:w="4964" w:type="dxa"/>
          </w:tcPr>
          <w:p w14:paraId="4AA853E7" w14:textId="77777777" w:rsidR="00E15B73" w:rsidRPr="007E4C0D" w:rsidRDefault="00E15B73" w:rsidP="00E15B73">
            <w:pPr>
              <w:spacing w:before="120" w:line="276" w:lineRule="auto"/>
              <w:jc w:val="center"/>
              <w:rPr>
                <w:rFonts w:ascii="Times New Roman" w:eastAsia="Times New Roman" w:hAnsi="Times New Roman" w:cs="Times New Roman"/>
                <w:b/>
                <w:sz w:val="18"/>
                <w:szCs w:val="18"/>
                <w:lang w:val="sq-AL" w:eastAsia="sq-AL"/>
              </w:rPr>
            </w:pPr>
            <w:r w:rsidRPr="007E4C0D">
              <w:rPr>
                <w:rFonts w:ascii="Times New Roman" w:eastAsia="Times New Roman" w:hAnsi="Times New Roman" w:cs="Times New Roman"/>
                <w:b/>
                <w:sz w:val="18"/>
                <w:szCs w:val="18"/>
                <w:lang w:val="sq-AL" w:eastAsia="sq-AL"/>
              </w:rPr>
              <w:t>Neni 13</w:t>
            </w:r>
          </w:p>
          <w:p w14:paraId="6F33554E" w14:textId="57402D1F" w:rsidR="003C045B" w:rsidRPr="007E4C0D" w:rsidRDefault="00E15B73" w:rsidP="00E15B73">
            <w:pPr>
              <w:spacing w:before="120" w:line="276" w:lineRule="auto"/>
              <w:jc w:val="center"/>
              <w:rPr>
                <w:rFonts w:ascii="Times New Roman" w:eastAsia="Times New Roman" w:hAnsi="Times New Roman" w:cs="Times New Roman"/>
                <w:b/>
                <w:sz w:val="18"/>
                <w:szCs w:val="18"/>
                <w:lang w:val="sq-AL" w:eastAsia="sq-AL"/>
              </w:rPr>
            </w:pPr>
            <w:r w:rsidRPr="007E4C0D">
              <w:rPr>
                <w:rFonts w:ascii="Times New Roman" w:eastAsia="Times New Roman" w:hAnsi="Times New Roman" w:cs="Times New Roman"/>
                <w:b/>
                <w:sz w:val="18"/>
                <w:szCs w:val="18"/>
                <w:lang w:val="sq-AL" w:eastAsia="sq-AL"/>
              </w:rPr>
              <w:t>Përdorimi i lejuar, konfidencialiteti dhe mbrojtja e të dhënave</w:t>
            </w:r>
          </w:p>
          <w:p w14:paraId="540FE9B5" w14:textId="6E1F53DD" w:rsidR="00E15B73" w:rsidRPr="007E4C0D" w:rsidRDefault="00A52380" w:rsidP="00E15B73">
            <w:pPr>
              <w:spacing w:before="120" w:line="276" w:lineRule="auto"/>
              <w:jc w:val="both"/>
              <w:rPr>
                <w:rFonts w:ascii="Times New Roman" w:eastAsia="Times New Roman" w:hAnsi="Times New Roman" w:cs="Times New Roman"/>
                <w:sz w:val="18"/>
                <w:szCs w:val="18"/>
                <w:lang w:val="sq-AL" w:eastAsia="sq-AL"/>
              </w:rPr>
            </w:pPr>
            <w:r w:rsidRPr="007E4C0D">
              <w:rPr>
                <w:rFonts w:ascii="Times New Roman" w:eastAsia="Times New Roman" w:hAnsi="Times New Roman" w:cs="Times New Roman"/>
                <w:sz w:val="18"/>
                <w:szCs w:val="18"/>
                <w:lang w:val="sq-AL" w:eastAsia="sq-AL"/>
              </w:rPr>
              <w:t>4.</w:t>
            </w:r>
            <w:r w:rsidRPr="007E4C0D">
              <w:rPr>
                <w:rFonts w:ascii="Times New Roman" w:eastAsia="Times New Roman" w:hAnsi="Times New Roman" w:cs="Times New Roman"/>
                <w:sz w:val="18"/>
                <w:szCs w:val="18"/>
                <w:lang w:val="sq-AL" w:eastAsia="sq-AL"/>
              </w:rPr>
              <w:tab/>
              <w:t>Administrata tatimore siguron mekanizma efektivë për përdorimin, analizimin dhe monitorimin e informacionit të marrë nëpërmjet deklarimit dhe shkëmbimit automatik të TTIR.</w:t>
            </w:r>
          </w:p>
          <w:p w14:paraId="7D756BBF" w14:textId="7423B8B8" w:rsidR="00905100" w:rsidRPr="007E4C0D" w:rsidRDefault="00905100" w:rsidP="00E336AC">
            <w:pPr>
              <w:spacing w:line="276" w:lineRule="auto"/>
              <w:ind w:left="720"/>
              <w:jc w:val="both"/>
              <w:rPr>
                <w:rFonts w:ascii="Times New Roman" w:eastAsia="Calibri" w:hAnsi="Times New Roman" w:cs="Times New Roman"/>
                <w:sz w:val="18"/>
                <w:szCs w:val="18"/>
              </w:rPr>
            </w:pPr>
          </w:p>
          <w:p w14:paraId="5C32E16F" w14:textId="77777777" w:rsidR="00E336AC" w:rsidRPr="007E4C0D" w:rsidRDefault="00E336AC" w:rsidP="00E336AC">
            <w:pPr>
              <w:spacing w:line="276" w:lineRule="auto"/>
              <w:ind w:left="720"/>
              <w:jc w:val="both"/>
              <w:rPr>
                <w:rFonts w:ascii="Times New Roman" w:eastAsia="Calibri" w:hAnsi="Times New Roman" w:cs="Times New Roman"/>
                <w:sz w:val="18"/>
                <w:szCs w:val="18"/>
              </w:rPr>
            </w:pPr>
          </w:p>
          <w:p w14:paraId="2C06A67A" w14:textId="77777777" w:rsidR="00E336AC" w:rsidRPr="007E4C0D" w:rsidRDefault="00E336AC" w:rsidP="00E336AC">
            <w:pPr>
              <w:spacing w:line="276" w:lineRule="auto"/>
              <w:ind w:left="720"/>
              <w:jc w:val="both"/>
              <w:rPr>
                <w:rFonts w:ascii="Times New Roman" w:eastAsia="Calibri" w:hAnsi="Times New Roman" w:cs="Times New Roman"/>
                <w:sz w:val="18"/>
                <w:szCs w:val="18"/>
              </w:rPr>
            </w:pPr>
          </w:p>
          <w:p w14:paraId="67996D8C" w14:textId="77777777" w:rsidR="00E336AC" w:rsidRPr="007E4C0D" w:rsidRDefault="00E336AC" w:rsidP="00E336AC">
            <w:pPr>
              <w:spacing w:line="276" w:lineRule="auto"/>
              <w:ind w:left="720"/>
              <w:jc w:val="both"/>
              <w:rPr>
                <w:rFonts w:ascii="Times New Roman" w:eastAsia="Calibri" w:hAnsi="Times New Roman" w:cs="Times New Roman"/>
                <w:sz w:val="18"/>
                <w:szCs w:val="18"/>
              </w:rPr>
            </w:pPr>
          </w:p>
          <w:p w14:paraId="70628973" w14:textId="77777777" w:rsidR="00E336AC" w:rsidRPr="007E4C0D" w:rsidRDefault="00E336AC" w:rsidP="00E336AC">
            <w:pPr>
              <w:spacing w:line="276" w:lineRule="auto"/>
              <w:ind w:left="720"/>
              <w:jc w:val="both"/>
              <w:rPr>
                <w:rFonts w:ascii="Times New Roman" w:eastAsia="Calibri" w:hAnsi="Times New Roman" w:cs="Times New Roman"/>
                <w:sz w:val="18"/>
                <w:szCs w:val="18"/>
              </w:rPr>
            </w:pPr>
          </w:p>
          <w:p w14:paraId="2316CA17" w14:textId="77777777" w:rsidR="00E336AC" w:rsidRPr="007E4C0D" w:rsidRDefault="00E336AC" w:rsidP="00905100">
            <w:pPr>
              <w:spacing w:line="276" w:lineRule="auto"/>
              <w:jc w:val="both"/>
              <w:rPr>
                <w:rFonts w:ascii="Times New Roman" w:eastAsia="Calibri" w:hAnsi="Times New Roman" w:cs="Times New Roman"/>
                <w:sz w:val="18"/>
                <w:szCs w:val="18"/>
              </w:rPr>
            </w:pPr>
          </w:p>
          <w:p w14:paraId="611E2320" w14:textId="06C7249F" w:rsidR="00E336AC" w:rsidRPr="007E4C0D" w:rsidRDefault="00E336AC" w:rsidP="00E336AC">
            <w:pPr>
              <w:spacing w:line="276" w:lineRule="auto"/>
              <w:jc w:val="both"/>
              <w:rPr>
                <w:rFonts w:ascii="Times New Roman" w:eastAsia="Calibri" w:hAnsi="Times New Roman" w:cs="Times New Roman"/>
                <w:sz w:val="18"/>
                <w:szCs w:val="18"/>
              </w:rPr>
            </w:pPr>
          </w:p>
        </w:tc>
        <w:tc>
          <w:tcPr>
            <w:tcW w:w="720" w:type="dxa"/>
          </w:tcPr>
          <w:p w14:paraId="7827BBA2" w14:textId="77777777" w:rsidR="007B1822" w:rsidRPr="007E4C0D" w:rsidRDefault="007B1822" w:rsidP="003C045B">
            <w:pPr>
              <w:jc w:val="center"/>
              <w:rPr>
                <w:rFonts w:ascii="Times New Roman" w:eastAsia="Calibri" w:hAnsi="Times New Roman" w:cs="Times New Roman"/>
                <w:sz w:val="18"/>
                <w:szCs w:val="18"/>
              </w:rPr>
            </w:pPr>
          </w:p>
          <w:p w14:paraId="5C366860" w14:textId="0E01DA7E" w:rsidR="003C045B"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Pr>
          <w:p w14:paraId="735C3D58" w14:textId="77777777" w:rsidR="00B167C6" w:rsidRPr="007E4C0D" w:rsidRDefault="00B167C6" w:rsidP="00B167C6">
            <w:pPr>
              <w:rPr>
                <w:rFonts w:ascii="Times New Roman" w:eastAsia="Calibri" w:hAnsi="Times New Roman" w:cs="Times New Roman"/>
                <w:sz w:val="18"/>
                <w:szCs w:val="18"/>
              </w:rPr>
            </w:pPr>
          </w:p>
          <w:p w14:paraId="2C4BC5ED" w14:textId="2CF84113" w:rsidR="003C045B" w:rsidRPr="007E4C0D" w:rsidRDefault="003C045B" w:rsidP="00B167C6">
            <w:pPr>
              <w:rPr>
                <w:rFonts w:ascii="Times New Roman" w:eastAsia="Calibri" w:hAnsi="Times New Roman" w:cs="Times New Roman"/>
                <w:sz w:val="18"/>
                <w:szCs w:val="18"/>
              </w:rPr>
            </w:pPr>
          </w:p>
        </w:tc>
      </w:tr>
      <w:tr w:rsidR="002511E0" w:rsidRPr="007E4C0D" w14:paraId="4AFFC5F4" w14:textId="77777777" w:rsidTr="00593EF8">
        <w:tc>
          <w:tcPr>
            <w:tcW w:w="630" w:type="dxa"/>
          </w:tcPr>
          <w:p w14:paraId="7986B8CE" w14:textId="77777777" w:rsidR="002511E0" w:rsidRPr="007E4C0D" w:rsidRDefault="002511E0" w:rsidP="003C045B">
            <w:pPr>
              <w:jc w:val="both"/>
              <w:rPr>
                <w:rFonts w:ascii="Times New Roman" w:eastAsia="Calibri" w:hAnsi="Times New Roman" w:cs="Times New Roman"/>
                <w:sz w:val="18"/>
                <w:szCs w:val="18"/>
              </w:rPr>
            </w:pPr>
          </w:p>
        </w:tc>
        <w:tc>
          <w:tcPr>
            <w:tcW w:w="5310" w:type="dxa"/>
          </w:tcPr>
          <w:p w14:paraId="752E4799" w14:textId="77777777" w:rsidR="005B3B67" w:rsidRPr="007E4C0D" w:rsidRDefault="005B3B67" w:rsidP="005B3B67">
            <w:pPr>
              <w:pStyle w:val="Heading2"/>
              <w:spacing w:after="120" w:line="288" w:lineRule="atLeast"/>
              <w:rPr>
                <w:rStyle w:val="legamendingtext"/>
                <w:rFonts w:ascii="Times New Roman" w:hAnsi="Times New Roman" w:cs="Times New Roman"/>
                <w:color w:val="000000"/>
                <w:sz w:val="18"/>
                <w:szCs w:val="18"/>
              </w:rPr>
            </w:pPr>
          </w:p>
          <w:p w14:paraId="7F9DFF49" w14:textId="2A834161" w:rsidR="005B3B67" w:rsidRPr="007E4C0D" w:rsidRDefault="005B3B67" w:rsidP="005B3B67">
            <w:pPr>
              <w:pStyle w:val="Heading2"/>
              <w:spacing w:after="120" w:line="288" w:lineRule="atLeast"/>
              <w:rPr>
                <w:rStyle w:val="legamendingtext"/>
                <w:rFonts w:ascii="Times New Roman" w:hAnsi="Times New Roman" w:cs="Times New Roman"/>
                <w:color w:val="000000"/>
                <w:sz w:val="18"/>
                <w:szCs w:val="18"/>
              </w:rPr>
            </w:pPr>
            <w:r w:rsidRPr="007E4C0D">
              <w:rPr>
                <w:rStyle w:val="legamendingtext"/>
                <w:rFonts w:ascii="Times New Roman" w:hAnsi="Times New Roman" w:cs="Times New Roman"/>
                <w:color w:val="000000"/>
                <w:sz w:val="18"/>
                <w:szCs w:val="18"/>
              </w:rPr>
              <w:t>(7) në nenin 20, paragrafi 4 zëvendësohet me tekstin e mëposhtëm:</w:t>
            </w:r>
          </w:p>
          <w:p w14:paraId="406CB47E" w14:textId="6B5790F2" w:rsidR="002511E0" w:rsidRPr="007E4C0D" w:rsidRDefault="005B3B67" w:rsidP="005B3B67">
            <w:pPr>
              <w:pStyle w:val="Heading2"/>
              <w:spacing w:after="120" w:line="288" w:lineRule="atLeast"/>
              <w:rPr>
                <w:rStyle w:val="legamendingtext"/>
                <w:rFonts w:ascii="Times New Roman" w:hAnsi="Times New Roman" w:cs="Times New Roman"/>
                <w:color w:val="000000"/>
                <w:sz w:val="18"/>
                <w:szCs w:val="18"/>
              </w:rPr>
            </w:pPr>
            <w:r w:rsidRPr="007E4C0D">
              <w:rPr>
                <w:rStyle w:val="legamendingtext"/>
                <w:rFonts w:ascii="Times New Roman" w:hAnsi="Times New Roman" w:cs="Times New Roman"/>
                <w:color w:val="000000"/>
                <w:sz w:val="18"/>
                <w:szCs w:val="18"/>
              </w:rPr>
              <w:t>'4. Shkëmbimi automatik i informacionit në përputhje me nenet 8, 8ac dhe 8ae kryhet duke përdorur një format standard të kompjuterizuar që synon lehtësimin e një shkëmbimi të tillë automatik, të miratuar nga Komisioni në përputhje me procedurën e përmendur në nenin 26(2).'</w:t>
            </w:r>
          </w:p>
        </w:tc>
        <w:tc>
          <w:tcPr>
            <w:tcW w:w="540" w:type="dxa"/>
          </w:tcPr>
          <w:p w14:paraId="255510C7" w14:textId="77777777" w:rsidR="002511E0" w:rsidRPr="007E4C0D" w:rsidRDefault="002511E0" w:rsidP="003C045B">
            <w:pPr>
              <w:jc w:val="center"/>
              <w:rPr>
                <w:rFonts w:ascii="Times New Roman" w:eastAsia="Calibri" w:hAnsi="Times New Roman" w:cs="Times New Roman"/>
                <w:sz w:val="18"/>
                <w:szCs w:val="18"/>
              </w:rPr>
            </w:pPr>
          </w:p>
        </w:tc>
        <w:tc>
          <w:tcPr>
            <w:tcW w:w="630" w:type="dxa"/>
          </w:tcPr>
          <w:p w14:paraId="4B717550" w14:textId="208CB83B" w:rsidR="002511E0" w:rsidRPr="007E4C0D" w:rsidRDefault="002511E0" w:rsidP="003C045B">
            <w:pPr>
              <w:jc w:val="center"/>
              <w:rPr>
                <w:rFonts w:ascii="Times New Roman" w:eastAsia="Calibri" w:hAnsi="Times New Roman" w:cs="Times New Roman"/>
                <w:sz w:val="18"/>
                <w:szCs w:val="18"/>
              </w:rPr>
            </w:pPr>
          </w:p>
        </w:tc>
        <w:tc>
          <w:tcPr>
            <w:tcW w:w="4964" w:type="dxa"/>
          </w:tcPr>
          <w:p w14:paraId="6BD69D3F" w14:textId="77777777" w:rsidR="00E15B73" w:rsidRPr="007E4C0D" w:rsidRDefault="00E15B73" w:rsidP="00E15B73">
            <w:pPr>
              <w:spacing w:before="120" w:line="276" w:lineRule="auto"/>
              <w:jc w:val="center"/>
              <w:rPr>
                <w:rFonts w:ascii="Times New Roman" w:eastAsia="Times New Roman" w:hAnsi="Times New Roman" w:cs="Times New Roman"/>
                <w:b/>
                <w:sz w:val="18"/>
                <w:szCs w:val="18"/>
                <w:lang w:val="sq-AL" w:eastAsia="sq-AL"/>
              </w:rPr>
            </w:pPr>
            <w:r w:rsidRPr="007E4C0D">
              <w:rPr>
                <w:rFonts w:ascii="Times New Roman" w:eastAsia="Times New Roman" w:hAnsi="Times New Roman" w:cs="Times New Roman"/>
                <w:b/>
                <w:sz w:val="18"/>
                <w:szCs w:val="18"/>
                <w:lang w:val="sq-AL" w:eastAsia="sq-AL"/>
              </w:rPr>
              <w:t>Neni 8</w:t>
            </w:r>
          </w:p>
          <w:p w14:paraId="235B5B25" w14:textId="77777777" w:rsidR="00E15B73" w:rsidRPr="007E4C0D" w:rsidRDefault="00E15B73" w:rsidP="00E15B73">
            <w:pPr>
              <w:spacing w:before="120" w:line="276" w:lineRule="auto"/>
              <w:jc w:val="center"/>
              <w:rPr>
                <w:rFonts w:ascii="Times New Roman" w:eastAsia="Times New Roman" w:hAnsi="Times New Roman" w:cs="Times New Roman"/>
                <w:b/>
                <w:sz w:val="18"/>
                <w:szCs w:val="18"/>
                <w:lang w:val="sq-AL" w:eastAsia="sq-AL"/>
              </w:rPr>
            </w:pPr>
            <w:r w:rsidRPr="007E4C0D">
              <w:rPr>
                <w:rFonts w:ascii="Times New Roman" w:eastAsia="Times New Roman" w:hAnsi="Times New Roman" w:cs="Times New Roman"/>
                <w:b/>
                <w:sz w:val="18"/>
                <w:szCs w:val="18"/>
                <w:lang w:val="sq-AL" w:eastAsia="sq-AL"/>
              </w:rPr>
              <w:t>Forma, gjuha, monedha dhe kanali i depozitimit</w:t>
            </w:r>
          </w:p>
          <w:p w14:paraId="7071A291" w14:textId="77777777" w:rsidR="0060159A" w:rsidRPr="007E4C0D" w:rsidRDefault="0060159A" w:rsidP="0060159A">
            <w:pPr>
              <w:spacing w:before="120" w:line="276" w:lineRule="auto"/>
              <w:jc w:val="both"/>
              <w:rPr>
                <w:rFonts w:ascii="Times New Roman" w:eastAsia="Times New Roman" w:hAnsi="Times New Roman" w:cs="Times New Roman"/>
                <w:sz w:val="18"/>
                <w:szCs w:val="18"/>
                <w:lang w:val="sq-AL" w:eastAsia="sq-AL"/>
              </w:rPr>
            </w:pPr>
            <w:r w:rsidRPr="007E4C0D">
              <w:rPr>
                <w:rFonts w:ascii="Times New Roman" w:eastAsia="Times New Roman" w:hAnsi="Times New Roman" w:cs="Times New Roman"/>
                <w:sz w:val="18"/>
                <w:szCs w:val="18"/>
                <w:lang w:val="sq-AL" w:eastAsia="sq-AL"/>
              </w:rPr>
              <w:t>1.</w:t>
            </w:r>
            <w:r w:rsidRPr="007E4C0D">
              <w:rPr>
                <w:rFonts w:ascii="Times New Roman" w:eastAsia="Times New Roman" w:hAnsi="Times New Roman" w:cs="Times New Roman"/>
                <w:sz w:val="18"/>
                <w:szCs w:val="18"/>
                <w:lang w:val="sq-AL" w:eastAsia="sq-AL"/>
              </w:rPr>
              <w:tab/>
              <w:t xml:space="preserve">TTIR depozitohet vetëm në formë elektronike, nëpërmjet sistemit elektronik të përdorur për këtë qëllim nga Drejtoria e Përgjithshme e Tatimeve. </w:t>
            </w:r>
          </w:p>
          <w:p w14:paraId="527679AE" w14:textId="77777777" w:rsidR="0060159A" w:rsidRPr="007E4C0D" w:rsidRDefault="0060159A" w:rsidP="0060159A">
            <w:pPr>
              <w:spacing w:before="120" w:line="276" w:lineRule="auto"/>
              <w:jc w:val="both"/>
              <w:rPr>
                <w:rFonts w:ascii="Times New Roman" w:eastAsia="Times New Roman" w:hAnsi="Times New Roman" w:cs="Times New Roman"/>
                <w:sz w:val="18"/>
                <w:szCs w:val="18"/>
                <w:lang w:val="sq-AL" w:eastAsia="sq-AL"/>
              </w:rPr>
            </w:pPr>
            <w:r w:rsidRPr="007E4C0D">
              <w:rPr>
                <w:rFonts w:ascii="Times New Roman" w:eastAsia="Times New Roman" w:hAnsi="Times New Roman" w:cs="Times New Roman"/>
                <w:sz w:val="18"/>
                <w:szCs w:val="18"/>
                <w:lang w:val="sq-AL" w:eastAsia="sq-AL"/>
              </w:rPr>
              <w:t>2.</w:t>
            </w:r>
            <w:r w:rsidRPr="007E4C0D">
              <w:rPr>
                <w:rFonts w:ascii="Times New Roman" w:eastAsia="Times New Roman" w:hAnsi="Times New Roman" w:cs="Times New Roman"/>
                <w:sz w:val="18"/>
                <w:szCs w:val="18"/>
                <w:lang w:val="sq-AL" w:eastAsia="sq-AL"/>
              </w:rPr>
              <w:tab/>
              <w:t xml:space="preserve">TTIR paraqitet në gjuhën shqipe. Elementet strukturore të të dhënave, përfshirë etiketat teknike, skemat XML, vlerat e kontrolluara, kodet e fushave, emërtimet e atributeve dhe çdo element tjetër teknik i kërkuar nga specifikimet dhe standardet teknike të Bashkimit Evropian, paraqiten në gjuhën angleze në masën e përcaktuar nga vendimi i Këshillit të Ministrave që nxirret në zbatim të këtij ligji dhe specifikimet përkatëse të Komisionit Evropian. </w:t>
            </w:r>
          </w:p>
          <w:p w14:paraId="2626DC5B" w14:textId="77777777" w:rsidR="0060159A" w:rsidRPr="007E4C0D" w:rsidRDefault="0060159A" w:rsidP="0060159A">
            <w:pPr>
              <w:spacing w:before="120" w:line="276" w:lineRule="auto"/>
              <w:jc w:val="both"/>
              <w:rPr>
                <w:rFonts w:ascii="Times New Roman" w:eastAsia="Times New Roman" w:hAnsi="Times New Roman" w:cs="Times New Roman"/>
                <w:sz w:val="18"/>
                <w:szCs w:val="18"/>
                <w:lang w:val="sq-AL" w:eastAsia="sq-AL"/>
              </w:rPr>
            </w:pPr>
            <w:r w:rsidRPr="007E4C0D">
              <w:rPr>
                <w:rFonts w:ascii="Times New Roman" w:eastAsia="Times New Roman" w:hAnsi="Times New Roman" w:cs="Times New Roman"/>
                <w:sz w:val="18"/>
                <w:szCs w:val="18"/>
                <w:lang w:val="sq-AL" w:eastAsia="sq-AL"/>
              </w:rPr>
              <w:t>3.</w:t>
            </w:r>
            <w:r w:rsidRPr="007E4C0D">
              <w:rPr>
                <w:rFonts w:ascii="Times New Roman" w:eastAsia="Times New Roman" w:hAnsi="Times New Roman" w:cs="Times New Roman"/>
                <w:sz w:val="18"/>
                <w:szCs w:val="18"/>
                <w:lang w:val="sq-AL" w:eastAsia="sq-AL"/>
              </w:rPr>
              <w:tab/>
              <w:t xml:space="preserve">Vlerat monetare raportohen në monedhën e përdorur në pasqyrat financiare të konsoliduara për përgatitjen e TTIR-së. Në rastet kur kërkohet konvertim, ai kryhet në përputhje me rregullat e përcaktuara në aktet zbatuese të Bashkimit Evropian dhe/ose standardet ndërkombëtare të referuara në to. </w:t>
            </w:r>
          </w:p>
          <w:p w14:paraId="5AAE61CA" w14:textId="3BE06839" w:rsidR="002511E0" w:rsidRPr="007E4C0D" w:rsidRDefault="0060159A" w:rsidP="0060159A">
            <w:pPr>
              <w:spacing w:before="120" w:line="276" w:lineRule="auto"/>
              <w:jc w:val="both"/>
              <w:rPr>
                <w:rFonts w:ascii="Times New Roman" w:eastAsia="Times New Roman" w:hAnsi="Times New Roman" w:cs="Times New Roman"/>
                <w:sz w:val="18"/>
                <w:szCs w:val="18"/>
                <w:lang w:val="sq-AL" w:eastAsia="sq-AL"/>
              </w:rPr>
            </w:pPr>
            <w:r w:rsidRPr="007E4C0D">
              <w:rPr>
                <w:rFonts w:ascii="Times New Roman" w:eastAsia="Times New Roman" w:hAnsi="Times New Roman" w:cs="Times New Roman"/>
                <w:sz w:val="18"/>
                <w:szCs w:val="18"/>
                <w:lang w:val="sq-AL" w:eastAsia="sq-AL"/>
              </w:rPr>
              <w:t>4.</w:t>
            </w:r>
            <w:r w:rsidRPr="007E4C0D">
              <w:rPr>
                <w:rFonts w:ascii="Times New Roman" w:eastAsia="Times New Roman" w:hAnsi="Times New Roman" w:cs="Times New Roman"/>
                <w:sz w:val="18"/>
                <w:szCs w:val="18"/>
                <w:lang w:val="sq-AL" w:eastAsia="sq-AL"/>
              </w:rPr>
              <w:tab/>
              <w:t>Në rast të mospërputhjes midis dispozitave të këtij ligji dhe specifikimeve teknike të formatit elektronik të miratuar në nivel të Bashkimit Evropian, përparësi kanë specifikimet teknike dhe formati elektronik i miratuar nga Bashkimi Evropian.</w:t>
            </w:r>
          </w:p>
        </w:tc>
        <w:tc>
          <w:tcPr>
            <w:tcW w:w="720" w:type="dxa"/>
          </w:tcPr>
          <w:p w14:paraId="3DE86B35" w14:textId="77777777" w:rsidR="007B1822" w:rsidRPr="007E4C0D" w:rsidRDefault="007B1822" w:rsidP="003C045B">
            <w:pPr>
              <w:jc w:val="center"/>
              <w:rPr>
                <w:rFonts w:ascii="Times New Roman" w:eastAsia="Calibri" w:hAnsi="Times New Roman" w:cs="Times New Roman"/>
                <w:sz w:val="18"/>
                <w:szCs w:val="18"/>
              </w:rPr>
            </w:pPr>
          </w:p>
          <w:p w14:paraId="6EEA7984" w14:textId="263E44F6" w:rsidR="002511E0"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Pr>
          <w:p w14:paraId="3444B5D0" w14:textId="1F0ECE21" w:rsidR="002511E0" w:rsidRPr="007E4C0D" w:rsidRDefault="002511E0" w:rsidP="00B167C6">
            <w:pPr>
              <w:rPr>
                <w:rFonts w:ascii="Times New Roman" w:eastAsia="Calibri" w:hAnsi="Times New Roman" w:cs="Times New Roman"/>
                <w:sz w:val="18"/>
                <w:szCs w:val="18"/>
              </w:rPr>
            </w:pPr>
          </w:p>
        </w:tc>
      </w:tr>
      <w:tr w:rsidR="003C045B" w:rsidRPr="007E4C0D" w14:paraId="12DBA1A2" w14:textId="77777777" w:rsidTr="00593EF8">
        <w:tc>
          <w:tcPr>
            <w:tcW w:w="630" w:type="dxa"/>
          </w:tcPr>
          <w:p w14:paraId="369979A3" w14:textId="79F430B9" w:rsidR="003C045B" w:rsidRPr="007E4C0D" w:rsidRDefault="003C045B" w:rsidP="003C045B">
            <w:pPr>
              <w:jc w:val="both"/>
              <w:rPr>
                <w:rFonts w:ascii="Times New Roman" w:eastAsia="Calibri" w:hAnsi="Times New Roman" w:cs="Times New Roman"/>
                <w:sz w:val="18"/>
                <w:szCs w:val="18"/>
              </w:rPr>
            </w:pPr>
          </w:p>
        </w:tc>
        <w:tc>
          <w:tcPr>
            <w:tcW w:w="5310" w:type="dxa"/>
          </w:tcPr>
          <w:p w14:paraId="3D27DD95" w14:textId="3CB698FC" w:rsidR="005B3B67" w:rsidRPr="007E4C0D" w:rsidRDefault="005B3B67" w:rsidP="005B3B67">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(8) në nenin 22, paragrafët 3 dhe 4 zëvendësohen me sa vijon:</w:t>
            </w:r>
          </w:p>
          <w:p w14:paraId="3D6C8368" w14:textId="77777777" w:rsidR="005B3B67" w:rsidRPr="007E4C0D" w:rsidRDefault="005B3B67" w:rsidP="005B3B67">
            <w:pPr>
              <w:jc w:val="both"/>
              <w:rPr>
                <w:rFonts w:ascii="Times New Roman" w:eastAsia="Calibri" w:hAnsi="Times New Roman" w:cs="Times New Roman"/>
                <w:iCs/>
                <w:sz w:val="18"/>
                <w:szCs w:val="18"/>
              </w:rPr>
            </w:pPr>
          </w:p>
          <w:p w14:paraId="06FA044D" w14:textId="77777777" w:rsidR="005B3B67" w:rsidRPr="007E4C0D" w:rsidRDefault="005B3B67" w:rsidP="005B3B67">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'3. Shtetet Anëtare duhet të ruajnë të dhënat e informacionit të marrë nëpërmjet shkëmbimit automatik të informacionit në përputhje me nenet 8 deri në 8ae për jo më shumë se sa është e nevojshme, por në çdo rast jo më pak se pesë vjet nga data e marrjes së tij për të arritur qëllimet e kësaj Direktive.</w:t>
            </w:r>
          </w:p>
          <w:p w14:paraId="4083B771" w14:textId="77777777" w:rsidR="005B3B67" w:rsidRPr="007E4C0D" w:rsidRDefault="005B3B67" w:rsidP="005B3B67">
            <w:pPr>
              <w:jc w:val="both"/>
              <w:rPr>
                <w:rFonts w:ascii="Times New Roman" w:eastAsia="Calibri" w:hAnsi="Times New Roman" w:cs="Times New Roman"/>
                <w:iCs/>
                <w:sz w:val="18"/>
                <w:szCs w:val="18"/>
              </w:rPr>
            </w:pPr>
          </w:p>
          <w:p w14:paraId="38DC41C0" w14:textId="1821501B" w:rsidR="003C045B" w:rsidRPr="007E4C0D" w:rsidRDefault="005B3B67" w:rsidP="005B3B67">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lastRenderedPageBreak/>
              <w:t>4. Shtetet Anëtare duhet të përpiqen të sigurojnë që një subjekt raportues të lejohet të marrë konfirmim me mjete elektronike të vlefshmërisë së informacionit në NIPT të çdo tatimpaguesi që i nënshtrohet shkëmbimit të informacionit sipas neneve 8 deri në 8ae. Konfirmimi i informacionit në NIPT mund të kërkohet vetëm për qëllime të validimit të saktësisë së të dhënave të përmendura në nenet 8(1), 8(3a), 8a(6), 8aa(3), 8ab(14), 8ac(2), 8ad(3) dhe 8ae(2).</w:t>
            </w:r>
          </w:p>
        </w:tc>
        <w:tc>
          <w:tcPr>
            <w:tcW w:w="540" w:type="dxa"/>
          </w:tcPr>
          <w:p w14:paraId="565A294E" w14:textId="77777777" w:rsidR="003C045B" w:rsidRPr="007E4C0D" w:rsidRDefault="003C045B" w:rsidP="003C045B">
            <w:pPr>
              <w:jc w:val="center"/>
              <w:rPr>
                <w:rFonts w:ascii="Times New Roman" w:eastAsia="Calibri" w:hAnsi="Times New Roman" w:cs="Times New Roman"/>
                <w:sz w:val="18"/>
                <w:szCs w:val="18"/>
              </w:rPr>
            </w:pPr>
          </w:p>
        </w:tc>
        <w:tc>
          <w:tcPr>
            <w:tcW w:w="630" w:type="dxa"/>
          </w:tcPr>
          <w:p w14:paraId="646F798E" w14:textId="16A09D85" w:rsidR="003C045B" w:rsidRPr="007E4C0D" w:rsidRDefault="003C045B" w:rsidP="003C045B">
            <w:pPr>
              <w:jc w:val="center"/>
              <w:rPr>
                <w:rFonts w:ascii="Times New Roman" w:eastAsia="Calibri" w:hAnsi="Times New Roman" w:cs="Times New Roman"/>
                <w:sz w:val="18"/>
                <w:szCs w:val="18"/>
              </w:rPr>
            </w:pPr>
          </w:p>
        </w:tc>
        <w:tc>
          <w:tcPr>
            <w:tcW w:w="4964" w:type="dxa"/>
          </w:tcPr>
          <w:p w14:paraId="52C4BCB8" w14:textId="2CE888E4" w:rsidR="0012611C" w:rsidRPr="007E4C0D" w:rsidRDefault="0012611C" w:rsidP="001B5FC5">
            <w:pPr>
              <w:spacing w:before="100" w:beforeAutospacing="1"/>
              <w:jc w:val="center"/>
              <w:rPr>
                <w:rFonts w:ascii="Times New Roman" w:hAnsi="Times New Roman" w:cs="Times New Roman"/>
                <w:b/>
                <w:sz w:val="18"/>
                <w:szCs w:val="18"/>
              </w:rPr>
            </w:pPr>
            <w:r w:rsidRPr="007E4C0D">
              <w:rPr>
                <w:rFonts w:ascii="Times New Roman" w:hAnsi="Times New Roman" w:cs="Times New Roman"/>
                <w:b/>
                <w:sz w:val="18"/>
                <w:szCs w:val="18"/>
              </w:rPr>
              <w:t>Neni 10</w:t>
            </w:r>
          </w:p>
          <w:p w14:paraId="1A88CBA1" w14:textId="77777777" w:rsidR="0012611C" w:rsidRPr="007E4C0D" w:rsidRDefault="0012611C" w:rsidP="0012611C">
            <w:pPr>
              <w:spacing w:after="100" w:afterAutospacing="1"/>
              <w:jc w:val="center"/>
              <w:rPr>
                <w:rFonts w:ascii="Times New Roman" w:hAnsi="Times New Roman" w:cs="Times New Roman"/>
                <w:b/>
                <w:sz w:val="18"/>
                <w:szCs w:val="18"/>
              </w:rPr>
            </w:pPr>
            <w:r w:rsidRPr="007E4C0D">
              <w:rPr>
                <w:rFonts w:ascii="Times New Roman" w:hAnsi="Times New Roman" w:cs="Times New Roman"/>
                <w:b/>
                <w:sz w:val="18"/>
                <w:szCs w:val="18"/>
              </w:rPr>
              <w:t xml:space="preserve">Shkëmbimi automatik i TTIR-së                                       </w:t>
            </w:r>
          </w:p>
          <w:p w14:paraId="295199A4" w14:textId="44747A58" w:rsidR="0012611C" w:rsidRPr="007E4C0D" w:rsidRDefault="001B5FC5" w:rsidP="001B5FC5">
            <w:pPr>
              <w:spacing w:after="100" w:afterAutospacing="1"/>
              <w:jc w:val="both"/>
              <w:rPr>
                <w:rFonts w:ascii="Times New Roman" w:hAnsi="Times New Roman" w:cs="Times New Roman"/>
                <w:sz w:val="18"/>
                <w:szCs w:val="18"/>
              </w:rPr>
            </w:pPr>
            <w:r w:rsidRPr="007E4C0D">
              <w:rPr>
                <w:rFonts w:ascii="Times New Roman" w:hAnsi="Times New Roman" w:cs="Times New Roman"/>
                <w:sz w:val="18"/>
                <w:szCs w:val="18"/>
              </w:rPr>
              <w:t>7.</w:t>
            </w:r>
            <w:r w:rsidRPr="007E4C0D">
              <w:rPr>
                <w:rFonts w:ascii="Times New Roman" w:hAnsi="Times New Roman" w:cs="Times New Roman"/>
                <w:sz w:val="18"/>
                <w:szCs w:val="18"/>
              </w:rPr>
              <w:tab/>
              <w:t xml:space="preserve">Drejtoria e Përgjithshme e Tatimeve ruan informacionin e marrë nëpërmjet deklarimit dhe shkëmbimit automatik të Deklaratës Informative të Tatimit Shtesë (TTIR) për aq kohë sa </w:t>
            </w:r>
            <w:r w:rsidRPr="007E4C0D">
              <w:rPr>
                <w:rFonts w:ascii="Times New Roman" w:hAnsi="Times New Roman" w:cs="Times New Roman"/>
                <w:sz w:val="18"/>
                <w:szCs w:val="18"/>
              </w:rPr>
              <w:lastRenderedPageBreak/>
              <w:t>është e nevojshme për qëllimet e këtij ligji dhe, në çdo rast, jo më pak se 5 (pesë) vjet nga data e marrjes së tij.</w:t>
            </w:r>
            <w:r w:rsidR="0012611C" w:rsidRPr="007E4C0D">
              <w:rPr>
                <w:rFonts w:ascii="Times New Roman" w:hAnsi="Times New Roman" w:cs="Times New Roman"/>
                <w:sz w:val="18"/>
                <w:szCs w:val="18"/>
              </w:rPr>
              <w:t xml:space="preserve">  </w:t>
            </w:r>
          </w:p>
          <w:p w14:paraId="22084B49" w14:textId="41B4E41F" w:rsidR="0012611C" w:rsidRPr="007E4C0D" w:rsidRDefault="0012611C" w:rsidP="0012611C">
            <w:pPr>
              <w:spacing w:after="100" w:afterAutospacing="1"/>
              <w:jc w:val="center"/>
              <w:rPr>
                <w:rFonts w:ascii="Times New Roman" w:hAnsi="Times New Roman" w:cs="Times New Roman"/>
                <w:b/>
                <w:sz w:val="18"/>
                <w:szCs w:val="18"/>
              </w:rPr>
            </w:pPr>
            <w:r w:rsidRPr="007E4C0D">
              <w:rPr>
                <w:rFonts w:ascii="Times New Roman" w:hAnsi="Times New Roman" w:cs="Times New Roman"/>
                <w:b/>
                <w:sz w:val="18"/>
                <w:szCs w:val="18"/>
              </w:rPr>
              <w:t>Neni 15</w:t>
            </w:r>
          </w:p>
          <w:p w14:paraId="5EF272B7" w14:textId="77777777" w:rsidR="00766BAF" w:rsidRPr="007E4C0D" w:rsidRDefault="0012611C" w:rsidP="0012611C">
            <w:pPr>
              <w:spacing w:after="100" w:afterAutospacing="1"/>
              <w:jc w:val="center"/>
              <w:rPr>
                <w:rFonts w:ascii="Times New Roman" w:hAnsi="Times New Roman" w:cs="Times New Roman"/>
                <w:b/>
                <w:sz w:val="18"/>
                <w:szCs w:val="18"/>
              </w:rPr>
            </w:pPr>
            <w:r w:rsidRPr="007E4C0D">
              <w:rPr>
                <w:rFonts w:ascii="Times New Roman" w:hAnsi="Times New Roman" w:cs="Times New Roman"/>
                <w:b/>
                <w:sz w:val="18"/>
                <w:szCs w:val="18"/>
              </w:rPr>
              <w:t>Kontrollet, kërkesat për informacion dhe verifikimet</w:t>
            </w:r>
          </w:p>
          <w:p w14:paraId="2397275C" w14:textId="0BF80947" w:rsidR="0012611C" w:rsidRPr="007E4C0D" w:rsidRDefault="0095646B" w:rsidP="0012611C">
            <w:pPr>
              <w:spacing w:after="100" w:afterAutospacing="1"/>
              <w:jc w:val="both"/>
              <w:rPr>
                <w:rFonts w:ascii="Times New Roman" w:hAnsi="Times New Roman" w:cs="Times New Roman"/>
                <w:sz w:val="18"/>
                <w:szCs w:val="18"/>
              </w:rPr>
            </w:pPr>
            <w:r w:rsidRPr="007E4C0D">
              <w:rPr>
                <w:rFonts w:ascii="Times New Roman" w:hAnsi="Times New Roman" w:cs="Times New Roman"/>
                <w:sz w:val="18"/>
                <w:szCs w:val="18"/>
              </w:rPr>
              <w:t>3.</w:t>
            </w:r>
            <w:r w:rsidRPr="007E4C0D">
              <w:rPr>
                <w:rFonts w:ascii="Times New Roman" w:hAnsi="Times New Roman" w:cs="Times New Roman"/>
                <w:sz w:val="18"/>
                <w:szCs w:val="18"/>
              </w:rPr>
              <w:tab/>
              <w:t>Entitetet raportuese, kur është e mundur, mund të verifikojnë nëpërmjet mjeteve elektronike vlefshmërinë e numrit të identifikimit tatimor (TIN) të tatimpaguesve, vetëm për qëllime të sigurimit të saktësisë së të dhënave të raportuara.</w:t>
            </w:r>
          </w:p>
        </w:tc>
        <w:tc>
          <w:tcPr>
            <w:tcW w:w="720" w:type="dxa"/>
          </w:tcPr>
          <w:p w14:paraId="78CDC80A" w14:textId="082EF0FD" w:rsidR="003C045B"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lastRenderedPageBreak/>
              <w:t>F</w:t>
            </w:r>
          </w:p>
        </w:tc>
        <w:tc>
          <w:tcPr>
            <w:tcW w:w="3406" w:type="dxa"/>
          </w:tcPr>
          <w:p w14:paraId="5D6C08E4" w14:textId="1EEF49BB" w:rsidR="00F82F30" w:rsidRPr="007E4C0D" w:rsidRDefault="00F82F30" w:rsidP="00F82F30">
            <w:pPr>
              <w:rPr>
                <w:rFonts w:ascii="Times New Roman" w:eastAsia="Calibri" w:hAnsi="Times New Roman" w:cs="Times New Roman"/>
                <w:sz w:val="18"/>
                <w:szCs w:val="18"/>
              </w:rPr>
            </w:pPr>
          </w:p>
          <w:p w14:paraId="09801CC0" w14:textId="0C949902" w:rsidR="003C045B" w:rsidRPr="007E4C0D" w:rsidRDefault="003C045B" w:rsidP="003C045B">
            <w:pPr>
              <w:rPr>
                <w:rFonts w:ascii="Times New Roman" w:eastAsia="Calibri" w:hAnsi="Times New Roman" w:cs="Times New Roman"/>
                <w:sz w:val="18"/>
                <w:szCs w:val="18"/>
              </w:rPr>
            </w:pPr>
          </w:p>
        </w:tc>
      </w:tr>
      <w:tr w:rsidR="003C045B" w:rsidRPr="007E4C0D" w14:paraId="0A280824" w14:textId="77777777" w:rsidTr="00593EF8">
        <w:tc>
          <w:tcPr>
            <w:tcW w:w="630" w:type="dxa"/>
          </w:tcPr>
          <w:p w14:paraId="4CC1BC67" w14:textId="654A2C67" w:rsidR="003C045B" w:rsidRPr="007E4C0D" w:rsidRDefault="003C045B" w:rsidP="003C045B">
            <w:pPr>
              <w:jc w:val="both"/>
              <w:rPr>
                <w:rFonts w:ascii="Times New Roman" w:eastAsia="Calibri" w:hAnsi="Times New Roman" w:cs="Times New Roman"/>
                <w:sz w:val="18"/>
                <w:szCs w:val="18"/>
              </w:rPr>
            </w:pPr>
          </w:p>
        </w:tc>
        <w:tc>
          <w:tcPr>
            <w:tcW w:w="5310" w:type="dxa"/>
          </w:tcPr>
          <w:p w14:paraId="539CECA5" w14:textId="77777777" w:rsidR="006340E5" w:rsidRPr="007E4C0D" w:rsidRDefault="006340E5" w:rsidP="006340E5">
            <w:pPr>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Neni 25a</w:t>
            </w:r>
          </w:p>
          <w:p w14:paraId="462F5673" w14:textId="77777777" w:rsidR="006340E5" w:rsidRPr="007E4C0D" w:rsidRDefault="006340E5" w:rsidP="006340E5">
            <w:pPr>
              <w:jc w:val="center"/>
              <w:rPr>
                <w:rFonts w:ascii="Times New Roman" w:eastAsia="Calibri" w:hAnsi="Times New Roman" w:cs="Times New Roman"/>
                <w:b/>
                <w:iCs/>
                <w:sz w:val="18"/>
                <w:szCs w:val="18"/>
              </w:rPr>
            </w:pPr>
          </w:p>
          <w:p w14:paraId="211451D2" w14:textId="77777777" w:rsidR="006340E5" w:rsidRPr="007E4C0D" w:rsidRDefault="006340E5" w:rsidP="006340E5">
            <w:pPr>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Penalitete</w:t>
            </w:r>
          </w:p>
          <w:p w14:paraId="2393A92D" w14:textId="77777777" w:rsidR="006340E5" w:rsidRPr="007E4C0D" w:rsidRDefault="006340E5" w:rsidP="006340E5">
            <w:pPr>
              <w:jc w:val="both"/>
              <w:rPr>
                <w:rFonts w:ascii="Times New Roman" w:eastAsia="Calibri" w:hAnsi="Times New Roman" w:cs="Times New Roman"/>
                <w:iCs/>
                <w:sz w:val="18"/>
                <w:szCs w:val="18"/>
              </w:rPr>
            </w:pPr>
          </w:p>
          <w:p w14:paraId="3F658A9F" w14:textId="72CDEC8D" w:rsidR="003C045B" w:rsidRPr="007E4C0D" w:rsidRDefault="006340E5" w:rsidP="006340E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Shtetet Anëtare përcaktojnë rregullat mbi sanksionet e zbatueshme për shkeljet e dispozitave kombëtare të miratuara në përputhje me këtë Direktivë dhe në lidhje me Nenet 8aa deri në 8ae dhe marrin të gjitha masat e nevojshme për të siguruar që ato të zbatohen. Sanksionet e parashikuara duhet të jenë efektive, proporcionale dhe dekurajuese.</w:t>
            </w:r>
          </w:p>
        </w:tc>
        <w:tc>
          <w:tcPr>
            <w:tcW w:w="540" w:type="dxa"/>
          </w:tcPr>
          <w:p w14:paraId="68B1A8F1" w14:textId="6488B5E5" w:rsidR="003C045B" w:rsidRPr="007E4C0D" w:rsidRDefault="003C045B" w:rsidP="003C045B">
            <w:pPr>
              <w:jc w:val="center"/>
              <w:rPr>
                <w:rFonts w:ascii="Times New Roman" w:eastAsia="Calibri" w:hAnsi="Times New Roman" w:cs="Times New Roman"/>
                <w:sz w:val="18"/>
                <w:szCs w:val="18"/>
              </w:rPr>
            </w:pPr>
          </w:p>
        </w:tc>
        <w:tc>
          <w:tcPr>
            <w:tcW w:w="630" w:type="dxa"/>
          </w:tcPr>
          <w:p w14:paraId="1804EDCC" w14:textId="77777777" w:rsidR="0000140B" w:rsidRPr="007E4C0D" w:rsidRDefault="0000140B" w:rsidP="003C045B">
            <w:pPr>
              <w:jc w:val="center"/>
              <w:rPr>
                <w:rFonts w:ascii="Times New Roman" w:eastAsia="Calibri" w:hAnsi="Times New Roman" w:cs="Times New Roman"/>
                <w:sz w:val="18"/>
                <w:szCs w:val="18"/>
              </w:rPr>
            </w:pPr>
          </w:p>
          <w:p w14:paraId="129A8AC4" w14:textId="32E5CA87" w:rsidR="003C045B" w:rsidRPr="007E4C0D" w:rsidRDefault="003C045B" w:rsidP="003C045B">
            <w:pPr>
              <w:jc w:val="center"/>
              <w:rPr>
                <w:rFonts w:ascii="Times New Roman" w:eastAsia="Calibri" w:hAnsi="Times New Roman" w:cs="Times New Roman"/>
                <w:sz w:val="18"/>
                <w:szCs w:val="18"/>
              </w:rPr>
            </w:pPr>
          </w:p>
        </w:tc>
        <w:tc>
          <w:tcPr>
            <w:tcW w:w="4964" w:type="dxa"/>
          </w:tcPr>
          <w:p w14:paraId="2C479D53" w14:textId="77777777" w:rsidR="0012611C" w:rsidRPr="007E4C0D" w:rsidRDefault="0012611C" w:rsidP="0012611C">
            <w:pPr>
              <w:jc w:val="center"/>
              <w:rPr>
                <w:rFonts w:ascii="Times New Roman" w:eastAsia="Calibri" w:hAnsi="Times New Roman" w:cs="Times New Roman"/>
                <w:b/>
                <w:sz w:val="18"/>
                <w:szCs w:val="18"/>
                <w:lang w:val="sq-AL"/>
              </w:rPr>
            </w:pPr>
            <w:r w:rsidRPr="007E4C0D">
              <w:rPr>
                <w:rFonts w:ascii="Times New Roman" w:eastAsia="Calibri" w:hAnsi="Times New Roman" w:cs="Times New Roman"/>
                <w:b/>
                <w:sz w:val="18"/>
                <w:szCs w:val="18"/>
                <w:lang w:val="sq-AL"/>
              </w:rPr>
              <w:t>Neni 16</w:t>
            </w:r>
          </w:p>
          <w:p w14:paraId="526B55FD" w14:textId="77777777" w:rsidR="0012611C" w:rsidRPr="007E4C0D" w:rsidRDefault="0012611C" w:rsidP="0012611C">
            <w:pPr>
              <w:jc w:val="center"/>
              <w:rPr>
                <w:rFonts w:ascii="Times New Roman" w:eastAsia="Calibri" w:hAnsi="Times New Roman" w:cs="Times New Roman"/>
                <w:b/>
                <w:sz w:val="18"/>
                <w:szCs w:val="18"/>
                <w:lang w:val="sq-AL"/>
              </w:rPr>
            </w:pPr>
            <w:r w:rsidRPr="007E4C0D">
              <w:rPr>
                <w:rFonts w:ascii="Times New Roman" w:eastAsia="Calibri" w:hAnsi="Times New Roman" w:cs="Times New Roman"/>
                <w:b/>
                <w:sz w:val="18"/>
                <w:szCs w:val="18"/>
                <w:lang w:val="sq-AL"/>
              </w:rPr>
              <w:t>Sanksionet administrative</w:t>
            </w:r>
          </w:p>
          <w:p w14:paraId="07A11078" w14:textId="77777777" w:rsidR="006D7FE4" w:rsidRPr="007E4C0D" w:rsidRDefault="006D7FE4" w:rsidP="006D7FE4">
            <w:pPr>
              <w:spacing w:line="276" w:lineRule="auto"/>
              <w:jc w:val="both"/>
              <w:rPr>
                <w:rFonts w:ascii="Times New Roman" w:eastAsia="Calibri" w:hAnsi="Times New Roman" w:cs="Times New Roman"/>
                <w:sz w:val="18"/>
                <w:szCs w:val="18"/>
                <w:lang w:val="sq-AL"/>
              </w:rPr>
            </w:pPr>
            <w:r w:rsidRPr="007E4C0D">
              <w:rPr>
                <w:rFonts w:ascii="Times New Roman" w:eastAsia="Calibri" w:hAnsi="Times New Roman" w:cs="Times New Roman"/>
                <w:sz w:val="18"/>
                <w:szCs w:val="18"/>
                <w:lang w:val="sq-AL"/>
              </w:rPr>
              <w:t>1.</w:t>
            </w:r>
            <w:r w:rsidRPr="007E4C0D">
              <w:rPr>
                <w:rFonts w:ascii="Times New Roman" w:eastAsia="Calibri" w:hAnsi="Times New Roman" w:cs="Times New Roman"/>
                <w:sz w:val="18"/>
                <w:szCs w:val="18"/>
                <w:lang w:val="sq-AL"/>
              </w:rPr>
              <w:tab/>
              <w:t>Shkeljet e detyrimeve të parashikuara në këtë ligj përbëjnë kundërvajtje administrative dhe sanksionohen sipas legjislacionit në fuqi për procedurat tatimore dhe Ligjit “Për sigurimin e një niveli minimal global të tatimit për grupet e shoqërive shumëkombëshe dhe grupet e mëdha vendase”, për aq sa janë të zbatueshme.</w:t>
            </w:r>
          </w:p>
          <w:p w14:paraId="4901709C" w14:textId="77777777" w:rsidR="006D7FE4" w:rsidRPr="007E4C0D" w:rsidRDefault="006D7FE4" w:rsidP="006D7FE4">
            <w:pPr>
              <w:spacing w:line="276" w:lineRule="auto"/>
              <w:jc w:val="both"/>
              <w:rPr>
                <w:rFonts w:ascii="Times New Roman" w:eastAsia="Calibri" w:hAnsi="Times New Roman" w:cs="Times New Roman"/>
                <w:sz w:val="18"/>
                <w:szCs w:val="18"/>
                <w:lang w:val="sq-AL"/>
              </w:rPr>
            </w:pPr>
            <w:r w:rsidRPr="007E4C0D">
              <w:rPr>
                <w:rFonts w:ascii="Times New Roman" w:eastAsia="Calibri" w:hAnsi="Times New Roman" w:cs="Times New Roman"/>
                <w:sz w:val="18"/>
                <w:szCs w:val="18"/>
                <w:lang w:val="sq-AL"/>
              </w:rPr>
              <w:t>2.</w:t>
            </w:r>
            <w:r w:rsidRPr="007E4C0D">
              <w:rPr>
                <w:rFonts w:ascii="Times New Roman" w:eastAsia="Calibri" w:hAnsi="Times New Roman" w:cs="Times New Roman"/>
                <w:sz w:val="18"/>
                <w:szCs w:val="18"/>
                <w:lang w:val="sq-AL"/>
              </w:rPr>
              <w:tab/>
              <w:t>Procedura e konstatimit, shqyrtimit, vendosjes dhe ekzekutimit të sanksioneve kryhet sipas legjislacionit për procedurat tatimore.</w:t>
            </w:r>
          </w:p>
          <w:p w14:paraId="5AA6CCE5" w14:textId="5749E02B" w:rsidR="003C045B" w:rsidRPr="007E4C0D" w:rsidRDefault="006D7FE4" w:rsidP="006D7FE4">
            <w:pPr>
              <w:spacing w:line="276" w:lineRule="auto"/>
              <w:jc w:val="both"/>
              <w:rPr>
                <w:rFonts w:ascii="Times New Roman" w:eastAsia="Calibri" w:hAnsi="Times New Roman" w:cs="Times New Roman"/>
                <w:sz w:val="18"/>
                <w:szCs w:val="18"/>
                <w:lang w:val="sq-AL"/>
              </w:rPr>
            </w:pPr>
            <w:r w:rsidRPr="007E4C0D">
              <w:rPr>
                <w:rFonts w:ascii="Times New Roman" w:eastAsia="Calibri" w:hAnsi="Times New Roman" w:cs="Times New Roman"/>
                <w:sz w:val="18"/>
                <w:szCs w:val="18"/>
                <w:lang w:val="sq-AL"/>
              </w:rPr>
              <w:t>3.</w:t>
            </w:r>
            <w:r w:rsidRPr="007E4C0D">
              <w:rPr>
                <w:rFonts w:ascii="Times New Roman" w:eastAsia="Calibri" w:hAnsi="Times New Roman" w:cs="Times New Roman"/>
                <w:sz w:val="18"/>
                <w:szCs w:val="18"/>
                <w:lang w:val="sq-AL"/>
              </w:rPr>
              <w:tab/>
              <w:t>Kur e njëjta mospërmbushje përbën njëkohësisht shkelje sipas këtij ligji dhe sipas Ligjit për Tatimin Minimal Global, nuk vendosen dy masa administrative për të njëjtin fakt; zbatohet vetëm dispozita më e posaçme ose, kur kjo nuk është e qartë, dispozita që sanksionon drejtpërdrejt detyrimin kryesor të cënuar.</w:t>
            </w:r>
          </w:p>
        </w:tc>
        <w:tc>
          <w:tcPr>
            <w:tcW w:w="720" w:type="dxa"/>
          </w:tcPr>
          <w:p w14:paraId="4C0F418F" w14:textId="37795417" w:rsidR="003C045B" w:rsidRPr="007E4C0D" w:rsidRDefault="00012FF0"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699D7EC" w14:textId="77777777" w:rsidR="00CE6B7A" w:rsidRPr="007E4C0D" w:rsidRDefault="00CE6B7A" w:rsidP="00CE6B7A">
            <w:pPr>
              <w:rPr>
                <w:rFonts w:ascii="Times New Roman" w:eastAsia="Calibri" w:hAnsi="Times New Roman" w:cs="Times New Roman"/>
                <w:sz w:val="18"/>
                <w:szCs w:val="18"/>
              </w:rPr>
            </w:pPr>
          </w:p>
          <w:p w14:paraId="0052F906" w14:textId="04F93D2C" w:rsidR="003C045B" w:rsidRPr="007E4C0D" w:rsidRDefault="003C045B" w:rsidP="00F82F30">
            <w:pPr>
              <w:rPr>
                <w:rFonts w:ascii="Times New Roman" w:eastAsia="Calibri" w:hAnsi="Times New Roman" w:cs="Times New Roman"/>
                <w:sz w:val="18"/>
                <w:szCs w:val="18"/>
              </w:rPr>
            </w:pPr>
          </w:p>
        </w:tc>
      </w:tr>
      <w:tr w:rsidR="003015B5" w:rsidRPr="007E4C0D" w14:paraId="36E10767" w14:textId="77777777" w:rsidTr="00593EF8">
        <w:tc>
          <w:tcPr>
            <w:tcW w:w="630" w:type="dxa"/>
          </w:tcPr>
          <w:p w14:paraId="41F414A5" w14:textId="77777777" w:rsidR="003015B5" w:rsidRPr="007E4C0D" w:rsidRDefault="003015B5" w:rsidP="003C045B">
            <w:pPr>
              <w:jc w:val="both"/>
              <w:rPr>
                <w:rFonts w:ascii="Times New Roman" w:eastAsia="Calibri" w:hAnsi="Times New Roman" w:cs="Times New Roman"/>
                <w:sz w:val="18"/>
                <w:szCs w:val="18"/>
              </w:rPr>
            </w:pPr>
          </w:p>
        </w:tc>
        <w:tc>
          <w:tcPr>
            <w:tcW w:w="5310" w:type="dxa"/>
          </w:tcPr>
          <w:p w14:paraId="2743A0F3" w14:textId="77777777" w:rsidR="003015B5" w:rsidRPr="007E4C0D" w:rsidRDefault="003015B5" w:rsidP="003015B5">
            <w:pPr>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Neni 27d</w:t>
            </w:r>
          </w:p>
          <w:p w14:paraId="68825547" w14:textId="77777777" w:rsidR="003015B5" w:rsidRPr="007E4C0D" w:rsidRDefault="003015B5" w:rsidP="003015B5">
            <w:pPr>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Viti i parë fiskal raportues dhe komunikimi i informacionit sipas nenit 8ae për herë të parë</w:t>
            </w:r>
          </w:p>
          <w:p w14:paraId="6B0E7E2D" w14:textId="77777777" w:rsidR="003015B5" w:rsidRPr="007E4C0D" w:rsidRDefault="003015B5" w:rsidP="003015B5">
            <w:pPr>
              <w:jc w:val="center"/>
              <w:rPr>
                <w:rFonts w:ascii="Times New Roman" w:eastAsia="Calibri" w:hAnsi="Times New Roman" w:cs="Times New Roman"/>
                <w:b/>
                <w:iCs/>
                <w:sz w:val="18"/>
                <w:szCs w:val="18"/>
              </w:rPr>
            </w:pPr>
          </w:p>
          <w:p w14:paraId="260B6814" w14:textId="77777777" w:rsidR="003015B5" w:rsidRPr="007E4C0D" w:rsidRDefault="003015B5" w:rsidP="003015B5">
            <w:pPr>
              <w:jc w:val="both"/>
              <w:rPr>
                <w:rFonts w:ascii="Times New Roman" w:eastAsia="Calibri" w:hAnsi="Times New Roman" w:cs="Times New Roman"/>
                <w:iCs/>
                <w:sz w:val="18"/>
                <w:szCs w:val="18"/>
              </w:rPr>
            </w:pPr>
          </w:p>
          <w:p w14:paraId="1EA4981E" w14:textId="42706C73" w:rsidR="003015B5" w:rsidRPr="007E4C0D" w:rsidRDefault="00C65F34" w:rsidP="003015B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1.</w:t>
            </w:r>
            <w:r w:rsidR="003015B5" w:rsidRPr="007E4C0D">
              <w:rPr>
                <w:rFonts w:ascii="Times New Roman" w:eastAsia="Calibri" w:hAnsi="Times New Roman" w:cs="Times New Roman"/>
                <w:iCs/>
                <w:sz w:val="18"/>
                <w:szCs w:val="18"/>
              </w:rPr>
              <w:t>Viti i parë fiskal raportues për të cilin duhet të komunikohet informacioni sipas nenit 8ae është viti i parë fiskal që fillon nga data 31 dhjetor 2023 e në vijim.</w:t>
            </w:r>
          </w:p>
          <w:p w14:paraId="2B6C6A00" w14:textId="77777777" w:rsidR="003015B5" w:rsidRPr="007E4C0D" w:rsidRDefault="003015B5" w:rsidP="003015B5">
            <w:pPr>
              <w:jc w:val="both"/>
              <w:rPr>
                <w:rFonts w:ascii="Times New Roman" w:eastAsia="Calibri" w:hAnsi="Times New Roman" w:cs="Times New Roman"/>
                <w:iCs/>
                <w:sz w:val="18"/>
                <w:szCs w:val="18"/>
              </w:rPr>
            </w:pPr>
          </w:p>
          <w:p w14:paraId="792B5731" w14:textId="77777777" w:rsidR="003015B5" w:rsidRPr="007E4C0D" w:rsidRDefault="003015B5" w:rsidP="003015B5">
            <w:pPr>
              <w:jc w:val="both"/>
              <w:rPr>
                <w:rFonts w:ascii="Times New Roman" w:eastAsia="Calibri" w:hAnsi="Times New Roman" w:cs="Times New Roman"/>
                <w:iCs/>
                <w:sz w:val="18"/>
                <w:szCs w:val="18"/>
              </w:rPr>
            </w:pPr>
          </w:p>
          <w:p w14:paraId="0EBCE0CD" w14:textId="2B619E5D" w:rsidR="003015B5" w:rsidRPr="007E4C0D" w:rsidRDefault="00C65F34" w:rsidP="003015B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2.</w:t>
            </w:r>
            <w:r w:rsidR="003015B5" w:rsidRPr="007E4C0D">
              <w:rPr>
                <w:rFonts w:ascii="Times New Roman" w:eastAsia="Calibri" w:hAnsi="Times New Roman" w:cs="Times New Roman"/>
                <w:iCs/>
                <w:sz w:val="18"/>
                <w:szCs w:val="18"/>
              </w:rPr>
              <w:t>Për Shtetet Anëtare që kanë zgjedhur të mos zbatojnë IIR dhe UTPR në përputhje me nenin 50, pika 1, të Direktivës (BE) 2022/2523, viti i parë fiskal raportues për të cilin do të komunikohet informacioni sipas nenit 8ae është viti i parë fiskal pas përfundimit të kësaj zgjedhjeje.</w:t>
            </w:r>
          </w:p>
          <w:p w14:paraId="7F08BE75" w14:textId="77777777" w:rsidR="003015B5" w:rsidRPr="007E4C0D" w:rsidRDefault="003015B5" w:rsidP="003015B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Pavarësisht nënparagrafit të parë të kësaj pike, për Shtetet Anëtare që kanë zgjedhur të mos zbatojnë IIR dhe UTPR sipas nenit 50, pika 1, të Direktivës (BE) 2022/2523 dhe që kanë zgjedhur të zbatojnë një taksë shtesë vendase të kualifikuar në përputhje me nenin 11, pika 1, të asaj direktive, viti i parë fiskal raportues për të cilin do të komunikohet informacioni sipas nenit 8ae është viti fiskal gjatë të cilit aplikohet kjo taksë shtesë vendase e kualifikuar.</w:t>
            </w:r>
          </w:p>
          <w:p w14:paraId="0D7F923B" w14:textId="77777777" w:rsidR="003015B5" w:rsidRPr="007E4C0D" w:rsidRDefault="003015B5" w:rsidP="003015B5">
            <w:pPr>
              <w:jc w:val="center"/>
              <w:rPr>
                <w:rFonts w:ascii="Times New Roman" w:eastAsia="Calibri" w:hAnsi="Times New Roman" w:cs="Times New Roman"/>
                <w:b/>
                <w:iCs/>
                <w:sz w:val="18"/>
                <w:szCs w:val="18"/>
              </w:rPr>
            </w:pPr>
          </w:p>
          <w:p w14:paraId="7219A17F" w14:textId="77777777" w:rsidR="003015B5" w:rsidRPr="007E4C0D" w:rsidRDefault="003015B5" w:rsidP="003015B5">
            <w:pPr>
              <w:jc w:val="center"/>
              <w:rPr>
                <w:rFonts w:ascii="Times New Roman" w:eastAsia="Calibri" w:hAnsi="Times New Roman" w:cs="Times New Roman"/>
                <w:b/>
                <w:iCs/>
                <w:sz w:val="18"/>
                <w:szCs w:val="18"/>
              </w:rPr>
            </w:pPr>
          </w:p>
          <w:p w14:paraId="5C556A97" w14:textId="6EB6792D" w:rsidR="003015B5" w:rsidRPr="007E4C0D" w:rsidRDefault="00C65F34" w:rsidP="003015B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3.</w:t>
            </w:r>
            <w:r w:rsidR="003015B5" w:rsidRPr="007E4C0D">
              <w:rPr>
                <w:rFonts w:ascii="Times New Roman" w:eastAsia="Calibri" w:hAnsi="Times New Roman" w:cs="Times New Roman"/>
                <w:iCs/>
                <w:sz w:val="18"/>
                <w:szCs w:val="18"/>
              </w:rPr>
              <w:t>Autoriteti kompetent i Shtetit Anëtar komunikon informacionin sipas nenit 8ae për vitin e parë fiskal raportues jo më vonë se 6 muaj pas afatit të depozitimit.</w:t>
            </w:r>
          </w:p>
          <w:p w14:paraId="53E6FA98" w14:textId="77777777" w:rsidR="003015B5" w:rsidRPr="007E4C0D" w:rsidRDefault="003015B5" w:rsidP="003015B5">
            <w:pPr>
              <w:jc w:val="both"/>
              <w:rPr>
                <w:rFonts w:ascii="Times New Roman" w:eastAsia="Calibri" w:hAnsi="Times New Roman" w:cs="Times New Roman"/>
                <w:iCs/>
                <w:sz w:val="18"/>
                <w:szCs w:val="18"/>
              </w:rPr>
            </w:pPr>
          </w:p>
          <w:p w14:paraId="5F288DF5" w14:textId="77777777" w:rsidR="003015B5" w:rsidRPr="007E4C0D" w:rsidRDefault="003015B5" w:rsidP="003015B5">
            <w:pPr>
              <w:jc w:val="center"/>
              <w:rPr>
                <w:rFonts w:ascii="Times New Roman" w:eastAsia="Calibri" w:hAnsi="Times New Roman" w:cs="Times New Roman"/>
                <w:b/>
                <w:iCs/>
                <w:sz w:val="18"/>
                <w:szCs w:val="18"/>
              </w:rPr>
            </w:pPr>
          </w:p>
          <w:p w14:paraId="4BC8E591" w14:textId="4A8C406F" w:rsidR="003015B5" w:rsidRPr="007E4C0D" w:rsidRDefault="00C65F34" w:rsidP="003015B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4.</w:t>
            </w:r>
            <w:r w:rsidR="003015B5" w:rsidRPr="007E4C0D">
              <w:rPr>
                <w:rFonts w:ascii="Times New Roman" w:eastAsia="Calibri" w:hAnsi="Times New Roman" w:cs="Times New Roman"/>
                <w:iCs/>
                <w:sz w:val="18"/>
                <w:szCs w:val="18"/>
              </w:rPr>
              <w:t>Në çdo rast, Shtetet Anëtare do të komunikojnë informacionin sipas nenit 8ae për herë të parë jo më herët se data 1 dhjetor 2026.</w:t>
            </w:r>
          </w:p>
        </w:tc>
        <w:tc>
          <w:tcPr>
            <w:tcW w:w="540" w:type="dxa"/>
          </w:tcPr>
          <w:p w14:paraId="751BCD87" w14:textId="77777777" w:rsidR="003015B5" w:rsidRPr="007E4C0D" w:rsidRDefault="003015B5" w:rsidP="003C045B">
            <w:pPr>
              <w:jc w:val="center"/>
              <w:rPr>
                <w:rFonts w:ascii="Times New Roman" w:eastAsia="Calibri" w:hAnsi="Times New Roman" w:cs="Times New Roman"/>
                <w:sz w:val="18"/>
                <w:szCs w:val="18"/>
              </w:rPr>
            </w:pPr>
          </w:p>
        </w:tc>
        <w:tc>
          <w:tcPr>
            <w:tcW w:w="630" w:type="dxa"/>
          </w:tcPr>
          <w:p w14:paraId="46A8BCC9" w14:textId="77777777" w:rsidR="003015B5" w:rsidRPr="007E4C0D" w:rsidRDefault="003015B5" w:rsidP="003C045B">
            <w:pPr>
              <w:jc w:val="center"/>
              <w:rPr>
                <w:rFonts w:ascii="Times New Roman" w:eastAsia="Calibri" w:hAnsi="Times New Roman" w:cs="Times New Roman"/>
                <w:sz w:val="18"/>
                <w:szCs w:val="18"/>
              </w:rPr>
            </w:pPr>
          </w:p>
        </w:tc>
        <w:tc>
          <w:tcPr>
            <w:tcW w:w="4964" w:type="dxa"/>
          </w:tcPr>
          <w:p w14:paraId="6B822206" w14:textId="77777777" w:rsidR="005715DA" w:rsidRPr="007E4C0D" w:rsidRDefault="005715DA" w:rsidP="005715DA">
            <w:pPr>
              <w:jc w:val="center"/>
              <w:rPr>
                <w:rFonts w:ascii="Times New Roman" w:hAnsi="Times New Roman" w:cs="Times New Roman"/>
                <w:b/>
                <w:sz w:val="18"/>
                <w:szCs w:val="18"/>
              </w:rPr>
            </w:pPr>
            <w:r w:rsidRPr="007E4C0D">
              <w:rPr>
                <w:rFonts w:ascii="Times New Roman" w:hAnsi="Times New Roman" w:cs="Times New Roman"/>
                <w:b/>
                <w:sz w:val="18"/>
                <w:szCs w:val="18"/>
              </w:rPr>
              <w:t>Neni 18</w:t>
            </w:r>
          </w:p>
          <w:p w14:paraId="7A602DB9" w14:textId="77777777" w:rsidR="005715DA" w:rsidRPr="007E4C0D" w:rsidRDefault="005715DA" w:rsidP="005715DA">
            <w:pPr>
              <w:jc w:val="center"/>
              <w:rPr>
                <w:rFonts w:ascii="Times New Roman" w:hAnsi="Times New Roman" w:cs="Times New Roman"/>
                <w:b/>
                <w:sz w:val="18"/>
                <w:szCs w:val="18"/>
              </w:rPr>
            </w:pPr>
            <w:r w:rsidRPr="007E4C0D">
              <w:rPr>
                <w:rFonts w:ascii="Times New Roman" w:hAnsi="Times New Roman" w:cs="Times New Roman"/>
                <w:b/>
                <w:sz w:val="18"/>
                <w:szCs w:val="18"/>
              </w:rPr>
              <w:t>Dispozita kalimtare për TTIR</w:t>
            </w:r>
          </w:p>
          <w:p w14:paraId="56C701A0" w14:textId="77777777" w:rsidR="005715DA" w:rsidRPr="007E4C0D" w:rsidRDefault="005715DA" w:rsidP="005715DA">
            <w:pPr>
              <w:jc w:val="center"/>
              <w:rPr>
                <w:rFonts w:ascii="Times New Roman" w:hAnsi="Times New Roman" w:cs="Times New Roman"/>
                <w:sz w:val="18"/>
                <w:szCs w:val="18"/>
              </w:rPr>
            </w:pPr>
          </w:p>
          <w:p w14:paraId="1690EB71" w14:textId="77777777" w:rsidR="002441C1" w:rsidRPr="007E4C0D" w:rsidRDefault="002441C1" w:rsidP="002441C1">
            <w:pPr>
              <w:jc w:val="both"/>
              <w:rPr>
                <w:rFonts w:ascii="Times New Roman" w:hAnsi="Times New Roman" w:cs="Times New Roman"/>
                <w:sz w:val="18"/>
                <w:szCs w:val="18"/>
              </w:rPr>
            </w:pPr>
            <w:r w:rsidRPr="007E4C0D">
              <w:rPr>
                <w:rFonts w:ascii="Times New Roman" w:hAnsi="Times New Roman" w:cs="Times New Roman"/>
                <w:sz w:val="18"/>
                <w:szCs w:val="18"/>
              </w:rPr>
              <w:t>1.</w:t>
            </w:r>
            <w:r w:rsidRPr="007E4C0D">
              <w:rPr>
                <w:rFonts w:ascii="Times New Roman" w:hAnsi="Times New Roman" w:cs="Times New Roman"/>
                <w:sz w:val="18"/>
                <w:szCs w:val="18"/>
              </w:rPr>
              <w:tab/>
              <w:t>Viti i parë fiskal raportues për qëllime të këtij ligji është viti fiskal që fillon në ose pas datës së anëtarësimit të Republikës së Shqipërisë në Bashkimin Evropian.</w:t>
            </w:r>
          </w:p>
          <w:p w14:paraId="50A51143" w14:textId="77777777" w:rsidR="002441C1" w:rsidRPr="007E4C0D" w:rsidRDefault="002441C1" w:rsidP="002441C1">
            <w:pPr>
              <w:jc w:val="both"/>
              <w:rPr>
                <w:rFonts w:ascii="Times New Roman" w:hAnsi="Times New Roman" w:cs="Times New Roman"/>
                <w:sz w:val="18"/>
                <w:szCs w:val="18"/>
              </w:rPr>
            </w:pPr>
            <w:r w:rsidRPr="007E4C0D">
              <w:rPr>
                <w:rFonts w:ascii="Times New Roman" w:hAnsi="Times New Roman" w:cs="Times New Roman"/>
                <w:sz w:val="18"/>
                <w:szCs w:val="18"/>
              </w:rPr>
              <w:t>2.</w:t>
            </w:r>
            <w:r w:rsidRPr="007E4C0D">
              <w:rPr>
                <w:rFonts w:ascii="Times New Roman" w:hAnsi="Times New Roman" w:cs="Times New Roman"/>
                <w:sz w:val="18"/>
                <w:szCs w:val="18"/>
              </w:rPr>
              <w:tab/>
              <w:t xml:space="preserve">Shkëmbimi i informacionit për Deklaratën Informative të Tatimit Shtesë (TTIR) për vitin e parë raportues kryhet jo më </w:t>
            </w:r>
            <w:r w:rsidRPr="007E4C0D">
              <w:rPr>
                <w:rFonts w:ascii="Times New Roman" w:hAnsi="Times New Roman" w:cs="Times New Roman"/>
                <w:sz w:val="18"/>
                <w:szCs w:val="18"/>
              </w:rPr>
              <w:lastRenderedPageBreak/>
              <w:t xml:space="preserve">vonë se 6 (gjashtë) muaj pas përfundimit të afatit të depozitimit për këtë vit fiskal. </w:t>
            </w:r>
          </w:p>
          <w:p w14:paraId="525F57E4" w14:textId="67940E8E" w:rsidR="003015B5" w:rsidRPr="007E4C0D" w:rsidRDefault="002441C1" w:rsidP="002441C1">
            <w:pPr>
              <w:jc w:val="both"/>
              <w:rPr>
                <w:rFonts w:ascii="Times New Roman" w:hAnsi="Times New Roman" w:cs="Times New Roman"/>
                <w:sz w:val="18"/>
                <w:szCs w:val="18"/>
              </w:rPr>
            </w:pPr>
            <w:r w:rsidRPr="007E4C0D">
              <w:rPr>
                <w:rFonts w:ascii="Times New Roman" w:hAnsi="Times New Roman" w:cs="Times New Roman"/>
                <w:sz w:val="18"/>
                <w:szCs w:val="18"/>
              </w:rPr>
              <w:t>3.</w:t>
            </w:r>
            <w:r w:rsidRPr="007E4C0D">
              <w:rPr>
                <w:rFonts w:ascii="Times New Roman" w:hAnsi="Times New Roman" w:cs="Times New Roman"/>
                <w:sz w:val="18"/>
                <w:szCs w:val="18"/>
              </w:rPr>
              <w:tab/>
              <w:t>Në çdo rast, shkëmbimi i parë i informacionit sipas këtij ligji nuk kryhet më herët se data e anëtarësimit të Shqipërisë në Bashkimin Evropian, në përputhje me Traktatin e Anëtarësimit.</w:t>
            </w:r>
          </w:p>
        </w:tc>
        <w:tc>
          <w:tcPr>
            <w:tcW w:w="720" w:type="dxa"/>
          </w:tcPr>
          <w:p w14:paraId="728DA540" w14:textId="77777777" w:rsidR="003015B5" w:rsidRPr="007E4C0D" w:rsidRDefault="003015B5" w:rsidP="003C045B">
            <w:pPr>
              <w:jc w:val="center"/>
              <w:rPr>
                <w:rFonts w:ascii="Times New Roman" w:eastAsia="Calibri" w:hAnsi="Times New Roman" w:cs="Times New Roman"/>
                <w:sz w:val="18"/>
                <w:szCs w:val="18"/>
              </w:rPr>
            </w:pPr>
          </w:p>
          <w:p w14:paraId="67CDE99D" w14:textId="77777777" w:rsidR="005715DA" w:rsidRPr="007E4C0D" w:rsidRDefault="005715DA" w:rsidP="003C045B">
            <w:pPr>
              <w:jc w:val="center"/>
              <w:rPr>
                <w:rFonts w:ascii="Times New Roman" w:eastAsia="Calibri" w:hAnsi="Times New Roman" w:cs="Times New Roman"/>
                <w:sz w:val="18"/>
                <w:szCs w:val="18"/>
              </w:rPr>
            </w:pPr>
          </w:p>
          <w:p w14:paraId="3BE5C212" w14:textId="247BE529" w:rsidR="005715DA" w:rsidRPr="007E4C0D" w:rsidRDefault="005715DA" w:rsidP="003C045B">
            <w:pPr>
              <w:jc w:val="center"/>
              <w:rPr>
                <w:rFonts w:ascii="Times New Roman" w:eastAsia="Calibri" w:hAnsi="Times New Roman" w:cs="Times New Roman"/>
                <w:sz w:val="18"/>
                <w:szCs w:val="18"/>
              </w:rPr>
            </w:pPr>
          </w:p>
          <w:p w14:paraId="40132AF0" w14:textId="77777777" w:rsidR="005715DA" w:rsidRPr="007E4C0D" w:rsidRDefault="005715DA" w:rsidP="003C045B">
            <w:pPr>
              <w:jc w:val="center"/>
              <w:rPr>
                <w:rFonts w:ascii="Times New Roman" w:eastAsia="Calibri" w:hAnsi="Times New Roman" w:cs="Times New Roman"/>
                <w:sz w:val="18"/>
                <w:szCs w:val="18"/>
              </w:rPr>
            </w:pPr>
          </w:p>
          <w:p w14:paraId="2EBB9CBF" w14:textId="7853088C" w:rsidR="005715DA" w:rsidRPr="007E4C0D" w:rsidRDefault="005715DA"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Pr>
          <w:p w14:paraId="6E7919D6" w14:textId="77777777" w:rsidR="003015B5" w:rsidRPr="007E4C0D" w:rsidRDefault="003015B5" w:rsidP="00CE6B7A">
            <w:pPr>
              <w:rPr>
                <w:rFonts w:ascii="Times New Roman" w:eastAsia="Calibri" w:hAnsi="Times New Roman" w:cs="Times New Roman"/>
                <w:sz w:val="18"/>
                <w:szCs w:val="18"/>
              </w:rPr>
            </w:pPr>
          </w:p>
        </w:tc>
      </w:tr>
      <w:tr w:rsidR="003C045B" w:rsidRPr="007E4C0D" w14:paraId="1E7B05E8" w14:textId="77777777" w:rsidTr="00593EF8">
        <w:tc>
          <w:tcPr>
            <w:tcW w:w="630" w:type="dxa"/>
          </w:tcPr>
          <w:p w14:paraId="2F45229D" w14:textId="00C2B9F7" w:rsidR="003C045B" w:rsidRPr="007E4C0D" w:rsidRDefault="003C045B" w:rsidP="003C045B">
            <w:pPr>
              <w:jc w:val="both"/>
              <w:rPr>
                <w:rFonts w:ascii="Times New Roman" w:eastAsia="Calibri" w:hAnsi="Times New Roman" w:cs="Times New Roman"/>
                <w:sz w:val="18"/>
                <w:szCs w:val="18"/>
              </w:rPr>
            </w:pPr>
          </w:p>
        </w:tc>
        <w:tc>
          <w:tcPr>
            <w:tcW w:w="5310" w:type="dxa"/>
          </w:tcPr>
          <w:p w14:paraId="3CCE36F2" w14:textId="77777777" w:rsidR="006340E5" w:rsidRPr="007E4C0D" w:rsidRDefault="006340E5" w:rsidP="006340E5">
            <w:pPr>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Neni 2</w:t>
            </w:r>
          </w:p>
          <w:p w14:paraId="4E1EAAAB" w14:textId="77777777" w:rsidR="006340E5" w:rsidRPr="007E4C0D" w:rsidRDefault="006340E5" w:rsidP="006340E5">
            <w:pPr>
              <w:jc w:val="center"/>
              <w:rPr>
                <w:rFonts w:ascii="Times New Roman" w:eastAsia="Calibri" w:hAnsi="Times New Roman" w:cs="Times New Roman"/>
                <w:b/>
                <w:iCs/>
                <w:sz w:val="18"/>
                <w:szCs w:val="18"/>
              </w:rPr>
            </w:pPr>
          </w:p>
          <w:p w14:paraId="09864A46" w14:textId="77777777" w:rsidR="006340E5" w:rsidRPr="007E4C0D" w:rsidRDefault="006340E5" w:rsidP="006340E5">
            <w:pPr>
              <w:jc w:val="cente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Transpozimi</w:t>
            </w:r>
          </w:p>
          <w:p w14:paraId="7FDC2556" w14:textId="77777777" w:rsidR="006340E5" w:rsidRPr="007E4C0D" w:rsidRDefault="006340E5" w:rsidP="006340E5">
            <w:pPr>
              <w:rPr>
                <w:rFonts w:ascii="Times New Roman" w:eastAsia="Calibri" w:hAnsi="Times New Roman" w:cs="Times New Roman"/>
                <w:iCs/>
                <w:sz w:val="18"/>
                <w:szCs w:val="18"/>
              </w:rPr>
            </w:pPr>
          </w:p>
          <w:p w14:paraId="3B914024"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1. Shtetet Anëtare miratojnë dhe publikojnë, deri më 31 dhjetor 2025, ligjet, rregulloret dhe dispozitat administrative të nevojshme për të përmbushur këtë Direktivë. Ato ia komunikojnë menjëherë tekstin e këtyre masave Komisionit.</w:t>
            </w:r>
          </w:p>
          <w:p w14:paraId="4E566E22" w14:textId="77777777" w:rsidR="006340E5" w:rsidRPr="007E4C0D" w:rsidRDefault="006340E5" w:rsidP="006340E5">
            <w:pPr>
              <w:rPr>
                <w:rFonts w:ascii="Times New Roman" w:eastAsia="Calibri" w:hAnsi="Times New Roman" w:cs="Times New Roman"/>
                <w:iCs/>
                <w:sz w:val="18"/>
                <w:szCs w:val="18"/>
              </w:rPr>
            </w:pPr>
          </w:p>
          <w:p w14:paraId="64CBEC03"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Ato do t'i zbatojnë këto masa nga 1 janari 2026.</w:t>
            </w:r>
          </w:p>
          <w:p w14:paraId="7E2A0AE0" w14:textId="77777777" w:rsidR="006340E5" w:rsidRPr="007E4C0D" w:rsidRDefault="006340E5" w:rsidP="006340E5">
            <w:pPr>
              <w:rPr>
                <w:rFonts w:ascii="Times New Roman" w:eastAsia="Calibri" w:hAnsi="Times New Roman" w:cs="Times New Roman"/>
                <w:iCs/>
                <w:sz w:val="18"/>
                <w:szCs w:val="18"/>
              </w:rPr>
            </w:pPr>
          </w:p>
          <w:p w14:paraId="2DF020C6"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Kur Shtetet Anëtare miratojnë këto masa, ato duhet të përmbajnë një referencë për këtë Direktivë ose të shoqërohen nga një referencë e tillë me rastin e publikimit të tyre zyrtar. Shtetet Anëtare përcaktojnë se si duhet të bëhet një referencë e tillë.</w:t>
            </w:r>
          </w:p>
          <w:p w14:paraId="702606E5" w14:textId="77777777" w:rsidR="006340E5" w:rsidRPr="007E4C0D" w:rsidRDefault="006340E5" w:rsidP="006340E5">
            <w:pPr>
              <w:rPr>
                <w:rFonts w:ascii="Times New Roman" w:eastAsia="Calibri" w:hAnsi="Times New Roman" w:cs="Times New Roman"/>
                <w:iCs/>
                <w:sz w:val="18"/>
                <w:szCs w:val="18"/>
              </w:rPr>
            </w:pPr>
          </w:p>
          <w:p w14:paraId="7DE37D84"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 xml:space="preserve">2. Pavarësisht paragrafit 1 të këtij neni, Shtetet Anëtare që kanë zgjedhur të mos zbatojnë IIR dhe UTPR sipas nenit 50(1) të </w:t>
            </w:r>
            <w:r w:rsidRPr="007E4C0D">
              <w:rPr>
                <w:rFonts w:ascii="Times New Roman" w:eastAsia="Calibri" w:hAnsi="Times New Roman" w:cs="Times New Roman"/>
                <w:iCs/>
                <w:sz w:val="18"/>
                <w:szCs w:val="18"/>
              </w:rPr>
              <w:lastRenderedPageBreak/>
              <w:t>Direktivës (BE) 2022/2523 duhet të miratojnë dhe publikojnë ligjet, rregulloret dhe dispozitat administrative të nevojshme për të përmbushur nenin 1, pika (1) dhe pikat (3) deri në (11) të kësaj Direktive deri në ditën para përfundimit të zgjedhjeve të tilla.</w:t>
            </w:r>
          </w:p>
          <w:p w14:paraId="1B533AC0" w14:textId="77777777" w:rsidR="006340E5" w:rsidRPr="007E4C0D" w:rsidRDefault="006340E5" w:rsidP="006340E5">
            <w:pPr>
              <w:rPr>
                <w:rFonts w:ascii="Times New Roman" w:eastAsia="Calibri" w:hAnsi="Times New Roman" w:cs="Times New Roman"/>
                <w:iCs/>
                <w:sz w:val="18"/>
                <w:szCs w:val="18"/>
              </w:rPr>
            </w:pPr>
          </w:p>
          <w:p w14:paraId="63018CB9"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Ata do t'i zbatojnë këto masa që nga dita pas përfundimit të zgjedhjeve të tilla.</w:t>
            </w:r>
          </w:p>
          <w:p w14:paraId="4D807F28" w14:textId="77777777" w:rsidR="006340E5" w:rsidRPr="007E4C0D" w:rsidRDefault="006340E5" w:rsidP="006340E5">
            <w:pPr>
              <w:rPr>
                <w:rFonts w:ascii="Times New Roman" w:eastAsia="Calibri" w:hAnsi="Times New Roman" w:cs="Times New Roman"/>
                <w:iCs/>
                <w:sz w:val="18"/>
                <w:szCs w:val="18"/>
              </w:rPr>
            </w:pPr>
          </w:p>
          <w:p w14:paraId="559AF53A"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Pavarësisht nënparagrafit të parë të këtij paragrafi, Shtetet Anëtare që kanë zgjedhur të mos zbatojnë IIR dhe UTPR sipas Nenit 50(1) të Direktivës (BE) 2022/2523 dhe që kanë zgjedhur të zbatojnë një taksë shtesë vendase të kualifikuar sipas Nenit 11(1) të asaj Direktive, duhet të miratojnë dhe publikojnë ligjet, rregulloret dhe dispozitat administrative të nevojshme për t'u pajtuar me këtë Direktivë deri në ditën para fillimit të vitit të parë fiskal raportues sipas zgjedhjes për të zbatuar një taksë shtesë vendase të kualifikuar. Ata duhet t'ia komunikojnë menjëherë tekstin e këtyre masave Komisionit.</w:t>
            </w:r>
          </w:p>
          <w:p w14:paraId="34BE87CA" w14:textId="77777777" w:rsidR="006340E5" w:rsidRPr="007E4C0D" w:rsidRDefault="006340E5" w:rsidP="006340E5">
            <w:pPr>
              <w:rPr>
                <w:rFonts w:ascii="Times New Roman" w:eastAsia="Calibri" w:hAnsi="Times New Roman" w:cs="Times New Roman"/>
                <w:iCs/>
                <w:sz w:val="18"/>
                <w:szCs w:val="18"/>
              </w:rPr>
            </w:pPr>
          </w:p>
          <w:p w14:paraId="0C6C226F"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Ata do t'i zbatojnë këto masa që nga fillimi i vitit të parë fiskal raportues sipas zgjedhjes për të aplikuar një taksë shtesë të kualifikuar vendase.</w:t>
            </w:r>
          </w:p>
          <w:p w14:paraId="2B71ABD5" w14:textId="77777777" w:rsidR="006340E5" w:rsidRPr="007E4C0D" w:rsidRDefault="006340E5" w:rsidP="006340E5">
            <w:pPr>
              <w:rPr>
                <w:rFonts w:ascii="Times New Roman" w:eastAsia="Calibri" w:hAnsi="Times New Roman" w:cs="Times New Roman"/>
                <w:iCs/>
                <w:sz w:val="18"/>
                <w:szCs w:val="18"/>
              </w:rPr>
            </w:pPr>
          </w:p>
          <w:p w14:paraId="42D9C400"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Kur viti i parë fiskal raportues i përmendur në nënparagrafin e tretë të këtij paragrafi fillon para ose në ditën e hyrjes në fuqi të kësaj Direktive, Shtetet Anëtare që kanë zgjedhur të mos zbatojnë IIR dhe UTPR sipas Nenit 50(1) të Direktivës (BE) 2022/2523 dhe kanë zgjedhur të zbatojnë një taksë shtesë të kualifikuar vendase sipas Nenit 11(1) të asaj Direktive, duhet të miratojnë dhe publikojnë, deri më 31 dhjetor 2025, ligjet, rregulloret dhe dispozitat administrative të nevojshme për t'u pajtuar me këtë Direktivë. Ato duhet t'ia komunikojnë menjëherë tekstin e këtyre masave Komisionit.</w:t>
            </w:r>
          </w:p>
          <w:p w14:paraId="374101A0" w14:textId="77777777" w:rsidR="006340E5" w:rsidRPr="007E4C0D" w:rsidRDefault="006340E5" w:rsidP="006340E5">
            <w:pPr>
              <w:rPr>
                <w:rFonts w:ascii="Times New Roman" w:eastAsia="Calibri" w:hAnsi="Times New Roman" w:cs="Times New Roman"/>
                <w:iCs/>
                <w:sz w:val="18"/>
                <w:szCs w:val="18"/>
              </w:rPr>
            </w:pPr>
          </w:p>
          <w:p w14:paraId="53E837DB"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Ato do t'i zbatojnë këto masa nga 1 janari 2026.</w:t>
            </w:r>
          </w:p>
          <w:p w14:paraId="0EB3B982" w14:textId="77777777" w:rsidR="006340E5" w:rsidRPr="007E4C0D" w:rsidRDefault="006340E5" w:rsidP="006340E5">
            <w:pPr>
              <w:rPr>
                <w:rFonts w:ascii="Times New Roman" w:eastAsia="Calibri" w:hAnsi="Times New Roman" w:cs="Times New Roman"/>
                <w:iCs/>
                <w:sz w:val="18"/>
                <w:szCs w:val="18"/>
              </w:rPr>
            </w:pPr>
          </w:p>
          <w:p w14:paraId="1FE067C0"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Kur Shtetet Anëtare miratojnë këto masa, ato duhet të përmbajnë një referencë për këtë Direktivë ose të shoqërohen nga një referencë e tillë me rastin e publikimit të tyre zyrtar. Shtetet Anëtare përcaktojnë se si duhet të bëhet një referencë e tillë.</w:t>
            </w:r>
          </w:p>
          <w:p w14:paraId="7EF8FB13" w14:textId="77777777" w:rsidR="006340E5" w:rsidRPr="007E4C0D" w:rsidRDefault="006340E5" w:rsidP="006340E5">
            <w:pPr>
              <w:rPr>
                <w:rFonts w:ascii="Times New Roman" w:eastAsia="Calibri" w:hAnsi="Times New Roman" w:cs="Times New Roman"/>
                <w:iCs/>
                <w:sz w:val="18"/>
                <w:szCs w:val="18"/>
              </w:rPr>
            </w:pPr>
          </w:p>
          <w:p w14:paraId="30C50F4D"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lastRenderedPageBreak/>
              <w:t>3. Duke anashkaluar paragrafin 1 të këtij neni, Shtetet Anëtare miratojnë dhe publikojnë, deri më 31 dhjetor 2027, ligjet, rregulloret dhe dispozitat administrative të nevojshme për të përmbushur nenin 1, pika (8) e kësaj Direktive. Ato ia komunikojnë menjëherë tekstin e këtyre masave Komisionit.</w:t>
            </w:r>
          </w:p>
          <w:p w14:paraId="12E8B925" w14:textId="77777777" w:rsidR="006340E5" w:rsidRPr="007E4C0D" w:rsidRDefault="006340E5" w:rsidP="006340E5">
            <w:pPr>
              <w:rPr>
                <w:rFonts w:ascii="Times New Roman" w:eastAsia="Calibri" w:hAnsi="Times New Roman" w:cs="Times New Roman"/>
                <w:iCs/>
                <w:sz w:val="18"/>
                <w:szCs w:val="18"/>
              </w:rPr>
            </w:pPr>
          </w:p>
          <w:p w14:paraId="05136E74"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Ato do t'i zbatojnë këto masa nga 1 janari 2028.</w:t>
            </w:r>
          </w:p>
          <w:p w14:paraId="5580F97C" w14:textId="77777777" w:rsidR="006340E5" w:rsidRPr="007E4C0D" w:rsidRDefault="006340E5" w:rsidP="006340E5">
            <w:pPr>
              <w:rPr>
                <w:rFonts w:ascii="Times New Roman" w:eastAsia="Calibri" w:hAnsi="Times New Roman" w:cs="Times New Roman"/>
                <w:iCs/>
                <w:sz w:val="18"/>
                <w:szCs w:val="18"/>
              </w:rPr>
            </w:pPr>
          </w:p>
          <w:p w14:paraId="4FEFDD5E" w14:textId="77777777" w:rsidR="006340E5"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Kur Shtetet Anëtare miratojnë këto masa, ato duhet të përmbajnë një referencë për këtë Direktivë ose të shoqërohen nga një referencë e tillë me rastin e publikimit të tyre zyrtar. Shtetet Anëtare përcaktojnë se si duhet të bëhet një referencë e tillë.</w:t>
            </w:r>
          </w:p>
          <w:p w14:paraId="400C3863" w14:textId="77777777" w:rsidR="006340E5" w:rsidRPr="007E4C0D" w:rsidRDefault="006340E5" w:rsidP="006340E5">
            <w:pPr>
              <w:rPr>
                <w:rFonts w:ascii="Times New Roman" w:eastAsia="Calibri" w:hAnsi="Times New Roman" w:cs="Times New Roman"/>
                <w:iCs/>
                <w:sz w:val="18"/>
                <w:szCs w:val="18"/>
              </w:rPr>
            </w:pPr>
          </w:p>
          <w:p w14:paraId="62A25992" w14:textId="2FDC149E" w:rsidR="003C045B" w:rsidRPr="007E4C0D" w:rsidRDefault="006340E5" w:rsidP="006340E5">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4. Shtetet Anëtare i komunikojnë Komisionit tekstin e masave kryesore të ligjit kombëtar që ato miratojnë në fushën e mbuluar nga kjo Direktivë.</w:t>
            </w:r>
          </w:p>
        </w:tc>
        <w:tc>
          <w:tcPr>
            <w:tcW w:w="540" w:type="dxa"/>
          </w:tcPr>
          <w:p w14:paraId="696A29FD" w14:textId="61FB2EF3" w:rsidR="003C045B" w:rsidRPr="007E4C0D" w:rsidRDefault="003C045B" w:rsidP="003C045B">
            <w:pPr>
              <w:jc w:val="center"/>
              <w:rPr>
                <w:rFonts w:ascii="Times New Roman" w:eastAsia="Calibri" w:hAnsi="Times New Roman" w:cs="Times New Roman"/>
                <w:sz w:val="18"/>
                <w:szCs w:val="18"/>
              </w:rPr>
            </w:pPr>
          </w:p>
        </w:tc>
        <w:tc>
          <w:tcPr>
            <w:tcW w:w="630" w:type="dxa"/>
          </w:tcPr>
          <w:p w14:paraId="3C152271" w14:textId="77777777" w:rsidR="0000140B" w:rsidRPr="007E4C0D" w:rsidRDefault="0000140B" w:rsidP="003C045B">
            <w:pPr>
              <w:jc w:val="center"/>
              <w:rPr>
                <w:rFonts w:ascii="Times New Roman" w:eastAsia="Calibri" w:hAnsi="Times New Roman" w:cs="Times New Roman"/>
                <w:sz w:val="18"/>
                <w:szCs w:val="18"/>
              </w:rPr>
            </w:pPr>
          </w:p>
          <w:p w14:paraId="56E1EAE1" w14:textId="6F13EA97" w:rsidR="003C045B" w:rsidRPr="007E4C0D" w:rsidRDefault="003C045B" w:rsidP="003C045B">
            <w:pPr>
              <w:jc w:val="center"/>
              <w:rPr>
                <w:rFonts w:ascii="Times New Roman" w:eastAsia="Calibri" w:hAnsi="Times New Roman" w:cs="Times New Roman"/>
                <w:sz w:val="18"/>
                <w:szCs w:val="18"/>
                <w:highlight w:val="yellow"/>
              </w:rPr>
            </w:pPr>
          </w:p>
        </w:tc>
        <w:tc>
          <w:tcPr>
            <w:tcW w:w="4964" w:type="dxa"/>
          </w:tcPr>
          <w:p w14:paraId="60414E92" w14:textId="77777777" w:rsidR="003C045B" w:rsidRPr="007E4C0D" w:rsidRDefault="003C045B" w:rsidP="003C045B">
            <w:pPr>
              <w:jc w:val="center"/>
              <w:rPr>
                <w:rFonts w:ascii="Times New Roman" w:hAnsi="Times New Roman" w:cs="Times New Roman"/>
                <w:sz w:val="18"/>
                <w:szCs w:val="18"/>
              </w:rPr>
            </w:pPr>
          </w:p>
          <w:p w14:paraId="65329E9B" w14:textId="77777777" w:rsidR="0012611C" w:rsidRPr="007E4C0D" w:rsidRDefault="0012611C" w:rsidP="0012611C">
            <w:pPr>
              <w:jc w:val="center"/>
              <w:rPr>
                <w:rFonts w:ascii="Times New Roman" w:eastAsia="Calibri" w:hAnsi="Times New Roman" w:cs="Times New Roman"/>
                <w:b/>
                <w:sz w:val="18"/>
                <w:szCs w:val="18"/>
                <w:lang w:val="sq-AL"/>
              </w:rPr>
            </w:pPr>
            <w:r w:rsidRPr="007E4C0D">
              <w:rPr>
                <w:rFonts w:ascii="Times New Roman" w:eastAsia="Calibri" w:hAnsi="Times New Roman" w:cs="Times New Roman"/>
                <w:b/>
                <w:sz w:val="18"/>
                <w:szCs w:val="18"/>
                <w:lang w:val="sq-AL"/>
              </w:rPr>
              <w:t>Neni 19</w:t>
            </w:r>
          </w:p>
          <w:p w14:paraId="61FB7ECB" w14:textId="137FCA58" w:rsidR="0012611C" w:rsidRPr="007E4C0D" w:rsidRDefault="0012611C" w:rsidP="0012611C">
            <w:pPr>
              <w:jc w:val="center"/>
              <w:rPr>
                <w:rFonts w:ascii="Times New Roman" w:eastAsia="Calibri" w:hAnsi="Times New Roman" w:cs="Times New Roman"/>
                <w:b/>
                <w:sz w:val="18"/>
                <w:szCs w:val="18"/>
                <w:lang w:val="sq-AL"/>
              </w:rPr>
            </w:pPr>
            <w:r w:rsidRPr="007E4C0D">
              <w:rPr>
                <w:rFonts w:ascii="Times New Roman" w:eastAsia="Calibri" w:hAnsi="Times New Roman" w:cs="Times New Roman"/>
                <w:b/>
                <w:sz w:val="18"/>
                <w:szCs w:val="18"/>
                <w:lang w:val="sq-AL"/>
              </w:rPr>
              <w:t>Hyrja në fuqi</w:t>
            </w:r>
          </w:p>
          <w:p w14:paraId="28823BC8" w14:textId="77777777" w:rsidR="0012611C" w:rsidRPr="007E4C0D" w:rsidRDefault="0012611C" w:rsidP="0012611C">
            <w:pPr>
              <w:jc w:val="center"/>
              <w:rPr>
                <w:rFonts w:ascii="Times New Roman" w:eastAsia="Calibri" w:hAnsi="Times New Roman" w:cs="Times New Roman"/>
                <w:b/>
                <w:sz w:val="18"/>
                <w:szCs w:val="18"/>
                <w:lang w:val="sq-AL"/>
              </w:rPr>
            </w:pPr>
          </w:p>
          <w:p w14:paraId="7AD350A7" w14:textId="60377C2B" w:rsidR="003C045B" w:rsidRPr="007E4C0D" w:rsidRDefault="00C63462" w:rsidP="0012611C">
            <w:pPr>
              <w:jc w:val="both"/>
              <w:rPr>
                <w:rFonts w:ascii="Times New Roman" w:eastAsia="Calibri" w:hAnsi="Times New Roman" w:cs="Times New Roman"/>
                <w:sz w:val="18"/>
                <w:szCs w:val="18"/>
                <w:lang w:val="sq-AL"/>
              </w:rPr>
            </w:pPr>
            <w:r w:rsidRPr="007E4C0D">
              <w:rPr>
                <w:rFonts w:ascii="Times New Roman" w:eastAsia="Calibri" w:hAnsi="Times New Roman" w:cs="Times New Roman"/>
                <w:sz w:val="18"/>
                <w:szCs w:val="18"/>
                <w:lang w:val="sq-AL"/>
              </w:rPr>
              <w:t>Ky ligj hyn në fuqi 15 ditë pas publikimit të tij në Fletoren Zyrtare dhe dispozitat e tij fillojnë të zbatohen më 1 janar të vitit fiskal që fillon në ose pas datës së anëtarësimit të Republikës së Shqipërisë në Bashkimin Evropian.</w:t>
            </w:r>
          </w:p>
        </w:tc>
        <w:tc>
          <w:tcPr>
            <w:tcW w:w="720" w:type="dxa"/>
          </w:tcPr>
          <w:p w14:paraId="140B14F0" w14:textId="77777777" w:rsidR="007B1822" w:rsidRPr="007E4C0D" w:rsidRDefault="007B1822" w:rsidP="003C045B">
            <w:pPr>
              <w:jc w:val="center"/>
              <w:rPr>
                <w:rFonts w:ascii="Times New Roman" w:eastAsia="Calibri" w:hAnsi="Times New Roman" w:cs="Times New Roman"/>
                <w:sz w:val="18"/>
                <w:szCs w:val="18"/>
              </w:rPr>
            </w:pPr>
          </w:p>
          <w:p w14:paraId="17CA02B8" w14:textId="375A08A9" w:rsidR="003C045B" w:rsidRPr="007E4C0D" w:rsidRDefault="007B1822" w:rsidP="003C045B">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t>F</w:t>
            </w:r>
          </w:p>
        </w:tc>
        <w:tc>
          <w:tcPr>
            <w:tcW w:w="3406" w:type="dxa"/>
          </w:tcPr>
          <w:p w14:paraId="62277331" w14:textId="3FA55A44" w:rsidR="003C045B" w:rsidRPr="007E4C0D" w:rsidRDefault="005F7FB6" w:rsidP="00F714C4">
            <w:pPr>
              <w:jc w:val="both"/>
              <w:rPr>
                <w:rFonts w:ascii="Times New Roman" w:eastAsia="Calibri" w:hAnsi="Times New Roman" w:cs="Times New Roman"/>
                <w:sz w:val="18"/>
                <w:szCs w:val="18"/>
              </w:rPr>
            </w:pPr>
            <w:r w:rsidRPr="007E4C0D">
              <w:rPr>
                <w:rFonts w:ascii="Times New Roman" w:hAnsi="Times New Roman" w:cs="Times New Roman"/>
                <w:sz w:val="18"/>
                <w:szCs w:val="18"/>
                <w:lang w:val="sq-AL"/>
              </w:rPr>
              <w:t>Neni 19 është në përputhje me direktivën e këshillit (BE) 2025/872, 14 prill 2025, që ndryshon direktivën 201/16/BE për bashkëpunimin administrativ në fushën e taksimit dhe praktikat ligjore vendase.</w:t>
            </w:r>
          </w:p>
        </w:tc>
      </w:tr>
      <w:tr w:rsidR="00E172D2" w:rsidRPr="007E4C0D" w14:paraId="5B377569" w14:textId="77777777" w:rsidTr="00593EF8">
        <w:trPr>
          <w:trHeight w:val="1484"/>
        </w:trPr>
        <w:tc>
          <w:tcPr>
            <w:tcW w:w="630" w:type="dxa"/>
          </w:tcPr>
          <w:p w14:paraId="316BEC04" w14:textId="77777777" w:rsidR="00E172D2" w:rsidRPr="007E4C0D" w:rsidRDefault="00E172D2" w:rsidP="003C045B">
            <w:pPr>
              <w:jc w:val="both"/>
              <w:rPr>
                <w:rFonts w:ascii="Times New Roman" w:eastAsia="Calibri" w:hAnsi="Times New Roman" w:cs="Times New Roman"/>
                <w:sz w:val="18"/>
                <w:szCs w:val="18"/>
              </w:rPr>
            </w:pPr>
          </w:p>
        </w:tc>
        <w:tc>
          <w:tcPr>
            <w:tcW w:w="5310" w:type="dxa"/>
          </w:tcPr>
          <w:p w14:paraId="748E3046" w14:textId="40C29548" w:rsidR="006340E5" w:rsidRPr="007E4C0D" w:rsidRDefault="006340E5" w:rsidP="006340E5">
            <w:pPr>
              <w:jc w:val="both"/>
              <w:rPr>
                <w:rFonts w:ascii="Times New Roman" w:eastAsia="Calibri" w:hAnsi="Times New Roman" w:cs="Times New Roman"/>
                <w:b/>
                <w:iCs/>
                <w:sz w:val="18"/>
                <w:szCs w:val="18"/>
              </w:rPr>
            </w:pPr>
          </w:p>
          <w:p w14:paraId="0DDED116" w14:textId="77777777" w:rsidR="006340E5" w:rsidRPr="007E4C0D" w:rsidRDefault="006340E5" w:rsidP="006340E5">
            <w:pPr>
              <w:jc w:val="both"/>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SHTOJCA VII</w:t>
            </w:r>
          </w:p>
          <w:p w14:paraId="2DADE64B" w14:textId="0872A69E" w:rsidR="006340E5" w:rsidRPr="007E4C0D" w:rsidRDefault="006340E5" w:rsidP="006340E5">
            <w:pPr>
              <w:jc w:val="both"/>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Rregullat e paraqitjes dhe modeli standard për deklaratën e informacionit tatimor plotësues</w:t>
            </w:r>
          </w:p>
          <w:p w14:paraId="5E6D075D" w14:textId="316EC31B" w:rsidR="006340E5" w:rsidRPr="007E4C0D" w:rsidRDefault="006340E5" w:rsidP="006340E5">
            <w:pPr>
              <w:jc w:val="both"/>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SEKSIONI I</w:t>
            </w:r>
          </w:p>
          <w:p w14:paraId="043AE93B" w14:textId="77777777" w:rsidR="00E172D2" w:rsidRPr="007E4C0D" w:rsidRDefault="006340E5" w:rsidP="006340E5">
            <w:pPr>
              <w:jc w:val="both"/>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PËRKUFIZIME</w:t>
            </w:r>
          </w:p>
          <w:p w14:paraId="3DA755D4" w14:textId="77777777" w:rsidR="00CC3FA6" w:rsidRPr="007E4C0D" w:rsidRDefault="00CC3FA6" w:rsidP="006340E5">
            <w:pPr>
              <w:jc w:val="both"/>
              <w:rPr>
                <w:rFonts w:ascii="Times New Roman" w:eastAsia="Calibri" w:hAnsi="Times New Roman" w:cs="Times New Roman"/>
                <w:iCs/>
                <w:sz w:val="18"/>
                <w:szCs w:val="18"/>
              </w:rPr>
            </w:pPr>
          </w:p>
          <w:p w14:paraId="75E5D2A5" w14:textId="77777777" w:rsidR="00CC3FA6" w:rsidRPr="007E4C0D" w:rsidRDefault="00CC3FA6" w:rsidP="006340E5">
            <w:pPr>
              <w:jc w:val="both"/>
              <w:rPr>
                <w:rFonts w:ascii="Times New Roman" w:eastAsia="Calibri" w:hAnsi="Times New Roman" w:cs="Times New Roman"/>
                <w:iCs/>
                <w:sz w:val="18"/>
                <w:szCs w:val="18"/>
              </w:rPr>
            </w:pPr>
          </w:p>
          <w:p w14:paraId="144A1F56" w14:textId="579478A9" w:rsidR="006F5295" w:rsidRPr="007E4C0D" w:rsidRDefault="006F5295" w:rsidP="006340E5">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1) “Shtet Anëtar Zbatues” do të thotë një Shtet Anëtar që ka zbatuar ose një rregull të përfshirjes së të ardhurave të kualifikuara (IIR) ose një rregull të fitimit të nën-tatuar të kualifikuar (UTPR), siç përcaktohet në Nenin 3, pikat (18) dhe (43), përkatësisht, të Direktivës (BE) 2022/2523, ose të dyja, për vitin fiskal të dhënë Raportues;</w:t>
            </w:r>
          </w:p>
        </w:tc>
        <w:tc>
          <w:tcPr>
            <w:tcW w:w="540" w:type="dxa"/>
          </w:tcPr>
          <w:p w14:paraId="7AA0DD76" w14:textId="77777777" w:rsidR="00E172D2" w:rsidRPr="007E4C0D" w:rsidRDefault="00E172D2" w:rsidP="003C045B">
            <w:pPr>
              <w:jc w:val="center"/>
              <w:rPr>
                <w:rFonts w:ascii="Times New Roman" w:eastAsia="Calibri" w:hAnsi="Times New Roman" w:cs="Times New Roman"/>
                <w:sz w:val="18"/>
                <w:szCs w:val="18"/>
                <w:highlight w:val="cyan"/>
              </w:rPr>
            </w:pPr>
          </w:p>
        </w:tc>
        <w:tc>
          <w:tcPr>
            <w:tcW w:w="630" w:type="dxa"/>
          </w:tcPr>
          <w:p w14:paraId="05E894B9" w14:textId="77777777" w:rsidR="00EB2C6A" w:rsidRPr="007E4C0D" w:rsidRDefault="00EB2C6A" w:rsidP="003C045B">
            <w:pPr>
              <w:jc w:val="center"/>
              <w:rPr>
                <w:rFonts w:ascii="Times New Roman" w:eastAsia="Calibri" w:hAnsi="Times New Roman" w:cs="Times New Roman"/>
                <w:sz w:val="18"/>
                <w:szCs w:val="18"/>
                <w:highlight w:val="cyan"/>
              </w:rPr>
            </w:pPr>
          </w:p>
          <w:p w14:paraId="3B4BD771" w14:textId="77777777" w:rsidR="00EB2C6A" w:rsidRPr="007E4C0D" w:rsidRDefault="00EB2C6A" w:rsidP="003C045B">
            <w:pPr>
              <w:jc w:val="center"/>
              <w:rPr>
                <w:rFonts w:ascii="Times New Roman" w:eastAsia="Calibri" w:hAnsi="Times New Roman" w:cs="Times New Roman"/>
                <w:sz w:val="18"/>
                <w:szCs w:val="18"/>
                <w:highlight w:val="cyan"/>
              </w:rPr>
            </w:pPr>
          </w:p>
          <w:p w14:paraId="085CF30E" w14:textId="5B2D75CE" w:rsidR="00E172D2" w:rsidRPr="007E4C0D" w:rsidRDefault="00E172D2" w:rsidP="003C045B">
            <w:pPr>
              <w:jc w:val="center"/>
              <w:rPr>
                <w:rFonts w:ascii="Times New Roman" w:eastAsia="Calibri" w:hAnsi="Times New Roman" w:cs="Times New Roman"/>
                <w:sz w:val="18"/>
                <w:szCs w:val="18"/>
                <w:highlight w:val="cyan"/>
              </w:rPr>
            </w:pPr>
          </w:p>
        </w:tc>
        <w:tc>
          <w:tcPr>
            <w:tcW w:w="4964" w:type="dxa"/>
          </w:tcPr>
          <w:p w14:paraId="22DCECB4" w14:textId="77777777" w:rsidR="00654FB9" w:rsidRPr="007E4C0D" w:rsidRDefault="00654FB9" w:rsidP="00654FB9">
            <w:pPr>
              <w:jc w:val="center"/>
              <w:rPr>
                <w:rFonts w:ascii="Times New Roman" w:hAnsi="Times New Roman" w:cs="Times New Roman"/>
                <w:sz w:val="18"/>
                <w:szCs w:val="18"/>
              </w:rPr>
            </w:pPr>
          </w:p>
          <w:p w14:paraId="5ED812D9" w14:textId="77777777" w:rsidR="00654FB9" w:rsidRPr="007E4C0D" w:rsidRDefault="00654FB9" w:rsidP="00EB2C6A">
            <w:pPr>
              <w:spacing w:line="276" w:lineRule="auto"/>
              <w:jc w:val="both"/>
              <w:rPr>
                <w:rFonts w:ascii="Times New Roman" w:hAnsi="Times New Roman" w:cs="Times New Roman"/>
                <w:sz w:val="18"/>
                <w:szCs w:val="18"/>
              </w:rPr>
            </w:pPr>
          </w:p>
          <w:p w14:paraId="63BC0568" w14:textId="77777777" w:rsidR="00CC3FA6" w:rsidRPr="007E4C0D" w:rsidRDefault="00CC3FA6" w:rsidP="00CC3FA6">
            <w:pPr>
              <w:spacing w:line="276" w:lineRule="auto"/>
              <w:jc w:val="both"/>
              <w:rPr>
                <w:rFonts w:ascii="Times New Roman" w:hAnsi="Times New Roman" w:cs="Times New Roman"/>
                <w:sz w:val="18"/>
                <w:szCs w:val="18"/>
              </w:rPr>
            </w:pPr>
          </w:p>
          <w:p w14:paraId="061BA73F" w14:textId="77777777" w:rsidR="00CC3FA6" w:rsidRPr="007E4C0D" w:rsidRDefault="00CC3FA6" w:rsidP="00CC3FA6">
            <w:pPr>
              <w:spacing w:line="276" w:lineRule="auto"/>
              <w:jc w:val="both"/>
              <w:rPr>
                <w:rFonts w:ascii="Times New Roman" w:hAnsi="Times New Roman" w:cs="Times New Roman"/>
                <w:sz w:val="18"/>
                <w:szCs w:val="18"/>
              </w:rPr>
            </w:pPr>
          </w:p>
          <w:p w14:paraId="0CB6A5B0" w14:textId="77777777" w:rsidR="00AB5DD5" w:rsidRPr="007E4C0D" w:rsidRDefault="00AB5DD5" w:rsidP="00AB5DD5">
            <w:pPr>
              <w:spacing w:line="276" w:lineRule="auto"/>
              <w:jc w:val="center"/>
              <w:rPr>
                <w:rFonts w:ascii="Times New Roman" w:hAnsi="Times New Roman" w:cs="Times New Roman"/>
                <w:b/>
                <w:bCs/>
                <w:sz w:val="18"/>
                <w:szCs w:val="18"/>
                <w:lang w:val="sq-AL"/>
              </w:rPr>
            </w:pPr>
            <w:r w:rsidRPr="007E4C0D">
              <w:rPr>
                <w:rFonts w:ascii="Times New Roman" w:hAnsi="Times New Roman" w:cs="Times New Roman"/>
                <w:b/>
                <w:bCs/>
                <w:sz w:val="18"/>
                <w:szCs w:val="18"/>
                <w:lang w:val="sq-AL"/>
              </w:rPr>
              <w:t>Neni 4</w:t>
            </w:r>
          </w:p>
          <w:p w14:paraId="55FF18A5" w14:textId="77777777" w:rsidR="00AB5DD5" w:rsidRPr="007E4C0D" w:rsidRDefault="00AB5DD5" w:rsidP="00AB5DD5">
            <w:pPr>
              <w:spacing w:line="276" w:lineRule="auto"/>
              <w:jc w:val="center"/>
              <w:rPr>
                <w:rFonts w:ascii="Times New Roman" w:hAnsi="Times New Roman" w:cs="Times New Roman"/>
                <w:b/>
                <w:bCs/>
                <w:sz w:val="18"/>
                <w:szCs w:val="18"/>
                <w:lang w:val="en-US"/>
              </w:rPr>
            </w:pPr>
            <w:r w:rsidRPr="007E4C0D">
              <w:rPr>
                <w:rFonts w:ascii="Times New Roman" w:hAnsi="Times New Roman" w:cs="Times New Roman"/>
                <w:b/>
                <w:bCs/>
                <w:sz w:val="18"/>
                <w:szCs w:val="18"/>
                <w:lang w:val="sq-AL"/>
              </w:rPr>
              <w:t>Përkufizime</w:t>
            </w:r>
          </w:p>
          <w:p w14:paraId="266BB6EF" w14:textId="77777777" w:rsidR="00CC3FA6" w:rsidRPr="007E4C0D" w:rsidRDefault="00CC3FA6" w:rsidP="00CC3FA6">
            <w:pPr>
              <w:spacing w:line="276" w:lineRule="auto"/>
              <w:jc w:val="both"/>
              <w:rPr>
                <w:rFonts w:ascii="Times New Roman" w:hAnsi="Times New Roman" w:cs="Times New Roman"/>
                <w:sz w:val="18"/>
                <w:szCs w:val="18"/>
              </w:rPr>
            </w:pPr>
          </w:p>
          <w:p w14:paraId="70E504E0" w14:textId="7347D964" w:rsidR="00E172D2" w:rsidRPr="007E4C0D" w:rsidRDefault="00CC3FA6" w:rsidP="00CC3FA6">
            <w:pPr>
              <w:spacing w:line="276" w:lineRule="auto"/>
              <w:jc w:val="both"/>
              <w:rPr>
                <w:rFonts w:ascii="Times New Roman" w:hAnsi="Times New Roman" w:cs="Times New Roman"/>
                <w:sz w:val="18"/>
                <w:szCs w:val="18"/>
              </w:rPr>
            </w:pPr>
            <w:r w:rsidRPr="007E4C0D">
              <w:rPr>
                <w:rFonts w:ascii="Times New Roman" w:hAnsi="Times New Roman" w:cs="Times New Roman"/>
                <w:sz w:val="18"/>
                <w:szCs w:val="18"/>
              </w:rPr>
              <w:t>10. “Shtet Anëtar zbatues” është një shtet anëtar që, për vitin fiskal raportues përkatës, ka zbatuar rregullin e përfshirjes së të ardhurave (RPA/IIR), rregullin për fitimin e nëntatuar (RFN/UTPR), ose të dyja.</w:t>
            </w:r>
          </w:p>
        </w:tc>
        <w:tc>
          <w:tcPr>
            <w:tcW w:w="720" w:type="dxa"/>
          </w:tcPr>
          <w:p w14:paraId="3C16DEDB" w14:textId="77777777" w:rsidR="00E172D2" w:rsidRPr="007E4C0D" w:rsidRDefault="00E172D2" w:rsidP="003C045B">
            <w:pPr>
              <w:jc w:val="center"/>
              <w:rPr>
                <w:rFonts w:ascii="Times New Roman" w:eastAsia="Calibri" w:hAnsi="Times New Roman" w:cs="Times New Roman"/>
                <w:sz w:val="18"/>
                <w:szCs w:val="18"/>
              </w:rPr>
            </w:pPr>
          </w:p>
          <w:p w14:paraId="1CF8E656" w14:textId="449BD990" w:rsidR="00EB2C6A" w:rsidRPr="007E4C0D" w:rsidRDefault="00012FF0"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5B465FA1" w14:textId="77777777" w:rsidR="008036D5" w:rsidRPr="007E4C0D" w:rsidRDefault="008036D5" w:rsidP="008036D5">
            <w:pPr>
              <w:rPr>
                <w:rFonts w:ascii="Times New Roman" w:eastAsia="Calibri" w:hAnsi="Times New Roman" w:cs="Times New Roman"/>
                <w:sz w:val="18"/>
                <w:szCs w:val="18"/>
              </w:rPr>
            </w:pPr>
          </w:p>
          <w:p w14:paraId="13A92685" w14:textId="11F65F09" w:rsidR="00E172D2" w:rsidRPr="007E4C0D" w:rsidRDefault="00E172D2" w:rsidP="008036D5">
            <w:pPr>
              <w:rPr>
                <w:rFonts w:ascii="Times New Roman" w:eastAsia="Calibri" w:hAnsi="Times New Roman" w:cs="Times New Roman"/>
                <w:sz w:val="18"/>
                <w:szCs w:val="18"/>
              </w:rPr>
            </w:pPr>
          </w:p>
        </w:tc>
      </w:tr>
      <w:tr w:rsidR="00E67446" w:rsidRPr="007E4C0D" w14:paraId="59D7550E" w14:textId="77777777" w:rsidTr="00593EF8">
        <w:trPr>
          <w:trHeight w:val="1349"/>
        </w:trPr>
        <w:tc>
          <w:tcPr>
            <w:tcW w:w="630" w:type="dxa"/>
          </w:tcPr>
          <w:p w14:paraId="5B91E6AC" w14:textId="77777777" w:rsidR="00E67446" w:rsidRPr="007E4C0D" w:rsidRDefault="00E67446" w:rsidP="003C045B">
            <w:pPr>
              <w:jc w:val="both"/>
              <w:rPr>
                <w:rFonts w:ascii="Times New Roman" w:eastAsia="Calibri" w:hAnsi="Times New Roman" w:cs="Times New Roman"/>
                <w:sz w:val="18"/>
                <w:szCs w:val="18"/>
              </w:rPr>
            </w:pPr>
          </w:p>
        </w:tc>
        <w:tc>
          <w:tcPr>
            <w:tcW w:w="5310" w:type="dxa"/>
          </w:tcPr>
          <w:p w14:paraId="074B3957" w14:textId="33DAE28C" w:rsidR="00E67446" w:rsidRPr="007E4C0D" w:rsidRDefault="009822C7" w:rsidP="009822C7">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(2) “Shtet Anëtar vetëm për Taksë Shtesë Vendase të Kualifikuar (QDTT)” do të thotë një Shtet Anëtar që ka zbatuar vetëm një taksë shtesë vendase të kualifikuar, siç përcaktohet në Nenin 3, pika (28), të Direktivës (BE) 2022/2523 për vitin fiskal të dhënë Raportues;</w:t>
            </w:r>
          </w:p>
        </w:tc>
        <w:tc>
          <w:tcPr>
            <w:tcW w:w="540" w:type="dxa"/>
          </w:tcPr>
          <w:p w14:paraId="6BE384D0" w14:textId="77777777" w:rsidR="00E67446" w:rsidRPr="007E4C0D" w:rsidRDefault="00E67446" w:rsidP="003C045B">
            <w:pPr>
              <w:jc w:val="center"/>
              <w:rPr>
                <w:rFonts w:ascii="Times New Roman" w:eastAsia="Calibri" w:hAnsi="Times New Roman" w:cs="Times New Roman"/>
                <w:sz w:val="18"/>
                <w:szCs w:val="18"/>
                <w:highlight w:val="cyan"/>
              </w:rPr>
            </w:pPr>
          </w:p>
        </w:tc>
        <w:tc>
          <w:tcPr>
            <w:tcW w:w="630" w:type="dxa"/>
          </w:tcPr>
          <w:p w14:paraId="126B00F9" w14:textId="19DFE136" w:rsidR="00E67446" w:rsidRPr="007E4C0D" w:rsidRDefault="00E67446" w:rsidP="003C045B">
            <w:pPr>
              <w:jc w:val="center"/>
              <w:rPr>
                <w:rFonts w:ascii="Times New Roman" w:eastAsia="Calibri" w:hAnsi="Times New Roman" w:cs="Times New Roman"/>
                <w:sz w:val="18"/>
                <w:szCs w:val="18"/>
                <w:highlight w:val="cyan"/>
              </w:rPr>
            </w:pPr>
          </w:p>
        </w:tc>
        <w:tc>
          <w:tcPr>
            <w:tcW w:w="4964" w:type="dxa"/>
          </w:tcPr>
          <w:p w14:paraId="416CA033" w14:textId="77777777" w:rsidR="00AB5DD5" w:rsidRPr="007E4C0D" w:rsidRDefault="00AB5DD5" w:rsidP="00AB5DD5">
            <w:pPr>
              <w:spacing w:line="276" w:lineRule="auto"/>
              <w:jc w:val="center"/>
              <w:rPr>
                <w:rFonts w:ascii="Times New Roman" w:hAnsi="Times New Roman" w:cs="Times New Roman"/>
                <w:b/>
                <w:bCs/>
                <w:sz w:val="18"/>
                <w:szCs w:val="18"/>
                <w:lang w:val="sq-AL"/>
              </w:rPr>
            </w:pPr>
            <w:r w:rsidRPr="007E4C0D">
              <w:rPr>
                <w:rFonts w:ascii="Times New Roman" w:hAnsi="Times New Roman" w:cs="Times New Roman"/>
                <w:b/>
                <w:bCs/>
                <w:sz w:val="18"/>
                <w:szCs w:val="18"/>
                <w:lang w:val="sq-AL"/>
              </w:rPr>
              <w:t>Neni 4</w:t>
            </w:r>
          </w:p>
          <w:p w14:paraId="7F4AA88E" w14:textId="77777777" w:rsidR="00AB5DD5" w:rsidRPr="007E4C0D" w:rsidRDefault="00AB5DD5" w:rsidP="00AB5DD5">
            <w:pPr>
              <w:spacing w:line="276" w:lineRule="auto"/>
              <w:jc w:val="center"/>
              <w:rPr>
                <w:rFonts w:ascii="Times New Roman" w:hAnsi="Times New Roman" w:cs="Times New Roman"/>
                <w:b/>
                <w:bCs/>
                <w:sz w:val="18"/>
                <w:szCs w:val="18"/>
                <w:lang w:val="en-US"/>
              </w:rPr>
            </w:pPr>
            <w:r w:rsidRPr="007E4C0D">
              <w:rPr>
                <w:rFonts w:ascii="Times New Roman" w:hAnsi="Times New Roman" w:cs="Times New Roman"/>
                <w:b/>
                <w:bCs/>
                <w:sz w:val="18"/>
                <w:szCs w:val="18"/>
                <w:lang w:val="sq-AL"/>
              </w:rPr>
              <w:t>Përkufizime</w:t>
            </w:r>
          </w:p>
          <w:p w14:paraId="39E5D6C2" w14:textId="77777777" w:rsidR="00AB5DD5" w:rsidRPr="007E4C0D" w:rsidRDefault="00AB5DD5" w:rsidP="00922CBA">
            <w:pPr>
              <w:spacing w:line="276" w:lineRule="auto"/>
              <w:rPr>
                <w:rFonts w:ascii="Times New Roman" w:hAnsi="Times New Roman" w:cs="Times New Roman"/>
                <w:sz w:val="18"/>
                <w:szCs w:val="18"/>
              </w:rPr>
            </w:pPr>
          </w:p>
          <w:p w14:paraId="2E110908" w14:textId="414973A2" w:rsidR="00E67446" w:rsidRPr="007E4C0D" w:rsidRDefault="00CC3FA6" w:rsidP="00922CBA">
            <w:pPr>
              <w:spacing w:line="276" w:lineRule="auto"/>
              <w:rPr>
                <w:rFonts w:ascii="Times New Roman" w:hAnsi="Times New Roman" w:cs="Times New Roman"/>
                <w:sz w:val="18"/>
                <w:szCs w:val="18"/>
              </w:rPr>
            </w:pPr>
            <w:r w:rsidRPr="007E4C0D">
              <w:rPr>
                <w:rFonts w:ascii="Times New Roman" w:hAnsi="Times New Roman" w:cs="Times New Roman"/>
                <w:sz w:val="18"/>
                <w:szCs w:val="18"/>
              </w:rPr>
              <w:t>9. “Shtet Anëtar vetëm me TMBKS/QDMTT” është një shtet anëtar që, për vitin fiskal raportues përkatës, ka zbatuar vetëm tatimin e brendshëm të kualifikuar shtesë (TMBKS/QDMTT).</w:t>
            </w:r>
          </w:p>
        </w:tc>
        <w:tc>
          <w:tcPr>
            <w:tcW w:w="720" w:type="dxa"/>
          </w:tcPr>
          <w:p w14:paraId="5E9430B3" w14:textId="755885EB" w:rsidR="00E67446" w:rsidRPr="007E4C0D" w:rsidRDefault="00012FF0" w:rsidP="00012FF0">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61D3717" w14:textId="68D9D251" w:rsidR="00E67446" w:rsidRPr="007E4C0D" w:rsidRDefault="00A45944" w:rsidP="00A45944">
            <w:pPr>
              <w:jc w:val="both"/>
              <w:rPr>
                <w:rFonts w:ascii="Times New Roman" w:eastAsia="Calibri" w:hAnsi="Times New Roman" w:cs="Times New Roman"/>
                <w:sz w:val="18"/>
                <w:szCs w:val="18"/>
              </w:rPr>
            </w:pPr>
            <w:r w:rsidRPr="007E4C0D">
              <w:rPr>
                <w:rFonts w:ascii="Times New Roman" w:eastAsia="Calibri" w:hAnsi="Times New Roman" w:cs="Times New Roman"/>
                <w:sz w:val="18"/>
                <w:szCs w:val="18"/>
              </w:rPr>
              <w:t>.</w:t>
            </w:r>
          </w:p>
        </w:tc>
      </w:tr>
      <w:tr w:rsidR="00B46145" w:rsidRPr="007E4C0D" w14:paraId="17E5AF2A" w14:textId="77777777" w:rsidTr="00593EF8">
        <w:trPr>
          <w:trHeight w:val="2204"/>
        </w:trPr>
        <w:tc>
          <w:tcPr>
            <w:tcW w:w="630" w:type="dxa"/>
          </w:tcPr>
          <w:p w14:paraId="25097CAA" w14:textId="77777777" w:rsidR="00B46145" w:rsidRPr="007E4C0D" w:rsidRDefault="00B46145" w:rsidP="003C045B">
            <w:pPr>
              <w:jc w:val="both"/>
              <w:rPr>
                <w:rFonts w:ascii="Times New Roman" w:eastAsia="Calibri" w:hAnsi="Times New Roman" w:cs="Times New Roman"/>
                <w:sz w:val="18"/>
                <w:szCs w:val="18"/>
              </w:rPr>
            </w:pPr>
          </w:p>
        </w:tc>
        <w:tc>
          <w:tcPr>
            <w:tcW w:w="5310" w:type="dxa"/>
          </w:tcPr>
          <w:p w14:paraId="08C8778C" w14:textId="77777777" w:rsidR="009822C7" w:rsidRPr="007E4C0D" w:rsidRDefault="009822C7" w:rsidP="009822C7">
            <w:pPr>
              <w:jc w:val="both"/>
              <w:rPr>
                <w:rFonts w:ascii="Times New Roman" w:eastAsia="Calibri" w:hAnsi="Times New Roman" w:cs="Times New Roman"/>
                <w:iCs/>
                <w:sz w:val="18"/>
                <w:szCs w:val="18"/>
              </w:rPr>
            </w:pPr>
          </w:p>
          <w:p w14:paraId="780054BB" w14:textId="4F78636D" w:rsidR="00B46145" w:rsidRPr="007E4C0D" w:rsidRDefault="009822C7" w:rsidP="009822C7">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(3) “Deklaratë informacioni tatimor plotësues” do të thotë deklarata e informacionit e paraqitur nga një entitet mëmë përfundimtar, entitet i caktuar deklarues, entitet i caktuar vendor ose entitet përbërës për të cilin është përcaktuar një model standard në Seksionin IV të këtij Aneksi;</w:t>
            </w:r>
          </w:p>
        </w:tc>
        <w:tc>
          <w:tcPr>
            <w:tcW w:w="540" w:type="dxa"/>
          </w:tcPr>
          <w:p w14:paraId="3FBF7502" w14:textId="77777777" w:rsidR="00B46145" w:rsidRPr="007E4C0D" w:rsidRDefault="00B46145" w:rsidP="003C045B">
            <w:pPr>
              <w:jc w:val="center"/>
              <w:rPr>
                <w:rFonts w:ascii="Times New Roman" w:eastAsia="Calibri" w:hAnsi="Times New Roman" w:cs="Times New Roman"/>
                <w:sz w:val="18"/>
                <w:szCs w:val="18"/>
                <w:highlight w:val="cyan"/>
              </w:rPr>
            </w:pPr>
          </w:p>
        </w:tc>
        <w:tc>
          <w:tcPr>
            <w:tcW w:w="630" w:type="dxa"/>
          </w:tcPr>
          <w:p w14:paraId="2EF896EF" w14:textId="60F938C7" w:rsidR="002D7485" w:rsidRPr="007E4C0D" w:rsidRDefault="002D7485" w:rsidP="00922CBA">
            <w:pPr>
              <w:jc w:val="center"/>
              <w:rPr>
                <w:rFonts w:ascii="Times New Roman" w:eastAsia="Calibri" w:hAnsi="Times New Roman" w:cs="Times New Roman"/>
                <w:sz w:val="18"/>
                <w:szCs w:val="18"/>
              </w:rPr>
            </w:pPr>
          </w:p>
        </w:tc>
        <w:tc>
          <w:tcPr>
            <w:tcW w:w="4964" w:type="dxa"/>
          </w:tcPr>
          <w:p w14:paraId="24615647" w14:textId="77777777" w:rsidR="00AB5DD5" w:rsidRPr="007E4C0D" w:rsidRDefault="00BA7D26" w:rsidP="00AB5DD5">
            <w:pPr>
              <w:spacing w:line="276" w:lineRule="auto"/>
              <w:jc w:val="center"/>
              <w:rPr>
                <w:rFonts w:ascii="Times New Roman" w:hAnsi="Times New Roman" w:cs="Times New Roman"/>
                <w:b/>
                <w:bCs/>
                <w:sz w:val="18"/>
                <w:szCs w:val="18"/>
                <w:lang w:val="sq-AL"/>
              </w:rPr>
            </w:pPr>
            <w:r w:rsidRPr="007E4C0D">
              <w:rPr>
                <w:rFonts w:ascii="Times New Roman" w:eastAsia="Times New Roman" w:hAnsi="Times New Roman" w:cs="Times New Roman"/>
                <w:sz w:val="18"/>
                <w:szCs w:val="18"/>
              </w:rPr>
              <w:br/>
            </w:r>
            <w:r w:rsidR="00AB5DD5" w:rsidRPr="007E4C0D">
              <w:rPr>
                <w:rFonts w:ascii="Times New Roman" w:hAnsi="Times New Roman" w:cs="Times New Roman"/>
                <w:b/>
                <w:bCs/>
                <w:sz w:val="18"/>
                <w:szCs w:val="18"/>
                <w:lang w:val="sq-AL"/>
              </w:rPr>
              <w:t>Neni 4</w:t>
            </w:r>
          </w:p>
          <w:p w14:paraId="4537A35B" w14:textId="77777777" w:rsidR="00AB5DD5" w:rsidRPr="007E4C0D" w:rsidRDefault="00AB5DD5" w:rsidP="00AB5DD5">
            <w:pPr>
              <w:spacing w:line="276" w:lineRule="auto"/>
              <w:jc w:val="center"/>
              <w:rPr>
                <w:rFonts w:ascii="Times New Roman" w:hAnsi="Times New Roman" w:cs="Times New Roman"/>
                <w:b/>
                <w:bCs/>
                <w:sz w:val="18"/>
                <w:szCs w:val="18"/>
                <w:lang w:val="en-US"/>
              </w:rPr>
            </w:pPr>
            <w:r w:rsidRPr="007E4C0D">
              <w:rPr>
                <w:rFonts w:ascii="Times New Roman" w:hAnsi="Times New Roman" w:cs="Times New Roman"/>
                <w:b/>
                <w:bCs/>
                <w:sz w:val="18"/>
                <w:szCs w:val="18"/>
                <w:lang w:val="sq-AL"/>
              </w:rPr>
              <w:t>Përkufizime</w:t>
            </w:r>
          </w:p>
          <w:p w14:paraId="11C31410" w14:textId="0282B16E" w:rsidR="00B46145" w:rsidRPr="007E4C0D" w:rsidRDefault="000437DD" w:rsidP="000437DD">
            <w:pPr>
              <w:spacing w:before="100" w:beforeAutospacing="1" w:after="100" w:afterAutospacing="1" w:line="276" w:lineRule="auto"/>
              <w:jc w:val="both"/>
              <w:rPr>
                <w:rFonts w:ascii="Times New Roman" w:hAnsi="Times New Roman" w:cs="Times New Roman"/>
                <w:sz w:val="18"/>
                <w:szCs w:val="18"/>
              </w:rPr>
            </w:pPr>
            <w:r w:rsidRPr="007E4C0D">
              <w:rPr>
                <w:rFonts w:ascii="Times New Roman" w:hAnsi="Times New Roman" w:cs="Times New Roman"/>
                <w:sz w:val="18"/>
                <w:szCs w:val="18"/>
              </w:rPr>
              <w:t>1. “Deklarata Informative e Tatimit Shtesë (TTIR)” është deklarata informative për tatimin shtesë që depozitohet sipas modelit standard të përcaktuar për këtë qëllim nga entiteti mëmë i fundit, entiteti i caktuar për deklarim, entiteti i caktuar vendor ose, sipas rastit, nga një entitet përbërës, në përputhje me këtë ligj dhe Ligjin për Tatimin Minimal Global.</w:t>
            </w:r>
          </w:p>
        </w:tc>
        <w:tc>
          <w:tcPr>
            <w:tcW w:w="720" w:type="dxa"/>
          </w:tcPr>
          <w:p w14:paraId="03E55700" w14:textId="7C60CF7F" w:rsidR="00B46145" w:rsidRPr="007E4C0D" w:rsidRDefault="00B46145" w:rsidP="003C045B">
            <w:pPr>
              <w:jc w:val="center"/>
              <w:rPr>
                <w:rFonts w:ascii="Times New Roman" w:eastAsia="Calibri" w:hAnsi="Times New Roman" w:cs="Times New Roman"/>
                <w:sz w:val="18"/>
                <w:szCs w:val="18"/>
              </w:rPr>
            </w:pPr>
          </w:p>
        </w:tc>
        <w:tc>
          <w:tcPr>
            <w:tcW w:w="3406" w:type="dxa"/>
          </w:tcPr>
          <w:p w14:paraId="10473C6C" w14:textId="7ED476B1" w:rsidR="00B46145" w:rsidRPr="007E4C0D" w:rsidRDefault="00B46145" w:rsidP="008036D5">
            <w:pPr>
              <w:rPr>
                <w:rFonts w:ascii="Times New Roman" w:eastAsia="Calibri" w:hAnsi="Times New Roman" w:cs="Times New Roman"/>
                <w:sz w:val="18"/>
                <w:szCs w:val="18"/>
              </w:rPr>
            </w:pPr>
          </w:p>
        </w:tc>
      </w:tr>
      <w:tr w:rsidR="00B46145" w:rsidRPr="007E4C0D" w14:paraId="380D92EC" w14:textId="77777777" w:rsidTr="00593EF8">
        <w:trPr>
          <w:trHeight w:val="1844"/>
        </w:trPr>
        <w:tc>
          <w:tcPr>
            <w:tcW w:w="630" w:type="dxa"/>
          </w:tcPr>
          <w:p w14:paraId="758B545D" w14:textId="77777777" w:rsidR="00B46145" w:rsidRPr="007E4C0D" w:rsidRDefault="00B46145" w:rsidP="003C045B">
            <w:pPr>
              <w:jc w:val="both"/>
              <w:rPr>
                <w:rFonts w:ascii="Times New Roman" w:eastAsia="Calibri" w:hAnsi="Times New Roman" w:cs="Times New Roman"/>
                <w:sz w:val="18"/>
                <w:szCs w:val="18"/>
              </w:rPr>
            </w:pPr>
          </w:p>
        </w:tc>
        <w:tc>
          <w:tcPr>
            <w:tcW w:w="5310" w:type="dxa"/>
          </w:tcPr>
          <w:p w14:paraId="2733D3C2" w14:textId="55E78700" w:rsidR="00613D48" w:rsidRPr="007E4C0D" w:rsidRDefault="00613D48" w:rsidP="00613D48">
            <w:pPr>
              <w:rPr>
                <w:rFonts w:ascii="Times New Roman" w:eastAsia="Calibri" w:hAnsi="Times New Roman" w:cs="Times New Roman"/>
                <w:iCs/>
                <w:sz w:val="18"/>
                <w:szCs w:val="18"/>
              </w:rPr>
            </w:pPr>
          </w:p>
          <w:p w14:paraId="7D307B8D" w14:textId="42EE29F7" w:rsidR="00B46145" w:rsidRPr="007E4C0D" w:rsidRDefault="009822C7" w:rsidP="009822C7">
            <w:pPr>
              <w:jc w:val="both"/>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(4) “Seksioni i përgjithshëm” do të thotë seksioni i deklaratës së informacionit tatimor plotësues që përmban informacion të përgjithshëm mbi grupin MNE në tërësi, duke përfshirë strukturën e tij korporative dhe një përmbledhje të nivelit të lartë të zbatimit të Direktivës (BE) 2022/2523, seksion i tillë që është në përputhje me Seksionin 1 të modelit standard për deklaratën e informacionit tatimor plotësues;</w:t>
            </w:r>
          </w:p>
        </w:tc>
        <w:tc>
          <w:tcPr>
            <w:tcW w:w="540" w:type="dxa"/>
          </w:tcPr>
          <w:p w14:paraId="4800D585" w14:textId="77777777" w:rsidR="00B46145" w:rsidRPr="007E4C0D" w:rsidRDefault="00B46145" w:rsidP="003C045B">
            <w:pPr>
              <w:jc w:val="center"/>
              <w:rPr>
                <w:rFonts w:ascii="Times New Roman" w:eastAsia="Calibri" w:hAnsi="Times New Roman" w:cs="Times New Roman"/>
                <w:sz w:val="18"/>
                <w:szCs w:val="18"/>
                <w:highlight w:val="cyan"/>
              </w:rPr>
            </w:pPr>
          </w:p>
        </w:tc>
        <w:tc>
          <w:tcPr>
            <w:tcW w:w="630" w:type="dxa"/>
          </w:tcPr>
          <w:p w14:paraId="630C2E8C" w14:textId="12F7221B" w:rsidR="00B46145" w:rsidRPr="007E4C0D" w:rsidRDefault="00B46145" w:rsidP="003C045B">
            <w:pPr>
              <w:jc w:val="center"/>
              <w:rPr>
                <w:rFonts w:ascii="Times New Roman" w:eastAsia="Calibri" w:hAnsi="Times New Roman" w:cs="Times New Roman"/>
                <w:sz w:val="18"/>
                <w:szCs w:val="18"/>
                <w:highlight w:val="cyan"/>
              </w:rPr>
            </w:pPr>
          </w:p>
        </w:tc>
        <w:tc>
          <w:tcPr>
            <w:tcW w:w="4964" w:type="dxa"/>
          </w:tcPr>
          <w:p w14:paraId="2BE5FE2F" w14:textId="77777777" w:rsidR="00AB5DD5" w:rsidRPr="007E4C0D" w:rsidRDefault="00AB5DD5" w:rsidP="00AB5DD5">
            <w:pPr>
              <w:spacing w:line="276" w:lineRule="auto"/>
              <w:jc w:val="center"/>
              <w:rPr>
                <w:rFonts w:ascii="Times New Roman" w:hAnsi="Times New Roman" w:cs="Times New Roman"/>
                <w:b/>
                <w:bCs/>
                <w:sz w:val="18"/>
                <w:szCs w:val="18"/>
                <w:lang w:val="sq-AL"/>
              </w:rPr>
            </w:pPr>
            <w:r w:rsidRPr="007E4C0D">
              <w:rPr>
                <w:rFonts w:ascii="Times New Roman" w:hAnsi="Times New Roman" w:cs="Times New Roman"/>
                <w:b/>
                <w:bCs/>
                <w:sz w:val="18"/>
                <w:szCs w:val="18"/>
                <w:lang w:val="sq-AL"/>
              </w:rPr>
              <w:t>Neni 4</w:t>
            </w:r>
          </w:p>
          <w:p w14:paraId="31551BDB" w14:textId="77777777" w:rsidR="00AB5DD5" w:rsidRPr="007E4C0D" w:rsidRDefault="00AB5DD5" w:rsidP="00AB5DD5">
            <w:pPr>
              <w:spacing w:line="276" w:lineRule="auto"/>
              <w:jc w:val="center"/>
              <w:rPr>
                <w:rFonts w:ascii="Times New Roman" w:hAnsi="Times New Roman" w:cs="Times New Roman"/>
                <w:b/>
                <w:bCs/>
                <w:sz w:val="18"/>
                <w:szCs w:val="18"/>
                <w:lang w:val="en-US"/>
              </w:rPr>
            </w:pPr>
            <w:r w:rsidRPr="007E4C0D">
              <w:rPr>
                <w:rFonts w:ascii="Times New Roman" w:hAnsi="Times New Roman" w:cs="Times New Roman"/>
                <w:b/>
                <w:bCs/>
                <w:sz w:val="18"/>
                <w:szCs w:val="18"/>
                <w:lang w:val="sq-AL"/>
              </w:rPr>
              <w:t>Përkufizime</w:t>
            </w:r>
          </w:p>
          <w:p w14:paraId="5204F5F9" w14:textId="77777777" w:rsidR="00AB5DD5" w:rsidRPr="007E4C0D" w:rsidRDefault="00AB5DD5" w:rsidP="00CC3FA6">
            <w:pPr>
              <w:jc w:val="both"/>
              <w:rPr>
                <w:rFonts w:ascii="Times New Roman" w:hAnsi="Times New Roman" w:cs="Times New Roman"/>
                <w:sz w:val="18"/>
                <w:szCs w:val="18"/>
              </w:rPr>
            </w:pPr>
          </w:p>
          <w:p w14:paraId="6562ABE4" w14:textId="614FEB5B" w:rsidR="00B46145" w:rsidRPr="007E4C0D" w:rsidRDefault="00CC3FA6" w:rsidP="00CC3FA6">
            <w:pPr>
              <w:jc w:val="both"/>
              <w:rPr>
                <w:rFonts w:ascii="Times New Roman" w:hAnsi="Times New Roman" w:cs="Times New Roman"/>
                <w:sz w:val="18"/>
                <w:szCs w:val="18"/>
              </w:rPr>
            </w:pPr>
            <w:r w:rsidRPr="007E4C0D">
              <w:rPr>
                <w:rFonts w:ascii="Times New Roman" w:hAnsi="Times New Roman" w:cs="Times New Roman"/>
                <w:sz w:val="18"/>
                <w:szCs w:val="18"/>
              </w:rPr>
              <w:t>4. “Seksioni i Përgjithshëm” është pjesa e TTIR-së që përmban informacion të përgjithshëm për grupin në tërësi, përfshirë strukturën e tij korporative dhe përmbledhjen e përgjithshme të zbatimit të rregullave të tatimit minimal efektiv.</w:t>
            </w:r>
          </w:p>
        </w:tc>
        <w:tc>
          <w:tcPr>
            <w:tcW w:w="720" w:type="dxa"/>
          </w:tcPr>
          <w:p w14:paraId="15692D69" w14:textId="018AD404" w:rsidR="00B46145" w:rsidRPr="007E4C0D" w:rsidRDefault="002D2682"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7EFFD7FA" w14:textId="1FD426DE" w:rsidR="00B46145" w:rsidRPr="007E4C0D" w:rsidRDefault="00B46145" w:rsidP="008036D5">
            <w:pPr>
              <w:rPr>
                <w:rFonts w:ascii="Times New Roman" w:eastAsia="Calibri" w:hAnsi="Times New Roman" w:cs="Times New Roman"/>
                <w:sz w:val="18"/>
                <w:szCs w:val="18"/>
              </w:rPr>
            </w:pPr>
          </w:p>
        </w:tc>
      </w:tr>
      <w:tr w:rsidR="009822C7" w:rsidRPr="007E4C0D" w14:paraId="06E309E1" w14:textId="77777777" w:rsidTr="00593EF8">
        <w:trPr>
          <w:trHeight w:val="1844"/>
        </w:trPr>
        <w:tc>
          <w:tcPr>
            <w:tcW w:w="630" w:type="dxa"/>
          </w:tcPr>
          <w:p w14:paraId="082A0B3A" w14:textId="77777777" w:rsidR="009822C7" w:rsidRPr="007E4C0D" w:rsidRDefault="009822C7" w:rsidP="003C045B">
            <w:pPr>
              <w:jc w:val="both"/>
              <w:rPr>
                <w:rFonts w:ascii="Times New Roman" w:eastAsia="Calibri" w:hAnsi="Times New Roman" w:cs="Times New Roman"/>
                <w:sz w:val="18"/>
                <w:szCs w:val="18"/>
              </w:rPr>
            </w:pPr>
          </w:p>
        </w:tc>
        <w:tc>
          <w:tcPr>
            <w:tcW w:w="5310" w:type="dxa"/>
          </w:tcPr>
          <w:p w14:paraId="420105A9" w14:textId="77777777" w:rsidR="009822C7" w:rsidRPr="007E4C0D" w:rsidRDefault="009822C7" w:rsidP="009822C7">
            <w:pPr>
              <w:rPr>
                <w:rFonts w:ascii="Times New Roman" w:eastAsia="Calibri" w:hAnsi="Times New Roman" w:cs="Times New Roman"/>
                <w:iCs/>
                <w:sz w:val="18"/>
                <w:szCs w:val="18"/>
              </w:rPr>
            </w:pPr>
          </w:p>
          <w:p w14:paraId="4FFD67E4" w14:textId="48FCD016" w:rsidR="009822C7" w:rsidRPr="007E4C0D" w:rsidRDefault="009822C7" w:rsidP="009822C7">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(5) “Seksionet juridiksionale” do të thotë seksionet e deklaratës së informacionit tatimor shtesë që përmbajnë informacion mbi zbatimin e detajuar të IIR-it të kualifikuar, UTPR-së së kualifikuar dhe taksës së brendshme shtesë të kualifikuar në lidhje me çdo juridiksion ku vepron grupi MNE, seksione të tilla që janë në përputhje me Seksionet 2 dhe 3 të modelit standard për deklaratën e informacionit tatimor shtesë;</w:t>
            </w:r>
          </w:p>
        </w:tc>
        <w:tc>
          <w:tcPr>
            <w:tcW w:w="540" w:type="dxa"/>
          </w:tcPr>
          <w:p w14:paraId="47877C08" w14:textId="77777777" w:rsidR="009822C7" w:rsidRPr="007E4C0D" w:rsidRDefault="009822C7" w:rsidP="003C045B">
            <w:pPr>
              <w:jc w:val="center"/>
              <w:rPr>
                <w:rFonts w:ascii="Times New Roman" w:eastAsia="Calibri" w:hAnsi="Times New Roman" w:cs="Times New Roman"/>
                <w:sz w:val="18"/>
                <w:szCs w:val="18"/>
                <w:highlight w:val="cyan"/>
              </w:rPr>
            </w:pPr>
          </w:p>
        </w:tc>
        <w:tc>
          <w:tcPr>
            <w:tcW w:w="630" w:type="dxa"/>
          </w:tcPr>
          <w:p w14:paraId="33AE0F75" w14:textId="77777777" w:rsidR="009822C7" w:rsidRPr="007E4C0D" w:rsidRDefault="009822C7" w:rsidP="003C045B">
            <w:pPr>
              <w:jc w:val="center"/>
              <w:rPr>
                <w:rFonts w:ascii="Times New Roman" w:eastAsia="Calibri" w:hAnsi="Times New Roman" w:cs="Times New Roman"/>
                <w:sz w:val="18"/>
                <w:szCs w:val="18"/>
                <w:highlight w:val="cyan"/>
              </w:rPr>
            </w:pPr>
          </w:p>
        </w:tc>
        <w:tc>
          <w:tcPr>
            <w:tcW w:w="4964" w:type="dxa"/>
          </w:tcPr>
          <w:p w14:paraId="235D2B39" w14:textId="77777777" w:rsidR="00AB5DD5" w:rsidRPr="007E4C0D" w:rsidRDefault="00AB5DD5" w:rsidP="00AB5DD5">
            <w:pPr>
              <w:spacing w:line="276" w:lineRule="auto"/>
              <w:jc w:val="center"/>
              <w:rPr>
                <w:rFonts w:ascii="Times New Roman" w:hAnsi="Times New Roman" w:cs="Times New Roman"/>
                <w:b/>
                <w:bCs/>
                <w:sz w:val="18"/>
                <w:szCs w:val="18"/>
                <w:lang w:val="sq-AL"/>
              </w:rPr>
            </w:pPr>
            <w:r w:rsidRPr="007E4C0D">
              <w:rPr>
                <w:rFonts w:ascii="Times New Roman" w:hAnsi="Times New Roman" w:cs="Times New Roman"/>
                <w:b/>
                <w:bCs/>
                <w:sz w:val="18"/>
                <w:szCs w:val="18"/>
                <w:lang w:val="sq-AL"/>
              </w:rPr>
              <w:t>Neni 4</w:t>
            </w:r>
          </w:p>
          <w:p w14:paraId="484FF469" w14:textId="77777777" w:rsidR="00AB5DD5" w:rsidRPr="007E4C0D" w:rsidRDefault="00AB5DD5" w:rsidP="00AB5DD5">
            <w:pPr>
              <w:spacing w:line="276" w:lineRule="auto"/>
              <w:jc w:val="center"/>
              <w:rPr>
                <w:rFonts w:ascii="Times New Roman" w:hAnsi="Times New Roman" w:cs="Times New Roman"/>
                <w:b/>
                <w:bCs/>
                <w:sz w:val="18"/>
                <w:szCs w:val="18"/>
                <w:lang w:val="en-US"/>
              </w:rPr>
            </w:pPr>
            <w:r w:rsidRPr="007E4C0D">
              <w:rPr>
                <w:rFonts w:ascii="Times New Roman" w:hAnsi="Times New Roman" w:cs="Times New Roman"/>
                <w:b/>
                <w:bCs/>
                <w:sz w:val="18"/>
                <w:szCs w:val="18"/>
                <w:lang w:val="sq-AL"/>
              </w:rPr>
              <w:t>Përkufizime</w:t>
            </w:r>
          </w:p>
          <w:p w14:paraId="72F154E4" w14:textId="77777777" w:rsidR="00AB5DD5" w:rsidRPr="007E4C0D" w:rsidRDefault="00AB5DD5" w:rsidP="00CC3FA6">
            <w:pPr>
              <w:jc w:val="both"/>
              <w:rPr>
                <w:rFonts w:ascii="Times New Roman" w:hAnsi="Times New Roman" w:cs="Times New Roman"/>
                <w:sz w:val="18"/>
                <w:szCs w:val="18"/>
              </w:rPr>
            </w:pPr>
          </w:p>
          <w:p w14:paraId="3793B919" w14:textId="5797BB17" w:rsidR="009822C7" w:rsidRPr="007E4C0D" w:rsidRDefault="00CC3FA6" w:rsidP="00CC3FA6">
            <w:pPr>
              <w:jc w:val="both"/>
              <w:rPr>
                <w:rFonts w:ascii="Times New Roman" w:hAnsi="Times New Roman" w:cs="Times New Roman"/>
                <w:sz w:val="18"/>
                <w:szCs w:val="18"/>
              </w:rPr>
            </w:pPr>
            <w:r w:rsidRPr="007E4C0D">
              <w:rPr>
                <w:rFonts w:ascii="Times New Roman" w:hAnsi="Times New Roman" w:cs="Times New Roman"/>
                <w:sz w:val="18"/>
                <w:szCs w:val="18"/>
              </w:rPr>
              <w:t>5. “Seksionet Juridiksionale” janë pjesët e TTIR-së që përmbajnë informacion të detajuar për zbatimin e rregullit të përfshirjes së të ardhurave (RPA/IIR), rregullit për fitimin e nëntatuar (RFN/UTPR) dhe tatimit të brendshëm të kualifikuar shtesë (TMBKS/QDMTT) për secilin juridiksion në të cilin vepron grupi.</w:t>
            </w:r>
          </w:p>
        </w:tc>
        <w:tc>
          <w:tcPr>
            <w:tcW w:w="720" w:type="dxa"/>
          </w:tcPr>
          <w:p w14:paraId="3930B366" w14:textId="45F440AB" w:rsidR="009822C7" w:rsidRPr="007E4C0D" w:rsidRDefault="002D2682"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1C5F1631" w14:textId="77777777" w:rsidR="009822C7" w:rsidRPr="007E4C0D" w:rsidRDefault="009822C7" w:rsidP="008036D5">
            <w:pPr>
              <w:rPr>
                <w:rFonts w:ascii="Times New Roman" w:eastAsia="Calibri" w:hAnsi="Times New Roman" w:cs="Times New Roman"/>
                <w:sz w:val="18"/>
                <w:szCs w:val="18"/>
              </w:rPr>
            </w:pPr>
          </w:p>
        </w:tc>
      </w:tr>
      <w:tr w:rsidR="009822C7" w:rsidRPr="007E4C0D" w14:paraId="2E923C1B" w14:textId="77777777" w:rsidTr="00593EF8">
        <w:trPr>
          <w:trHeight w:val="1106"/>
        </w:trPr>
        <w:tc>
          <w:tcPr>
            <w:tcW w:w="630" w:type="dxa"/>
          </w:tcPr>
          <w:p w14:paraId="6B8A00A9" w14:textId="77777777" w:rsidR="009822C7" w:rsidRPr="007E4C0D" w:rsidRDefault="009822C7" w:rsidP="003C045B">
            <w:pPr>
              <w:jc w:val="both"/>
              <w:rPr>
                <w:rFonts w:ascii="Times New Roman" w:eastAsia="Calibri" w:hAnsi="Times New Roman" w:cs="Times New Roman"/>
                <w:sz w:val="18"/>
                <w:szCs w:val="18"/>
              </w:rPr>
            </w:pPr>
          </w:p>
        </w:tc>
        <w:tc>
          <w:tcPr>
            <w:tcW w:w="5310" w:type="dxa"/>
          </w:tcPr>
          <w:p w14:paraId="28483F85" w14:textId="118FE7D0" w:rsidR="009822C7" w:rsidRPr="007E4C0D" w:rsidRDefault="009822C7" w:rsidP="009822C7">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(6) “Vit fiskal raportues” do të thotë viti fiskal me të cilin lidhet deklarata e informacionit tatimor plotësues.</w:t>
            </w:r>
          </w:p>
        </w:tc>
        <w:tc>
          <w:tcPr>
            <w:tcW w:w="540" w:type="dxa"/>
          </w:tcPr>
          <w:p w14:paraId="76B988FC" w14:textId="77777777" w:rsidR="009822C7" w:rsidRPr="007E4C0D" w:rsidRDefault="009822C7" w:rsidP="003C045B">
            <w:pPr>
              <w:jc w:val="center"/>
              <w:rPr>
                <w:rFonts w:ascii="Times New Roman" w:eastAsia="Calibri" w:hAnsi="Times New Roman" w:cs="Times New Roman"/>
                <w:sz w:val="18"/>
                <w:szCs w:val="18"/>
                <w:highlight w:val="cyan"/>
              </w:rPr>
            </w:pPr>
          </w:p>
        </w:tc>
        <w:tc>
          <w:tcPr>
            <w:tcW w:w="630" w:type="dxa"/>
          </w:tcPr>
          <w:p w14:paraId="46C92A2D" w14:textId="77777777" w:rsidR="009822C7" w:rsidRPr="007E4C0D" w:rsidRDefault="009822C7" w:rsidP="003C045B">
            <w:pPr>
              <w:jc w:val="center"/>
              <w:rPr>
                <w:rFonts w:ascii="Times New Roman" w:eastAsia="Calibri" w:hAnsi="Times New Roman" w:cs="Times New Roman"/>
                <w:sz w:val="18"/>
                <w:szCs w:val="18"/>
                <w:highlight w:val="cyan"/>
              </w:rPr>
            </w:pPr>
          </w:p>
        </w:tc>
        <w:tc>
          <w:tcPr>
            <w:tcW w:w="4964" w:type="dxa"/>
          </w:tcPr>
          <w:p w14:paraId="2F52B27A" w14:textId="77777777" w:rsidR="00AB5DD5" w:rsidRPr="007E4C0D" w:rsidRDefault="00AB5DD5" w:rsidP="00AB5DD5">
            <w:pPr>
              <w:spacing w:line="276" w:lineRule="auto"/>
              <w:jc w:val="center"/>
              <w:rPr>
                <w:rFonts w:ascii="Times New Roman" w:hAnsi="Times New Roman" w:cs="Times New Roman"/>
                <w:b/>
                <w:bCs/>
                <w:sz w:val="18"/>
                <w:szCs w:val="18"/>
                <w:lang w:val="sq-AL"/>
              </w:rPr>
            </w:pPr>
            <w:r w:rsidRPr="007E4C0D">
              <w:rPr>
                <w:rFonts w:ascii="Times New Roman" w:hAnsi="Times New Roman" w:cs="Times New Roman"/>
                <w:b/>
                <w:bCs/>
                <w:sz w:val="18"/>
                <w:szCs w:val="18"/>
                <w:lang w:val="sq-AL"/>
              </w:rPr>
              <w:t>Neni 4</w:t>
            </w:r>
          </w:p>
          <w:p w14:paraId="1295D1B5" w14:textId="77777777" w:rsidR="00AB5DD5" w:rsidRPr="007E4C0D" w:rsidRDefault="00AB5DD5" w:rsidP="00AB5DD5">
            <w:pPr>
              <w:spacing w:line="276" w:lineRule="auto"/>
              <w:jc w:val="center"/>
              <w:rPr>
                <w:rFonts w:ascii="Times New Roman" w:hAnsi="Times New Roman" w:cs="Times New Roman"/>
                <w:b/>
                <w:bCs/>
                <w:sz w:val="18"/>
                <w:szCs w:val="18"/>
                <w:lang w:val="en-US"/>
              </w:rPr>
            </w:pPr>
            <w:r w:rsidRPr="007E4C0D">
              <w:rPr>
                <w:rFonts w:ascii="Times New Roman" w:hAnsi="Times New Roman" w:cs="Times New Roman"/>
                <w:b/>
                <w:bCs/>
                <w:sz w:val="18"/>
                <w:szCs w:val="18"/>
                <w:lang w:val="sq-AL"/>
              </w:rPr>
              <w:t>Përkufizime</w:t>
            </w:r>
          </w:p>
          <w:p w14:paraId="775F0447" w14:textId="77777777" w:rsidR="00AB5DD5" w:rsidRPr="007E4C0D" w:rsidRDefault="00AB5DD5" w:rsidP="00810F77">
            <w:pPr>
              <w:jc w:val="both"/>
              <w:rPr>
                <w:rFonts w:ascii="Times New Roman" w:hAnsi="Times New Roman" w:cs="Times New Roman"/>
                <w:sz w:val="18"/>
                <w:szCs w:val="18"/>
              </w:rPr>
            </w:pPr>
          </w:p>
          <w:p w14:paraId="1491D38B" w14:textId="0AF1BFFD" w:rsidR="00810F77" w:rsidRPr="007E4C0D" w:rsidRDefault="00810F77" w:rsidP="00810F77">
            <w:pPr>
              <w:jc w:val="both"/>
              <w:rPr>
                <w:rFonts w:ascii="Times New Roman" w:hAnsi="Times New Roman" w:cs="Times New Roman"/>
                <w:sz w:val="18"/>
                <w:szCs w:val="18"/>
              </w:rPr>
            </w:pPr>
            <w:r w:rsidRPr="007E4C0D">
              <w:rPr>
                <w:rFonts w:ascii="Times New Roman" w:hAnsi="Times New Roman" w:cs="Times New Roman"/>
                <w:sz w:val="18"/>
                <w:szCs w:val="18"/>
              </w:rPr>
              <w:t>6. “Vit fiskal raportues” është viti fiskal me të cilin lidhet TTIR-ja.</w:t>
            </w:r>
          </w:p>
          <w:p w14:paraId="2E63D94A" w14:textId="77777777" w:rsidR="009822C7" w:rsidRPr="007E4C0D" w:rsidRDefault="009822C7" w:rsidP="00654FB9">
            <w:pPr>
              <w:jc w:val="center"/>
              <w:rPr>
                <w:rFonts w:ascii="Times New Roman" w:hAnsi="Times New Roman" w:cs="Times New Roman"/>
                <w:sz w:val="18"/>
                <w:szCs w:val="18"/>
              </w:rPr>
            </w:pPr>
          </w:p>
        </w:tc>
        <w:tc>
          <w:tcPr>
            <w:tcW w:w="720" w:type="dxa"/>
          </w:tcPr>
          <w:p w14:paraId="4793B6A9" w14:textId="4661C833" w:rsidR="009822C7" w:rsidRPr="007E4C0D" w:rsidRDefault="002D2682" w:rsidP="003C045B">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08D355E1" w14:textId="77777777" w:rsidR="009822C7" w:rsidRPr="007E4C0D" w:rsidRDefault="009822C7" w:rsidP="008036D5">
            <w:pPr>
              <w:rPr>
                <w:rFonts w:ascii="Times New Roman" w:eastAsia="Calibri" w:hAnsi="Times New Roman" w:cs="Times New Roman"/>
                <w:sz w:val="18"/>
                <w:szCs w:val="18"/>
              </w:rPr>
            </w:pPr>
          </w:p>
        </w:tc>
      </w:tr>
      <w:tr w:rsidR="009822C7" w:rsidRPr="007E4C0D" w14:paraId="19ECD2AB" w14:textId="77777777" w:rsidTr="00593EF8">
        <w:trPr>
          <w:trHeight w:val="1844"/>
        </w:trPr>
        <w:tc>
          <w:tcPr>
            <w:tcW w:w="630" w:type="dxa"/>
          </w:tcPr>
          <w:p w14:paraId="7A850212" w14:textId="77777777" w:rsidR="009822C7" w:rsidRPr="007E4C0D" w:rsidRDefault="009822C7" w:rsidP="00217C08">
            <w:pPr>
              <w:jc w:val="both"/>
              <w:rPr>
                <w:rFonts w:ascii="Times New Roman" w:eastAsia="Calibri" w:hAnsi="Times New Roman" w:cs="Times New Roman"/>
                <w:sz w:val="18"/>
                <w:szCs w:val="18"/>
              </w:rPr>
            </w:pPr>
          </w:p>
        </w:tc>
        <w:tc>
          <w:tcPr>
            <w:tcW w:w="5310" w:type="dxa"/>
          </w:tcPr>
          <w:p w14:paraId="275C8533" w14:textId="77777777" w:rsidR="009822C7" w:rsidRPr="007E4C0D" w:rsidRDefault="009822C7" w:rsidP="009822C7">
            <w:pP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SEKSIONI II</w:t>
            </w:r>
          </w:p>
          <w:p w14:paraId="236EB033" w14:textId="77777777" w:rsidR="009822C7" w:rsidRPr="007E4C0D" w:rsidRDefault="009822C7" w:rsidP="009822C7">
            <w:pPr>
              <w:rPr>
                <w:rFonts w:ascii="Times New Roman" w:eastAsia="Calibri" w:hAnsi="Times New Roman" w:cs="Times New Roman"/>
                <w:b/>
                <w:iCs/>
                <w:sz w:val="18"/>
                <w:szCs w:val="18"/>
              </w:rPr>
            </w:pPr>
          </w:p>
          <w:p w14:paraId="686A509E" w14:textId="77777777" w:rsidR="009822C7" w:rsidRPr="007E4C0D" w:rsidRDefault="009822C7" w:rsidP="009822C7">
            <w:pP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KËRKESAT PËR PARAQITJE</w:t>
            </w:r>
          </w:p>
          <w:p w14:paraId="51A3B129" w14:textId="77777777" w:rsidR="009822C7" w:rsidRPr="007E4C0D" w:rsidRDefault="009822C7" w:rsidP="009822C7">
            <w:pPr>
              <w:rPr>
                <w:rFonts w:ascii="Times New Roman" w:eastAsia="Calibri" w:hAnsi="Times New Roman" w:cs="Times New Roman"/>
                <w:iCs/>
                <w:sz w:val="18"/>
                <w:szCs w:val="18"/>
              </w:rPr>
            </w:pPr>
          </w:p>
          <w:p w14:paraId="5BAD7116" w14:textId="0FD06417" w:rsidR="009822C7" w:rsidRPr="007E4C0D" w:rsidRDefault="009822C7" w:rsidP="009822C7">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Entiteti përbërës që paraqet deklaratën e informacionit tatimor shtesë duhet të identifikojë seksionet përkatëse dhe Shtetet Anëtare përkatëse ku informacioni do të shpërndahet në përputhje me qasjen e shpërndarjes të përcaktuar në Nenin 8ae.</w:t>
            </w:r>
          </w:p>
        </w:tc>
        <w:tc>
          <w:tcPr>
            <w:tcW w:w="540" w:type="dxa"/>
          </w:tcPr>
          <w:p w14:paraId="27D83F45" w14:textId="77777777" w:rsidR="009822C7" w:rsidRPr="007E4C0D" w:rsidRDefault="009822C7" w:rsidP="00217C08">
            <w:pPr>
              <w:jc w:val="center"/>
              <w:rPr>
                <w:rFonts w:ascii="Times New Roman" w:eastAsia="Calibri" w:hAnsi="Times New Roman" w:cs="Times New Roman"/>
                <w:sz w:val="18"/>
                <w:szCs w:val="18"/>
                <w:highlight w:val="cyan"/>
              </w:rPr>
            </w:pPr>
          </w:p>
        </w:tc>
        <w:tc>
          <w:tcPr>
            <w:tcW w:w="630" w:type="dxa"/>
          </w:tcPr>
          <w:p w14:paraId="2E001196" w14:textId="77777777" w:rsidR="009822C7" w:rsidRPr="007E4C0D" w:rsidRDefault="009822C7" w:rsidP="00217C08">
            <w:pPr>
              <w:jc w:val="center"/>
              <w:rPr>
                <w:rFonts w:ascii="Times New Roman" w:eastAsia="Calibri" w:hAnsi="Times New Roman" w:cs="Times New Roman"/>
                <w:sz w:val="18"/>
                <w:szCs w:val="18"/>
                <w:highlight w:val="cyan"/>
              </w:rPr>
            </w:pPr>
          </w:p>
        </w:tc>
        <w:tc>
          <w:tcPr>
            <w:tcW w:w="4964" w:type="dxa"/>
          </w:tcPr>
          <w:p w14:paraId="227FF17B" w14:textId="77777777" w:rsidR="00217B98" w:rsidRPr="007E4C0D" w:rsidRDefault="00217B98" w:rsidP="00217B98">
            <w:pPr>
              <w:jc w:val="center"/>
              <w:rPr>
                <w:rFonts w:ascii="Times New Roman" w:hAnsi="Times New Roman" w:cs="Times New Roman"/>
                <w:b/>
                <w:sz w:val="18"/>
                <w:szCs w:val="18"/>
              </w:rPr>
            </w:pPr>
            <w:r w:rsidRPr="007E4C0D">
              <w:rPr>
                <w:rFonts w:ascii="Times New Roman" w:hAnsi="Times New Roman" w:cs="Times New Roman"/>
                <w:b/>
                <w:sz w:val="18"/>
                <w:szCs w:val="18"/>
              </w:rPr>
              <w:t>Neni 11</w:t>
            </w:r>
          </w:p>
          <w:p w14:paraId="215FB3CF" w14:textId="4EEA321B" w:rsidR="00217B98" w:rsidRPr="007E4C0D" w:rsidRDefault="0029586D" w:rsidP="00217B98">
            <w:pPr>
              <w:jc w:val="center"/>
              <w:rPr>
                <w:rFonts w:ascii="Times New Roman" w:hAnsi="Times New Roman" w:cs="Times New Roman"/>
                <w:b/>
                <w:sz w:val="18"/>
                <w:szCs w:val="18"/>
              </w:rPr>
            </w:pPr>
            <w:r w:rsidRPr="007E4C0D">
              <w:rPr>
                <w:rFonts w:ascii="Times New Roman" w:hAnsi="Times New Roman" w:cs="Times New Roman"/>
                <w:b/>
                <w:sz w:val="18"/>
                <w:szCs w:val="18"/>
              </w:rPr>
              <w:t xml:space="preserve">Rregullat </w:t>
            </w:r>
            <w:r w:rsidR="00217B98" w:rsidRPr="007E4C0D">
              <w:rPr>
                <w:rFonts w:ascii="Times New Roman" w:hAnsi="Times New Roman" w:cs="Times New Roman"/>
                <w:b/>
                <w:sz w:val="18"/>
                <w:szCs w:val="18"/>
              </w:rPr>
              <w:t>e shpërndarjes së TTIR-së</w:t>
            </w:r>
          </w:p>
          <w:p w14:paraId="51D743C9" w14:textId="77777777" w:rsidR="00217B98" w:rsidRPr="007E4C0D" w:rsidRDefault="00217B98" w:rsidP="00217B98">
            <w:pPr>
              <w:spacing w:line="276" w:lineRule="auto"/>
              <w:jc w:val="center"/>
              <w:rPr>
                <w:rFonts w:ascii="Times New Roman" w:hAnsi="Times New Roman" w:cs="Times New Roman"/>
                <w:b/>
                <w:sz w:val="18"/>
                <w:szCs w:val="18"/>
              </w:rPr>
            </w:pPr>
          </w:p>
          <w:p w14:paraId="1B951A13" w14:textId="77777777" w:rsidR="007E4C0D" w:rsidRPr="007E4C0D" w:rsidRDefault="007E4C0D" w:rsidP="007E4C0D">
            <w:pPr>
              <w:spacing w:line="276" w:lineRule="auto"/>
              <w:jc w:val="both"/>
              <w:rPr>
                <w:rFonts w:ascii="Times New Roman" w:hAnsi="Times New Roman" w:cs="Times New Roman"/>
                <w:sz w:val="18"/>
                <w:szCs w:val="18"/>
              </w:rPr>
            </w:pPr>
            <w:r w:rsidRPr="007E4C0D">
              <w:rPr>
                <w:rFonts w:ascii="Times New Roman" w:hAnsi="Times New Roman" w:cs="Times New Roman"/>
                <w:sz w:val="18"/>
                <w:szCs w:val="18"/>
              </w:rPr>
              <w:t>1.</w:t>
            </w:r>
            <w:r w:rsidRPr="007E4C0D">
              <w:rPr>
                <w:rFonts w:ascii="Times New Roman" w:hAnsi="Times New Roman" w:cs="Times New Roman"/>
                <w:sz w:val="18"/>
                <w:szCs w:val="18"/>
              </w:rPr>
              <w:tab/>
              <w:t>Kur Drejtoria e Përgjithshme e Tatimeve merr TTIR-në e depozituar nga entiteti mëmë i fundit ose nga entiteti i caktuar për deklarim, ajo komunikon, nëpërmjet shkëmbimit automatik të informacionit, Seksionin e Përgjithshëm të TTIR-së tek shtetet anëtare zbatuese ku ndodhen entiteti mëmë i fundit ose entitetet përbërëse të grupit.</w:t>
            </w:r>
          </w:p>
          <w:p w14:paraId="42160B91" w14:textId="77777777" w:rsidR="007E4C0D" w:rsidRPr="007E4C0D" w:rsidRDefault="007E4C0D" w:rsidP="007E4C0D">
            <w:pPr>
              <w:spacing w:line="276" w:lineRule="auto"/>
              <w:jc w:val="both"/>
              <w:rPr>
                <w:rFonts w:ascii="Times New Roman" w:hAnsi="Times New Roman" w:cs="Times New Roman"/>
                <w:sz w:val="18"/>
                <w:szCs w:val="18"/>
              </w:rPr>
            </w:pPr>
            <w:r w:rsidRPr="007E4C0D">
              <w:rPr>
                <w:rFonts w:ascii="Times New Roman" w:hAnsi="Times New Roman" w:cs="Times New Roman"/>
                <w:sz w:val="18"/>
                <w:szCs w:val="18"/>
              </w:rPr>
              <w:t>2.</w:t>
            </w:r>
            <w:r w:rsidRPr="007E4C0D">
              <w:rPr>
                <w:rFonts w:ascii="Times New Roman" w:hAnsi="Times New Roman" w:cs="Times New Roman"/>
                <w:sz w:val="18"/>
                <w:szCs w:val="18"/>
              </w:rPr>
              <w:tab/>
              <w:t>Drejtoria e Përgjithshme e Tatimeve komunikon Seksionin e Përgjithshëm të TTIR-së, me përjashtim të informacionit përmbledhës të nivelit të lartë të modelit standard, tek shtetet anëtare që zbatojnë vetëm tatimin e brendshëm të kualifikuar shtesë (TMBKS/QDTT/QDMTT).</w:t>
            </w:r>
          </w:p>
          <w:p w14:paraId="62C68A26" w14:textId="77777777" w:rsidR="007E4C0D" w:rsidRPr="007E4C0D" w:rsidRDefault="007E4C0D" w:rsidP="007E4C0D">
            <w:pPr>
              <w:spacing w:line="276" w:lineRule="auto"/>
              <w:jc w:val="both"/>
              <w:rPr>
                <w:rFonts w:ascii="Times New Roman" w:hAnsi="Times New Roman" w:cs="Times New Roman"/>
                <w:sz w:val="18"/>
                <w:szCs w:val="18"/>
              </w:rPr>
            </w:pPr>
            <w:r w:rsidRPr="007E4C0D">
              <w:rPr>
                <w:rFonts w:ascii="Times New Roman" w:hAnsi="Times New Roman" w:cs="Times New Roman"/>
                <w:sz w:val="18"/>
                <w:szCs w:val="18"/>
              </w:rPr>
              <w:t>3.</w:t>
            </w:r>
            <w:r w:rsidRPr="007E4C0D">
              <w:rPr>
                <w:rFonts w:ascii="Times New Roman" w:hAnsi="Times New Roman" w:cs="Times New Roman"/>
                <w:sz w:val="18"/>
                <w:szCs w:val="18"/>
              </w:rPr>
              <w:tab/>
              <w:t>Drejtoria e Përgjithshme e Tatimeve komunikon një ose më shumë Seksione Juridiksionale tek shtetet anëtare që kanë të drejta tatimore, përfshirë të drejtat për tatimin e brendshëm të kualifikuar shtesë (TMBKS/QDTT/QDMTT), në lidhje me juridiksionet përkatëse.</w:t>
            </w:r>
          </w:p>
          <w:p w14:paraId="53AF60F6" w14:textId="75AEB0CA" w:rsidR="009822C7" w:rsidRPr="007E4C0D" w:rsidRDefault="007E4C0D" w:rsidP="007E4C0D">
            <w:pPr>
              <w:spacing w:line="276" w:lineRule="auto"/>
              <w:jc w:val="both"/>
              <w:rPr>
                <w:rFonts w:ascii="Times New Roman" w:hAnsi="Times New Roman" w:cs="Times New Roman"/>
                <w:sz w:val="18"/>
                <w:szCs w:val="18"/>
              </w:rPr>
            </w:pPr>
            <w:r w:rsidRPr="007E4C0D">
              <w:rPr>
                <w:rFonts w:ascii="Times New Roman" w:hAnsi="Times New Roman" w:cs="Times New Roman"/>
                <w:sz w:val="18"/>
                <w:szCs w:val="18"/>
              </w:rPr>
              <w:t>4.</w:t>
            </w:r>
            <w:r w:rsidRPr="007E4C0D">
              <w:rPr>
                <w:rFonts w:ascii="Times New Roman" w:hAnsi="Times New Roman" w:cs="Times New Roman"/>
                <w:sz w:val="18"/>
                <w:szCs w:val="18"/>
              </w:rPr>
              <w:tab/>
              <w:t>Juridiksionet që zbatojnë rregullin për fitimin e nëntatuar (RFN/UTPR) me përqindje zero marrin vetëm pjesën e TTIR-së që përmban informacionin për atribuimin e tatimit shtesë sipas rregullave RFN/UTPR për atë juridiksion.</w:t>
            </w:r>
          </w:p>
        </w:tc>
        <w:tc>
          <w:tcPr>
            <w:tcW w:w="720" w:type="dxa"/>
          </w:tcPr>
          <w:p w14:paraId="0A27A36C" w14:textId="304A16EF" w:rsidR="009822C7" w:rsidRPr="007E4C0D" w:rsidRDefault="002D2682" w:rsidP="00217C08">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2DB528D9" w14:textId="77777777" w:rsidR="009822C7" w:rsidRPr="007E4C0D" w:rsidRDefault="009822C7" w:rsidP="00217C08">
            <w:pPr>
              <w:rPr>
                <w:rFonts w:ascii="Times New Roman" w:eastAsia="Calibri" w:hAnsi="Times New Roman" w:cs="Times New Roman"/>
                <w:sz w:val="18"/>
                <w:szCs w:val="18"/>
              </w:rPr>
            </w:pPr>
          </w:p>
        </w:tc>
      </w:tr>
      <w:tr w:rsidR="009822C7" w:rsidRPr="007E4C0D" w14:paraId="29D7B478" w14:textId="77777777" w:rsidTr="00593EF8">
        <w:trPr>
          <w:trHeight w:val="1844"/>
        </w:trPr>
        <w:tc>
          <w:tcPr>
            <w:tcW w:w="630" w:type="dxa"/>
          </w:tcPr>
          <w:p w14:paraId="2D5AA8B0" w14:textId="77777777" w:rsidR="009822C7" w:rsidRPr="007E4C0D" w:rsidRDefault="009822C7" w:rsidP="00217C08">
            <w:pPr>
              <w:jc w:val="both"/>
              <w:rPr>
                <w:rFonts w:ascii="Times New Roman" w:eastAsia="Calibri" w:hAnsi="Times New Roman" w:cs="Times New Roman"/>
                <w:sz w:val="18"/>
                <w:szCs w:val="18"/>
              </w:rPr>
            </w:pPr>
          </w:p>
        </w:tc>
        <w:tc>
          <w:tcPr>
            <w:tcW w:w="5310" w:type="dxa"/>
          </w:tcPr>
          <w:p w14:paraId="50337CC6" w14:textId="6119C6FF" w:rsidR="009822C7" w:rsidRPr="007E4C0D" w:rsidRDefault="009822C7" w:rsidP="009822C7">
            <w:pP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SEKSIONI III</w:t>
            </w:r>
          </w:p>
          <w:p w14:paraId="6246A09A" w14:textId="77777777" w:rsidR="009822C7" w:rsidRPr="007E4C0D" w:rsidRDefault="009822C7" w:rsidP="009822C7">
            <w:pPr>
              <w:rPr>
                <w:rFonts w:ascii="Times New Roman" w:eastAsia="Calibri" w:hAnsi="Times New Roman" w:cs="Times New Roman"/>
                <w:b/>
                <w:iCs/>
                <w:sz w:val="18"/>
                <w:szCs w:val="18"/>
              </w:rPr>
            </w:pPr>
            <w:r w:rsidRPr="007E4C0D">
              <w:rPr>
                <w:rFonts w:ascii="Times New Roman" w:eastAsia="Calibri" w:hAnsi="Times New Roman" w:cs="Times New Roman"/>
                <w:b/>
                <w:iCs/>
                <w:sz w:val="18"/>
                <w:szCs w:val="18"/>
              </w:rPr>
              <w:t>FORMATI I PARAQITJES DHE SHKËMBIMI I INFORMACIONIT PËR GRUPET VENDASE NË SHKALË TË MËDHA ME NDËRMARRJE TË PËRBASHKËTA</w:t>
            </w:r>
          </w:p>
          <w:p w14:paraId="4A8C2AA2" w14:textId="77777777" w:rsidR="009822C7" w:rsidRPr="007E4C0D" w:rsidRDefault="009822C7" w:rsidP="009822C7">
            <w:pPr>
              <w:rPr>
                <w:rFonts w:ascii="Times New Roman" w:eastAsia="Calibri" w:hAnsi="Times New Roman" w:cs="Times New Roman"/>
                <w:iCs/>
                <w:sz w:val="18"/>
                <w:szCs w:val="18"/>
              </w:rPr>
            </w:pPr>
          </w:p>
          <w:p w14:paraId="7E4C57E6" w14:textId="77777777" w:rsidR="009822C7" w:rsidRPr="007E4C0D" w:rsidRDefault="009822C7" w:rsidP="009822C7">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Kur një njësi mëmë e një grupi vendas në shkallë të gjerë mban një interes pronësie të drejtpërdrejtë ose të tërthortë në një sipërmarrje të përbashkët ose një degë të sipërmarrjes së përbashkët që i nënshtrohet një takse shtesë vendase të kualifikuar në një Shtet Anëtar tjetër përveç Shtetit Anëtar ku ndodhet grupi vendas në shkallë të gjerë, ky grup vendas në shkallë të gjerë duhet të përdorë modelin standard për deklaratën e informacionit të taksës shtesë të përcaktuar në Seksionin IV të këtij Aneksi.</w:t>
            </w:r>
          </w:p>
          <w:p w14:paraId="51D50498" w14:textId="77777777" w:rsidR="009822C7" w:rsidRPr="007E4C0D" w:rsidRDefault="009822C7" w:rsidP="009822C7">
            <w:pPr>
              <w:rPr>
                <w:rFonts w:ascii="Times New Roman" w:eastAsia="Calibri" w:hAnsi="Times New Roman" w:cs="Times New Roman"/>
                <w:iCs/>
                <w:sz w:val="18"/>
                <w:szCs w:val="18"/>
              </w:rPr>
            </w:pPr>
          </w:p>
          <w:p w14:paraId="0A06351E" w14:textId="741E26BD" w:rsidR="009822C7" w:rsidRPr="007E4C0D" w:rsidRDefault="009822C7" w:rsidP="009822C7">
            <w:pPr>
              <w:rPr>
                <w:rFonts w:ascii="Times New Roman" w:eastAsia="Calibri" w:hAnsi="Times New Roman" w:cs="Times New Roman"/>
                <w:iCs/>
                <w:sz w:val="18"/>
                <w:szCs w:val="18"/>
              </w:rPr>
            </w:pPr>
            <w:r w:rsidRPr="007E4C0D">
              <w:rPr>
                <w:rFonts w:ascii="Times New Roman" w:eastAsia="Calibri" w:hAnsi="Times New Roman" w:cs="Times New Roman"/>
                <w:iCs/>
                <w:sz w:val="18"/>
                <w:szCs w:val="18"/>
              </w:rPr>
              <w:t>Në rastet e mbuluara nga nënparagrafi i parë, Shtetet Anëtare marrin masat e nevojshme për të siguruar që të zbatohen nenet 8ae(2) dhe 9a.</w:t>
            </w:r>
          </w:p>
        </w:tc>
        <w:tc>
          <w:tcPr>
            <w:tcW w:w="540" w:type="dxa"/>
          </w:tcPr>
          <w:p w14:paraId="2B3076D3" w14:textId="77777777" w:rsidR="009822C7" w:rsidRPr="007E4C0D" w:rsidRDefault="009822C7" w:rsidP="00217C08">
            <w:pPr>
              <w:jc w:val="center"/>
              <w:rPr>
                <w:rFonts w:ascii="Times New Roman" w:eastAsia="Calibri" w:hAnsi="Times New Roman" w:cs="Times New Roman"/>
                <w:sz w:val="18"/>
                <w:szCs w:val="18"/>
                <w:highlight w:val="cyan"/>
              </w:rPr>
            </w:pPr>
          </w:p>
        </w:tc>
        <w:tc>
          <w:tcPr>
            <w:tcW w:w="630" w:type="dxa"/>
          </w:tcPr>
          <w:p w14:paraId="7D4B3598" w14:textId="77777777" w:rsidR="009822C7" w:rsidRPr="007E4C0D" w:rsidRDefault="009822C7" w:rsidP="00217C08">
            <w:pPr>
              <w:jc w:val="center"/>
              <w:rPr>
                <w:rFonts w:ascii="Times New Roman" w:eastAsia="Calibri" w:hAnsi="Times New Roman" w:cs="Times New Roman"/>
                <w:sz w:val="18"/>
                <w:szCs w:val="18"/>
                <w:highlight w:val="cyan"/>
              </w:rPr>
            </w:pPr>
          </w:p>
        </w:tc>
        <w:tc>
          <w:tcPr>
            <w:tcW w:w="4964" w:type="dxa"/>
          </w:tcPr>
          <w:p w14:paraId="7936C4C5" w14:textId="77777777" w:rsidR="00E7462C" w:rsidRPr="007E4C0D" w:rsidRDefault="00E7462C" w:rsidP="00E7462C">
            <w:pPr>
              <w:jc w:val="center"/>
              <w:rPr>
                <w:rFonts w:ascii="Times New Roman" w:hAnsi="Times New Roman" w:cs="Times New Roman"/>
                <w:b/>
                <w:sz w:val="18"/>
                <w:szCs w:val="18"/>
              </w:rPr>
            </w:pPr>
            <w:r w:rsidRPr="007E4C0D">
              <w:rPr>
                <w:rFonts w:ascii="Times New Roman" w:hAnsi="Times New Roman" w:cs="Times New Roman"/>
                <w:b/>
                <w:sz w:val="18"/>
                <w:szCs w:val="18"/>
              </w:rPr>
              <w:t>Neni 3</w:t>
            </w:r>
          </w:p>
          <w:p w14:paraId="4527AAEF" w14:textId="3F6E0E14" w:rsidR="00E7462C" w:rsidRDefault="007E4C0D" w:rsidP="00E7462C">
            <w:pPr>
              <w:jc w:val="center"/>
              <w:rPr>
                <w:rFonts w:ascii="Times New Roman" w:hAnsi="Times New Roman" w:cs="Times New Roman"/>
                <w:b/>
                <w:sz w:val="18"/>
                <w:szCs w:val="18"/>
              </w:rPr>
            </w:pPr>
            <w:r w:rsidRPr="007E4C0D">
              <w:rPr>
                <w:rFonts w:ascii="Times New Roman" w:hAnsi="Times New Roman" w:cs="Times New Roman"/>
                <w:b/>
                <w:sz w:val="18"/>
                <w:szCs w:val="18"/>
              </w:rPr>
              <w:t>Marrëdhënia me ligjin për tatimin minimal global dhe me legjislacionin tjetër</w:t>
            </w:r>
          </w:p>
          <w:p w14:paraId="2BF27B51" w14:textId="77777777" w:rsidR="007E4C0D" w:rsidRPr="007E4C0D" w:rsidRDefault="007E4C0D" w:rsidP="00E7462C">
            <w:pPr>
              <w:jc w:val="center"/>
              <w:rPr>
                <w:rFonts w:ascii="Times New Roman" w:hAnsi="Times New Roman" w:cs="Times New Roman"/>
                <w:b/>
                <w:sz w:val="18"/>
                <w:szCs w:val="18"/>
              </w:rPr>
            </w:pPr>
          </w:p>
          <w:p w14:paraId="50830EBC" w14:textId="77777777" w:rsidR="00316218" w:rsidRPr="00316218" w:rsidRDefault="00316218" w:rsidP="00316218">
            <w:pPr>
              <w:jc w:val="both"/>
              <w:rPr>
                <w:rFonts w:ascii="Times New Roman" w:hAnsi="Times New Roman" w:cs="Times New Roman"/>
                <w:sz w:val="18"/>
                <w:szCs w:val="18"/>
              </w:rPr>
            </w:pPr>
            <w:r w:rsidRPr="00316218">
              <w:rPr>
                <w:rFonts w:ascii="Times New Roman" w:hAnsi="Times New Roman" w:cs="Times New Roman"/>
                <w:sz w:val="18"/>
                <w:szCs w:val="18"/>
              </w:rPr>
              <w:t>1.</w:t>
            </w:r>
            <w:r w:rsidRPr="00316218">
              <w:rPr>
                <w:rFonts w:ascii="Times New Roman" w:hAnsi="Times New Roman" w:cs="Times New Roman"/>
                <w:sz w:val="18"/>
                <w:szCs w:val="18"/>
              </w:rPr>
              <w:tab/>
              <w:t>Detyrimi për depozitimin e Deklaratës Informative të Tatimit Shtesë (TTIR), përmbajtja e saj dhe zgjedhjet që pasqyrohen në të përcaktohen nga ligji për tatimin minimal global.</w:t>
            </w:r>
          </w:p>
          <w:p w14:paraId="49540A38" w14:textId="4ED9152B" w:rsidR="009822C7" w:rsidRPr="007E4C0D" w:rsidRDefault="00316218" w:rsidP="00316218">
            <w:pPr>
              <w:jc w:val="both"/>
              <w:rPr>
                <w:rFonts w:ascii="Times New Roman" w:hAnsi="Times New Roman" w:cs="Times New Roman"/>
                <w:sz w:val="18"/>
                <w:szCs w:val="18"/>
              </w:rPr>
            </w:pPr>
            <w:r w:rsidRPr="00316218">
              <w:rPr>
                <w:rFonts w:ascii="Times New Roman" w:hAnsi="Times New Roman" w:cs="Times New Roman"/>
                <w:sz w:val="18"/>
                <w:szCs w:val="18"/>
              </w:rPr>
              <w:t>2.</w:t>
            </w:r>
            <w:r w:rsidRPr="00316218">
              <w:rPr>
                <w:rFonts w:ascii="Times New Roman" w:hAnsi="Times New Roman" w:cs="Times New Roman"/>
                <w:sz w:val="18"/>
                <w:szCs w:val="18"/>
              </w:rPr>
              <w:tab/>
              <w:t>Ky ligj rregullon procedurat që lidhen me njoftimin paraprak, depozitimin vendor, verifikimin teknik, korrigjimin, administrimin, përdorimin, konfidencialitetin dhe shkëmbimin automatik të TTIR-së.</w:t>
            </w:r>
          </w:p>
        </w:tc>
        <w:tc>
          <w:tcPr>
            <w:tcW w:w="720" w:type="dxa"/>
          </w:tcPr>
          <w:p w14:paraId="3818E5E1" w14:textId="255E9077" w:rsidR="009822C7" w:rsidRPr="007E4C0D" w:rsidRDefault="002D2682" w:rsidP="00217C08">
            <w:pPr>
              <w:jc w:val="center"/>
              <w:rPr>
                <w:rFonts w:ascii="Times New Roman" w:eastAsia="Calibri" w:hAnsi="Times New Roman" w:cs="Times New Roman"/>
                <w:sz w:val="18"/>
                <w:szCs w:val="18"/>
              </w:rPr>
            </w:pPr>
            <w:r>
              <w:rPr>
                <w:rFonts w:ascii="Times New Roman" w:eastAsia="Calibri" w:hAnsi="Times New Roman" w:cs="Times New Roman"/>
                <w:sz w:val="18"/>
                <w:szCs w:val="18"/>
              </w:rPr>
              <w:t>F</w:t>
            </w:r>
          </w:p>
        </w:tc>
        <w:tc>
          <w:tcPr>
            <w:tcW w:w="3406" w:type="dxa"/>
          </w:tcPr>
          <w:p w14:paraId="2E37B2EB" w14:textId="77777777" w:rsidR="009822C7" w:rsidRPr="007E4C0D" w:rsidRDefault="009822C7" w:rsidP="00217C08">
            <w:pPr>
              <w:rPr>
                <w:rFonts w:ascii="Times New Roman" w:eastAsia="Calibri" w:hAnsi="Times New Roman" w:cs="Times New Roman"/>
                <w:sz w:val="18"/>
                <w:szCs w:val="18"/>
              </w:rPr>
            </w:pPr>
          </w:p>
        </w:tc>
      </w:tr>
      <w:tr w:rsidR="00C4672E" w:rsidRPr="007E4C0D" w14:paraId="1779E263" w14:textId="77777777" w:rsidTr="00593EF8">
        <w:trPr>
          <w:trHeight w:val="1844"/>
        </w:trPr>
        <w:tc>
          <w:tcPr>
            <w:tcW w:w="630" w:type="dxa"/>
          </w:tcPr>
          <w:p w14:paraId="16D001D7" w14:textId="77777777" w:rsidR="00C4672E" w:rsidRPr="007E4C0D" w:rsidRDefault="00C4672E" w:rsidP="00217C08">
            <w:pPr>
              <w:jc w:val="both"/>
              <w:rPr>
                <w:rFonts w:ascii="Times New Roman" w:eastAsia="Calibri" w:hAnsi="Times New Roman" w:cs="Times New Roman"/>
                <w:sz w:val="18"/>
                <w:szCs w:val="18"/>
              </w:rPr>
            </w:pPr>
          </w:p>
        </w:tc>
        <w:tc>
          <w:tcPr>
            <w:tcW w:w="5310" w:type="dxa"/>
          </w:tcPr>
          <w:p w14:paraId="44E3619B" w14:textId="77777777" w:rsidR="00C4672E" w:rsidRPr="007E4C0D" w:rsidRDefault="00C4672E" w:rsidP="009822C7">
            <w:pPr>
              <w:rPr>
                <w:rFonts w:ascii="Times New Roman" w:eastAsia="Calibri" w:hAnsi="Times New Roman" w:cs="Times New Roman"/>
                <w:b/>
                <w:iCs/>
                <w:sz w:val="18"/>
                <w:szCs w:val="18"/>
              </w:rPr>
            </w:pPr>
          </w:p>
        </w:tc>
        <w:tc>
          <w:tcPr>
            <w:tcW w:w="540" w:type="dxa"/>
          </w:tcPr>
          <w:p w14:paraId="6224629B" w14:textId="77777777" w:rsidR="00C4672E" w:rsidRPr="007E4C0D" w:rsidRDefault="00C4672E" w:rsidP="00217C08">
            <w:pPr>
              <w:jc w:val="center"/>
              <w:rPr>
                <w:rFonts w:ascii="Times New Roman" w:eastAsia="Calibri" w:hAnsi="Times New Roman" w:cs="Times New Roman"/>
                <w:sz w:val="18"/>
                <w:szCs w:val="18"/>
                <w:highlight w:val="cyan"/>
              </w:rPr>
            </w:pPr>
          </w:p>
        </w:tc>
        <w:tc>
          <w:tcPr>
            <w:tcW w:w="630" w:type="dxa"/>
          </w:tcPr>
          <w:p w14:paraId="28E7B258" w14:textId="77777777" w:rsidR="00C4672E" w:rsidRPr="007E4C0D" w:rsidRDefault="00C4672E" w:rsidP="00217C08">
            <w:pPr>
              <w:jc w:val="center"/>
              <w:rPr>
                <w:rFonts w:ascii="Times New Roman" w:eastAsia="Calibri" w:hAnsi="Times New Roman" w:cs="Times New Roman"/>
                <w:sz w:val="18"/>
                <w:szCs w:val="18"/>
                <w:highlight w:val="cyan"/>
              </w:rPr>
            </w:pPr>
          </w:p>
        </w:tc>
        <w:tc>
          <w:tcPr>
            <w:tcW w:w="4964" w:type="dxa"/>
          </w:tcPr>
          <w:p w14:paraId="3A8A308A" w14:textId="77777777" w:rsidR="00C4672E" w:rsidRPr="007E4C0D" w:rsidRDefault="00C4672E" w:rsidP="00C4672E">
            <w:pPr>
              <w:pStyle w:val="Heading2"/>
              <w:jc w:val="center"/>
              <w:rPr>
                <w:rFonts w:ascii="Times New Roman" w:hAnsi="Times New Roman" w:cs="Times New Roman"/>
                <w:color w:val="auto"/>
                <w:sz w:val="18"/>
                <w:szCs w:val="18"/>
                <w:lang w:val="sq-AL"/>
              </w:rPr>
            </w:pPr>
            <w:r w:rsidRPr="007E4C0D">
              <w:rPr>
                <w:rFonts w:ascii="Times New Roman" w:eastAsia="Times New Roman" w:hAnsi="Times New Roman" w:cs="Times New Roman"/>
                <w:color w:val="auto"/>
                <w:sz w:val="18"/>
                <w:szCs w:val="18"/>
                <w:lang w:val="sq-AL"/>
              </w:rPr>
              <w:t>Neni 17</w:t>
            </w:r>
          </w:p>
          <w:p w14:paraId="6274F0ED" w14:textId="648C3C93" w:rsidR="00C4672E" w:rsidRPr="007E4C0D" w:rsidRDefault="00C4672E" w:rsidP="00C4672E">
            <w:pPr>
              <w:pStyle w:val="Heading3"/>
              <w:jc w:val="center"/>
              <w:rPr>
                <w:sz w:val="18"/>
                <w:szCs w:val="18"/>
                <w:lang w:val="sq-AL"/>
              </w:rPr>
            </w:pPr>
            <w:r w:rsidRPr="007E4C0D">
              <w:rPr>
                <w:sz w:val="18"/>
                <w:szCs w:val="18"/>
                <w:lang w:val="sq-AL"/>
              </w:rPr>
              <w:t>Aktet nënligjore dhe rregullat e zbatimit</w:t>
            </w:r>
          </w:p>
          <w:p w14:paraId="3B4BA949" w14:textId="77777777" w:rsidR="00C4672E" w:rsidRPr="007E4C0D" w:rsidRDefault="00C4672E" w:rsidP="00C4672E">
            <w:pPr>
              <w:rPr>
                <w:rFonts w:ascii="Times New Roman" w:hAnsi="Times New Roman" w:cs="Times New Roman"/>
                <w:sz w:val="18"/>
                <w:szCs w:val="18"/>
                <w:lang w:val="sq-AL"/>
              </w:rPr>
            </w:pPr>
          </w:p>
          <w:p w14:paraId="5BB1B23C" w14:textId="65ED2BE0" w:rsidR="00C4672E" w:rsidRPr="00316218" w:rsidRDefault="00316218" w:rsidP="00316218">
            <w:pPr>
              <w:rPr>
                <w:rFonts w:ascii="Times New Roman" w:hAnsi="Times New Roman" w:cs="Times New Roman"/>
                <w:b/>
                <w:sz w:val="18"/>
                <w:szCs w:val="18"/>
              </w:rPr>
            </w:pPr>
            <w:r w:rsidRPr="00316218">
              <w:rPr>
                <w:rFonts w:ascii="Times New Roman" w:hAnsi="Times New Roman" w:cs="Times New Roman"/>
                <w:color w:val="000000"/>
                <w:sz w:val="18"/>
                <w:szCs w:val="18"/>
              </w:rPr>
              <w:t xml:space="preserve">Ngarkohet Këshilli i Ministrave të nxjerrë vendimin në zbatim të këtij ligji brenda dy viteve nga hyrja në fuqi e tij. </w:t>
            </w:r>
          </w:p>
        </w:tc>
        <w:tc>
          <w:tcPr>
            <w:tcW w:w="720" w:type="dxa"/>
          </w:tcPr>
          <w:p w14:paraId="4B0F8096" w14:textId="434986D7" w:rsidR="00C4672E" w:rsidRPr="007E4C0D" w:rsidRDefault="00C4672E" w:rsidP="00217C08">
            <w:pPr>
              <w:jc w:val="center"/>
              <w:rPr>
                <w:rFonts w:ascii="Times New Roman" w:eastAsia="Calibri" w:hAnsi="Times New Roman" w:cs="Times New Roman"/>
                <w:sz w:val="18"/>
                <w:szCs w:val="18"/>
              </w:rPr>
            </w:pPr>
          </w:p>
        </w:tc>
        <w:tc>
          <w:tcPr>
            <w:tcW w:w="3406" w:type="dxa"/>
          </w:tcPr>
          <w:p w14:paraId="29DDDBF8" w14:textId="424AAE4A" w:rsidR="005F7FB6" w:rsidRPr="007E4C0D" w:rsidRDefault="005F7FB6" w:rsidP="005F7FB6">
            <w:pPr>
              <w:jc w:val="both"/>
              <w:rPr>
                <w:rFonts w:ascii="Times New Roman" w:hAnsi="Times New Roman" w:cs="Times New Roman"/>
                <w:sz w:val="18"/>
                <w:szCs w:val="18"/>
                <w:lang w:val="sq-AL"/>
              </w:rPr>
            </w:pPr>
            <w:r w:rsidRPr="007E4C0D">
              <w:rPr>
                <w:rFonts w:ascii="Times New Roman" w:hAnsi="Times New Roman" w:cs="Times New Roman"/>
                <w:color w:val="000000"/>
                <w:sz w:val="18"/>
                <w:szCs w:val="18"/>
              </w:rPr>
              <w:t>Dispozitë kombëtare</w:t>
            </w:r>
          </w:p>
          <w:p w14:paraId="0C0C1DF2" w14:textId="77777777" w:rsidR="00C4672E" w:rsidRPr="007E4C0D" w:rsidRDefault="00C4672E" w:rsidP="005F7FB6">
            <w:pPr>
              <w:jc w:val="both"/>
              <w:rPr>
                <w:rFonts w:ascii="Times New Roman" w:eastAsia="Times New Roman" w:hAnsi="Times New Roman" w:cs="Times New Roman"/>
                <w:sz w:val="18"/>
                <w:szCs w:val="18"/>
              </w:rPr>
            </w:pPr>
          </w:p>
          <w:p w14:paraId="488444A2" w14:textId="77777777" w:rsidR="00D75230" w:rsidRPr="007E4C0D" w:rsidRDefault="00D75230" w:rsidP="005F7FB6">
            <w:pPr>
              <w:jc w:val="both"/>
              <w:rPr>
                <w:rFonts w:ascii="Times New Roman" w:eastAsia="Times New Roman" w:hAnsi="Times New Roman" w:cs="Times New Roman"/>
                <w:sz w:val="18"/>
                <w:szCs w:val="18"/>
              </w:rPr>
            </w:pPr>
          </w:p>
          <w:p w14:paraId="2CC4DDB3" w14:textId="47E57347" w:rsidR="00D75230" w:rsidRPr="007E4C0D" w:rsidRDefault="00D75230" w:rsidP="005F7FB6">
            <w:pPr>
              <w:jc w:val="both"/>
              <w:rPr>
                <w:rFonts w:ascii="Times New Roman" w:eastAsia="Times New Roman" w:hAnsi="Times New Roman" w:cs="Times New Roman"/>
                <w:sz w:val="18"/>
                <w:szCs w:val="18"/>
              </w:rPr>
            </w:pPr>
          </w:p>
        </w:tc>
      </w:tr>
      <w:tr w:rsidR="007401F4" w:rsidRPr="007E4C0D" w14:paraId="6AD1C34E" w14:textId="77777777" w:rsidTr="00593EF8">
        <w:trPr>
          <w:trHeight w:val="1844"/>
        </w:trPr>
        <w:tc>
          <w:tcPr>
            <w:tcW w:w="630" w:type="dxa"/>
          </w:tcPr>
          <w:p w14:paraId="651D0547" w14:textId="77777777" w:rsidR="007401F4" w:rsidRPr="007E4C0D" w:rsidRDefault="007401F4" w:rsidP="00217C08">
            <w:pPr>
              <w:jc w:val="both"/>
              <w:rPr>
                <w:rFonts w:ascii="Times New Roman" w:eastAsia="Calibri" w:hAnsi="Times New Roman" w:cs="Times New Roman"/>
                <w:sz w:val="18"/>
                <w:szCs w:val="18"/>
              </w:rPr>
            </w:pPr>
          </w:p>
        </w:tc>
        <w:tc>
          <w:tcPr>
            <w:tcW w:w="5310" w:type="dxa"/>
          </w:tcPr>
          <w:p w14:paraId="7297FEEA" w14:textId="5BA077D2" w:rsidR="007401F4" w:rsidRPr="007E4C0D" w:rsidRDefault="007401F4" w:rsidP="003A36E7">
            <w:pPr>
              <w:spacing w:before="100" w:beforeAutospacing="1" w:after="100" w:afterAutospacing="1"/>
              <w:jc w:val="both"/>
              <w:rPr>
                <w:rFonts w:ascii="Times New Roman" w:eastAsia="Times New Roman" w:hAnsi="Times New Roman" w:cs="Times New Roman"/>
                <w:b/>
                <w:bCs/>
                <w:sz w:val="18"/>
                <w:szCs w:val="18"/>
                <w:lang w:val="en-US"/>
              </w:rPr>
            </w:pPr>
            <w:r w:rsidRPr="007E4C0D">
              <w:rPr>
                <w:rFonts w:ascii="Times New Roman" w:eastAsia="Times New Roman" w:hAnsi="Times New Roman" w:cs="Times New Roman"/>
                <w:b/>
                <w:bCs/>
                <w:sz w:val="18"/>
                <w:szCs w:val="18"/>
                <w:lang w:val="en-US"/>
              </w:rPr>
              <w:t>Neni 44</w:t>
            </w:r>
          </w:p>
          <w:p w14:paraId="597EC20A" w14:textId="7FA185D3" w:rsidR="007401F4" w:rsidRPr="007E4C0D" w:rsidRDefault="007401F4" w:rsidP="003A36E7">
            <w:pPr>
              <w:spacing w:before="100" w:beforeAutospacing="1" w:after="100" w:afterAutospacing="1"/>
              <w:jc w:val="both"/>
              <w:rPr>
                <w:rFonts w:ascii="Times New Roman" w:eastAsia="Times New Roman" w:hAnsi="Times New Roman" w:cs="Times New Roman"/>
                <w:sz w:val="18"/>
                <w:szCs w:val="18"/>
                <w:lang w:val="en-US"/>
              </w:rPr>
            </w:pPr>
            <w:r w:rsidRPr="007E4C0D">
              <w:rPr>
                <w:rFonts w:ascii="Times New Roman" w:eastAsia="Times New Roman" w:hAnsi="Times New Roman" w:cs="Times New Roman"/>
                <w:b/>
                <w:bCs/>
                <w:sz w:val="18"/>
                <w:szCs w:val="18"/>
                <w:lang w:val="en-US"/>
              </w:rPr>
              <w:t>2.</w:t>
            </w:r>
            <w:r w:rsidRPr="007E4C0D">
              <w:rPr>
                <w:rFonts w:ascii="Times New Roman" w:eastAsia="Times New Roman" w:hAnsi="Times New Roman" w:cs="Times New Roman"/>
                <w:sz w:val="18"/>
                <w:szCs w:val="18"/>
                <w:lang w:val="en-US"/>
              </w:rPr>
              <w:t xml:space="preserve"> Një entitet përbërës i vendosur në një shtet anëtar paraqet një deklaratë informuese të tatimit shtesë pranë administratës së tij tatimore në përputhje me paragrafin 5.</w:t>
            </w:r>
          </w:p>
          <w:p w14:paraId="2BDDB181" w14:textId="6C5EDDD6" w:rsidR="007401F4" w:rsidRPr="007E4C0D" w:rsidRDefault="007401F4" w:rsidP="003A36E7">
            <w:pPr>
              <w:spacing w:before="100" w:beforeAutospacing="1" w:after="100" w:afterAutospacing="1"/>
              <w:jc w:val="both"/>
              <w:rPr>
                <w:rFonts w:ascii="Times New Roman" w:eastAsia="Times New Roman" w:hAnsi="Times New Roman" w:cs="Times New Roman"/>
                <w:sz w:val="18"/>
                <w:szCs w:val="18"/>
                <w:lang w:val="en-US"/>
              </w:rPr>
            </w:pPr>
            <w:r w:rsidRPr="007E4C0D">
              <w:rPr>
                <w:rFonts w:ascii="Times New Roman" w:eastAsia="Times New Roman" w:hAnsi="Times New Roman" w:cs="Times New Roman"/>
                <w:sz w:val="18"/>
                <w:szCs w:val="18"/>
                <w:lang w:val="en-US"/>
              </w:rPr>
              <w:t>Kjo deklaratë mund të paraqitet nga një entitet vendor i caktuar në emër të entitetit përbërës.</w:t>
            </w:r>
          </w:p>
          <w:p w14:paraId="72EF751B" w14:textId="77777777" w:rsidR="007401F4" w:rsidRPr="007E4C0D" w:rsidRDefault="007401F4" w:rsidP="003A36E7">
            <w:pPr>
              <w:spacing w:before="100" w:beforeAutospacing="1" w:after="100" w:afterAutospacing="1"/>
              <w:jc w:val="both"/>
              <w:rPr>
                <w:rFonts w:ascii="Times New Roman" w:eastAsia="Times New Roman" w:hAnsi="Times New Roman" w:cs="Times New Roman"/>
                <w:sz w:val="18"/>
                <w:szCs w:val="18"/>
                <w:lang w:val="en-US"/>
              </w:rPr>
            </w:pPr>
            <w:r w:rsidRPr="007E4C0D">
              <w:rPr>
                <w:rFonts w:ascii="Times New Roman" w:eastAsia="Times New Roman" w:hAnsi="Times New Roman" w:cs="Times New Roman"/>
                <w:b/>
                <w:bCs/>
                <w:sz w:val="18"/>
                <w:szCs w:val="18"/>
                <w:lang w:val="en-US"/>
              </w:rPr>
              <w:t>3.</w:t>
            </w:r>
            <w:r w:rsidRPr="007E4C0D">
              <w:rPr>
                <w:rFonts w:ascii="Times New Roman" w:eastAsia="Times New Roman" w:hAnsi="Times New Roman" w:cs="Times New Roman"/>
                <w:sz w:val="18"/>
                <w:szCs w:val="18"/>
                <w:lang w:val="en-US"/>
              </w:rPr>
              <w:t xml:space="preserve"> Me përjashtim nga paragrafi 2, një entitet përbërës nuk ka detyrimin të paraqesë një deklaratë informuese të tatimit shtesë pranë administratës së tij tatimore nëse kjo deklaratë është paraqitur, në përputhje me kërkesat e përcaktuara në paragrafin 5, nga:</w:t>
            </w:r>
          </w:p>
          <w:p w14:paraId="676C8571" w14:textId="77777777" w:rsidR="007401F4" w:rsidRPr="007E4C0D" w:rsidRDefault="007401F4" w:rsidP="003A36E7">
            <w:pPr>
              <w:spacing w:before="100" w:beforeAutospacing="1" w:after="100" w:afterAutospacing="1"/>
              <w:jc w:val="both"/>
              <w:rPr>
                <w:rFonts w:ascii="Times New Roman" w:eastAsia="Times New Roman" w:hAnsi="Times New Roman" w:cs="Times New Roman"/>
                <w:sz w:val="18"/>
                <w:szCs w:val="18"/>
                <w:lang w:val="en-US"/>
              </w:rPr>
            </w:pPr>
            <w:r w:rsidRPr="007E4C0D">
              <w:rPr>
                <w:rFonts w:ascii="Times New Roman" w:eastAsia="Times New Roman" w:hAnsi="Times New Roman" w:cs="Times New Roman"/>
                <w:b/>
                <w:bCs/>
                <w:sz w:val="18"/>
                <w:szCs w:val="18"/>
                <w:lang w:val="en-US"/>
              </w:rPr>
              <w:t>a)</w:t>
            </w:r>
            <w:r w:rsidRPr="007E4C0D">
              <w:rPr>
                <w:rFonts w:ascii="Times New Roman" w:eastAsia="Times New Roman" w:hAnsi="Times New Roman" w:cs="Times New Roman"/>
                <w:sz w:val="18"/>
                <w:szCs w:val="18"/>
                <w:lang w:val="en-US"/>
              </w:rPr>
              <w:t xml:space="preserve"> entiteti mëmë përfundimtar i vendosur në një juridiksion që, për vitin fiskal raportues, ka në fuqi një marrëveshje të kualifikuar ndërmjet autoriteteve kompetente me shtetin anëtar ku ndodhet entiteti përbërës; ose</w:t>
            </w:r>
          </w:p>
          <w:p w14:paraId="70A57403" w14:textId="4104B317" w:rsidR="007401F4" w:rsidRPr="007E4C0D" w:rsidRDefault="007401F4" w:rsidP="003A36E7">
            <w:pPr>
              <w:spacing w:before="100" w:beforeAutospacing="1" w:after="100" w:afterAutospacing="1"/>
              <w:jc w:val="both"/>
              <w:rPr>
                <w:rFonts w:ascii="Times New Roman" w:eastAsia="Times New Roman" w:hAnsi="Times New Roman" w:cs="Times New Roman"/>
                <w:sz w:val="18"/>
                <w:szCs w:val="18"/>
                <w:lang w:val="en-US"/>
              </w:rPr>
            </w:pPr>
            <w:r w:rsidRPr="007E4C0D">
              <w:rPr>
                <w:rFonts w:ascii="Times New Roman" w:eastAsia="Times New Roman" w:hAnsi="Times New Roman" w:cs="Times New Roman"/>
                <w:b/>
                <w:bCs/>
                <w:sz w:val="18"/>
                <w:szCs w:val="18"/>
                <w:lang w:val="en-US"/>
              </w:rPr>
              <w:lastRenderedPageBreak/>
              <w:t>b)</w:t>
            </w:r>
            <w:r w:rsidRPr="007E4C0D">
              <w:rPr>
                <w:rFonts w:ascii="Times New Roman" w:eastAsia="Times New Roman" w:hAnsi="Times New Roman" w:cs="Times New Roman"/>
                <w:sz w:val="18"/>
                <w:szCs w:val="18"/>
                <w:lang w:val="en-US"/>
              </w:rPr>
              <w:t xml:space="preserve"> entiteti i caktuar për deklarim, i vendosur në një juridiksion që, për vitin fiskal raportues, ka në fuqi një marrëveshje të kualifikuar ndërmjet autoriteteve kompetente me shtetin anëtar ku ndodhet entiteti përbërës.</w:t>
            </w:r>
          </w:p>
          <w:p w14:paraId="166083F7" w14:textId="77777777" w:rsidR="007401F4" w:rsidRPr="007E4C0D" w:rsidRDefault="007401F4" w:rsidP="003A36E7">
            <w:pPr>
              <w:spacing w:before="100" w:beforeAutospacing="1" w:after="100" w:afterAutospacing="1"/>
              <w:jc w:val="both"/>
              <w:rPr>
                <w:rFonts w:ascii="Times New Roman" w:eastAsia="Times New Roman" w:hAnsi="Times New Roman" w:cs="Times New Roman"/>
                <w:sz w:val="18"/>
                <w:szCs w:val="18"/>
                <w:lang w:val="en-US"/>
              </w:rPr>
            </w:pPr>
            <w:r w:rsidRPr="007E4C0D">
              <w:rPr>
                <w:rFonts w:ascii="Times New Roman" w:eastAsia="Times New Roman" w:hAnsi="Times New Roman" w:cs="Times New Roman"/>
                <w:b/>
                <w:bCs/>
                <w:sz w:val="18"/>
                <w:szCs w:val="18"/>
                <w:lang w:val="en-US"/>
              </w:rPr>
              <w:t>4.</w:t>
            </w:r>
            <w:r w:rsidRPr="007E4C0D">
              <w:rPr>
                <w:rFonts w:ascii="Times New Roman" w:eastAsia="Times New Roman" w:hAnsi="Times New Roman" w:cs="Times New Roman"/>
                <w:sz w:val="18"/>
                <w:szCs w:val="18"/>
                <w:lang w:val="en-US"/>
              </w:rPr>
              <w:t xml:space="preserve"> Kur zbatohet paragrafi 3, entiteti përbërës i vendosur në një shtet anëtar, ose entiteti vendor i caktuar në emër të tij, njofton administratën e tij tatimore për identitetin e entitetit që paraqet deklaratën informuese të tatimit shtesë, si dhe juridiksionin në të cilin ai ndodhet.</w:t>
            </w:r>
          </w:p>
          <w:p w14:paraId="261FCC68" w14:textId="77777777" w:rsidR="007401F4" w:rsidRPr="007E4C0D" w:rsidRDefault="007401F4" w:rsidP="007401F4">
            <w:pPr>
              <w:shd w:val="clear" w:color="auto" w:fill="FFFFFF"/>
              <w:spacing w:before="360" w:after="120" w:line="312" w:lineRule="atLeast"/>
              <w:jc w:val="center"/>
              <w:rPr>
                <w:rFonts w:ascii="Times New Roman" w:eastAsia="Times New Roman" w:hAnsi="Times New Roman" w:cs="Times New Roman"/>
                <w:i/>
                <w:iCs/>
                <w:color w:val="333333"/>
                <w:sz w:val="18"/>
                <w:szCs w:val="18"/>
                <w:lang w:val="en-US"/>
              </w:rPr>
            </w:pPr>
          </w:p>
          <w:p w14:paraId="493B67CC" w14:textId="77777777" w:rsidR="007401F4" w:rsidRPr="007E4C0D" w:rsidRDefault="007401F4" w:rsidP="007401F4">
            <w:pPr>
              <w:shd w:val="clear" w:color="auto" w:fill="FFFFFF"/>
              <w:spacing w:before="360" w:after="120" w:line="312" w:lineRule="atLeast"/>
              <w:jc w:val="center"/>
              <w:rPr>
                <w:rFonts w:ascii="Times New Roman" w:eastAsia="Times New Roman" w:hAnsi="Times New Roman" w:cs="Times New Roman"/>
                <w:i/>
                <w:iCs/>
                <w:color w:val="333333"/>
                <w:sz w:val="18"/>
                <w:szCs w:val="18"/>
                <w:lang w:val="en-US"/>
              </w:rPr>
            </w:pPr>
          </w:p>
          <w:p w14:paraId="25605CB8" w14:textId="77777777" w:rsidR="007401F4" w:rsidRPr="007E4C0D" w:rsidRDefault="007401F4" w:rsidP="007401F4">
            <w:pPr>
              <w:shd w:val="clear" w:color="auto" w:fill="FFFFFF"/>
              <w:spacing w:before="120" w:line="312" w:lineRule="atLeast"/>
              <w:jc w:val="both"/>
              <w:rPr>
                <w:rFonts w:ascii="Times New Roman" w:eastAsia="Calibri" w:hAnsi="Times New Roman" w:cs="Times New Roman"/>
                <w:b/>
                <w:iCs/>
                <w:sz w:val="18"/>
                <w:szCs w:val="18"/>
              </w:rPr>
            </w:pPr>
          </w:p>
        </w:tc>
        <w:tc>
          <w:tcPr>
            <w:tcW w:w="540" w:type="dxa"/>
          </w:tcPr>
          <w:p w14:paraId="7CD1D635" w14:textId="77777777" w:rsidR="007401F4" w:rsidRPr="007E4C0D" w:rsidRDefault="007401F4" w:rsidP="00217C08">
            <w:pPr>
              <w:jc w:val="center"/>
              <w:rPr>
                <w:rFonts w:ascii="Times New Roman" w:eastAsia="Calibri" w:hAnsi="Times New Roman" w:cs="Times New Roman"/>
                <w:sz w:val="18"/>
                <w:szCs w:val="18"/>
                <w:highlight w:val="cyan"/>
              </w:rPr>
            </w:pPr>
          </w:p>
        </w:tc>
        <w:tc>
          <w:tcPr>
            <w:tcW w:w="630" w:type="dxa"/>
          </w:tcPr>
          <w:p w14:paraId="1913A784" w14:textId="77777777" w:rsidR="007401F4" w:rsidRPr="007E4C0D" w:rsidRDefault="007401F4" w:rsidP="00217C08">
            <w:pPr>
              <w:jc w:val="center"/>
              <w:rPr>
                <w:rFonts w:ascii="Times New Roman" w:eastAsia="Calibri" w:hAnsi="Times New Roman" w:cs="Times New Roman"/>
                <w:sz w:val="18"/>
                <w:szCs w:val="18"/>
                <w:highlight w:val="cyan"/>
              </w:rPr>
            </w:pPr>
          </w:p>
        </w:tc>
        <w:tc>
          <w:tcPr>
            <w:tcW w:w="4964" w:type="dxa"/>
          </w:tcPr>
          <w:p w14:paraId="0C3E739C" w14:textId="77777777" w:rsidR="007401F4" w:rsidRPr="007E4C0D" w:rsidRDefault="007401F4" w:rsidP="003A36E7">
            <w:pPr>
              <w:pStyle w:val="Heading2"/>
              <w:jc w:val="center"/>
              <w:rPr>
                <w:rFonts w:ascii="Times New Roman" w:hAnsi="Times New Roman" w:cs="Times New Roman"/>
                <w:color w:val="auto"/>
                <w:sz w:val="18"/>
                <w:szCs w:val="18"/>
                <w:lang w:val="sq-AL"/>
              </w:rPr>
            </w:pPr>
            <w:r w:rsidRPr="007E4C0D">
              <w:rPr>
                <w:rFonts w:ascii="Times New Roman" w:eastAsia="Times New Roman" w:hAnsi="Times New Roman" w:cs="Times New Roman"/>
                <w:color w:val="auto"/>
                <w:sz w:val="18"/>
                <w:szCs w:val="18"/>
                <w:lang w:val="sq-AL"/>
              </w:rPr>
              <w:t>Neni 12</w:t>
            </w:r>
          </w:p>
          <w:p w14:paraId="52E5ED48" w14:textId="77777777" w:rsidR="007401F4" w:rsidRPr="007E4C0D" w:rsidRDefault="007401F4" w:rsidP="003A36E7">
            <w:pPr>
              <w:pStyle w:val="Heading3"/>
              <w:jc w:val="center"/>
              <w:rPr>
                <w:sz w:val="18"/>
                <w:szCs w:val="18"/>
                <w:lang w:val="sq-AL"/>
              </w:rPr>
            </w:pPr>
            <w:r w:rsidRPr="007E4C0D">
              <w:rPr>
                <w:sz w:val="18"/>
                <w:szCs w:val="18"/>
                <w:lang w:val="sq-AL"/>
              </w:rPr>
              <w:t>Shmangia e depozitimit të dyfishtë dhe marrëveshjet e kualifikuara</w:t>
            </w:r>
          </w:p>
          <w:p w14:paraId="705DA15A" w14:textId="77777777" w:rsidR="009D037B" w:rsidRPr="009D037B" w:rsidRDefault="009D037B" w:rsidP="009D037B">
            <w:pPr>
              <w:jc w:val="both"/>
              <w:rPr>
                <w:rFonts w:ascii="Times New Roman" w:hAnsi="Times New Roman" w:cs="Times New Roman"/>
                <w:sz w:val="18"/>
                <w:szCs w:val="18"/>
                <w:lang w:val="sq-AL"/>
              </w:rPr>
            </w:pPr>
            <w:r w:rsidRPr="009D037B">
              <w:rPr>
                <w:rFonts w:ascii="Times New Roman" w:hAnsi="Times New Roman" w:cs="Times New Roman"/>
                <w:sz w:val="18"/>
                <w:szCs w:val="18"/>
                <w:lang w:val="sq-AL"/>
              </w:rPr>
              <w:t>1.</w:t>
            </w:r>
            <w:r w:rsidRPr="009D037B">
              <w:rPr>
                <w:rFonts w:ascii="Times New Roman" w:hAnsi="Times New Roman" w:cs="Times New Roman"/>
                <w:sz w:val="18"/>
                <w:szCs w:val="18"/>
                <w:lang w:val="sq-AL"/>
              </w:rPr>
              <w:tab/>
              <w:t xml:space="preserve"> Kur Republika e Shqipërisë e merr TTIR-në nëpërmjet shkëmbimit automatik nga juridiksioni i depozitimit, në bazë të një marrëveshjeje të kualifikuar ndërmjet autoriteteve kompetente, depozitimi vendor nuk kërkohet. </w:t>
            </w:r>
          </w:p>
          <w:p w14:paraId="5304000A" w14:textId="77777777" w:rsidR="009D037B" w:rsidRPr="009D037B" w:rsidRDefault="009D037B" w:rsidP="009D037B">
            <w:pPr>
              <w:jc w:val="both"/>
              <w:rPr>
                <w:rFonts w:ascii="Times New Roman" w:hAnsi="Times New Roman" w:cs="Times New Roman"/>
                <w:sz w:val="18"/>
                <w:szCs w:val="18"/>
                <w:lang w:val="sq-AL"/>
              </w:rPr>
            </w:pPr>
            <w:r w:rsidRPr="009D037B">
              <w:rPr>
                <w:rFonts w:ascii="Times New Roman" w:hAnsi="Times New Roman" w:cs="Times New Roman"/>
                <w:sz w:val="18"/>
                <w:szCs w:val="18"/>
                <w:lang w:val="sq-AL"/>
              </w:rPr>
              <w:t>2.</w:t>
            </w:r>
            <w:r w:rsidRPr="009D037B">
              <w:rPr>
                <w:rFonts w:ascii="Times New Roman" w:hAnsi="Times New Roman" w:cs="Times New Roman"/>
                <w:sz w:val="18"/>
                <w:szCs w:val="18"/>
                <w:lang w:val="sq-AL"/>
              </w:rPr>
              <w:tab/>
              <w:t xml:space="preserve"> Drejtoria e Përgjithshme e Tatimeve mban dhe publikon listën e juridiksioneve të depozitimit për të cilat ekziston një bazë e vlefshme për shkëmbim automatik të TTIR-së me Republikën e Shqipërisë, në përputhje me marrëveshjet e kualifikuara ndërmjet autoriteteve kompetente. </w:t>
            </w:r>
          </w:p>
          <w:p w14:paraId="5B8273B2" w14:textId="77777777" w:rsidR="009D037B" w:rsidRPr="009D037B" w:rsidRDefault="009D037B" w:rsidP="009D037B">
            <w:pPr>
              <w:jc w:val="both"/>
              <w:rPr>
                <w:rFonts w:ascii="Times New Roman" w:hAnsi="Times New Roman" w:cs="Times New Roman"/>
                <w:sz w:val="18"/>
                <w:szCs w:val="18"/>
                <w:lang w:val="sq-AL"/>
              </w:rPr>
            </w:pPr>
            <w:r w:rsidRPr="009D037B">
              <w:rPr>
                <w:rFonts w:ascii="Times New Roman" w:hAnsi="Times New Roman" w:cs="Times New Roman"/>
                <w:sz w:val="18"/>
                <w:szCs w:val="18"/>
                <w:lang w:val="sq-AL"/>
              </w:rPr>
              <w:t>3.</w:t>
            </w:r>
            <w:r w:rsidRPr="009D037B">
              <w:rPr>
                <w:rFonts w:ascii="Times New Roman" w:hAnsi="Times New Roman" w:cs="Times New Roman"/>
                <w:sz w:val="18"/>
                <w:szCs w:val="18"/>
                <w:lang w:val="sq-AL"/>
              </w:rPr>
              <w:tab/>
              <w:t xml:space="preserve"> Drejtoria e Përgjithshme e Tatimeve mund të kërkojë prova që depozitimi qendror është kryer, që TTIR-ja është pranuar teknikisht ose konsiderohet e pranueshme sipas rregullave të juridiksionit të depozitimit, si dhe që juridiksioni i depozitimit do ta komunikojë atë në mënyrë automatike në përputhje me marrëveshjen e kualifikuar. </w:t>
            </w:r>
          </w:p>
          <w:p w14:paraId="7396FE8A" w14:textId="369D5B5E" w:rsidR="007401F4" w:rsidRPr="007E4C0D" w:rsidRDefault="009D037B" w:rsidP="009D037B">
            <w:pPr>
              <w:jc w:val="both"/>
              <w:rPr>
                <w:rFonts w:ascii="Times New Roman" w:hAnsi="Times New Roman" w:cs="Times New Roman"/>
                <w:sz w:val="18"/>
                <w:szCs w:val="18"/>
                <w:lang w:val="sq-AL"/>
              </w:rPr>
            </w:pPr>
            <w:r w:rsidRPr="009D037B">
              <w:rPr>
                <w:rFonts w:ascii="Times New Roman" w:hAnsi="Times New Roman" w:cs="Times New Roman"/>
                <w:sz w:val="18"/>
                <w:szCs w:val="18"/>
                <w:lang w:val="sq-AL"/>
              </w:rPr>
              <w:lastRenderedPageBreak/>
              <w:t>4.</w:t>
            </w:r>
            <w:r w:rsidRPr="009D037B">
              <w:rPr>
                <w:rFonts w:ascii="Times New Roman" w:hAnsi="Times New Roman" w:cs="Times New Roman"/>
                <w:sz w:val="18"/>
                <w:szCs w:val="18"/>
                <w:lang w:val="sq-AL"/>
              </w:rPr>
              <w:tab/>
              <w:t xml:space="preserve"> Në rast dyshimi të arsyeshëm për mungesën e shkëmbimit automatik ose mbi mungesën e vlefshmërisë së marrëveshjes së kualifikuar, Drejtoria e Përgjithshme e Tatimeve mund të aktivizojë detyrimin për depozitim vendor sipas procedurës së përcaktuar me vendim të Këshillit të Ministrave, që nxirret në zbatim të këtij ligji.</w:t>
            </w:r>
          </w:p>
          <w:p w14:paraId="220E3AF6" w14:textId="77777777" w:rsidR="007401F4" w:rsidRPr="007E4C0D" w:rsidRDefault="007401F4" w:rsidP="00C4672E">
            <w:pPr>
              <w:pStyle w:val="Heading2"/>
              <w:jc w:val="center"/>
              <w:rPr>
                <w:rFonts w:ascii="Times New Roman" w:eastAsia="Times New Roman" w:hAnsi="Times New Roman" w:cs="Times New Roman"/>
                <w:color w:val="auto"/>
                <w:sz w:val="18"/>
                <w:szCs w:val="18"/>
                <w:lang w:val="sq-AL"/>
              </w:rPr>
            </w:pPr>
          </w:p>
        </w:tc>
        <w:tc>
          <w:tcPr>
            <w:tcW w:w="720" w:type="dxa"/>
          </w:tcPr>
          <w:p w14:paraId="16F8B833" w14:textId="0EBE31FB" w:rsidR="007401F4" w:rsidRPr="007E4C0D" w:rsidRDefault="00C67E67" w:rsidP="00217C08">
            <w:pPr>
              <w:jc w:val="center"/>
              <w:rPr>
                <w:rFonts w:ascii="Times New Roman" w:eastAsia="Calibri" w:hAnsi="Times New Roman" w:cs="Times New Roman"/>
                <w:sz w:val="18"/>
                <w:szCs w:val="18"/>
              </w:rPr>
            </w:pPr>
            <w:r w:rsidRPr="007E4C0D">
              <w:rPr>
                <w:rFonts w:ascii="Times New Roman" w:eastAsia="Calibri" w:hAnsi="Times New Roman" w:cs="Times New Roman"/>
                <w:sz w:val="18"/>
                <w:szCs w:val="18"/>
              </w:rPr>
              <w:lastRenderedPageBreak/>
              <w:t>F</w:t>
            </w:r>
          </w:p>
        </w:tc>
        <w:tc>
          <w:tcPr>
            <w:tcW w:w="3406" w:type="dxa"/>
          </w:tcPr>
          <w:p w14:paraId="5EBF4548" w14:textId="77777777" w:rsidR="007401F4" w:rsidRPr="007E4C0D" w:rsidRDefault="007401F4" w:rsidP="005F7FB6">
            <w:pPr>
              <w:jc w:val="both"/>
              <w:rPr>
                <w:rFonts w:ascii="Times New Roman" w:hAnsi="Times New Roman" w:cs="Times New Roman"/>
                <w:color w:val="000000"/>
                <w:sz w:val="18"/>
                <w:szCs w:val="18"/>
              </w:rPr>
            </w:pPr>
          </w:p>
        </w:tc>
      </w:tr>
    </w:tbl>
    <w:p w14:paraId="4E2D4073" w14:textId="77777777" w:rsidR="009A20F7" w:rsidRPr="007E4C0D" w:rsidRDefault="009A20F7" w:rsidP="00E172D2">
      <w:pPr>
        <w:spacing w:line="240" w:lineRule="auto"/>
        <w:rPr>
          <w:rFonts w:ascii="Times New Roman" w:hAnsi="Times New Roman" w:cs="Times New Roman"/>
          <w:sz w:val="18"/>
          <w:szCs w:val="18"/>
        </w:rPr>
      </w:pPr>
    </w:p>
    <w:sectPr w:rsidR="009A20F7" w:rsidRPr="007E4C0D"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5634" w14:textId="77777777" w:rsidR="0034425E" w:rsidRDefault="0034425E" w:rsidP="00922FEB">
      <w:pPr>
        <w:spacing w:after="0" w:line="240" w:lineRule="auto"/>
      </w:pPr>
      <w:r>
        <w:separator/>
      </w:r>
    </w:p>
  </w:endnote>
  <w:endnote w:type="continuationSeparator" w:id="0">
    <w:p w14:paraId="0B06A6E4" w14:textId="77777777" w:rsidR="0034425E" w:rsidRDefault="0034425E"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93992DB" w:rsidR="00765071" w:rsidRDefault="00765071">
    <w:pPr>
      <w:pStyle w:val="Footer"/>
    </w:pPr>
    <w:r>
      <w:fldChar w:fldCharType="begin"/>
    </w:r>
    <w:r>
      <w:instrText>PAGE   \* MERGEFORMAT</w:instrText>
    </w:r>
    <w:r>
      <w:fldChar w:fldCharType="separate"/>
    </w:r>
    <w:r w:rsidR="00DD3288" w:rsidRPr="00DD3288">
      <w:rPr>
        <w:noProof/>
        <w:lang w:val="sq-AL"/>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44E0" w14:textId="77777777" w:rsidR="0034425E" w:rsidRDefault="0034425E" w:rsidP="00922FEB">
      <w:pPr>
        <w:spacing w:after="0" w:line="240" w:lineRule="auto"/>
      </w:pPr>
      <w:r>
        <w:separator/>
      </w:r>
    </w:p>
  </w:footnote>
  <w:footnote w:type="continuationSeparator" w:id="0">
    <w:p w14:paraId="31F07A15" w14:textId="77777777" w:rsidR="0034425E" w:rsidRDefault="0034425E"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DE"/>
    <w:multiLevelType w:val="multilevel"/>
    <w:tmpl w:val="20547D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84E53AE"/>
    <w:multiLevelType w:val="hybridMultilevel"/>
    <w:tmpl w:val="CDC8FEA6"/>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07770C"/>
    <w:multiLevelType w:val="multilevel"/>
    <w:tmpl w:val="976A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851"/>
    <w:multiLevelType w:val="hybridMultilevel"/>
    <w:tmpl w:val="4A309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B4341"/>
    <w:multiLevelType w:val="multilevel"/>
    <w:tmpl w:val="AA8EB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627B8"/>
    <w:multiLevelType w:val="multilevel"/>
    <w:tmpl w:val="E0D25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C4DF1"/>
    <w:multiLevelType w:val="hybridMultilevel"/>
    <w:tmpl w:val="2148252C"/>
    <w:lvl w:ilvl="0" w:tplc="9A72A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37726"/>
    <w:multiLevelType w:val="hybridMultilevel"/>
    <w:tmpl w:val="BB7C3B9A"/>
    <w:lvl w:ilvl="0" w:tplc="1048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29A00D1"/>
    <w:multiLevelType w:val="multilevel"/>
    <w:tmpl w:val="ED8A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DF13A7"/>
    <w:multiLevelType w:val="hybridMultilevel"/>
    <w:tmpl w:val="CC60094E"/>
    <w:lvl w:ilvl="0" w:tplc="E836E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32BDB"/>
    <w:multiLevelType w:val="hybridMultilevel"/>
    <w:tmpl w:val="2356E582"/>
    <w:lvl w:ilvl="0" w:tplc="D4240FDE">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652D6"/>
    <w:multiLevelType w:val="hybridMultilevel"/>
    <w:tmpl w:val="E7C86058"/>
    <w:lvl w:ilvl="0" w:tplc="5AF83B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3A0C3C"/>
    <w:multiLevelType w:val="hybridMultilevel"/>
    <w:tmpl w:val="BDA02102"/>
    <w:lvl w:ilvl="0" w:tplc="7986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737BA"/>
    <w:multiLevelType w:val="hybridMultilevel"/>
    <w:tmpl w:val="99921C8C"/>
    <w:lvl w:ilvl="0" w:tplc="4BA09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6C04AA1"/>
    <w:multiLevelType w:val="hybridMultilevel"/>
    <w:tmpl w:val="E998FFBA"/>
    <w:lvl w:ilvl="0" w:tplc="F0AE0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7E5137"/>
    <w:multiLevelType w:val="multilevel"/>
    <w:tmpl w:val="F202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1227F"/>
    <w:multiLevelType w:val="hybridMultilevel"/>
    <w:tmpl w:val="ABE0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5FE34E4C"/>
    <w:multiLevelType w:val="multilevel"/>
    <w:tmpl w:val="ECBA2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1C34921"/>
    <w:multiLevelType w:val="multilevel"/>
    <w:tmpl w:val="72A82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B660CB"/>
    <w:multiLevelType w:val="multilevel"/>
    <w:tmpl w:val="2F02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492B2C"/>
    <w:multiLevelType w:val="hybridMultilevel"/>
    <w:tmpl w:val="E10C3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E1F7F"/>
    <w:multiLevelType w:val="hybridMultilevel"/>
    <w:tmpl w:val="57C827EE"/>
    <w:lvl w:ilvl="0" w:tplc="5A222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C2BE7"/>
    <w:multiLevelType w:val="multilevel"/>
    <w:tmpl w:val="C964BB1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70610B7D"/>
    <w:multiLevelType w:val="hybridMultilevel"/>
    <w:tmpl w:val="F676D7CC"/>
    <w:lvl w:ilvl="0" w:tplc="C7DCC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8A76F66"/>
    <w:multiLevelType w:val="multilevel"/>
    <w:tmpl w:val="FC0ABB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F91119"/>
    <w:multiLevelType w:val="multilevel"/>
    <w:tmpl w:val="223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2053F3"/>
    <w:multiLevelType w:val="multilevel"/>
    <w:tmpl w:val="B490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FD5997"/>
    <w:multiLevelType w:val="hybridMultilevel"/>
    <w:tmpl w:val="5A2267F2"/>
    <w:lvl w:ilvl="0" w:tplc="25081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838894">
    <w:abstractNumId w:val="36"/>
  </w:num>
  <w:num w:numId="2" w16cid:durableId="1606229915">
    <w:abstractNumId w:val="3"/>
  </w:num>
  <w:num w:numId="3" w16cid:durableId="1104886263">
    <w:abstractNumId w:val="35"/>
  </w:num>
  <w:num w:numId="4" w16cid:durableId="1820686309">
    <w:abstractNumId w:val="6"/>
  </w:num>
  <w:num w:numId="5" w16cid:durableId="1200237687">
    <w:abstractNumId w:val="28"/>
  </w:num>
  <w:num w:numId="6" w16cid:durableId="1411194668">
    <w:abstractNumId w:val="13"/>
  </w:num>
  <w:num w:numId="7" w16cid:durableId="1318681127">
    <w:abstractNumId w:val="18"/>
  </w:num>
  <w:num w:numId="8" w16cid:durableId="1655835065">
    <w:abstractNumId w:val="42"/>
  </w:num>
  <w:num w:numId="9" w16cid:durableId="712074560">
    <w:abstractNumId w:val="11"/>
  </w:num>
  <w:num w:numId="10" w16cid:durableId="414130718">
    <w:abstractNumId w:val="39"/>
  </w:num>
  <w:num w:numId="11" w16cid:durableId="1830711138">
    <w:abstractNumId w:val="34"/>
  </w:num>
  <w:num w:numId="12" w16cid:durableId="1927349627">
    <w:abstractNumId w:val="4"/>
  </w:num>
  <w:num w:numId="13" w16cid:durableId="1474106371">
    <w:abstractNumId w:val="32"/>
  </w:num>
  <w:num w:numId="14" w16cid:durableId="143855453">
    <w:abstractNumId w:val="20"/>
  </w:num>
  <w:num w:numId="15" w16cid:durableId="233972851">
    <w:abstractNumId w:val="45"/>
  </w:num>
  <w:num w:numId="16" w16cid:durableId="1720475648">
    <w:abstractNumId w:val="5"/>
  </w:num>
  <w:num w:numId="17" w16cid:durableId="995843060">
    <w:abstractNumId w:val="23"/>
  </w:num>
  <w:num w:numId="18" w16cid:durableId="1915116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457000">
    <w:abstractNumId w:val="40"/>
  </w:num>
  <w:num w:numId="20" w16cid:durableId="340899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0114731">
    <w:abstractNumId w:val="43"/>
  </w:num>
  <w:num w:numId="22" w16cid:durableId="1181816353">
    <w:abstractNumId w:val="1"/>
  </w:num>
  <w:num w:numId="23" w16cid:durableId="731466595">
    <w:abstractNumId w:val="47"/>
  </w:num>
  <w:num w:numId="24" w16cid:durableId="303782719">
    <w:abstractNumId w:val="25"/>
  </w:num>
  <w:num w:numId="25" w16cid:durableId="2124617016">
    <w:abstractNumId w:val="0"/>
  </w:num>
  <w:num w:numId="26" w16cid:durableId="918175871">
    <w:abstractNumId w:val="7"/>
  </w:num>
  <w:num w:numId="27" w16cid:durableId="2076076129">
    <w:abstractNumId w:val="8"/>
  </w:num>
  <w:num w:numId="28" w16cid:durableId="3822700">
    <w:abstractNumId w:val="46"/>
  </w:num>
  <w:num w:numId="29" w16cid:durableId="766195030">
    <w:abstractNumId w:val="21"/>
  </w:num>
  <w:num w:numId="30" w16cid:durableId="1535342035">
    <w:abstractNumId w:val="27"/>
  </w:num>
  <w:num w:numId="31" w16cid:durableId="2140370395">
    <w:abstractNumId w:val="2"/>
  </w:num>
  <w:num w:numId="32" w16cid:durableId="1528636340">
    <w:abstractNumId w:val="48"/>
  </w:num>
  <w:num w:numId="33" w16cid:durableId="564147170">
    <w:abstractNumId w:val="14"/>
  </w:num>
  <w:num w:numId="34" w16cid:durableId="485243990">
    <w:abstractNumId w:val="37"/>
  </w:num>
  <w:num w:numId="35" w16cid:durableId="1533032446">
    <w:abstractNumId w:val="15"/>
  </w:num>
  <w:num w:numId="36" w16cid:durableId="1220095556">
    <w:abstractNumId w:val="10"/>
  </w:num>
  <w:num w:numId="37" w16cid:durableId="352876309">
    <w:abstractNumId w:val="9"/>
  </w:num>
  <w:num w:numId="38" w16cid:durableId="1010990560">
    <w:abstractNumId w:val="41"/>
  </w:num>
  <w:num w:numId="39" w16cid:durableId="1414622993">
    <w:abstractNumId w:val="22"/>
  </w:num>
  <w:num w:numId="40" w16cid:durableId="1577939261">
    <w:abstractNumId w:val="19"/>
  </w:num>
  <w:num w:numId="41" w16cid:durableId="2032489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7186666">
    <w:abstractNumId w:val="24"/>
  </w:num>
  <w:num w:numId="43" w16cid:durableId="2021350728">
    <w:abstractNumId w:val="31"/>
  </w:num>
  <w:num w:numId="44" w16cid:durableId="844637878">
    <w:abstractNumId w:val="30"/>
  </w:num>
  <w:num w:numId="45" w16cid:durableId="909771471">
    <w:abstractNumId w:val="12"/>
  </w:num>
  <w:num w:numId="46" w16cid:durableId="1174420520">
    <w:abstractNumId w:val="49"/>
  </w:num>
  <w:num w:numId="47" w16cid:durableId="11761925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3176538">
    <w:abstractNumId w:val="16"/>
  </w:num>
  <w:num w:numId="49" w16cid:durableId="498037550">
    <w:abstractNumId w:val="38"/>
  </w:num>
  <w:num w:numId="50" w16cid:durableId="10768242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140B"/>
    <w:rsid w:val="000014FB"/>
    <w:rsid w:val="00012FF0"/>
    <w:rsid w:val="000144FB"/>
    <w:rsid w:val="00015086"/>
    <w:rsid w:val="00016C4D"/>
    <w:rsid w:val="00017CC1"/>
    <w:rsid w:val="00020AE3"/>
    <w:rsid w:val="00026CC0"/>
    <w:rsid w:val="000339C8"/>
    <w:rsid w:val="00034129"/>
    <w:rsid w:val="00036F88"/>
    <w:rsid w:val="000437DD"/>
    <w:rsid w:val="00052607"/>
    <w:rsid w:val="00052664"/>
    <w:rsid w:val="00053923"/>
    <w:rsid w:val="0005500A"/>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5E85"/>
    <w:rsid w:val="000C09CF"/>
    <w:rsid w:val="000C227B"/>
    <w:rsid w:val="000C4C00"/>
    <w:rsid w:val="000D0E76"/>
    <w:rsid w:val="000D4CD0"/>
    <w:rsid w:val="000D6E38"/>
    <w:rsid w:val="000D77FB"/>
    <w:rsid w:val="000D7CA4"/>
    <w:rsid w:val="000D7DCD"/>
    <w:rsid w:val="000E0147"/>
    <w:rsid w:val="000E09F3"/>
    <w:rsid w:val="000E1010"/>
    <w:rsid w:val="000E2BC3"/>
    <w:rsid w:val="000E4DE0"/>
    <w:rsid w:val="000E5AC4"/>
    <w:rsid w:val="000E668E"/>
    <w:rsid w:val="000F4DB1"/>
    <w:rsid w:val="001024E6"/>
    <w:rsid w:val="00103497"/>
    <w:rsid w:val="00106912"/>
    <w:rsid w:val="0010722F"/>
    <w:rsid w:val="0010735E"/>
    <w:rsid w:val="001123ED"/>
    <w:rsid w:val="001207DE"/>
    <w:rsid w:val="00121010"/>
    <w:rsid w:val="00125EE3"/>
    <w:rsid w:val="0012611C"/>
    <w:rsid w:val="00140D96"/>
    <w:rsid w:val="00142D73"/>
    <w:rsid w:val="00147A54"/>
    <w:rsid w:val="001520C0"/>
    <w:rsid w:val="0015399E"/>
    <w:rsid w:val="00153CCC"/>
    <w:rsid w:val="00154981"/>
    <w:rsid w:val="001552C4"/>
    <w:rsid w:val="0015599D"/>
    <w:rsid w:val="00160121"/>
    <w:rsid w:val="001619E7"/>
    <w:rsid w:val="00164173"/>
    <w:rsid w:val="00170836"/>
    <w:rsid w:val="00171AE3"/>
    <w:rsid w:val="001775D3"/>
    <w:rsid w:val="00185FF3"/>
    <w:rsid w:val="00190654"/>
    <w:rsid w:val="00191477"/>
    <w:rsid w:val="0019465F"/>
    <w:rsid w:val="001A054E"/>
    <w:rsid w:val="001A1CC0"/>
    <w:rsid w:val="001A223E"/>
    <w:rsid w:val="001A240D"/>
    <w:rsid w:val="001B46A8"/>
    <w:rsid w:val="001B4AFB"/>
    <w:rsid w:val="001B4F3F"/>
    <w:rsid w:val="001B5FC5"/>
    <w:rsid w:val="001C2405"/>
    <w:rsid w:val="001C7741"/>
    <w:rsid w:val="001D180F"/>
    <w:rsid w:val="001D413A"/>
    <w:rsid w:val="001D652C"/>
    <w:rsid w:val="001D75F8"/>
    <w:rsid w:val="001E074F"/>
    <w:rsid w:val="001E2141"/>
    <w:rsid w:val="001E566F"/>
    <w:rsid w:val="001E71E0"/>
    <w:rsid w:val="001F0349"/>
    <w:rsid w:val="001F2CB3"/>
    <w:rsid w:val="001F3413"/>
    <w:rsid w:val="001F3E2D"/>
    <w:rsid w:val="001F6E50"/>
    <w:rsid w:val="001F7BBC"/>
    <w:rsid w:val="00200996"/>
    <w:rsid w:val="00200AA9"/>
    <w:rsid w:val="00206694"/>
    <w:rsid w:val="00207E2E"/>
    <w:rsid w:val="00212234"/>
    <w:rsid w:val="00216CB5"/>
    <w:rsid w:val="00217B98"/>
    <w:rsid w:val="00217FFD"/>
    <w:rsid w:val="002234E1"/>
    <w:rsid w:val="00226B07"/>
    <w:rsid w:val="002351EE"/>
    <w:rsid w:val="00236C1E"/>
    <w:rsid w:val="00237085"/>
    <w:rsid w:val="00241058"/>
    <w:rsid w:val="00241DAE"/>
    <w:rsid w:val="00242D3A"/>
    <w:rsid w:val="00243A1A"/>
    <w:rsid w:val="002441C1"/>
    <w:rsid w:val="0024728F"/>
    <w:rsid w:val="00247573"/>
    <w:rsid w:val="00250974"/>
    <w:rsid w:val="00250B34"/>
    <w:rsid w:val="002511E0"/>
    <w:rsid w:val="00256570"/>
    <w:rsid w:val="00260632"/>
    <w:rsid w:val="00261EE3"/>
    <w:rsid w:val="00262E99"/>
    <w:rsid w:val="002652D5"/>
    <w:rsid w:val="00265C53"/>
    <w:rsid w:val="00266B43"/>
    <w:rsid w:val="002675D8"/>
    <w:rsid w:val="00271F5B"/>
    <w:rsid w:val="00273323"/>
    <w:rsid w:val="00274378"/>
    <w:rsid w:val="0027774B"/>
    <w:rsid w:val="002826E4"/>
    <w:rsid w:val="00282FA2"/>
    <w:rsid w:val="00287B86"/>
    <w:rsid w:val="0029586D"/>
    <w:rsid w:val="002973DE"/>
    <w:rsid w:val="002A2DF8"/>
    <w:rsid w:val="002A580A"/>
    <w:rsid w:val="002A59EF"/>
    <w:rsid w:val="002B02E4"/>
    <w:rsid w:val="002B3D21"/>
    <w:rsid w:val="002B44A1"/>
    <w:rsid w:val="002B731D"/>
    <w:rsid w:val="002C1FF8"/>
    <w:rsid w:val="002C6E4F"/>
    <w:rsid w:val="002C733F"/>
    <w:rsid w:val="002C7F03"/>
    <w:rsid w:val="002D0742"/>
    <w:rsid w:val="002D2221"/>
    <w:rsid w:val="002D2682"/>
    <w:rsid w:val="002D529D"/>
    <w:rsid w:val="002D574D"/>
    <w:rsid w:val="002D7485"/>
    <w:rsid w:val="002E1A55"/>
    <w:rsid w:val="002E6526"/>
    <w:rsid w:val="002F76DE"/>
    <w:rsid w:val="003015B5"/>
    <w:rsid w:val="00301958"/>
    <w:rsid w:val="0030526E"/>
    <w:rsid w:val="00310B3D"/>
    <w:rsid w:val="0031114B"/>
    <w:rsid w:val="003116B5"/>
    <w:rsid w:val="0031566F"/>
    <w:rsid w:val="00316218"/>
    <w:rsid w:val="00317005"/>
    <w:rsid w:val="00322C4F"/>
    <w:rsid w:val="00332366"/>
    <w:rsid w:val="00335C48"/>
    <w:rsid w:val="0034425E"/>
    <w:rsid w:val="00344587"/>
    <w:rsid w:val="00345085"/>
    <w:rsid w:val="0035145A"/>
    <w:rsid w:val="003518E4"/>
    <w:rsid w:val="00352442"/>
    <w:rsid w:val="003541B4"/>
    <w:rsid w:val="00357D61"/>
    <w:rsid w:val="00361C42"/>
    <w:rsid w:val="00364559"/>
    <w:rsid w:val="0037327C"/>
    <w:rsid w:val="00374572"/>
    <w:rsid w:val="00381019"/>
    <w:rsid w:val="00391383"/>
    <w:rsid w:val="00395E2E"/>
    <w:rsid w:val="003A23CF"/>
    <w:rsid w:val="003A36E7"/>
    <w:rsid w:val="003A75B8"/>
    <w:rsid w:val="003B191B"/>
    <w:rsid w:val="003B1CE7"/>
    <w:rsid w:val="003B7C4A"/>
    <w:rsid w:val="003C045B"/>
    <w:rsid w:val="003C1E87"/>
    <w:rsid w:val="003C2EAB"/>
    <w:rsid w:val="003C4AC6"/>
    <w:rsid w:val="003C63BE"/>
    <w:rsid w:val="003C79E1"/>
    <w:rsid w:val="003D4694"/>
    <w:rsid w:val="003D4F83"/>
    <w:rsid w:val="003E2711"/>
    <w:rsid w:val="003F12A2"/>
    <w:rsid w:val="003F6A79"/>
    <w:rsid w:val="003F6C45"/>
    <w:rsid w:val="003F6C69"/>
    <w:rsid w:val="004003B3"/>
    <w:rsid w:val="00400C6E"/>
    <w:rsid w:val="004020E6"/>
    <w:rsid w:val="0040246D"/>
    <w:rsid w:val="004024D0"/>
    <w:rsid w:val="00405A74"/>
    <w:rsid w:val="00410A88"/>
    <w:rsid w:val="00411705"/>
    <w:rsid w:val="00415BDC"/>
    <w:rsid w:val="004164B2"/>
    <w:rsid w:val="00416E2E"/>
    <w:rsid w:val="004224EA"/>
    <w:rsid w:val="00424D4A"/>
    <w:rsid w:val="0042577F"/>
    <w:rsid w:val="00427624"/>
    <w:rsid w:val="00427E4C"/>
    <w:rsid w:val="00427EE2"/>
    <w:rsid w:val="0043228D"/>
    <w:rsid w:val="00433DB0"/>
    <w:rsid w:val="004457A1"/>
    <w:rsid w:val="00450C23"/>
    <w:rsid w:val="00451218"/>
    <w:rsid w:val="00451313"/>
    <w:rsid w:val="004570E7"/>
    <w:rsid w:val="00462F38"/>
    <w:rsid w:val="00463860"/>
    <w:rsid w:val="00463D26"/>
    <w:rsid w:val="0047211B"/>
    <w:rsid w:val="00472C5C"/>
    <w:rsid w:val="004738EE"/>
    <w:rsid w:val="004745E6"/>
    <w:rsid w:val="00476A5C"/>
    <w:rsid w:val="004812F5"/>
    <w:rsid w:val="004816E5"/>
    <w:rsid w:val="004833A3"/>
    <w:rsid w:val="0048396E"/>
    <w:rsid w:val="004857FB"/>
    <w:rsid w:val="00493D44"/>
    <w:rsid w:val="00497724"/>
    <w:rsid w:val="004A1713"/>
    <w:rsid w:val="004A3603"/>
    <w:rsid w:val="004A36CD"/>
    <w:rsid w:val="004A4B29"/>
    <w:rsid w:val="004B7E97"/>
    <w:rsid w:val="004B7F04"/>
    <w:rsid w:val="004C011F"/>
    <w:rsid w:val="004C2EE7"/>
    <w:rsid w:val="004D0576"/>
    <w:rsid w:val="004D36D7"/>
    <w:rsid w:val="004D3792"/>
    <w:rsid w:val="004D4A5A"/>
    <w:rsid w:val="004E0D2B"/>
    <w:rsid w:val="004E2956"/>
    <w:rsid w:val="004E30E5"/>
    <w:rsid w:val="004E4138"/>
    <w:rsid w:val="004F0084"/>
    <w:rsid w:val="004F0109"/>
    <w:rsid w:val="004F2266"/>
    <w:rsid w:val="004F27D1"/>
    <w:rsid w:val="004F5B78"/>
    <w:rsid w:val="004F619A"/>
    <w:rsid w:val="004F637B"/>
    <w:rsid w:val="004F7895"/>
    <w:rsid w:val="005002A2"/>
    <w:rsid w:val="005007CA"/>
    <w:rsid w:val="0050266C"/>
    <w:rsid w:val="00502F25"/>
    <w:rsid w:val="0050578D"/>
    <w:rsid w:val="00510FD6"/>
    <w:rsid w:val="005222ED"/>
    <w:rsid w:val="00523BD5"/>
    <w:rsid w:val="00524A62"/>
    <w:rsid w:val="00524CF9"/>
    <w:rsid w:val="00532F36"/>
    <w:rsid w:val="00534507"/>
    <w:rsid w:val="00536BD1"/>
    <w:rsid w:val="00536F48"/>
    <w:rsid w:val="005373C7"/>
    <w:rsid w:val="00542046"/>
    <w:rsid w:val="00542B90"/>
    <w:rsid w:val="00544726"/>
    <w:rsid w:val="00545293"/>
    <w:rsid w:val="0054653E"/>
    <w:rsid w:val="00546900"/>
    <w:rsid w:val="00555B0E"/>
    <w:rsid w:val="0055735A"/>
    <w:rsid w:val="00561970"/>
    <w:rsid w:val="00562EF5"/>
    <w:rsid w:val="0056390B"/>
    <w:rsid w:val="005715DA"/>
    <w:rsid w:val="005721F0"/>
    <w:rsid w:val="005739CF"/>
    <w:rsid w:val="005740C8"/>
    <w:rsid w:val="0058092D"/>
    <w:rsid w:val="00581189"/>
    <w:rsid w:val="005828C1"/>
    <w:rsid w:val="00591261"/>
    <w:rsid w:val="00591577"/>
    <w:rsid w:val="00593EF8"/>
    <w:rsid w:val="0059538D"/>
    <w:rsid w:val="005A3A0B"/>
    <w:rsid w:val="005A7288"/>
    <w:rsid w:val="005B3B67"/>
    <w:rsid w:val="005B425E"/>
    <w:rsid w:val="005B76CF"/>
    <w:rsid w:val="005C2C12"/>
    <w:rsid w:val="005C5778"/>
    <w:rsid w:val="005D1762"/>
    <w:rsid w:val="005D2CA7"/>
    <w:rsid w:val="005D6115"/>
    <w:rsid w:val="005D7747"/>
    <w:rsid w:val="005E10BC"/>
    <w:rsid w:val="005E5DCC"/>
    <w:rsid w:val="005E65A8"/>
    <w:rsid w:val="005E6AA8"/>
    <w:rsid w:val="005F1B9C"/>
    <w:rsid w:val="005F434C"/>
    <w:rsid w:val="005F57EB"/>
    <w:rsid w:val="005F7FB6"/>
    <w:rsid w:val="0060159A"/>
    <w:rsid w:val="0060204E"/>
    <w:rsid w:val="0060676F"/>
    <w:rsid w:val="0061348B"/>
    <w:rsid w:val="00613D48"/>
    <w:rsid w:val="0061684B"/>
    <w:rsid w:val="00617362"/>
    <w:rsid w:val="00623590"/>
    <w:rsid w:val="00627580"/>
    <w:rsid w:val="0063030D"/>
    <w:rsid w:val="006310DD"/>
    <w:rsid w:val="00632923"/>
    <w:rsid w:val="006340E5"/>
    <w:rsid w:val="00635147"/>
    <w:rsid w:val="00635BF6"/>
    <w:rsid w:val="0064231D"/>
    <w:rsid w:val="006444CD"/>
    <w:rsid w:val="00651851"/>
    <w:rsid w:val="00654FB9"/>
    <w:rsid w:val="006566CD"/>
    <w:rsid w:val="00657867"/>
    <w:rsid w:val="0066027E"/>
    <w:rsid w:val="006618BF"/>
    <w:rsid w:val="0066667D"/>
    <w:rsid w:val="00666B47"/>
    <w:rsid w:val="0067247A"/>
    <w:rsid w:val="006726C3"/>
    <w:rsid w:val="00672C4E"/>
    <w:rsid w:val="0067483B"/>
    <w:rsid w:val="00676111"/>
    <w:rsid w:val="0067730A"/>
    <w:rsid w:val="006774B8"/>
    <w:rsid w:val="00695317"/>
    <w:rsid w:val="006953D8"/>
    <w:rsid w:val="006A09C7"/>
    <w:rsid w:val="006A2D4D"/>
    <w:rsid w:val="006A69E9"/>
    <w:rsid w:val="006B0D0A"/>
    <w:rsid w:val="006B323C"/>
    <w:rsid w:val="006B7ABD"/>
    <w:rsid w:val="006C1477"/>
    <w:rsid w:val="006C1526"/>
    <w:rsid w:val="006C1BCA"/>
    <w:rsid w:val="006C4222"/>
    <w:rsid w:val="006C7B60"/>
    <w:rsid w:val="006D6109"/>
    <w:rsid w:val="006D648E"/>
    <w:rsid w:val="006D7FE4"/>
    <w:rsid w:val="006E373F"/>
    <w:rsid w:val="006E3A8B"/>
    <w:rsid w:val="006E7F7A"/>
    <w:rsid w:val="006E7FA1"/>
    <w:rsid w:val="006F2527"/>
    <w:rsid w:val="006F2F12"/>
    <w:rsid w:val="006F5295"/>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51FA"/>
    <w:rsid w:val="007277B4"/>
    <w:rsid w:val="00732339"/>
    <w:rsid w:val="007335F5"/>
    <w:rsid w:val="00736441"/>
    <w:rsid w:val="007401F4"/>
    <w:rsid w:val="00745147"/>
    <w:rsid w:val="007462E6"/>
    <w:rsid w:val="00746656"/>
    <w:rsid w:val="00746F5E"/>
    <w:rsid w:val="007477A7"/>
    <w:rsid w:val="007556BD"/>
    <w:rsid w:val="00757BFC"/>
    <w:rsid w:val="00760919"/>
    <w:rsid w:val="00760A37"/>
    <w:rsid w:val="00765071"/>
    <w:rsid w:val="0076650E"/>
    <w:rsid w:val="00766567"/>
    <w:rsid w:val="007668CC"/>
    <w:rsid w:val="00766BAF"/>
    <w:rsid w:val="0076782F"/>
    <w:rsid w:val="007731D9"/>
    <w:rsid w:val="007743FD"/>
    <w:rsid w:val="00775A2D"/>
    <w:rsid w:val="0077636B"/>
    <w:rsid w:val="00780F53"/>
    <w:rsid w:val="00786076"/>
    <w:rsid w:val="00794E58"/>
    <w:rsid w:val="007A1CE1"/>
    <w:rsid w:val="007A24BB"/>
    <w:rsid w:val="007A5BDF"/>
    <w:rsid w:val="007A64BB"/>
    <w:rsid w:val="007B00C7"/>
    <w:rsid w:val="007B1822"/>
    <w:rsid w:val="007B312A"/>
    <w:rsid w:val="007C025E"/>
    <w:rsid w:val="007C217F"/>
    <w:rsid w:val="007C23D6"/>
    <w:rsid w:val="007C24D4"/>
    <w:rsid w:val="007C3F0C"/>
    <w:rsid w:val="007C5223"/>
    <w:rsid w:val="007D6215"/>
    <w:rsid w:val="007D6CB1"/>
    <w:rsid w:val="007E346B"/>
    <w:rsid w:val="007E431F"/>
    <w:rsid w:val="007E488D"/>
    <w:rsid w:val="007E4C0D"/>
    <w:rsid w:val="007E7719"/>
    <w:rsid w:val="007F0768"/>
    <w:rsid w:val="007F323E"/>
    <w:rsid w:val="007F3CF1"/>
    <w:rsid w:val="007F5D33"/>
    <w:rsid w:val="007F6D0C"/>
    <w:rsid w:val="008018C3"/>
    <w:rsid w:val="008036D5"/>
    <w:rsid w:val="0080541B"/>
    <w:rsid w:val="00810F77"/>
    <w:rsid w:val="00830C7D"/>
    <w:rsid w:val="00835CD6"/>
    <w:rsid w:val="008363D3"/>
    <w:rsid w:val="00840BC8"/>
    <w:rsid w:val="00844881"/>
    <w:rsid w:val="0084519E"/>
    <w:rsid w:val="0085013E"/>
    <w:rsid w:val="00854007"/>
    <w:rsid w:val="0085501A"/>
    <w:rsid w:val="00857138"/>
    <w:rsid w:val="00861003"/>
    <w:rsid w:val="00865C4F"/>
    <w:rsid w:val="00867AEF"/>
    <w:rsid w:val="008723DD"/>
    <w:rsid w:val="00873538"/>
    <w:rsid w:val="00873B84"/>
    <w:rsid w:val="00874BD7"/>
    <w:rsid w:val="00876F48"/>
    <w:rsid w:val="00877039"/>
    <w:rsid w:val="00880C14"/>
    <w:rsid w:val="008829C8"/>
    <w:rsid w:val="00883E0C"/>
    <w:rsid w:val="00886049"/>
    <w:rsid w:val="00886459"/>
    <w:rsid w:val="0088678D"/>
    <w:rsid w:val="008876A4"/>
    <w:rsid w:val="00890F5A"/>
    <w:rsid w:val="0089224E"/>
    <w:rsid w:val="008A3696"/>
    <w:rsid w:val="008A444C"/>
    <w:rsid w:val="008A5926"/>
    <w:rsid w:val="008B055C"/>
    <w:rsid w:val="008B39B5"/>
    <w:rsid w:val="008B5730"/>
    <w:rsid w:val="008B6E7F"/>
    <w:rsid w:val="008C06D1"/>
    <w:rsid w:val="008C6992"/>
    <w:rsid w:val="008C7CE9"/>
    <w:rsid w:val="008D5CE4"/>
    <w:rsid w:val="008D5DD4"/>
    <w:rsid w:val="008E267F"/>
    <w:rsid w:val="008E3175"/>
    <w:rsid w:val="008E382D"/>
    <w:rsid w:val="008E5E6C"/>
    <w:rsid w:val="008F0B14"/>
    <w:rsid w:val="008F7A0F"/>
    <w:rsid w:val="00900733"/>
    <w:rsid w:val="00900CDD"/>
    <w:rsid w:val="0090345E"/>
    <w:rsid w:val="00903483"/>
    <w:rsid w:val="00905100"/>
    <w:rsid w:val="009116FC"/>
    <w:rsid w:val="00912A81"/>
    <w:rsid w:val="00914927"/>
    <w:rsid w:val="00916618"/>
    <w:rsid w:val="00922CBA"/>
    <w:rsid w:val="00922FEB"/>
    <w:rsid w:val="0093106A"/>
    <w:rsid w:val="00937073"/>
    <w:rsid w:val="0093777F"/>
    <w:rsid w:val="0094134A"/>
    <w:rsid w:val="00943DF9"/>
    <w:rsid w:val="00946891"/>
    <w:rsid w:val="00947346"/>
    <w:rsid w:val="00950BE7"/>
    <w:rsid w:val="0095143E"/>
    <w:rsid w:val="00954EFF"/>
    <w:rsid w:val="0095646B"/>
    <w:rsid w:val="00956D2D"/>
    <w:rsid w:val="00961CE2"/>
    <w:rsid w:val="009669F8"/>
    <w:rsid w:val="00973DF3"/>
    <w:rsid w:val="009740A1"/>
    <w:rsid w:val="009770D2"/>
    <w:rsid w:val="009822C7"/>
    <w:rsid w:val="009837C8"/>
    <w:rsid w:val="00984729"/>
    <w:rsid w:val="00986E09"/>
    <w:rsid w:val="00990A3C"/>
    <w:rsid w:val="00991E9A"/>
    <w:rsid w:val="009930BD"/>
    <w:rsid w:val="0099499F"/>
    <w:rsid w:val="00996667"/>
    <w:rsid w:val="009A05BF"/>
    <w:rsid w:val="009A0775"/>
    <w:rsid w:val="009A20F7"/>
    <w:rsid w:val="009B2315"/>
    <w:rsid w:val="009C4544"/>
    <w:rsid w:val="009C4AB8"/>
    <w:rsid w:val="009C6155"/>
    <w:rsid w:val="009C71E4"/>
    <w:rsid w:val="009D037B"/>
    <w:rsid w:val="009D0B38"/>
    <w:rsid w:val="009D14DE"/>
    <w:rsid w:val="009D26C0"/>
    <w:rsid w:val="009D45E4"/>
    <w:rsid w:val="009D64A3"/>
    <w:rsid w:val="009E06AE"/>
    <w:rsid w:val="009E08DD"/>
    <w:rsid w:val="009E0C89"/>
    <w:rsid w:val="009E22EF"/>
    <w:rsid w:val="009E29DA"/>
    <w:rsid w:val="009E4A2F"/>
    <w:rsid w:val="009E6BD3"/>
    <w:rsid w:val="009F0018"/>
    <w:rsid w:val="009F018B"/>
    <w:rsid w:val="009F0E45"/>
    <w:rsid w:val="009F2891"/>
    <w:rsid w:val="009F4771"/>
    <w:rsid w:val="00A106AB"/>
    <w:rsid w:val="00A10ABB"/>
    <w:rsid w:val="00A11922"/>
    <w:rsid w:val="00A12F75"/>
    <w:rsid w:val="00A22CD6"/>
    <w:rsid w:val="00A231BF"/>
    <w:rsid w:val="00A235BE"/>
    <w:rsid w:val="00A23CE3"/>
    <w:rsid w:val="00A25B73"/>
    <w:rsid w:val="00A25D4A"/>
    <w:rsid w:val="00A26FC2"/>
    <w:rsid w:val="00A34557"/>
    <w:rsid w:val="00A345DE"/>
    <w:rsid w:val="00A40F57"/>
    <w:rsid w:val="00A43694"/>
    <w:rsid w:val="00A43EA9"/>
    <w:rsid w:val="00A45944"/>
    <w:rsid w:val="00A52380"/>
    <w:rsid w:val="00A57D3C"/>
    <w:rsid w:val="00A61AEB"/>
    <w:rsid w:val="00A625F8"/>
    <w:rsid w:val="00A64D34"/>
    <w:rsid w:val="00A706BA"/>
    <w:rsid w:val="00A7637A"/>
    <w:rsid w:val="00A7784E"/>
    <w:rsid w:val="00A8172F"/>
    <w:rsid w:val="00A835CB"/>
    <w:rsid w:val="00A8449D"/>
    <w:rsid w:val="00A9094D"/>
    <w:rsid w:val="00A9181F"/>
    <w:rsid w:val="00A93747"/>
    <w:rsid w:val="00A96A0F"/>
    <w:rsid w:val="00A96B7A"/>
    <w:rsid w:val="00A96FAA"/>
    <w:rsid w:val="00A97512"/>
    <w:rsid w:val="00AA1B31"/>
    <w:rsid w:val="00AA2A3A"/>
    <w:rsid w:val="00AA68CF"/>
    <w:rsid w:val="00AB0BE6"/>
    <w:rsid w:val="00AB1D5E"/>
    <w:rsid w:val="00AB296B"/>
    <w:rsid w:val="00AB4788"/>
    <w:rsid w:val="00AB5DD5"/>
    <w:rsid w:val="00AB6BA4"/>
    <w:rsid w:val="00AC3A97"/>
    <w:rsid w:val="00AC3DAE"/>
    <w:rsid w:val="00AC4CF3"/>
    <w:rsid w:val="00AC5123"/>
    <w:rsid w:val="00AC59BE"/>
    <w:rsid w:val="00AD0ED0"/>
    <w:rsid w:val="00AD0F34"/>
    <w:rsid w:val="00AD5C20"/>
    <w:rsid w:val="00AD6055"/>
    <w:rsid w:val="00AD61E7"/>
    <w:rsid w:val="00AD7342"/>
    <w:rsid w:val="00AD7C53"/>
    <w:rsid w:val="00AE3E8F"/>
    <w:rsid w:val="00AE5216"/>
    <w:rsid w:val="00AF0520"/>
    <w:rsid w:val="00AF1AA4"/>
    <w:rsid w:val="00AF1DCF"/>
    <w:rsid w:val="00AF2598"/>
    <w:rsid w:val="00AF3271"/>
    <w:rsid w:val="00AF6187"/>
    <w:rsid w:val="00AF61C6"/>
    <w:rsid w:val="00AF6E05"/>
    <w:rsid w:val="00AF7139"/>
    <w:rsid w:val="00B02FF5"/>
    <w:rsid w:val="00B03A2F"/>
    <w:rsid w:val="00B058FC"/>
    <w:rsid w:val="00B06D2C"/>
    <w:rsid w:val="00B114DB"/>
    <w:rsid w:val="00B12B57"/>
    <w:rsid w:val="00B13469"/>
    <w:rsid w:val="00B15547"/>
    <w:rsid w:val="00B1645B"/>
    <w:rsid w:val="00B1652A"/>
    <w:rsid w:val="00B167C6"/>
    <w:rsid w:val="00B16F37"/>
    <w:rsid w:val="00B17414"/>
    <w:rsid w:val="00B21860"/>
    <w:rsid w:val="00B25191"/>
    <w:rsid w:val="00B255FB"/>
    <w:rsid w:val="00B259CE"/>
    <w:rsid w:val="00B306D3"/>
    <w:rsid w:val="00B353DE"/>
    <w:rsid w:val="00B37AA1"/>
    <w:rsid w:val="00B46145"/>
    <w:rsid w:val="00B503DF"/>
    <w:rsid w:val="00B5370F"/>
    <w:rsid w:val="00B63161"/>
    <w:rsid w:val="00B6607B"/>
    <w:rsid w:val="00B6709E"/>
    <w:rsid w:val="00B70DBE"/>
    <w:rsid w:val="00B72C75"/>
    <w:rsid w:val="00B76DBB"/>
    <w:rsid w:val="00B812B2"/>
    <w:rsid w:val="00B84C5E"/>
    <w:rsid w:val="00B909DA"/>
    <w:rsid w:val="00B9571F"/>
    <w:rsid w:val="00B96DD0"/>
    <w:rsid w:val="00BA5747"/>
    <w:rsid w:val="00BA7CDB"/>
    <w:rsid w:val="00BA7D26"/>
    <w:rsid w:val="00BB2ED5"/>
    <w:rsid w:val="00BB6DD9"/>
    <w:rsid w:val="00BC3517"/>
    <w:rsid w:val="00BC4268"/>
    <w:rsid w:val="00BC5DCD"/>
    <w:rsid w:val="00BD1B8F"/>
    <w:rsid w:val="00BD3625"/>
    <w:rsid w:val="00BD7236"/>
    <w:rsid w:val="00BE2ADC"/>
    <w:rsid w:val="00BE44C9"/>
    <w:rsid w:val="00BE6AC7"/>
    <w:rsid w:val="00BE7055"/>
    <w:rsid w:val="00BF099B"/>
    <w:rsid w:val="00BF173E"/>
    <w:rsid w:val="00BF18F7"/>
    <w:rsid w:val="00BF5500"/>
    <w:rsid w:val="00BF76F8"/>
    <w:rsid w:val="00C0015B"/>
    <w:rsid w:val="00C02651"/>
    <w:rsid w:val="00C02C69"/>
    <w:rsid w:val="00C04EE6"/>
    <w:rsid w:val="00C04FDF"/>
    <w:rsid w:val="00C0516B"/>
    <w:rsid w:val="00C11ACA"/>
    <w:rsid w:val="00C155F2"/>
    <w:rsid w:val="00C23FE6"/>
    <w:rsid w:val="00C310FD"/>
    <w:rsid w:val="00C32352"/>
    <w:rsid w:val="00C327BA"/>
    <w:rsid w:val="00C34A80"/>
    <w:rsid w:val="00C355B7"/>
    <w:rsid w:val="00C378C4"/>
    <w:rsid w:val="00C428C9"/>
    <w:rsid w:val="00C45CE8"/>
    <w:rsid w:val="00C46499"/>
    <w:rsid w:val="00C4672E"/>
    <w:rsid w:val="00C52639"/>
    <w:rsid w:val="00C52BF2"/>
    <w:rsid w:val="00C54DF6"/>
    <w:rsid w:val="00C569B0"/>
    <w:rsid w:val="00C60A86"/>
    <w:rsid w:val="00C63462"/>
    <w:rsid w:val="00C634DE"/>
    <w:rsid w:val="00C63F93"/>
    <w:rsid w:val="00C64C7A"/>
    <w:rsid w:val="00C65F34"/>
    <w:rsid w:val="00C66519"/>
    <w:rsid w:val="00C67E67"/>
    <w:rsid w:val="00C714C9"/>
    <w:rsid w:val="00C7263F"/>
    <w:rsid w:val="00C815F0"/>
    <w:rsid w:val="00C82DD3"/>
    <w:rsid w:val="00C8394B"/>
    <w:rsid w:val="00C852B9"/>
    <w:rsid w:val="00C85409"/>
    <w:rsid w:val="00C85E90"/>
    <w:rsid w:val="00C86900"/>
    <w:rsid w:val="00C86A4A"/>
    <w:rsid w:val="00C90DD5"/>
    <w:rsid w:val="00C913FB"/>
    <w:rsid w:val="00C917BB"/>
    <w:rsid w:val="00C92686"/>
    <w:rsid w:val="00C93E05"/>
    <w:rsid w:val="00C9465F"/>
    <w:rsid w:val="00C947F4"/>
    <w:rsid w:val="00CA00ED"/>
    <w:rsid w:val="00CA04A6"/>
    <w:rsid w:val="00CA069C"/>
    <w:rsid w:val="00CA1C4C"/>
    <w:rsid w:val="00CA62EB"/>
    <w:rsid w:val="00CA76DC"/>
    <w:rsid w:val="00CB0400"/>
    <w:rsid w:val="00CB4834"/>
    <w:rsid w:val="00CB6827"/>
    <w:rsid w:val="00CB7E55"/>
    <w:rsid w:val="00CC0BDE"/>
    <w:rsid w:val="00CC146E"/>
    <w:rsid w:val="00CC3FA6"/>
    <w:rsid w:val="00CC583E"/>
    <w:rsid w:val="00CD074A"/>
    <w:rsid w:val="00CD0902"/>
    <w:rsid w:val="00CD260C"/>
    <w:rsid w:val="00CD3FEC"/>
    <w:rsid w:val="00CD42B9"/>
    <w:rsid w:val="00CD6E0B"/>
    <w:rsid w:val="00CE37E5"/>
    <w:rsid w:val="00CE58C1"/>
    <w:rsid w:val="00CE6B7A"/>
    <w:rsid w:val="00CE707E"/>
    <w:rsid w:val="00CF2455"/>
    <w:rsid w:val="00D00AE0"/>
    <w:rsid w:val="00D026D5"/>
    <w:rsid w:val="00D0274A"/>
    <w:rsid w:val="00D1104B"/>
    <w:rsid w:val="00D14676"/>
    <w:rsid w:val="00D14FD8"/>
    <w:rsid w:val="00D15D65"/>
    <w:rsid w:val="00D17890"/>
    <w:rsid w:val="00D23DA5"/>
    <w:rsid w:val="00D24852"/>
    <w:rsid w:val="00D27C06"/>
    <w:rsid w:val="00D35B3D"/>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32B4"/>
    <w:rsid w:val="00D73C0F"/>
    <w:rsid w:val="00D751DD"/>
    <w:rsid w:val="00D75230"/>
    <w:rsid w:val="00D759D9"/>
    <w:rsid w:val="00D76C5B"/>
    <w:rsid w:val="00D779F7"/>
    <w:rsid w:val="00D827AD"/>
    <w:rsid w:val="00D82EC3"/>
    <w:rsid w:val="00D838DF"/>
    <w:rsid w:val="00D83F54"/>
    <w:rsid w:val="00D87421"/>
    <w:rsid w:val="00D927D6"/>
    <w:rsid w:val="00D94863"/>
    <w:rsid w:val="00DA047A"/>
    <w:rsid w:val="00DA2762"/>
    <w:rsid w:val="00DA36BF"/>
    <w:rsid w:val="00DA6234"/>
    <w:rsid w:val="00DA690D"/>
    <w:rsid w:val="00DB0BB8"/>
    <w:rsid w:val="00DB377A"/>
    <w:rsid w:val="00DB7D40"/>
    <w:rsid w:val="00DC032B"/>
    <w:rsid w:val="00DC1794"/>
    <w:rsid w:val="00DC1EF3"/>
    <w:rsid w:val="00DC43ED"/>
    <w:rsid w:val="00DD0E9B"/>
    <w:rsid w:val="00DD2588"/>
    <w:rsid w:val="00DD3288"/>
    <w:rsid w:val="00DD36A7"/>
    <w:rsid w:val="00DD3DDA"/>
    <w:rsid w:val="00DD48A5"/>
    <w:rsid w:val="00DD54E0"/>
    <w:rsid w:val="00DE0020"/>
    <w:rsid w:val="00DE4307"/>
    <w:rsid w:val="00DE4DCE"/>
    <w:rsid w:val="00DE6956"/>
    <w:rsid w:val="00DF28EF"/>
    <w:rsid w:val="00DF3533"/>
    <w:rsid w:val="00DF42C2"/>
    <w:rsid w:val="00DF520A"/>
    <w:rsid w:val="00DF55CE"/>
    <w:rsid w:val="00E0142F"/>
    <w:rsid w:val="00E0229B"/>
    <w:rsid w:val="00E0351F"/>
    <w:rsid w:val="00E036DD"/>
    <w:rsid w:val="00E04699"/>
    <w:rsid w:val="00E06DEA"/>
    <w:rsid w:val="00E12826"/>
    <w:rsid w:val="00E15B73"/>
    <w:rsid w:val="00E16BA5"/>
    <w:rsid w:val="00E17299"/>
    <w:rsid w:val="00E172D2"/>
    <w:rsid w:val="00E17D54"/>
    <w:rsid w:val="00E17EDB"/>
    <w:rsid w:val="00E17F5A"/>
    <w:rsid w:val="00E24383"/>
    <w:rsid w:val="00E260AB"/>
    <w:rsid w:val="00E27D40"/>
    <w:rsid w:val="00E316B8"/>
    <w:rsid w:val="00E336AC"/>
    <w:rsid w:val="00E37B3A"/>
    <w:rsid w:val="00E40BFD"/>
    <w:rsid w:val="00E4179D"/>
    <w:rsid w:val="00E43433"/>
    <w:rsid w:val="00E43EC9"/>
    <w:rsid w:val="00E44329"/>
    <w:rsid w:val="00E519B9"/>
    <w:rsid w:val="00E540A1"/>
    <w:rsid w:val="00E55097"/>
    <w:rsid w:val="00E55E51"/>
    <w:rsid w:val="00E571EA"/>
    <w:rsid w:val="00E6089F"/>
    <w:rsid w:val="00E609B5"/>
    <w:rsid w:val="00E60B27"/>
    <w:rsid w:val="00E65DD8"/>
    <w:rsid w:val="00E669C9"/>
    <w:rsid w:val="00E67446"/>
    <w:rsid w:val="00E706E1"/>
    <w:rsid w:val="00E7462C"/>
    <w:rsid w:val="00E80D7B"/>
    <w:rsid w:val="00E82687"/>
    <w:rsid w:val="00E83899"/>
    <w:rsid w:val="00E8462D"/>
    <w:rsid w:val="00E847A2"/>
    <w:rsid w:val="00E87546"/>
    <w:rsid w:val="00E9084B"/>
    <w:rsid w:val="00E95C28"/>
    <w:rsid w:val="00E960C8"/>
    <w:rsid w:val="00E96B23"/>
    <w:rsid w:val="00EA5226"/>
    <w:rsid w:val="00EB212D"/>
    <w:rsid w:val="00EB2C6A"/>
    <w:rsid w:val="00EB64E9"/>
    <w:rsid w:val="00EB7E72"/>
    <w:rsid w:val="00EC3FD8"/>
    <w:rsid w:val="00EC4617"/>
    <w:rsid w:val="00EC4D26"/>
    <w:rsid w:val="00EC5EDE"/>
    <w:rsid w:val="00EC6441"/>
    <w:rsid w:val="00ED0068"/>
    <w:rsid w:val="00ED4F81"/>
    <w:rsid w:val="00ED5410"/>
    <w:rsid w:val="00EE0155"/>
    <w:rsid w:val="00EE46E6"/>
    <w:rsid w:val="00EE66CC"/>
    <w:rsid w:val="00EF06F3"/>
    <w:rsid w:val="00EF287B"/>
    <w:rsid w:val="00EF4510"/>
    <w:rsid w:val="00EF5C3B"/>
    <w:rsid w:val="00F024B2"/>
    <w:rsid w:val="00F04225"/>
    <w:rsid w:val="00F04D6F"/>
    <w:rsid w:val="00F103E1"/>
    <w:rsid w:val="00F11DDC"/>
    <w:rsid w:val="00F1494A"/>
    <w:rsid w:val="00F20FBB"/>
    <w:rsid w:val="00F24589"/>
    <w:rsid w:val="00F248C7"/>
    <w:rsid w:val="00F25125"/>
    <w:rsid w:val="00F320F0"/>
    <w:rsid w:val="00F33B15"/>
    <w:rsid w:val="00F4007B"/>
    <w:rsid w:val="00F45D2D"/>
    <w:rsid w:val="00F52149"/>
    <w:rsid w:val="00F52F64"/>
    <w:rsid w:val="00F56840"/>
    <w:rsid w:val="00F60585"/>
    <w:rsid w:val="00F65BBF"/>
    <w:rsid w:val="00F714C4"/>
    <w:rsid w:val="00F714DD"/>
    <w:rsid w:val="00F72A00"/>
    <w:rsid w:val="00F74957"/>
    <w:rsid w:val="00F763F5"/>
    <w:rsid w:val="00F82F30"/>
    <w:rsid w:val="00F83FEC"/>
    <w:rsid w:val="00F85F25"/>
    <w:rsid w:val="00F91685"/>
    <w:rsid w:val="00F9184B"/>
    <w:rsid w:val="00F9523D"/>
    <w:rsid w:val="00FA31E6"/>
    <w:rsid w:val="00FA34C6"/>
    <w:rsid w:val="00FA7216"/>
    <w:rsid w:val="00FB1F82"/>
    <w:rsid w:val="00FB42CE"/>
    <w:rsid w:val="00FB71AF"/>
    <w:rsid w:val="00FB7673"/>
    <w:rsid w:val="00FC0B94"/>
    <w:rsid w:val="00FC2BF7"/>
    <w:rsid w:val="00FC5AE0"/>
    <w:rsid w:val="00FC5D1C"/>
    <w:rsid w:val="00FC5DB9"/>
    <w:rsid w:val="00FC6541"/>
    <w:rsid w:val="00FC68D3"/>
    <w:rsid w:val="00FD4A8D"/>
    <w:rsid w:val="00FD6B7D"/>
    <w:rsid w:val="00FD7583"/>
    <w:rsid w:val="00FE067A"/>
    <w:rsid w:val="00FE09EE"/>
    <w:rsid w:val="00FE4A5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8AD7CE8F-7977-487B-A9E6-F06E1525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D5"/>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 w:type="paragraph" w:customStyle="1" w:styleId="oj-doc-ti">
    <w:name w:val="oj-doc-ti"/>
    <w:basedOn w:val="Normal"/>
    <w:rsid w:val="005469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dq2pgselectionanchorcontainer">
    <w:name w:val="pdq2pg_selectionanchorcontainer"/>
    <w:basedOn w:val="Normal"/>
    <w:rsid w:val="007401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83576491">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0274339">
      <w:bodyDiv w:val="1"/>
      <w:marLeft w:val="0"/>
      <w:marRight w:val="0"/>
      <w:marTop w:val="0"/>
      <w:marBottom w:val="0"/>
      <w:divBdr>
        <w:top w:val="none" w:sz="0" w:space="0" w:color="auto"/>
        <w:left w:val="none" w:sz="0" w:space="0" w:color="auto"/>
        <w:bottom w:val="none" w:sz="0" w:space="0" w:color="auto"/>
        <w:right w:val="none" w:sz="0" w:space="0" w:color="auto"/>
      </w:divBdr>
      <w:divsChild>
        <w:div w:id="2108915140">
          <w:marLeft w:val="0"/>
          <w:marRight w:val="0"/>
          <w:marTop w:val="0"/>
          <w:marBottom w:val="0"/>
          <w:divBdr>
            <w:top w:val="none" w:sz="0" w:space="0" w:color="auto"/>
            <w:left w:val="none" w:sz="0" w:space="0" w:color="auto"/>
            <w:bottom w:val="none" w:sz="0" w:space="0" w:color="auto"/>
            <w:right w:val="none" w:sz="0" w:space="0" w:color="auto"/>
          </w:divBdr>
          <w:divsChild>
            <w:div w:id="591741086">
              <w:marLeft w:val="0"/>
              <w:marRight w:val="0"/>
              <w:marTop w:val="0"/>
              <w:marBottom w:val="0"/>
              <w:divBdr>
                <w:top w:val="none" w:sz="0" w:space="0" w:color="auto"/>
                <w:left w:val="none" w:sz="0" w:space="0" w:color="auto"/>
                <w:bottom w:val="none" w:sz="0" w:space="0" w:color="auto"/>
                <w:right w:val="none" w:sz="0" w:space="0" w:color="auto"/>
              </w:divBdr>
              <w:divsChild>
                <w:div w:id="1939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67059550">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66696042">
      <w:bodyDiv w:val="1"/>
      <w:marLeft w:val="0"/>
      <w:marRight w:val="0"/>
      <w:marTop w:val="0"/>
      <w:marBottom w:val="0"/>
      <w:divBdr>
        <w:top w:val="none" w:sz="0" w:space="0" w:color="auto"/>
        <w:left w:val="none" w:sz="0" w:space="0" w:color="auto"/>
        <w:bottom w:val="none" w:sz="0" w:space="0" w:color="auto"/>
        <w:right w:val="none" w:sz="0" w:space="0" w:color="auto"/>
      </w:divBdr>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667114">
      <w:bodyDiv w:val="1"/>
      <w:marLeft w:val="0"/>
      <w:marRight w:val="0"/>
      <w:marTop w:val="0"/>
      <w:marBottom w:val="0"/>
      <w:divBdr>
        <w:top w:val="none" w:sz="0" w:space="0" w:color="auto"/>
        <w:left w:val="none" w:sz="0" w:space="0" w:color="auto"/>
        <w:bottom w:val="none" w:sz="0" w:space="0" w:color="auto"/>
        <w:right w:val="none" w:sz="0" w:space="0" w:color="auto"/>
      </w:divBdr>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5023269">
      <w:bodyDiv w:val="1"/>
      <w:marLeft w:val="0"/>
      <w:marRight w:val="0"/>
      <w:marTop w:val="0"/>
      <w:marBottom w:val="0"/>
      <w:divBdr>
        <w:top w:val="none" w:sz="0" w:space="0" w:color="auto"/>
        <w:left w:val="none" w:sz="0" w:space="0" w:color="auto"/>
        <w:bottom w:val="none" w:sz="0" w:space="0" w:color="auto"/>
        <w:right w:val="none" w:sz="0" w:space="0" w:color="auto"/>
      </w:divBdr>
      <w:divsChild>
        <w:div w:id="606696313">
          <w:marLeft w:val="0"/>
          <w:marRight w:val="0"/>
          <w:marTop w:val="0"/>
          <w:marBottom w:val="0"/>
          <w:divBdr>
            <w:top w:val="none" w:sz="0" w:space="0" w:color="auto"/>
            <w:left w:val="none" w:sz="0" w:space="0" w:color="auto"/>
            <w:bottom w:val="none" w:sz="0" w:space="0" w:color="auto"/>
            <w:right w:val="none" w:sz="0" w:space="0" w:color="auto"/>
          </w:divBdr>
        </w:div>
      </w:divsChild>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594751791">
      <w:bodyDiv w:val="1"/>
      <w:marLeft w:val="0"/>
      <w:marRight w:val="0"/>
      <w:marTop w:val="0"/>
      <w:marBottom w:val="0"/>
      <w:divBdr>
        <w:top w:val="none" w:sz="0" w:space="0" w:color="auto"/>
        <w:left w:val="none" w:sz="0" w:space="0" w:color="auto"/>
        <w:bottom w:val="none" w:sz="0" w:space="0" w:color="auto"/>
        <w:right w:val="none" w:sz="0" w:space="0" w:color="auto"/>
      </w:divBdr>
    </w:div>
    <w:div w:id="641614807">
      <w:bodyDiv w:val="1"/>
      <w:marLeft w:val="0"/>
      <w:marRight w:val="0"/>
      <w:marTop w:val="0"/>
      <w:marBottom w:val="0"/>
      <w:divBdr>
        <w:top w:val="none" w:sz="0" w:space="0" w:color="auto"/>
        <w:left w:val="none" w:sz="0" w:space="0" w:color="auto"/>
        <w:bottom w:val="none" w:sz="0" w:space="0" w:color="auto"/>
        <w:right w:val="none" w:sz="0" w:space="0" w:color="auto"/>
      </w:divBdr>
      <w:divsChild>
        <w:div w:id="1061976384">
          <w:marLeft w:val="0"/>
          <w:marRight w:val="0"/>
          <w:marTop w:val="0"/>
          <w:marBottom w:val="0"/>
          <w:divBdr>
            <w:top w:val="none" w:sz="0" w:space="0" w:color="auto"/>
            <w:left w:val="none" w:sz="0" w:space="0" w:color="auto"/>
            <w:bottom w:val="none" w:sz="0" w:space="0" w:color="auto"/>
            <w:right w:val="none" w:sz="0" w:space="0" w:color="auto"/>
          </w:divBdr>
        </w:div>
      </w:divsChild>
    </w:div>
    <w:div w:id="699739501">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45827710">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23476176">
      <w:bodyDiv w:val="1"/>
      <w:marLeft w:val="0"/>
      <w:marRight w:val="0"/>
      <w:marTop w:val="0"/>
      <w:marBottom w:val="0"/>
      <w:divBdr>
        <w:top w:val="none" w:sz="0" w:space="0" w:color="auto"/>
        <w:left w:val="none" w:sz="0" w:space="0" w:color="auto"/>
        <w:bottom w:val="none" w:sz="0" w:space="0" w:color="auto"/>
        <w:right w:val="none" w:sz="0" w:space="0" w:color="auto"/>
      </w:divBdr>
    </w:div>
    <w:div w:id="1052195861">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85036353">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20224297">
      <w:bodyDiv w:val="1"/>
      <w:marLeft w:val="0"/>
      <w:marRight w:val="0"/>
      <w:marTop w:val="0"/>
      <w:marBottom w:val="0"/>
      <w:divBdr>
        <w:top w:val="none" w:sz="0" w:space="0" w:color="auto"/>
        <w:left w:val="none" w:sz="0" w:space="0" w:color="auto"/>
        <w:bottom w:val="none" w:sz="0" w:space="0" w:color="auto"/>
        <w:right w:val="none" w:sz="0" w:space="0" w:color="auto"/>
      </w:divBdr>
    </w:div>
    <w:div w:id="1128354367">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81491337">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53940462">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46408170">
      <w:bodyDiv w:val="1"/>
      <w:marLeft w:val="0"/>
      <w:marRight w:val="0"/>
      <w:marTop w:val="0"/>
      <w:marBottom w:val="0"/>
      <w:divBdr>
        <w:top w:val="none" w:sz="0" w:space="0" w:color="auto"/>
        <w:left w:val="none" w:sz="0" w:space="0" w:color="auto"/>
        <w:bottom w:val="none" w:sz="0" w:space="0" w:color="auto"/>
        <w:right w:val="none" w:sz="0" w:space="0" w:color="auto"/>
      </w:divBdr>
      <w:divsChild>
        <w:div w:id="1401631657">
          <w:marLeft w:val="0"/>
          <w:marRight w:val="0"/>
          <w:marTop w:val="0"/>
          <w:marBottom w:val="0"/>
          <w:divBdr>
            <w:top w:val="none" w:sz="0" w:space="0" w:color="auto"/>
            <w:left w:val="none" w:sz="0" w:space="0" w:color="auto"/>
            <w:bottom w:val="none" w:sz="0" w:space="0" w:color="auto"/>
            <w:right w:val="none" w:sz="0" w:space="0" w:color="auto"/>
          </w:divBdr>
        </w:div>
        <w:div w:id="455032253">
          <w:marLeft w:val="0"/>
          <w:marRight w:val="0"/>
          <w:marTop w:val="0"/>
          <w:marBottom w:val="0"/>
          <w:divBdr>
            <w:top w:val="none" w:sz="0" w:space="0" w:color="auto"/>
            <w:left w:val="none" w:sz="0" w:space="0" w:color="auto"/>
            <w:bottom w:val="none" w:sz="0" w:space="0" w:color="auto"/>
            <w:right w:val="none" w:sz="0" w:space="0" w:color="auto"/>
          </w:divBdr>
        </w:div>
        <w:div w:id="242421645">
          <w:marLeft w:val="0"/>
          <w:marRight w:val="0"/>
          <w:marTop w:val="0"/>
          <w:marBottom w:val="0"/>
          <w:divBdr>
            <w:top w:val="none" w:sz="0" w:space="0" w:color="auto"/>
            <w:left w:val="none" w:sz="0" w:space="0" w:color="auto"/>
            <w:bottom w:val="none" w:sz="0" w:space="0" w:color="auto"/>
            <w:right w:val="none" w:sz="0" w:space="0" w:color="auto"/>
          </w:divBdr>
        </w:div>
        <w:div w:id="1362318144">
          <w:marLeft w:val="0"/>
          <w:marRight w:val="0"/>
          <w:marTop w:val="0"/>
          <w:marBottom w:val="0"/>
          <w:divBdr>
            <w:top w:val="none" w:sz="0" w:space="0" w:color="auto"/>
            <w:left w:val="none" w:sz="0" w:space="0" w:color="auto"/>
            <w:bottom w:val="none" w:sz="0" w:space="0" w:color="auto"/>
            <w:right w:val="none" w:sz="0" w:space="0" w:color="auto"/>
          </w:divBdr>
        </w:div>
        <w:div w:id="1713532604">
          <w:marLeft w:val="0"/>
          <w:marRight w:val="0"/>
          <w:marTop w:val="0"/>
          <w:marBottom w:val="0"/>
          <w:divBdr>
            <w:top w:val="none" w:sz="0" w:space="0" w:color="auto"/>
            <w:left w:val="none" w:sz="0" w:space="0" w:color="auto"/>
            <w:bottom w:val="none" w:sz="0" w:space="0" w:color="auto"/>
            <w:right w:val="none" w:sz="0" w:space="0" w:color="auto"/>
          </w:divBdr>
        </w:div>
      </w:divsChild>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790051727">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27379066">
      <w:bodyDiv w:val="1"/>
      <w:marLeft w:val="0"/>
      <w:marRight w:val="0"/>
      <w:marTop w:val="0"/>
      <w:marBottom w:val="0"/>
      <w:divBdr>
        <w:top w:val="none" w:sz="0" w:space="0" w:color="auto"/>
        <w:left w:val="none" w:sz="0" w:space="0" w:color="auto"/>
        <w:bottom w:val="none" w:sz="0" w:space="0" w:color="auto"/>
        <w:right w:val="none" w:sz="0" w:space="0" w:color="auto"/>
      </w:divBdr>
    </w:div>
    <w:div w:id="1952317700">
      <w:bodyDiv w:val="1"/>
      <w:marLeft w:val="0"/>
      <w:marRight w:val="0"/>
      <w:marTop w:val="0"/>
      <w:marBottom w:val="0"/>
      <w:divBdr>
        <w:top w:val="none" w:sz="0" w:space="0" w:color="auto"/>
        <w:left w:val="none" w:sz="0" w:space="0" w:color="auto"/>
        <w:bottom w:val="none" w:sz="0" w:space="0" w:color="auto"/>
        <w:right w:val="none" w:sz="0" w:space="0" w:color="auto"/>
      </w:divBdr>
      <w:divsChild>
        <w:div w:id="422186471">
          <w:marLeft w:val="0"/>
          <w:marRight w:val="0"/>
          <w:marTop w:val="0"/>
          <w:marBottom w:val="0"/>
          <w:divBdr>
            <w:top w:val="none" w:sz="0" w:space="0" w:color="auto"/>
            <w:left w:val="none" w:sz="0" w:space="0" w:color="auto"/>
            <w:bottom w:val="none" w:sz="0" w:space="0" w:color="auto"/>
            <w:right w:val="none" w:sz="0" w:space="0" w:color="auto"/>
          </w:divBdr>
        </w:div>
      </w:divsChild>
    </w:div>
    <w:div w:id="195443961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83209127">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10706">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A9D05-736E-4640-A230-B82B493A710C}">
  <ds:schemaRefs>
    <ds:schemaRef ds:uri="http://schemas.microsoft.com/sharepoint/v3/contenttype/forms"/>
  </ds:schemaRefs>
</ds:datastoreItem>
</file>

<file path=customXml/itemProps2.xml><?xml version="1.0" encoding="utf-8"?>
<ds:datastoreItem xmlns:ds="http://schemas.openxmlformats.org/officeDocument/2006/customXml" ds:itemID="{9AD68B5C-2A48-4ACB-8EDE-03BDA1584CFE}">
  <ds:schemaRefs>
    <ds:schemaRef ds:uri="http://schemas.openxmlformats.org/officeDocument/2006/bibliography"/>
  </ds:schemaRefs>
</ds:datastoreItem>
</file>

<file path=customXml/itemProps3.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21</Pages>
  <Words>6705</Words>
  <Characters>38221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162</cp:revision>
  <cp:lastPrinted>2026-07-02T09:18:00Z</cp:lastPrinted>
  <dcterms:created xsi:type="dcterms:W3CDTF">2026-06-25T15:29:00Z</dcterms:created>
  <dcterms:modified xsi:type="dcterms:W3CDTF">2026-07-02T10:12:00Z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GrammarlyDocumentId">
    <vt:lpwstr>125ec95d-04b8-497e-a498-00cc8229910f</vt:lpwstr>
  </property>
</Properties>
</file>