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BF2A" w14:textId="77777777" w:rsidR="00823714" w:rsidRPr="009E7EA6" w:rsidRDefault="00823714" w:rsidP="00036F88">
      <w:pPr>
        <w:pStyle w:val="BodyText"/>
        <w:jc w:val="center"/>
        <w:rPr>
          <w:rFonts w:ascii="Times New Roman" w:hAnsi="Times New Roman" w:cs="Times New Roman"/>
          <w:sz w:val="18"/>
          <w:szCs w:val="18"/>
        </w:rPr>
      </w:pPr>
    </w:p>
    <w:p w14:paraId="029B0C3F" w14:textId="08756254" w:rsidR="00922FEB" w:rsidRPr="009E7EA6" w:rsidRDefault="00922FEB" w:rsidP="00036F88">
      <w:pPr>
        <w:pStyle w:val="BodyText"/>
        <w:jc w:val="center"/>
        <w:rPr>
          <w:rFonts w:ascii="Times New Roman" w:hAnsi="Times New Roman" w:cs="Times New Roman"/>
          <w:sz w:val="18"/>
          <w:szCs w:val="18"/>
        </w:rPr>
      </w:pPr>
      <w:r w:rsidRPr="009E7EA6">
        <w:rPr>
          <w:rFonts w:ascii="Times New Roman" w:hAnsi="Times New Roman" w:cs="Times New Roman"/>
          <w:sz w:val="18"/>
          <w:szCs w:val="18"/>
        </w:rPr>
        <w:t>TAB</w:t>
      </w:r>
      <w:r w:rsidR="009A46CF" w:rsidRPr="009E7EA6">
        <w:rPr>
          <w:rFonts w:ascii="Times New Roman" w:hAnsi="Times New Roman" w:cs="Times New Roman"/>
          <w:sz w:val="18"/>
          <w:szCs w:val="18"/>
        </w:rPr>
        <w:t xml:space="preserve">LE </w:t>
      </w:r>
      <w:r w:rsidR="008E4B3C" w:rsidRPr="009E7EA6">
        <w:rPr>
          <w:rFonts w:ascii="Times New Roman" w:hAnsi="Times New Roman" w:cs="Times New Roman"/>
          <w:sz w:val="18"/>
          <w:szCs w:val="18"/>
        </w:rPr>
        <w:t>OF</w:t>
      </w:r>
      <w:r w:rsidR="009A46CF" w:rsidRPr="009E7EA6">
        <w:rPr>
          <w:rFonts w:ascii="Times New Roman" w:hAnsi="Times New Roman" w:cs="Times New Roman"/>
          <w:sz w:val="18"/>
          <w:szCs w:val="18"/>
        </w:rPr>
        <w:t xml:space="preserve"> TRANSPOSITION</w:t>
      </w:r>
    </w:p>
    <w:p w14:paraId="34DF4CE6" w14:textId="77777777" w:rsidR="00922FEB" w:rsidRPr="009E7EA6" w:rsidRDefault="00922FEB" w:rsidP="00036F88">
      <w:pPr>
        <w:spacing w:after="0" w:line="240" w:lineRule="auto"/>
        <w:rPr>
          <w:rFonts w:ascii="Times New Roman" w:eastAsia="Times New Roman"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810"/>
        <w:gridCol w:w="5130"/>
        <w:gridCol w:w="1080"/>
        <w:gridCol w:w="720"/>
        <w:gridCol w:w="4320"/>
        <w:gridCol w:w="1170"/>
        <w:gridCol w:w="2970"/>
      </w:tblGrid>
      <w:tr w:rsidR="00260632" w:rsidRPr="009E7EA6" w14:paraId="61092F5B" w14:textId="77777777" w:rsidTr="009E7EA6">
        <w:trPr>
          <w:tblHeader/>
        </w:trPr>
        <w:tc>
          <w:tcPr>
            <w:tcW w:w="5940" w:type="dxa"/>
            <w:gridSpan w:val="2"/>
          </w:tcPr>
          <w:tbl>
            <w:tblPr>
              <w:tblW w:w="5000" w:type="pct"/>
              <w:tblCellSpacing w:w="0" w:type="dxa"/>
              <w:tblLayout w:type="fixed"/>
              <w:tblCellMar>
                <w:left w:w="0" w:type="dxa"/>
                <w:right w:w="0" w:type="dxa"/>
              </w:tblCellMar>
              <w:tblLook w:val="04A0" w:firstRow="1" w:lastRow="0" w:firstColumn="1" w:lastColumn="0" w:noHBand="0" w:noVBand="1"/>
            </w:tblPr>
            <w:tblGrid>
              <w:gridCol w:w="4639"/>
              <w:gridCol w:w="1085"/>
            </w:tblGrid>
            <w:tr w:rsidR="00164114" w:rsidRPr="009E7EA6" w14:paraId="5BFD1C07" w14:textId="77777777" w:rsidTr="00164114">
              <w:trPr>
                <w:tblCellSpacing w:w="0" w:type="dxa"/>
              </w:trPr>
              <w:tc>
                <w:tcPr>
                  <w:tcW w:w="4620" w:type="dxa"/>
                  <w:vAlign w:val="center"/>
                  <w:hideMark/>
                </w:tcPr>
                <w:p w14:paraId="77FCED4D" w14:textId="5B7DD63D" w:rsidR="00164114" w:rsidRPr="009E7EA6" w:rsidRDefault="00E00180" w:rsidP="009A46CF">
                  <w:pPr>
                    <w:spacing w:before="100" w:beforeAutospacing="1" w:after="100" w:afterAutospacing="1" w:line="240" w:lineRule="auto"/>
                    <w:jc w:val="both"/>
                    <w:rPr>
                      <w:rFonts w:ascii="Times New Roman" w:eastAsia="Times New Roman" w:hAnsi="Times New Roman" w:cs="Times New Roman"/>
                      <w:kern w:val="0"/>
                      <w:sz w:val="18"/>
                      <w:szCs w:val="18"/>
                      <w:lang w:val="en-US"/>
                      <w14:ligatures w14:val="none"/>
                    </w:rPr>
                  </w:pPr>
                  <w:r w:rsidRPr="009E7EA6">
                    <w:rPr>
                      <w:rFonts w:ascii="Times New Roman" w:eastAsia="Times New Roman" w:hAnsi="Times New Roman" w:cs="Times New Roman"/>
                      <w:kern w:val="0"/>
                      <w:sz w:val="18"/>
                      <w:szCs w:val="18"/>
                      <w:lang w:val="en-US"/>
                      <w14:ligatures w14:val="none"/>
                    </w:rPr>
                    <w:t>European Union Legislation:</w:t>
                  </w:r>
                </w:p>
              </w:tc>
              <w:tc>
                <w:tcPr>
                  <w:tcW w:w="1080" w:type="dxa"/>
                  <w:vAlign w:val="center"/>
                  <w:hideMark/>
                </w:tcPr>
                <w:p w14:paraId="3D28A98B" w14:textId="283CC074" w:rsidR="00164114" w:rsidRPr="009E7EA6" w:rsidRDefault="00164114" w:rsidP="009A46CF">
                  <w:pPr>
                    <w:spacing w:before="100" w:beforeAutospacing="1" w:after="100" w:afterAutospacing="1" w:line="240" w:lineRule="auto"/>
                    <w:jc w:val="both"/>
                    <w:rPr>
                      <w:rFonts w:ascii="Times New Roman" w:eastAsia="Times New Roman" w:hAnsi="Times New Roman" w:cs="Times New Roman"/>
                      <w:kern w:val="0"/>
                      <w:sz w:val="18"/>
                      <w:szCs w:val="18"/>
                      <w:lang w:val="en-US"/>
                      <w14:ligatures w14:val="none"/>
                    </w:rPr>
                  </w:pPr>
                </w:p>
              </w:tc>
            </w:tr>
          </w:tbl>
          <w:p w14:paraId="4FB023CD" w14:textId="174095EB" w:rsidR="00164114" w:rsidRPr="009E7EA6" w:rsidRDefault="008E4B3C" w:rsidP="009A46CF">
            <w:pPr>
              <w:spacing w:before="100" w:beforeAutospacing="1" w:after="100" w:afterAutospacing="1"/>
              <w:jc w:val="both"/>
              <w:rPr>
                <w:rFonts w:ascii="Times New Roman" w:eastAsia="Times New Roman" w:hAnsi="Times New Roman" w:cs="Times New Roman"/>
                <w:sz w:val="18"/>
                <w:szCs w:val="18"/>
                <w:lang w:val="en-US"/>
              </w:rPr>
            </w:pPr>
            <w:r w:rsidRPr="009E7EA6">
              <w:rPr>
                <w:rFonts w:ascii="Times New Roman" w:eastAsia="Times New Roman" w:hAnsi="Times New Roman" w:cs="Times New Roman"/>
                <w:sz w:val="18"/>
                <w:szCs w:val="18"/>
                <w:lang w:val="en-US"/>
              </w:rPr>
              <w:t xml:space="preserve">Council Directive </w:t>
            </w:r>
            <w:r w:rsidR="00164114" w:rsidRPr="009E7EA6">
              <w:rPr>
                <w:rFonts w:ascii="Times New Roman" w:eastAsia="Times New Roman" w:hAnsi="Times New Roman" w:cs="Times New Roman"/>
                <w:sz w:val="18"/>
                <w:szCs w:val="18"/>
                <w:lang w:val="en-US"/>
              </w:rPr>
              <w:t>(EU) 2025/872</w:t>
            </w:r>
            <w:r w:rsidRPr="009E7EA6">
              <w:rPr>
                <w:rFonts w:ascii="Times New Roman" w:eastAsia="Times New Roman" w:hAnsi="Times New Roman" w:cs="Times New Roman"/>
                <w:sz w:val="18"/>
                <w:szCs w:val="18"/>
                <w:lang w:val="en-US"/>
              </w:rPr>
              <w:t xml:space="preserve">, </w:t>
            </w:r>
            <w:r w:rsidR="00164114" w:rsidRPr="009E7EA6">
              <w:rPr>
                <w:rFonts w:ascii="Times New Roman" w:eastAsia="Times New Roman" w:hAnsi="Times New Roman" w:cs="Times New Roman"/>
                <w:sz w:val="18"/>
                <w:szCs w:val="18"/>
                <w:lang w:val="en-US"/>
              </w:rPr>
              <w:t>of 14 April 2025</w:t>
            </w:r>
            <w:r w:rsidRPr="009E7EA6">
              <w:rPr>
                <w:rFonts w:ascii="Times New Roman" w:eastAsia="Times New Roman" w:hAnsi="Times New Roman" w:cs="Times New Roman"/>
                <w:sz w:val="18"/>
                <w:szCs w:val="18"/>
                <w:lang w:val="en-US"/>
              </w:rPr>
              <w:t xml:space="preserve">, </w:t>
            </w:r>
            <w:r w:rsidR="00164114" w:rsidRPr="009E7EA6">
              <w:rPr>
                <w:rFonts w:ascii="Times New Roman" w:eastAsia="Times New Roman" w:hAnsi="Times New Roman" w:cs="Times New Roman"/>
                <w:sz w:val="18"/>
                <w:szCs w:val="18"/>
                <w:lang w:val="en-US"/>
              </w:rPr>
              <w:t>amending Directive 2011/16/EU on administrative cooperation in the field of taxation</w:t>
            </w:r>
          </w:p>
          <w:p w14:paraId="7595DA82" w14:textId="4AC4B210" w:rsidR="009D0B38" w:rsidRPr="009E7EA6" w:rsidRDefault="009D0B38" w:rsidP="00E00180">
            <w:pPr>
              <w:spacing w:before="100" w:beforeAutospacing="1" w:after="100" w:afterAutospacing="1"/>
              <w:jc w:val="both"/>
              <w:rPr>
                <w:rFonts w:ascii="Times New Roman" w:eastAsia="Calibri" w:hAnsi="Times New Roman" w:cs="Times New Roman"/>
                <w:sz w:val="18"/>
                <w:szCs w:val="18"/>
              </w:rPr>
            </w:pPr>
          </w:p>
        </w:tc>
        <w:tc>
          <w:tcPr>
            <w:tcW w:w="10260" w:type="dxa"/>
            <w:gridSpan w:val="5"/>
            <w:vAlign w:val="center"/>
          </w:tcPr>
          <w:p w14:paraId="7945BEFA" w14:textId="77777777" w:rsidR="00E00180" w:rsidRPr="009E7EA6" w:rsidRDefault="000C019E" w:rsidP="00937900">
            <w:pPr>
              <w:rPr>
                <w:rFonts w:ascii="Times New Roman" w:eastAsia="Times New Roman" w:hAnsi="Times New Roman" w:cs="Times New Roman"/>
                <w:sz w:val="18"/>
                <w:szCs w:val="18"/>
                <w:lang w:val="en-US"/>
              </w:rPr>
            </w:pPr>
            <w:r w:rsidRPr="009E7EA6">
              <w:rPr>
                <w:rFonts w:ascii="Times New Roman" w:eastAsia="Times New Roman" w:hAnsi="Times New Roman" w:cs="Times New Roman"/>
                <w:sz w:val="18"/>
                <w:szCs w:val="18"/>
                <w:lang w:val="en-US"/>
              </w:rPr>
              <w:t>Albanian legislation</w:t>
            </w:r>
            <w:r w:rsidR="00E00180" w:rsidRPr="009E7EA6">
              <w:rPr>
                <w:rFonts w:ascii="Times New Roman" w:eastAsia="Times New Roman" w:hAnsi="Times New Roman" w:cs="Times New Roman"/>
                <w:sz w:val="18"/>
                <w:szCs w:val="18"/>
                <w:lang w:val="en-US"/>
              </w:rPr>
              <w:t xml:space="preserve"> proposed</w:t>
            </w:r>
            <w:r w:rsidRPr="009E7EA6">
              <w:rPr>
                <w:rFonts w:ascii="Times New Roman" w:eastAsia="Times New Roman" w:hAnsi="Times New Roman" w:cs="Times New Roman"/>
                <w:sz w:val="18"/>
                <w:szCs w:val="18"/>
                <w:lang w:val="en-US"/>
              </w:rPr>
              <w:t xml:space="preserve">: </w:t>
            </w:r>
          </w:p>
          <w:p w14:paraId="71A1FA83" w14:textId="77777777" w:rsidR="00E00180" w:rsidRPr="009E7EA6" w:rsidRDefault="00E00180" w:rsidP="00937900">
            <w:pPr>
              <w:rPr>
                <w:rFonts w:ascii="Times New Roman" w:eastAsia="Times New Roman" w:hAnsi="Times New Roman" w:cs="Times New Roman"/>
                <w:sz w:val="18"/>
                <w:szCs w:val="18"/>
                <w:lang w:val="en-US"/>
              </w:rPr>
            </w:pPr>
          </w:p>
          <w:p w14:paraId="56485BB1" w14:textId="226A1644" w:rsidR="000C019E" w:rsidRPr="009E7EA6" w:rsidRDefault="000C019E" w:rsidP="00937900">
            <w:pPr>
              <w:rPr>
                <w:rFonts w:ascii="Times New Roman" w:hAnsi="Times New Roman" w:cs="Times New Roman"/>
                <w:sz w:val="18"/>
                <w:szCs w:val="18"/>
              </w:rPr>
            </w:pPr>
            <w:r w:rsidRPr="009E7EA6">
              <w:rPr>
                <w:rFonts w:ascii="Times New Roman" w:eastAsia="Times New Roman" w:hAnsi="Times New Roman" w:cs="Times New Roman"/>
                <w:sz w:val="18"/>
                <w:szCs w:val="18"/>
                <w:lang w:val="en-US"/>
              </w:rPr>
              <w:t>1. Draft-law “</w:t>
            </w:r>
            <w:r w:rsidR="00937900" w:rsidRPr="009E7EA6">
              <w:rPr>
                <w:rFonts w:ascii="Times New Roman" w:hAnsi="Times New Roman" w:cs="Times New Roman"/>
                <w:sz w:val="18"/>
                <w:szCs w:val="18"/>
              </w:rPr>
              <w:t>On The Top-up tax information return and its automatic exchange</w:t>
            </w:r>
            <w:r w:rsidR="00937900" w:rsidRPr="009E7EA6">
              <w:rPr>
                <w:rFonts w:ascii="Times New Roman" w:eastAsia="Times New Roman" w:hAnsi="Times New Roman" w:cs="Times New Roman"/>
                <w:sz w:val="18"/>
                <w:szCs w:val="18"/>
                <w:lang w:val="en-US"/>
              </w:rPr>
              <w:t>”</w:t>
            </w:r>
          </w:p>
          <w:p w14:paraId="2015B6CE" w14:textId="77777777" w:rsidR="00E00180" w:rsidRPr="009E7EA6" w:rsidRDefault="00E00180" w:rsidP="00036F88">
            <w:pPr>
              <w:rPr>
                <w:rFonts w:ascii="Times New Roman" w:eastAsia="Times New Roman" w:hAnsi="Times New Roman" w:cs="Times New Roman"/>
                <w:sz w:val="18"/>
                <w:szCs w:val="18"/>
                <w:lang w:val="en-US"/>
              </w:rPr>
            </w:pPr>
          </w:p>
          <w:p w14:paraId="60E07B44" w14:textId="7C12C37D" w:rsidR="000C019E" w:rsidRPr="009E7EA6" w:rsidRDefault="000C019E" w:rsidP="00036F88">
            <w:pPr>
              <w:rPr>
                <w:rFonts w:ascii="Times New Roman" w:eastAsia="Times New Roman" w:hAnsi="Times New Roman" w:cs="Times New Roman"/>
                <w:sz w:val="18"/>
                <w:szCs w:val="18"/>
                <w:lang w:val="en-US"/>
              </w:rPr>
            </w:pPr>
            <w:r w:rsidRPr="009E7EA6">
              <w:rPr>
                <w:rFonts w:ascii="Times New Roman" w:eastAsia="Times New Roman" w:hAnsi="Times New Roman" w:cs="Times New Roman"/>
                <w:sz w:val="18"/>
                <w:szCs w:val="18"/>
                <w:lang w:val="en-US"/>
              </w:rPr>
              <w:t xml:space="preserve">The overall degree of approximation with the national legislation: </w:t>
            </w:r>
          </w:p>
          <w:p w14:paraId="6EC5EFD8" w14:textId="77777777" w:rsidR="00E00180" w:rsidRPr="009E7EA6" w:rsidRDefault="00E00180" w:rsidP="00036F88">
            <w:pPr>
              <w:rPr>
                <w:rFonts w:ascii="Times New Roman" w:eastAsia="Times New Roman" w:hAnsi="Times New Roman" w:cs="Times New Roman"/>
                <w:sz w:val="18"/>
                <w:szCs w:val="18"/>
                <w:lang w:val="en-US"/>
              </w:rPr>
            </w:pPr>
          </w:p>
          <w:p w14:paraId="6DCC9E03" w14:textId="76E29DA0" w:rsidR="000C019E" w:rsidRPr="009E7EA6" w:rsidRDefault="000C019E" w:rsidP="00036F88">
            <w:pPr>
              <w:rPr>
                <w:rFonts w:ascii="Times New Roman" w:eastAsia="Times New Roman" w:hAnsi="Times New Roman" w:cs="Times New Roman"/>
                <w:sz w:val="18"/>
                <w:szCs w:val="18"/>
                <w:lang w:val="en-US"/>
              </w:rPr>
            </w:pPr>
            <w:r w:rsidRPr="009E7EA6">
              <w:rPr>
                <w:rFonts w:ascii="Times New Roman" w:eastAsia="Times New Roman" w:hAnsi="Times New Roman" w:cs="Times New Roman"/>
                <w:sz w:val="18"/>
                <w:szCs w:val="18"/>
                <w:lang w:val="en-US"/>
              </w:rPr>
              <w:t xml:space="preserve">F - full compliance </w:t>
            </w:r>
          </w:p>
          <w:p w14:paraId="12A08EEF" w14:textId="77777777" w:rsidR="000C019E" w:rsidRPr="009E7EA6" w:rsidRDefault="000C019E" w:rsidP="00036F88">
            <w:pPr>
              <w:rPr>
                <w:rFonts w:ascii="Times New Roman" w:eastAsia="Times New Roman" w:hAnsi="Times New Roman" w:cs="Times New Roman"/>
                <w:sz w:val="18"/>
                <w:szCs w:val="18"/>
                <w:lang w:val="en-US"/>
              </w:rPr>
            </w:pPr>
            <w:r w:rsidRPr="009E7EA6">
              <w:rPr>
                <w:rFonts w:ascii="Times New Roman" w:eastAsia="Times New Roman" w:hAnsi="Times New Roman" w:cs="Times New Roman"/>
                <w:sz w:val="18"/>
                <w:szCs w:val="18"/>
                <w:lang w:val="en-US"/>
              </w:rPr>
              <w:t xml:space="preserve">P - partial compliance </w:t>
            </w:r>
          </w:p>
          <w:p w14:paraId="6BC4DEF2" w14:textId="5DD6C06A" w:rsidR="00922FEB" w:rsidRPr="009E7EA6" w:rsidRDefault="000C019E" w:rsidP="00036F88">
            <w:pPr>
              <w:rPr>
                <w:rFonts w:ascii="Times New Roman" w:eastAsia="Times New Roman" w:hAnsi="Times New Roman" w:cs="Times New Roman"/>
                <w:sz w:val="18"/>
                <w:szCs w:val="18"/>
                <w:lang w:val="en-US"/>
              </w:rPr>
            </w:pPr>
            <w:r w:rsidRPr="009E7EA6">
              <w:rPr>
                <w:rFonts w:ascii="Times New Roman" w:eastAsia="Times New Roman" w:hAnsi="Times New Roman" w:cs="Times New Roman"/>
                <w:sz w:val="18"/>
                <w:szCs w:val="18"/>
                <w:lang w:val="en-US"/>
              </w:rPr>
              <w:t>N - non compliance</w:t>
            </w:r>
          </w:p>
          <w:p w14:paraId="7AA9D97B" w14:textId="77777777" w:rsidR="00922FEB" w:rsidRPr="009E7EA6" w:rsidRDefault="00922FEB" w:rsidP="00036F88">
            <w:pPr>
              <w:rPr>
                <w:rFonts w:ascii="Times New Roman" w:eastAsia="Calibri" w:hAnsi="Times New Roman" w:cs="Times New Roman"/>
                <w:sz w:val="18"/>
                <w:szCs w:val="18"/>
              </w:rPr>
            </w:pPr>
            <w:r w:rsidRPr="009E7EA6">
              <w:rPr>
                <w:rFonts w:ascii="Times New Roman" w:eastAsia="Calibri" w:hAnsi="Times New Roman" w:cs="Times New Roman"/>
                <w:sz w:val="18"/>
                <w:szCs w:val="18"/>
              </w:rPr>
              <w:t xml:space="preserve"> </w:t>
            </w:r>
          </w:p>
        </w:tc>
      </w:tr>
      <w:tr w:rsidR="00260632" w:rsidRPr="009E7EA6" w14:paraId="01827783" w14:textId="77777777" w:rsidTr="009E7EA6">
        <w:trPr>
          <w:tblHeader/>
        </w:trPr>
        <w:tc>
          <w:tcPr>
            <w:tcW w:w="810" w:type="dxa"/>
            <w:shd w:val="clear" w:color="auto" w:fill="BFBFBF"/>
          </w:tcPr>
          <w:p w14:paraId="52A84D2B" w14:textId="721D3075" w:rsidR="004F619A" w:rsidRPr="009E7EA6" w:rsidRDefault="004F619A" w:rsidP="00036F88">
            <w:pPr>
              <w:jc w:val="center"/>
              <w:rPr>
                <w:rFonts w:ascii="Times New Roman" w:eastAsia="Times New Roman" w:hAnsi="Times New Roman" w:cs="Times New Roman"/>
                <w:sz w:val="18"/>
                <w:szCs w:val="18"/>
              </w:rPr>
            </w:pPr>
            <w:r w:rsidRPr="009E7EA6">
              <w:rPr>
                <w:rFonts w:ascii="Times New Roman" w:hAnsi="Times New Roman" w:cs="Times New Roman"/>
                <w:sz w:val="18"/>
                <w:szCs w:val="18"/>
              </w:rPr>
              <w:t>1</w:t>
            </w:r>
          </w:p>
        </w:tc>
        <w:tc>
          <w:tcPr>
            <w:tcW w:w="5130" w:type="dxa"/>
            <w:shd w:val="clear" w:color="auto" w:fill="BFBFBF"/>
          </w:tcPr>
          <w:p w14:paraId="1DA553D3" w14:textId="64D8F57B" w:rsidR="004F619A" w:rsidRPr="009E7EA6" w:rsidRDefault="004F619A" w:rsidP="00036F88">
            <w:pPr>
              <w:jc w:val="center"/>
              <w:rPr>
                <w:rFonts w:ascii="Times New Roman" w:eastAsia="Times New Roman" w:hAnsi="Times New Roman" w:cs="Times New Roman"/>
                <w:i/>
                <w:sz w:val="18"/>
                <w:szCs w:val="18"/>
              </w:rPr>
            </w:pPr>
            <w:r w:rsidRPr="009E7EA6">
              <w:rPr>
                <w:rFonts w:ascii="Times New Roman" w:hAnsi="Times New Roman" w:cs="Times New Roman"/>
                <w:sz w:val="18"/>
                <w:szCs w:val="18"/>
              </w:rPr>
              <w:t>2</w:t>
            </w:r>
          </w:p>
        </w:tc>
        <w:tc>
          <w:tcPr>
            <w:tcW w:w="1080" w:type="dxa"/>
            <w:shd w:val="clear" w:color="auto" w:fill="BFBFBF"/>
          </w:tcPr>
          <w:p w14:paraId="6A8D7A06" w14:textId="724E6EFC" w:rsidR="004F619A" w:rsidRPr="009E7EA6" w:rsidRDefault="004F619A" w:rsidP="00036F88">
            <w:pPr>
              <w:jc w:val="center"/>
              <w:rPr>
                <w:rFonts w:ascii="Times New Roman" w:eastAsia="Times New Roman" w:hAnsi="Times New Roman" w:cs="Times New Roman"/>
                <w:i/>
                <w:sz w:val="18"/>
                <w:szCs w:val="18"/>
              </w:rPr>
            </w:pPr>
            <w:r w:rsidRPr="009E7EA6">
              <w:rPr>
                <w:rFonts w:ascii="Times New Roman" w:hAnsi="Times New Roman" w:cs="Times New Roman"/>
                <w:sz w:val="18"/>
                <w:szCs w:val="18"/>
              </w:rPr>
              <w:t>3</w:t>
            </w:r>
          </w:p>
        </w:tc>
        <w:tc>
          <w:tcPr>
            <w:tcW w:w="720" w:type="dxa"/>
            <w:shd w:val="clear" w:color="auto" w:fill="BFBFBF"/>
          </w:tcPr>
          <w:p w14:paraId="508F371C" w14:textId="4604AAB0" w:rsidR="004F619A" w:rsidRPr="009E7EA6" w:rsidRDefault="004F619A" w:rsidP="00036F88">
            <w:pPr>
              <w:jc w:val="center"/>
              <w:rPr>
                <w:rFonts w:ascii="Times New Roman" w:eastAsia="Times New Roman" w:hAnsi="Times New Roman" w:cs="Times New Roman"/>
                <w:i/>
                <w:sz w:val="18"/>
                <w:szCs w:val="18"/>
              </w:rPr>
            </w:pPr>
            <w:r w:rsidRPr="009E7EA6">
              <w:rPr>
                <w:rFonts w:ascii="Times New Roman" w:hAnsi="Times New Roman" w:cs="Times New Roman"/>
                <w:sz w:val="18"/>
                <w:szCs w:val="18"/>
              </w:rPr>
              <w:t>4</w:t>
            </w:r>
          </w:p>
        </w:tc>
        <w:tc>
          <w:tcPr>
            <w:tcW w:w="4320" w:type="dxa"/>
            <w:shd w:val="clear" w:color="auto" w:fill="BFBFBF"/>
          </w:tcPr>
          <w:p w14:paraId="2141FB79" w14:textId="3C150691" w:rsidR="004F619A" w:rsidRPr="009E7EA6" w:rsidRDefault="004F619A" w:rsidP="00036F88">
            <w:pPr>
              <w:jc w:val="center"/>
              <w:rPr>
                <w:rFonts w:ascii="Times New Roman" w:eastAsia="Times New Roman" w:hAnsi="Times New Roman" w:cs="Times New Roman"/>
                <w:i/>
                <w:sz w:val="18"/>
                <w:szCs w:val="18"/>
              </w:rPr>
            </w:pPr>
            <w:r w:rsidRPr="009E7EA6">
              <w:rPr>
                <w:rFonts w:ascii="Times New Roman" w:hAnsi="Times New Roman" w:cs="Times New Roman"/>
                <w:sz w:val="18"/>
                <w:szCs w:val="18"/>
              </w:rPr>
              <w:t>5</w:t>
            </w:r>
          </w:p>
        </w:tc>
        <w:tc>
          <w:tcPr>
            <w:tcW w:w="1170" w:type="dxa"/>
            <w:shd w:val="clear" w:color="auto" w:fill="BFBFBF"/>
          </w:tcPr>
          <w:p w14:paraId="7B5923AD" w14:textId="0DA9C058" w:rsidR="004F619A" w:rsidRPr="009E7EA6" w:rsidRDefault="004F619A" w:rsidP="00036F88">
            <w:pPr>
              <w:jc w:val="center"/>
              <w:rPr>
                <w:rFonts w:ascii="Times New Roman" w:eastAsia="Times New Roman" w:hAnsi="Times New Roman" w:cs="Times New Roman"/>
                <w:i/>
                <w:sz w:val="18"/>
                <w:szCs w:val="18"/>
              </w:rPr>
            </w:pPr>
            <w:r w:rsidRPr="009E7EA6">
              <w:rPr>
                <w:rFonts w:ascii="Times New Roman" w:hAnsi="Times New Roman" w:cs="Times New Roman"/>
                <w:sz w:val="18"/>
                <w:szCs w:val="18"/>
              </w:rPr>
              <w:t>6</w:t>
            </w:r>
          </w:p>
        </w:tc>
        <w:tc>
          <w:tcPr>
            <w:tcW w:w="2970" w:type="dxa"/>
            <w:shd w:val="clear" w:color="auto" w:fill="BFBFBF"/>
          </w:tcPr>
          <w:p w14:paraId="25BA9212" w14:textId="4444B760" w:rsidR="004F619A" w:rsidRPr="009E7EA6" w:rsidRDefault="004F619A" w:rsidP="00036F88">
            <w:pPr>
              <w:jc w:val="center"/>
              <w:rPr>
                <w:rFonts w:ascii="Times New Roman" w:eastAsia="Times New Roman" w:hAnsi="Times New Roman" w:cs="Times New Roman"/>
                <w:i/>
                <w:sz w:val="18"/>
                <w:szCs w:val="18"/>
              </w:rPr>
            </w:pPr>
            <w:r w:rsidRPr="009E7EA6">
              <w:rPr>
                <w:rFonts w:ascii="Times New Roman" w:hAnsi="Times New Roman" w:cs="Times New Roman"/>
                <w:sz w:val="18"/>
                <w:szCs w:val="18"/>
              </w:rPr>
              <w:t>7</w:t>
            </w:r>
          </w:p>
        </w:tc>
      </w:tr>
      <w:tr w:rsidR="009E7EA6" w:rsidRPr="009E7EA6" w14:paraId="405531F1" w14:textId="77777777" w:rsidTr="009E7EA6">
        <w:trPr>
          <w:tblHeader/>
        </w:trPr>
        <w:tc>
          <w:tcPr>
            <w:tcW w:w="810" w:type="dxa"/>
            <w:shd w:val="clear" w:color="auto" w:fill="BFBFBF"/>
            <w:vAlign w:val="center"/>
          </w:tcPr>
          <w:p w14:paraId="1E9FDE14" w14:textId="7B8063BB" w:rsidR="009E7EA6" w:rsidRPr="009E7EA6" w:rsidRDefault="009E7EA6" w:rsidP="009E7EA6">
            <w:pPr>
              <w:jc w:val="center"/>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Article</w:t>
            </w:r>
          </w:p>
        </w:tc>
        <w:tc>
          <w:tcPr>
            <w:tcW w:w="5130" w:type="dxa"/>
            <w:shd w:val="clear" w:color="auto" w:fill="BFBFBF"/>
          </w:tcPr>
          <w:p w14:paraId="76176853" w14:textId="07C85B2E" w:rsidR="009E7EA6" w:rsidRPr="009E7EA6" w:rsidRDefault="009E7EA6" w:rsidP="009E7EA6">
            <w:pPr>
              <w:jc w:val="center"/>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Text</w:t>
            </w:r>
          </w:p>
        </w:tc>
        <w:tc>
          <w:tcPr>
            <w:tcW w:w="1080" w:type="dxa"/>
            <w:shd w:val="clear" w:color="auto" w:fill="BFBFBF"/>
          </w:tcPr>
          <w:p w14:paraId="7B0A27CB" w14:textId="45CDB348" w:rsidR="009E7EA6" w:rsidRPr="009E7EA6" w:rsidRDefault="009E7EA6" w:rsidP="009E7EA6">
            <w:pPr>
              <w:jc w:val="center"/>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References</w:t>
            </w:r>
          </w:p>
        </w:tc>
        <w:tc>
          <w:tcPr>
            <w:tcW w:w="720" w:type="dxa"/>
            <w:shd w:val="clear" w:color="auto" w:fill="BFBFBF"/>
          </w:tcPr>
          <w:p w14:paraId="4FA58976" w14:textId="2F47776E" w:rsidR="009E7EA6" w:rsidRPr="009E7EA6" w:rsidRDefault="009E7EA6" w:rsidP="009E7EA6">
            <w:pPr>
              <w:jc w:val="center"/>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Article</w:t>
            </w:r>
          </w:p>
        </w:tc>
        <w:tc>
          <w:tcPr>
            <w:tcW w:w="4320" w:type="dxa"/>
            <w:shd w:val="clear" w:color="auto" w:fill="BFBFBF"/>
          </w:tcPr>
          <w:p w14:paraId="1C97514E" w14:textId="7669882E" w:rsidR="009E7EA6" w:rsidRPr="009E7EA6" w:rsidRDefault="009E7EA6" w:rsidP="009E7EA6">
            <w:pPr>
              <w:jc w:val="center"/>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Text</w:t>
            </w:r>
          </w:p>
        </w:tc>
        <w:tc>
          <w:tcPr>
            <w:tcW w:w="1170" w:type="dxa"/>
            <w:shd w:val="clear" w:color="auto" w:fill="BFBFBF"/>
          </w:tcPr>
          <w:p w14:paraId="7416E437" w14:textId="40D8AF7F" w:rsidR="009E7EA6" w:rsidRPr="009E7EA6" w:rsidRDefault="009E7EA6" w:rsidP="009E7EA6">
            <w:pPr>
              <w:jc w:val="center"/>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Compliance</w:t>
            </w:r>
          </w:p>
        </w:tc>
        <w:tc>
          <w:tcPr>
            <w:tcW w:w="2970" w:type="dxa"/>
            <w:shd w:val="clear" w:color="auto" w:fill="BFBFBF"/>
          </w:tcPr>
          <w:p w14:paraId="2D3E0BBE" w14:textId="2298EDFD" w:rsidR="009E7EA6" w:rsidRPr="009E7EA6" w:rsidRDefault="009E7EA6" w:rsidP="009E7EA6">
            <w:pPr>
              <w:jc w:val="center"/>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Notes</w:t>
            </w:r>
          </w:p>
        </w:tc>
      </w:tr>
    </w:tbl>
    <w:p w14:paraId="1F69D40D" w14:textId="3855042B" w:rsidR="00922FEB" w:rsidRPr="009E7EA6" w:rsidRDefault="00922FEB" w:rsidP="00036F88">
      <w:pPr>
        <w:spacing w:after="200" w:line="240" w:lineRule="auto"/>
        <w:rPr>
          <w:rFonts w:ascii="Times New Roman" w:eastAsia="Calibri" w:hAnsi="Times New Roman" w:cs="Times New Roman"/>
          <w:kern w:val="0"/>
          <w:sz w:val="18"/>
          <w:szCs w:val="18"/>
          <w14:ligatures w14:val="none"/>
        </w:rPr>
      </w:pPr>
    </w:p>
    <w:tbl>
      <w:tblPr>
        <w:tblStyle w:val="TableGrid"/>
        <w:tblpPr w:leftFromText="180" w:rightFromText="180" w:vertAnchor="text" w:tblpX="-1090" w:tblpY="1"/>
        <w:tblOverlap w:val="never"/>
        <w:tblW w:w="16195" w:type="dxa"/>
        <w:tblLayout w:type="fixed"/>
        <w:tblLook w:val="04A0" w:firstRow="1" w:lastRow="0" w:firstColumn="1" w:lastColumn="0" w:noHBand="0" w:noVBand="1"/>
      </w:tblPr>
      <w:tblGrid>
        <w:gridCol w:w="805"/>
        <w:gridCol w:w="5140"/>
        <w:gridCol w:w="1070"/>
        <w:gridCol w:w="720"/>
        <w:gridCol w:w="4344"/>
        <w:gridCol w:w="1156"/>
        <w:gridCol w:w="2960"/>
      </w:tblGrid>
      <w:tr w:rsidR="00260632" w:rsidRPr="009E7EA6" w14:paraId="32F4D837" w14:textId="77777777" w:rsidTr="009E7EA6">
        <w:trPr>
          <w:tblHeader/>
        </w:trPr>
        <w:tc>
          <w:tcPr>
            <w:tcW w:w="805" w:type="dxa"/>
            <w:shd w:val="clear" w:color="auto" w:fill="BFBFBF"/>
          </w:tcPr>
          <w:p w14:paraId="623B109C" w14:textId="4AA779B1" w:rsidR="000A7EA3" w:rsidRPr="009E7EA6" w:rsidRDefault="000A7EA3" w:rsidP="009E7EA6">
            <w:pPr>
              <w:jc w:val="center"/>
              <w:rPr>
                <w:rFonts w:ascii="Times New Roman" w:eastAsia="Times New Roman" w:hAnsi="Times New Roman" w:cs="Times New Roman"/>
                <w:sz w:val="18"/>
                <w:szCs w:val="18"/>
              </w:rPr>
            </w:pPr>
            <w:r w:rsidRPr="009E7EA6">
              <w:rPr>
                <w:rFonts w:ascii="Times New Roman" w:hAnsi="Times New Roman" w:cs="Times New Roman"/>
                <w:sz w:val="18"/>
                <w:szCs w:val="18"/>
              </w:rPr>
              <w:t>1</w:t>
            </w:r>
          </w:p>
        </w:tc>
        <w:tc>
          <w:tcPr>
            <w:tcW w:w="5140" w:type="dxa"/>
            <w:shd w:val="clear" w:color="auto" w:fill="BFBFBF"/>
          </w:tcPr>
          <w:p w14:paraId="0EF916BA" w14:textId="15F44D6D" w:rsidR="000A7EA3" w:rsidRPr="009E7EA6" w:rsidRDefault="000A7EA3" w:rsidP="009E7EA6">
            <w:pPr>
              <w:jc w:val="center"/>
              <w:rPr>
                <w:rFonts w:ascii="Times New Roman" w:eastAsia="Times New Roman" w:hAnsi="Times New Roman" w:cs="Times New Roman"/>
                <w:iCs/>
                <w:sz w:val="18"/>
                <w:szCs w:val="18"/>
              </w:rPr>
            </w:pPr>
            <w:r w:rsidRPr="009E7EA6">
              <w:rPr>
                <w:rFonts w:ascii="Times New Roman" w:hAnsi="Times New Roman" w:cs="Times New Roman"/>
                <w:sz w:val="18"/>
                <w:szCs w:val="18"/>
              </w:rPr>
              <w:t>2</w:t>
            </w:r>
          </w:p>
        </w:tc>
        <w:tc>
          <w:tcPr>
            <w:tcW w:w="1070" w:type="dxa"/>
            <w:shd w:val="clear" w:color="auto" w:fill="D0CECE" w:themeFill="background2" w:themeFillShade="E6"/>
          </w:tcPr>
          <w:p w14:paraId="04E9A02F" w14:textId="584B0512" w:rsidR="000A7EA3" w:rsidRPr="009E7EA6" w:rsidRDefault="000A7EA3" w:rsidP="009E7EA6">
            <w:pPr>
              <w:jc w:val="center"/>
              <w:rPr>
                <w:rFonts w:ascii="Times New Roman" w:hAnsi="Times New Roman" w:cs="Times New Roman"/>
                <w:sz w:val="18"/>
                <w:szCs w:val="18"/>
              </w:rPr>
            </w:pPr>
            <w:r w:rsidRPr="009E7EA6">
              <w:rPr>
                <w:rFonts w:ascii="Times New Roman" w:hAnsi="Times New Roman" w:cs="Times New Roman"/>
                <w:sz w:val="18"/>
                <w:szCs w:val="18"/>
              </w:rPr>
              <w:t>3</w:t>
            </w:r>
          </w:p>
        </w:tc>
        <w:tc>
          <w:tcPr>
            <w:tcW w:w="720" w:type="dxa"/>
            <w:shd w:val="clear" w:color="auto" w:fill="BFBFBF"/>
          </w:tcPr>
          <w:p w14:paraId="11B2F0E9" w14:textId="510E5F67" w:rsidR="000A7EA3" w:rsidRPr="009E7EA6" w:rsidRDefault="000A7EA3" w:rsidP="009E7EA6">
            <w:pPr>
              <w:jc w:val="center"/>
              <w:rPr>
                <w:rFonts w:ascii="Times New Roman" w:eastAsia="Times New Roman" w:hAnsi="Times New Roman" w:cs="Times New Roman"/>
                <w:i/>
                <w:sz w:val="18"/>
                <w:szCs w:val="18"/>
              </w:rPr>
            </w:pPr>
            <w:r w:rsidRPr="009E7EA6">
              <w:rPr>
                <w:rFonts w:ascii="Times New Roman" w:hAnsi="Times New Roman" w:cs="Times New Roman"/>
                <w:sz w:val="18"/>
                <w:szCs w:val="18"/>
              </w:rPr>
              <w:t>4</w:t>
            </w:r>
          </w:p>
        </w:tc>
        <w:tc>
          <w:tcPr>
            <w:tcW w:w="4344" w:type="dxa"/>
            <w:shd w:val="clear" w:color="auto" w:fill="BFBFBF"/>
          </w:tcPr>
          <w:p w14:paraId="18D0D936" w14:textId="2F6EC06B" w:rsidR="000A7EA3" w:rsidRPr="009E7EA6" w:rsidRDefault="000A7EA3" w:rsidP="009E7EA6">
            <w:pPr>
              <w:jc w:val="center"/>
              <w:rPr>
                <w:rFonts w:ascii="Times New Roman" w:eastAsia="Times New Roman" w:hAnsi="Times New Roman" w:cs="Times New Roman"/>
                <w:i/>
                <w:sz w:val="18"/>
                <w:szCs w:val="18"/>
              </w:rPr>
            </w:pPr>
            <w:r w:rsidRPr="009E7EA6">
              <w:rPr>
                <w:rFonts w:ascii="Times New Roman" w:hAnsi="Times New Roman" w:cs="Times New Roman"/>
                <w:sz w:val="18"/>
                <w:szCs w:val="18"/>
              </w:rPr>
              <w:t>5</w:t>
            </w:r>
          </w:p>
        </w:tc>
        <w:tc>
          <w:tcPr>
            <w:tcW w:w="1156" w:type="dxa"/>
            <w:shd w:val="clear" w:color="auto" w:fill="BFBFBF"/>
          </w:tcPr>
          <w:p w14:paraId="1F29B9CC" w14:textId="46D8A615" w:rsidR="000A7EA3" w:rsidRPr="009E7EA6" w:rsidRDefault="000A7EA3" w:rsidP="009E7EA6">
            <w:pPr>
              <w:jc w:val="center"/>
              <w:rPr>
                <w:rFonts w:ascii="Times New Roman" w:eastAsia="Times New Roman" w:hAnsi="Times New Roman" w:cs="Times New Roman"/>
                <w:i/>
                <w:sz w:val="18"/>
                <w:szCs w:val="18"/>
              </w:rPr>
            </w:pPr>
            <w:r w:rsidRPr="009E7EA6">
              <w:rPr>
                <w:rFonts w:ascii="Times New Roman" w:hAnsi="Times New Roman" w:cs="Times New Roman"/>
                <w:sz w:val="18"/>
                <w:szCs w:val="18"/>
              </w:rPr>
              <w:t>6</w:t>
            </w:r>
          </w:p>
        </w:tc>
        <w:tc>
          <w:tcPr>
            <w:tcW w:w="2960" w:type="dxa"/>
            <w:shd w:val="clear" w:color="auto" w:fill="BFBFBF"/>
          </w:tcPr>
          <w:p w14:paraId="1EC97E09" w14:textId="00684BF9" w:rsidR="000A7EA3" w:rsidRPr="009E7EA6" w:rsidRDefault="000A7EA3" w:rsidP="009E7EA6">
            <w:pPr>
              <w:jc w:val="center"/>
              <w:rPr>
                <w:rFonts w:ascii="Times New Roman" w:eastAsia="Times New Roman" w:hAnsi="Times New Roman" w:cs="Times New Roman"/>
                <w:i/>
                <w:sz w:val="18"/>
                <w:szCs w:val="18"/>
              </w:rPr>
            </w:pPr>
            <w:r w:rsidRPr="009E7EA6">
              <w:rPr>
                <w:rFonts w:ascii="Times New Roman" w:hAnsi="Times New Roman" w:cs="Times New Roman"/>
                <w:sz w:val="18"/>
                <w:szCs w:val="18"/>
              </w:rPr>
              <w:t>7</w:t>
            </w:r>
          </w:p>
        </w:tc>
      </w:tr>
      <w:tr w:rsidR="00783079" w:rsidRPr="009E7EA6" w14:paraId="33DF4310" w14:textId="77777777" w:rsidTr="009E7EA6">
        <w:trPr>
          <w:tblHeader/>
        </w:trPr>
        <w:tc>
          <w:tcPr>
            <w:tcW w:w="805" w:type="dxa"/>
            <w:shd w:val="clear" w:color="auto" w:fill="BFBFBF"/>
            <w:vAlign w:val="center"/>
          </w:tcPr>
          <w:p w14:paraId="39F8C6F9" w14:textId="03DB5AEF" w:rsidR="00783079" w:rsidRPr="009E7EA6" w:rsidRDefault="00783079" w:rsidP="009E7EA6">
            <w:pPr>
              <w:jc w:val="center"/>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Article</w:t>
            </w:r>
          </w:p>
        </w:tc>
        <w:tc>
          <w:tcPr>
            <w:tcW w:w="5140" w:type="dxa"/>
            <w:shd w:val="clear" w:color="auto" w:fill="BFBFBF"/>
            <w:vAlign w:val="center"/>
          </w:tcPr>
          <w:p w14:paraId="17F6068A" w14:textId="6334E60F" w:rsidR="00783079" w:rsidRPr="009E7EA6" w:rsidRDefault="00783079" w:rsidP="009E7EA6">
            <w:pPr>
              <w:jc w:val="center"/>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Text</w:t>
            </w:r>
          </w:p>
        </w:tc>
        <w:tc>
          <w:tcPr>
            <w:tcW w:w="1070" w:type="dxa"/>
            <w:shd w:val="clear" w:color="auto" w:fill="D0CECE" w:themeFill="background2" w:themeFillShade="E6"/>
            <w:vAlign w:val="center"/>
          </w:tcPr>
          <w:p w14:paraId="476E07DB" w14:textId="5965015C" w:rsidR="00783079" w:rsidRPr="009E7EA6" w:rsidRDefault="00783079" w:rsidP="009E7EA6">
            <w:pPr>
              <w:jc w:val="center"/>
              <w:rPr>
                <w:rFonts w:ascii="Times New Roman" w:hAnsi="Times New Roman" w:cs="Times New Roman"/>
                <w:sz w:val="18"/>
                <w:szCs w:val="18"/>
              </w:rPr>
            </w:pPr>
            <w:r w:rsidRPr="009E7EA6">
              <w:rPr>
                <w:rFonts w:ascii="Times New Roman" w:eastAsia="Times New Roman" w:hAnsi="Times New Roman" w:cs="Times New Roman"/>
                <w:sz w:val="18"/>
                <w:szCs w:val="18"/>
                <w:lang w:val="en-US"/>
              </w:rPr>
              <w:t>References</w:t>
            </w:r>
          </w:p>
        </w:tc>
        <w:tc>
          <w:tcPr>
            <w:tcW w:w="720" w:type="dxa"/>
            <w:shd w:val="clear" w:color="auto" w:fill="BFBFBF"/>
            <w:vAlign w:val="center"/>
          </w:tcPr>
          <w:p w14:paraId="5B81B475" w14:textId="68AD7FC3" w:rsidR="00783079" w:rsidRPr="009E7EA6" w:rsidRDefault="00783079" w:rsidP="009E7EA6">
            <w:pPr>
              <w:jc w:val="center"/>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lang w:val="en-US"/>
              </w:rPr>
              <w:t>Article</w:t>
            </w:r>
          </w:p>
        </w:tc>
        <w:tc>
          <w:tcPr>
            <w:tcW w:w="4344" w:type="dxa"/>
            <w:shd w:val="clear" w:color="auto" w:fill="BFBFBF"/>
            <w:vAlign w:val="center"/>
          </w:tcPr>
          <w:p w14:paraId="19F4D508" w14:textId="40AF7F07" w:rsidR="00783079" w:rsidRPr="009E7EA6" w:rsidRDefault="00783079" w:rsidP="009E7EA6">
            <w:pPr>
              <w:jc w:val="center"/>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lang w:val="en-US"/>
              </w:rPr>
              <w:t>Text</w:t>
            </w:r>
          </w:p>
        </w:tc>
        <w:tc>
          <w:tcPr>
            <w:tcW w:w="1156" w:type="dxa"/>
            <w:shd w:val="clear" w:color="auto" w:fill="BFBFBF"/>
            <w:vAlign w:val="center"/>
          </w:tcPr>
          <w:p w14:paraId="609D564B" w14:textId="1C8BD2BF" w:rsidR="00783079" w:rsidRPr="009E7EA6" w:rsidRDefault="00783079" w:rsidP="009E7EA6">
            <w:pPr>
              <w:jc w:val="center"/>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lang w:val="en-US"/>
              </w:rPr>
              <w:t>Compliance</w:t>
            </w:r>
          </w:p>
        </w:tc>
        <w:tc>
          <w:tcPr>
            <w:tcW w:w="2960" w:type="dxa"/>
            <w:shd w:val="clear" w:color="auto" w:fill="BFBFBF"/>
            <w:vAlign w:val="center"/>
          </w:tcPr>
          <w:p w14:paraId="0F04528A" w14:textId="71984921" w:rsidR="00783079" w:rsidRPr="009E7EA6" w:rsidRDefault="00783079" w:rsidP="009E7EA6">
            <w:pPr>
              <w:jc w:val="center"/>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lang w:val="en-US"/>
              </w:rPr>
              <w:t>Notes</w:t>
            </w:r>
          </w:p>
        </w:tc>
      </w:tr>
      <w:tr w:rsidR="00260632" w:rsidRPr="009E7EA6" w14:paraId="3101C841" w14:textId="77777777" w:rsidTr="009E7EA6">
        <w:tc>
          <w:tcPr>
            <w:tcW w:w="805" w:type="dxa"/>
            <w:shd w:val="clear" w:color="auto" w:fill="92D050"/>
          </w:tcPr>
          <w:p w14:paraId="171C88DE" w14:textId="77777777" w:rsidR="000A7EA3" w:rsidRPr="009E7EA6" w:rsidRDefault="000A7EA3" w:rsidP="009E7EA6">
            <w:pPr>
              <w:rPr>
                <w:rFonts w:ascii="Times New Roman" w:eastAsia="Calibri" w:hAnsi="Times New Roman" w:cs="Times New Roman"/>
                <w:sz w:val="18"/>
                <w:szCs w:val="18"/>
              </w:rPr>
            </w:pPr>
          </w:p>
        </w:tc>
        <w:tc>
          <w:tcPr>
            <w:tcW w:w="5140" w:type="dxa"/>
            <w:shd w:val="clear" w:color="auto" w:fill="92D050"/>
          </w:tcPr>
          <w:p w14:paraId="3CBB6E23" w14:textId="71A0F858" w:rsidR="000A7EA3" w:rsidRPr="009E7EA6" w:rsidRDefault="000A7EA3" w:rsidP="009E7EA6">
            <w:pPr>
              <w:pStyle w:val="Heading1"/>
              <w:rPr>
                <w:rFonts w:ascii="Times New Roman" w:eastAsia="Calibri" w:hAnsi="Times New Roman" w:cs="Times New Roman"/>
                <w:color w:val="auto"/>
                <w:sz w:val="18"/>
                <w:szCs w:val="18"/>
              </w:rPr>
            </w:pPr>
          </w:p>
        </w:tc>
        <w:tc>
          <w:tcPr>
            <w:tcW w:w="1070" w:type="dxa"/>
          </w:tcPr>
          <w:p w14:paraId="4950B37F" w14:textId="77777777" w:rsidR="000A7EA3" w:rsidRPr="009E7EA6" w:rsidRDefault="000A7EA3" w:rsidP="009E7EA6">
            <w:pPr>
              <w:rPr>
                <w:rFonts w:ascii="Times New Roman" w:eastAsia="Calibri" w:hAnsi="Times New Roman" w:cs="Times New Roman"/>
                <w:sz w:val="18"/>
                <w:szCs w:val="18"/>
              </w:rPr>
            </w:pPr>
          </w:p>
        </w:tc>
        <w:tc>
          <w:tcPr>
            <w:tcW w:w="720" w:type="dxa"/>
            <w:shd w:val="clear" w:color="auto" w:fill="92D050"/>
          </w:tcPr>
          <w:p w14:paraId="4039FF8E" w14:textId="633026E3" w:rsidR="000A7EA3" w:rsidRPr="009E7EA6" w:rsidRDefault="000A7EA3" w:rsidP="009E7EA6">
            <w:pPr>
              <w:rPr>
                <w:rFonts w:ascii="Times New Roman" w:eastAsia="Calibri" w:hAnsi="Times New Roman" w:cs="Times New Roman"/>
                <w:sz w:val="18"/>
                <w:szCs w:val="18"/>
              </w:rPr>
            </w:pPr>
          </w:p>
        </w:tc>
        <w:tc>
          <w:tcPr>
            <w:tcW w:w="4344" w:type="dxa"/>
            <w:shd w:val="clear" w:color="auto" w:fill="92D050"/>
          </w:tcPr>
          <w:p w14:paraId="0786DEEF" w14:textId="77777777" w:rsidR="00526C4D" w:rsidRPr="009E7EA6" w:rsidRDefault="00526C4D"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CHAPTER I</w:t>
            </w:r>
          </w:p>
          <w:p w14:paraId="0C0DB225" w14:textId="5C233337" w:rsidR="000A7EA3" w:rsidRPr="009E7EA6" w:rsidRDefault="00526C4D"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GENERAL PROVISIONS</w:t>
            </w:r>
          </w:p>
        </w:tc>
        <w:tc>
          <w:tcPr>
            <w:tcW w:w="1156" w:type="dxa"/>
            <w:shd w:val="clear" w:color="auto" w:fill="92D050"/>
          </w:tcPr>
          <w:p w14:paraId="0477FAD4" w14:textId="77777777" w:rsidR="000A7EA3" w:rsidRPr="009E7EA6" w:rsidRDefault="000A7EA3" w:rsidP="009E7EA6">
            <w:pPr>
              <w:rPr>
                <w:rFonts w:ascii="Times New Roman" w:eastAsia="Calibri" w:hAnsi="Times New Roman" w:cs="Times New Roman"/>
                <w:sz w:val="18"/>
                <w:szCs w:val="18"/>
              </w:rPr>
            </w:pPr>
          </w:p>
        </w:tc>
        <w:tc>
          <w:tcPr>
            <w:tcW w:w="2960" w:type="dxa"/>
            <w:shd w:val="clear" w:color="auto" w:fill="92D050"/>
          </w:tcPr>
          <w:p w14:paraId="09DE5223" w14:textId="77777777" w:rsidR="000A7EA3" w:rsidRPr="009E7EA6" w:rsidRDefault="000A7EA3" w:rsidP="009E7EA6">
            <w:pPr>
              <w:rPr>
                <w:rFonts w:ascii="Times New Roman" w:eastAsia="Calibri" w:hAnsi="Times New Roman" w:cs="Times New Roman"/>
                <w:sz w:val="18"/>
                <w:szCs w:val="18"/>
              </w:rPr>
            </w:pPr>
          </w:p>
        </w:tc>
      </w:tr>
      <w:tr w:rsidR="00260632" w:rsidRPr="009E7EA6" w14:paraId="6560FCB0" w14:textId="77777777" w:rsidTr="009E7EA6">
        <w:tc>
          <w:tcPr>
            <w:tcW w:w="805" w:type="dxa"/>
            <w:shd w:val="clear" w:color="auto" w:fill="F2F2F2"/>
          </w:tcPr>
          <w:p w14:paraId="2C6C40A7" w14:textId="77777777" w:rsidR="000A7EA3" w:rsidRPr="009E7EA6" w:rsidRDefault="000A7EA3" w:rsidP="009E7EA6">
            <w:pPr>
              <w:jc w:val="center"/>
              <w:rPr>
                <w:rFonts w:ascii="Times New Roman" w:eastAsia="Calibri" w:hAnsi="Times New Roman" w:cs="Times New Roman"/>
                <w:i/>
                <w:iCs/>
                <w:sz w:val="18"/>
                <w:szCs w:val="18"/>
              </w:rPr>
            </w:pPr>
          </w:p>
        </w:tc>
        <w:tc>
          <w:tcPr>
            <w:tcW w:w="5140" w:type="dxa"/>
            <w:shd w:val="clear" w:color="auto" w:fill="F2F2F2"/>
          </w:tcPr>
          <w:p w14:paraId="661F2980" w14:textId="704ED65F" w:rsidR="00E87B78" w:rsidRPr="009E7EA6" w:rsidRDefault="002B3094" w:rsidP="009E7EA6">
            <w:pPr>
              <w:spacing w:before="100" w:beforeAutospacing="1" w:after="100" w:afterAutospacing="1"/>
              <w:jc w:val="both"/>
              <w:rPr>
                <w:rFonts w:ascii="Times New Roman" w:eastAsia="Times New Roman" w:hAnsi="Times New Roman" w:cs="Times New Roman"/>
                <w:sz w:val="18"/>
                <w:szCs w:val="18"/>
                <w:lang w:val="sq-AL" w:eastAsia="sq-AL"/>
              </w:rPr>
            </w:pPr>
            <w:bookmarkStart w:id="0" w:name="articolul1"/>
            <w:bookmarkEnd w:id="0"/>
            <w:r w:rsidRPr="009E7EA6">
              <w:rPr>
                <w:rFonts w:ascii="Times New Roman" w:eastAsia="Times New Roman" w:hAnsi="Times New Roman" w:cs="Times New Roman"/>
                <w:sz w:val="18"/>
                <w:szCs w:val="18"/>
                <w:lang w:val="sq-AL" w:eastAsia="sq-AL"/>
              </w:rPr>
              <w:t xml:space="preserve">Preamble </w:t>
            </w:r>
            <w:r w:rsidR="00E87B78" w:rsidRPr="009E7EA6">
              <w:rPr>
                <w:rFonts w:ascii="Times New Roman" w:eastAsia="Times New Roman" w:hAnsi="Times New Roman" w:cs="Times New Roman"/>
                <w:sz w:val="18"/>
                <w:szCs w:val="18"/>
                <w:lang w:val="sq-AL" w:eastAsia="sq-AL"/>
              </w:rPr>
              <w:t>(2) Directive (EU) 2022/2523 already establishes the rules for filing Top-up tax information returns and outlines broadly the information categories to be reported by the multinational enterprise (‘MNE’) groups and large-scale domestic groups covered by that Directive. The tax administrations need those Top-up tax information returns to perform an appropriate risk assessment, to evaluate the correctness of the tax liability and to monitor whether MNE groups and large-scale domestic groups apply the rules established in Directive (EU) 2022/2523 correctly.</w:t>
            </w:r>
          </w:p>
          <w:p w14:paraId="4FF914BE" w14:textId="168F1192" w:rsidR="00990A3C" w:rsidRPr="009E7EA6" w:rsidRDefault="00990A3C" w:rsidP="009E7EA6">
            <w:pPr>
              <w:rPr>
                <w:rFonts w:ascii="Times New Roman" w:hAnsi="Times New Roman" w:cs="Times New Roman"/>
                <w:sz w:val="18"/>
                <w:szCs w:val="18"/>
              </w:rPr>
            </w:pPr>
          </w:p>
        </w:tc>
        <w:tc>
          <w:tcPr>
            <w:tcW w:w="1070" w:type="dxa"/>
          </w:tcPr>
          <w:p w14:paraId="63FB219E" w14:textId="77777777" w:rsidR="000A7EA3" w:rsidRPr="009E7EA6" w:rsidRDefault="000A7EA3" w:rsidP="009E7EA6">
            <w:pPr>
              <w:rPr>
                <w:rFonts w:ascii="Times New Roman" w:eastAsia="Calibri" w:hAnsi="Times New Roman" w:cs="Times New Roman"/>
                <w:sz w:val="18"/>
                <w:szCs w:val="18"/>
              </w:rPr>
            </w:pPr>
          </w:p>
        </w:tc>
        <w:tc>
          <w:tcPr>
            <w:tcW w:w="720" w:type="dxa"/>
            <w:shd w:val="clear" w:color="auto" w:fill="F2F2F2"/>
          </w:tcPr>
          <w:p w14:paraId="373E1C1C" w14:textId="3802F198" w:rsidR="000A7EA3" w:rsidRPr="009E7EA6" w:rsidRDefault="000A7EA3" w:rsidP="009E7EA6">
            <w:pPr>
              <w:rPr>
                <w:rFonts w:ascii="Times New Roman" w:eastAsia="Calibri" w:hAnsi="Times New Roman" w:cs="Times New Roman"/>
                <w:sz w:val="18"/>
                <w:szCs w:val="18"/>
              </w:rPr>
            </w:pPr>
          </w:p>
        </w:tc>
        <w:tc>
          <w:tcPr>
            <w:tcW w:w="4344" w:type="dxa"/>
            <w:shd w:val="clear" w:color="auto" w:fill="F2F2F2"/>
          </w:tcPr>
          <w:p w14:paraId="0D479C31" w14:textId="77777777" w:rsidR="00FC060A" w:rsidRPr="009E7EA6" w:rsidRDefault="00FC060A" w:rsidP="009E7EA6">
            <w:pPr>
              <w:pStyle w:val="Heading2"/>
              <w:jc w:val="center"/>
              <w:rPr>
                <w:rFonts w:ascii="Times New Roman" w:hAnsi="Times New Roman" w:cs="Times New Roman"/>
                <w:color w:val="auto"/>
                <w:sz w:val="18"/>
                <w:szCs w:val="18"/>
              </w:rPr>
            </w:pPr>
            <w:r w:rsidRPr="009E7EA6">
              <w:rPr>
                <w:rFonts w:ascii="Times New Roman" w:eastAsia="Times New Roman" w:hAnsi="Times New Roman" w:cs="Times New Roman"/>
                <w:color w:val="000000"/>
                <w:sz w:val="18"/>
                <w:szCs w:val="18"/>
              </w:rPr>
              <w:t>Article 14</w:t>
            </w:r>
          </w:p>
          <w:p w14:paraId="0F3FC691" w14:textId="602325C4" w:rsidR="00FC060A" w:rsidRPr="009E7EA6" w:rsidRDefault="00FC060A" w:rsidP="009E7EA6">
            <w:pPr>
              <w:pStyle w:val="Heading3"/>
              <w:jc w:val="center"/>
              <w:rPr>
                <w:bCs w:val="0"/>
                <w:color w:val="000000" w:themeColor="text1"/>
                <w:sz w:val="18"/>
                <w:szCs w:val="18"/>
              </w:rPr>
            </w:pPr>
            <w:r w:rsidRPr="009E7EA6">
              <w:rPr>
                <w:bCs w:val="0"/>
                <w:color w:val="000000" w:themeColor="text1"/>
                <w:sz w:val="18"/>
                <w:szCs w:val="18"/>
              </w:rPr>
              <w:t>Competent authority</w:t>
            </w:r>
          </w:p>
          <w:p w14:paraId="1CB15616" w14:textId="77777777" w:rsidR="00FC060A" w:rsidRPr="009E7EA6" w:rsidRDefault="00FC060A" w:rsidP="009E7EA6">
            <w:pPr>
              <w:numPr>
                <w:ilvl w:val="0"/>
                <w:numId w:val="1"/>
              </w:numPr>
              <w:spacing w:before="100" w:beforeAutospacing="1" w:after="100" w:afterAutospacing="1"/>
              <w:jc w:val="both"/>
              <w:rPr>
                <w:rFonts w:ascii="Times New Roman" w:eastAsia="Times New Roman" w:hAnsi="Times New Roman" w:cs="Times New Roman"/>
                <w:color w:val="000000" w:themeColor="text1"/>
                <w:sz w:val="18"/>
                <w:szCs w:val="18"/>
              </w:rPr>
            </w:pPr>
            <w:r w:rsidRPr="009E7EA6">
              <w:rPr>
                <w:rFonts w:ascii="Times New Roman" w:hAnsi="Times New Roman" w:cs="Times New Roman"/>
                <w:color w:val="000000" w:themeColor="text1"/>
                <w:sz w:val="18"/>
                <w:szCs w:val="18"/>
              </w:rPr>
              <w:t xml:space="preserve">The General Directorate of Taxation is designated as the competent authority for the implementation of this Law. </w:t>
            </w:r>
          </w:p>
          <w:p w14:paraId="5A404050" w14:textId="7A450A2C" w:rsidR="00FC060A" w:rsidRPr="009E7EA6" w:rsidRDefault="00FC060A" w:rsidP="009E7EA6">
            <w:pPr>
              <w:numPr>
                <w:ilvl w:val="0"/>
                <w:numId w:val="1"/>
              </w:numPr>
              <w:spacing w:before="100" w:beforeAutospacing="1" w:after="100" w:afterAutospacing="1"/>
              <w:jc w:val="both"/>
              <w:rPr>
                <w:rFonts w:ascii="Times New Roman" w:hAnsi="Times New Roman" w:cs="Times New Roman"/>
                <w:color w:val="000000"/>
                <w:sz w:val="18"/>
                <w:szCs w:val="18"/>
                <w:lang w:val="sq-AL" w:eastAsia="sq-AL"/>
              </w:rPr>
            </w:pPr>
            <w:r w:rsidRPr="009E7EA6">
              <w:rPr>
                <w:rFonts w:ascii="Times New Roman" w:hAnsi="Times New Roman" w:cs="Times New Roman"/>
                <w:color w:val="000000" w:themeColor="text1"/>
                <w:sz w:val="18"/>
                <w:szCs w:val="18"/>
              </w:rPr>
              <w:t xml:space="preserve">The </w:t>
            </w:r>
            <w:r w:rsidR="003850BB" w:rsidRPr="009E7EA6">
              <w:rPr>
                <w:rFonts w:ascii="Times New Roman" w:hAnsi="Times New Roman" w:cs="Times New Roman"/>
                <w:color w:val="000000" w:themeColor="text1"/>
                <w:sz w:val="18"/>
                <w:szCs w:val="18"/>
              </w:rPr>
              <w:t xml:space="preserve"> General Directorate of Taxation </w:t>
            </w:r>
            <w:r w:rsidRPr="009E7EA6">
              <w:rPr>
                <w:rFonts w:ascii="Times New Roman" w:hAnsi="Times New Roman" w:cs="Times New Roman"/>
                <w:color w:val="000000" w:themeColor="text1"/>
                <w:sz w:val="18"/>
                <w:szCs w:val="18"/>
              </w:rPr>
              <w:t xml:space="preserve"> shall administer and use TTIR information for the purposes set out in this Law</w:t>
            </w:r>
            <w:r w:rsidRPr="009E7EA6">
              <w:rPr>
                <w:rFonts w:ascii="Times New Roman" w:hAnsi="Times New Roman" w:cs="Times New Roman"/>
                <w:color w:val="000000"/>
                <w:sz w:val="18"/>
                <w:szCs w:val="18"/>
                <w:lang w:val="sq-AL" w:eastAsia="sq-AL"/>
              </w:rPr>
              <w:t xml:space="preserve">. </w:t>
            </w:r>
          </w:p>
          <w:p w14:paraId="64C93E4E" w14:textId="449C89EF" w:rsidR="000A7EA3" w:rsidRPr="009E7EA6" w:rsidRDefault="000A7EA3" w:rsidP="009E7EA6">
            <w:pPr>
              <w:rPr>
                <w:rFonts w:ascii="Times New Roman" w:hAnsi="Times New Roman" w:cs="Times New Roman"/>
                <w:sz w:val="18"/>
                <w:szCs w:val="18"/>
              </w:rPr>
            </w:pPr>
          </w:p>
        </w:tc>
        <w:tc>
          <w:tcPr>
            <w:tcW w:w="1156" w:type="dxa"/>
            <w:shd w:val="clear" w:color="auto" w:fill="F2F2F2"/>
          </w:tcPr>
          <w:p w14:paraId="176811E7" w14:textId="1D532C2B" w:rsidR="000A7EA3" w:rsidRPr="009E7EA6" w:rsidRDefault="009A5F58"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F</w:t>
            </w:r>
          </w:p>
        </w:tc>
        <w:tc>
          <w:tcPr>
            <w:tcW w:w="2960" w:type="dxa"/>
            <w:shd w:val="clear" w:color="auto" w:fill="F2F2F2"/>
          </w:tcPr>
          <w:p w14:paraId="0E837D0C" w14:textId="77777777" w:rsidR="000A7EA3" w:rsidRPr="009E7EA6" w:rsidRDefault="000A7EA3" w:rsidP="009E7EA6">
            <w:pPr>
              <w:rPr>
                <w:rFonts w:ascii="Times New Roman" w:eastAsia="Calibri" w:hAnsi="Times New Roman" w:cs="Times New Roman"/>
                <w:sz w:val="18"/>
                <w:szCs w:val="18"/>
              </w:rPr>
            </w:pPr>
          </w:p>
        </w:tc>
      </w:tr>
      <w:tr w:rsidR="00526C4D" w:rsidRPr="009E7EA6" w14:paraId="7F6FBBB8" w14:textId="77777777" w:rsidTr="009E7EA6">
        <w:trPr>
          <w:trHeight w:val="1520"/>
        </w:trPr>
        <w:tc>
          <w:tcPr>
            <w:tcW w:w="805" w:type="dxa"/>
          </w:tcPr>
          <w:p w14:paraId="54CAE924" w14:textId="77777777" w:rsidR="00526C4D" w:rsidRPr="009E7EA6" w:rsidRDefault="00526C4D" w:rsidP="009E7EA6">
            <w:pPr>
              <w:jc w:val="both"/>
              <w:rPr>
                <w:rFonts w:ascii="Times New Roman" w:eastAsia="Calibri" w:hAnsi="Times New Roman" w:cs="Times New Roman"/>
                <w:sz w:val="18"/>
                <w:szCs w:val="18"/>
              </w:rPr>
            </w:pPr>
            <w:r w:rsidRPr="009E7EA6">
              <w:rPr>
                <w:rFonts w:ascii="Times New Roman" w:eastAsia="Calibri" w:hAnsi="Times New Roman" w:cs="Times New Roman"/>
                <w:sz w:val="18"/>
                <w:szCs w:val="18"/>
              </w:rPr>
              <w:t>1</w:t>
            </w:r>
          </w:p>
        </w:tc>
        <w:tc>
          <w:tcPr>
            <w:tcW w:w="5140" w:type="dxa"/>
          </w:tcPr>
          <w:p w14:paraId="7C436DC9" w14:textId="77777777" w:rsidR="00526C4D" w:rsidRPr="009E7EA6" w:rsidRDefault="00526C4D" w:rsidP="009E7EA6">
            <w:pPr>
              <w:spacing w:before="100" w:beforeAutospacing="1" w:after="100" w:afterAutospacing="1"/>
              <w:jc w:val="both"/>
              <w:rPr>
                <w:rFonts w:ascii="Times New Roman" w:eastAsia="Times New Roman" w:hAnsi="Times New Roman" w:cs="Times New Roman"/>
                <w:sz w:val="18"/>
                <w:szCs w:val="18"/>
                <w:lang w:val="en-US"/>
              </w:rPr>
            </w:pPr>
            <w:r w:rsidRPr="009E7EA6">
              <w:rPr>
                <w:rFonts w:ascii="Times New Roman" w:eastAsia="Times New Roman" w:hAnsi="Times New Roman" w:cs="Times New Roman"/>
                <w:sz w:val="18"/>
                <w:szCs w:val="18"/>
                <w:lang w:val="en-US"/>
              </w:rPr>
              <w:t>Directive 2011/16/EU is amended as follows:</w:t>
            </w:r>
          </w:p>
          <w:tbl>
            <w:tblPr>
              <w:tblW w:w="5000" w:type="pct"/>
              <w:tblCellSpacing w:w="0" w:type="dxa"/>
              <w:tblLayout w:type="fixed"/>
              <w:tblCellMar>
                <w:left w:w="0" w:type="dxa"/>
                <w:right w:w="0" w:type="dxa"/>
              </w:tblCellMar>
              <w:tblLook w:val="04A0" w:firstRow="1" w:lastRow="0" w:firstColumn="1" w:lastColumn="0" w:noHBand="0" w:noVBand="1"/>
            </w:tblPr>
            <w:tblGrid>
              <w:gridCol w:w="287"/>
              <w:gridCol w:w="4637"/>
            </w:tblGrid>
            <w:tr w:rsidR="00526C4D" w:rsidRPr="009E7EA6" w14:paraId="43B8C522" w14:textId="77777777" w:rsidTr="00164114">
              <w:trPr>
                <w:tblCellSpacing w:w="0" w:type="dxa"/>
              </w:trPr>
              <w:tc>
                <w:tcPr>
                  <w:tcW w:w="529" w:type="dxa"/>
                  <w:hideMark/>
                </w:tcPr>
                <w:p w14:paraId="41D7B91F" w14:textId="77777777" w:rsidR="00526C4D" w:rsidRPr="009E7EA6" w:rsidRDefault="00526C4D" w:rsidP="009E7EA6">
                  <w:pPr>
                    <w:framePr w:hSpace="180" w:wrap="around" w:vAnchor="text" w:hAnchor="text" w:x="-1090" w:y="1"/>
                    <w:spacing w:before="100" w:beforeAutospacing="1" w:after="100" w:afterAutospacing="1" w:line="240" w:lineRule="auto"/>
                    <w:suppressOverlap/>
                    <w:jc w:val="both"/>
                    <w:rPr>
                      <w:rFonts w:ascii="Times New Roman" w:eastAsia="Times New Roman" w:hAnsi="Times New Roman" w:cs="Times New Roman"/>
                      <w:kern w:val="0"/>
                      <w:sz w:val="18"/>
                      <w:szCs w:val="18"/>
                      <w:lang w:val="en-US"/>
                      <w14:ligatures w14:val="none"/>
                    </w:rPr>
                  </w:pPr>
                  <w:r w:rsidRPr="009E7EA6">
                    <w:rPr>
                      <w:rFonts w:ascii="Times New Roman" w:eastAsia="Times New Roman" w:hAnsi="Times New Roman" w:cs="Times New Roman"/>
                      <w:kern w:val="0"/>
                      <w:sz w:val="18"/>
                      <w:szCs w:val="18"/>
                      <w:lang w:val="en-US"/>
                      <w14:ligatures w14:val="none"/>
                    </w:rPr>
                    <w:t>(1)</w:t>
                  </w:r>
                </w:p>
              </w:tc>
              <w:tc>
                <w:tcPr>
                  <w:tcW w:w="8831" w:type="dxa"/>
                  <w:hideMark/>
                </w:tcPr>
                <w:p w14:paraId="0BE5B2E8" w14:textId="77777777" w:rsidR="00526C4D" w:rsidRPr="009E7EA6" w:rsidRDefault="00526C4D" w:rsidP="009E7EA6">
                  <w:pPr>
                    <w:framePr w:hSpace="180" w:wrap="around" w:vAnchor="text" w:hAnchor="text" w:x="-1090" w:y="1"/>
                    <w:spacing w:before="100" w:beforeAutospacing="1" w:after="100" w:afterAutospacing="1" w:line="240" w:lineRule="auto"/>
                    <w:suppressOverlap/>
                    <w:jc w:val="both"/>
                    <w:rPr>
                      <w:rFonts w:ascii="Times New Roman" w:eastAsia="Times New Roman" w:hAnsi="Times New Roman" w:cs="Times New Roman"/>
                      <w:kern w:val="0"/>
                      <w:sz w:val="18"/>
                      <w:szCs w:val="18"/>
                      <w:lang w:val="en-US"/>
                      <w14:ligatures w14:val="none"/>
                    </w:rPr>
                  </w:pPr>
                  <w:r w:rsidRPr="009E7EA6">
                    <w:rPr>
                      <w:rFonts w:ascii="Times New Roman" w:eastAsia="Times New Roman" w:hAnsi="Times New Roman" w:cs="Times New Roman"/>
                      <w:kern w:val="0"/>
                      <w:sz w:val="18"/>
                      <w:szCs w:val="18"/>
                      <w:lang w:val="en-US"/>
                      <w14:ligatures w14:val="none"/>
                    </w:rPr>
                    <w:t>in Article 3, point (9) is amended as follows:</w:t>
                  </w:r>
                </w:p>
                <w:tbl>
                  <w:tblPr>
                    <w:tblW w:w="5000" w:type="pct"/>
                    <w:tblCellSpacing w:w="0" w:type="dxa"/>
                    <w:tblLayout w:type="fixed"/>
                    <w:tblCellMar>
                      <w:left w:w="0" w:type="dxa"/>
                      <w:right w:w="0" w:type="dxa"/>
                    </w:tblCellMar>
                    <w:tblLook w:val="04A0" w:firstRow="1" w:lastRow="0" w:firstColumn="1" w:lastColumn="0" w:noHBand="0" w:noVBand="1"/>
                  </w:tblPr>
                  <w:tblGrid>
                    <w:gridCol w:w="274"/>
                    <w:gridCol w:w="4363"/>
                  </w:tblGrid>
                  <w:tr w:rsidR="00526C4D" w:rsidRPr="009E7EA6" w14:paraId="2AA794A9" w14:textId="77777777">
                    <w:trPr>
                      <w:tblCellSpacing w:w="0" w:type="dxa"/>
                    </w:trPr>
                    <w:tc>
                      <w:tcPr>
                        <w:tcW w:w="505" w:type="dxa"/>
                        <w:hideMark/>
                      </w:tcPr>
                      <w:p w14:paraId="060D1D31" w14:textId="77777777" w:rsidR="00526C4D" w:rsidRPr="009E7EA6" w:rsidRDefault="00526C4D" w:rsidP="009E7EA6">
                        <w:pPr>
                          <w:framePr w:hSpace="180" w:wrap="around" w:vAnchor="text" w:hAnchor="text" w:x="-1090" w:y="1"/>
                          <w:spacing w:before="100" w:beforeAutospacing="1" w:after="100" w:afterAutospacing="1" w:line="240" w:lineRule="auto"/>
                          <w:suppressOverlap/>
                          <w:jc w:val="both"/>
                          <w:rPr>
                            <w:rFonts w:ascii="Times New Roman" w:eastAsia="Times New Roman" w:hAnsi="Times New Roman" w:cs="Times New Roman"/>
                            <w:kern w:val="0"/>
                            <w:sz w:val="18"/>
                            <w:szCs w:val="18"/>
                            <w:lang w:val="en-US"/>
                            <w14:ligatures w14:val="none"/>
                          </w:rPr>
                        </w:pPr>
                        <w:r w:rsidRPr="009E7EA6">
                          <w:rPr>
                            <w:rFonts w:ascii="Times New Roman" w:eastAsia="Times New Roman" w:hAnsi="Times New Roman" w:cs="Times New Roman"/>
                            <w:kern w:val="0"/>
                            <w:sz w:val="18"/>
                            <w:szCs w:val="18"/>
                            <w:lang w:val="en-US"/>
                            <w14:ligatures w14:val="none"/>
                          </w:rPr>
                          <w:t>(a)</w:t>
                        </w:r>
                      </w:p>
                    </w:tc>
                    <w:tc>
                      <w:tcPr>
                        <w:tcW w:w="8326" w:type="dxa"/>
                        <w:hideMark/>
                      </w:tcPr>
                      <w:p w14:paraId="4025890A" w14:textId="77777777" w:rsidR="00526C4D" w:rsidRPr="009E7EA6" w:rsidRDefault="00526C4D" w:rsidP="009E7EA6">
                        <w:pPr>
                          <w:framePr w:hSpace="180" w:wrap="around" w:vAnchor="text" w:hAnchor="text" w:x="-1090" w:y="1"/>
                          <w:spacing w:before="100" w:beforeAutospacing="1" w:after="100" w:afterAutospacing="1" w:line="240" w:lineRule="auto"/>
                          <w:suppressOverlap/>
                          <w:jc w:val="both"/>
                          <w:rPr>
                            <w:rFonts w:ascii="Times New Roman" w:eastAsia="Times New Roman" w:hAnsi="Times New Roman" w:cs="Times New Roman"/>
                            <w:kern w:val="0"/>
                            <w:sz w:val="18"/>
                            <w:szCs w:val="18"/>
                            <w:lang w:val="en-US"/>
                            <w14:ligatures w14:val="none"/>
                          </w:rPr>
                        </w:pPr>
                        <w:r w:rsidRPr="009E7EA6">
                          <w:rPr>
                            <w:rFonts w:ascii="Times New Roman" w:eastAsia="Times New Roman" w:hAnsi="Times New Roman" w:cs="Times New Roman"/>
                            <w:kern w:val="0"/>
                            <w:sz w:val="18"/>
                            <w:szCs w:val="18"/>
                            <w:lang w:val="en-US"/>
                            <w14:ligatures w14:val="none"/>
                          </w:rPr>
                          <w:t>the first subparagraph, is amended as follows:</w:t>
                        </w:r>
                      </w:p>
                      <w:tbl>
                        <w:tblPr>
                          <w:tblW w:w="5000" w:type="pct"/>
                          <w:tblCellSpacing w:w="0" w:type="dxa"/>
                          <w:tblLayout w:type="fixed"/>
                          <w:tblCellMar>
                            <w:left w:w="0" w:type="dxa"/>
                            <w:right w:w="0" w:type="dxa"/>
                          </w:tblCellMar>
                          <w:tblLook w:val="04A0" w:firstRow="1" w:lastRow="0" w:firstColumn="1" w:lastColumn="0" w:noHBand="0" w:noVBand="1"/>
                        </w:tblPr>
                        <w:tblGrid>
                          <w:gridCol w:w="266"/>
                          <w:gridCol w:w="4097"/>
                        </w:tblGrid>
                        <w:tr w:rsidR="00526C4D" w:rsidRPr="009E7EA6" w14:paraId="0E8E9AA6" w14:textId="77777777">
                          <w:trPr>
                            <w:tblCellSpacing w:w="0" w:type="dxa"/>
                          </w:trPr>
                          <w:tc>
                            <w:tcPr>
                              <w:tcW w:w="491" w:type="dxa"/>
                              <w:hideMark/>
                            </w:tcPr>
                            <w:p w14:paraId="7B070CDC" w14:textId="77777777" w:rsidR="00526C4D" w:rsidRPr="009E7EA6" w:rsidRDefault="00526C4D" w:rsidP="009E7EA6">
                              <w:pPr>
                                <w:framePr w:hSpace="180" w:wrap="around" w:vAnchor="text" w:hAnchor="text" w:x="-1090" w:y="1"/>
                                <w:spacing w:before="100" w:beforeAutospacing="1" w:after="100" w:afterAutospacing="1" w:line="240" w:lineRule="auto"/>
                                <w:suppressOverlap/>
                                <w:jc w:val="both"/>
                                <w:rPr>
                                  <w:rFonts w:ascii="Times New Roman" w:eastAsia="Times New Roman" w:hAnsi="Times New Roman" w:cs="Times New Roman"/>
                                  <w:kern w:val="0"/>
                                  <w:sz w:val="18"/>
                                  <w:szCs w:val="18"/>
                                  <w:lang w:val="en-US"/>
                                  <w14:ligatures w14:val="none"/>
                                </w:rPr>
                              </w:pPr>
                              <w:r w:rsidRPr="009E7EA6">
                                <w:rPr>
                                  <w:rFonts w:ascii="Times New Roman" w:eastAsia="Times New Roman" w:hAnsi="Times New Roman" w:cs="Times New Roman"/>
                                  <w:kern w:val="0"/>
                                  <w:sz w:val="18"/>
                                  <w:szCs w:val="18"/>
                                  <w:lang w:val="en-US"/>
                                  <w14:ligatures w14:val="none"/>
                                </w:rPr>
                                <w:t>(i)</w:t>
                              </w:r>
                            </w:p>
                          </w:tc>
                          <w:tc>
                            <w:tcPr>
                              <w:tcW w:w="7835" w:type="dxa"/>
                              <w:hideMark/>
                            </w:tcPr>
                            <w:p w14:paraId="58855805" w14:textId="77777777" w:rsidR="00526C4D" w:rsidRPr="009E7EA6" w:rsidRDefault="00526C4D" w:rsidP="009E7EA6">
                              <w:pPr>
                                <w:framePr w:hSpace="180" w:wrap="around" w:vAnchor="text" w:hAnchor="text" w:x="-1090" w:y="1"/>
                                <w:spacing w:before="100" w:beforeAutospacing="1" w:after="100" w:afterAutospacing="1" w:line="240" w:lineRule="auto"/>
                                <w:suppressOverlap/>
                                <w:jc w:val="both"/>
                                <w:rPr>
                                  <w:rFonts w:ascii="Times New Roman" w:eastAsia="Times New Roman" w:hAnsi="Times New Roman" w:cs="Times New Roman"/>
                                  <w:kern w:val="0"/>
                                  <w:sz w:val="18"/>
                                  <w:szCs w:val="18"/>
                                  <w:lang w:val="en-US"/>
                                  <w14:ligatures w14:val="none"/>
                                </w:rPr>
                              </w:pPr>
                              <w:r w:rsidRPr="009E7EA6">
                                <w:rPr>
                                  <w:rFonts w:ascii="Times New Roman" w:eastAsia="Times New Roman" w:hAnsi="Times New Roman" w:cs="Times New Roman"/>
                                  <w:kern w:val="0"/>
                                  <w:sz w:val="18"/>
                                  <w:szCs w:val="18"/>
                                  <w:lang w:val="en-US"/>
                                  <w14:ligatures w14:val="none"/>
                                </w:rPr>
                                <w:t>point (a) is replaced by the following:</w:t>
                              </w:r>
                            </w:p>
                          </w:tc>
                        </w:tr>
                      </w:tbl>
                      <w:p w14:paraId="0FCF9C30" w14:textId="77777777" w:rsidR="00526C4D" w:rsidRPr="009E7EA6" w:rsidRDefault="00526C4D" w:rsidP="009E7EA6">
                        <w:pPr>
                          <w:framePr w:hSpace="180" w:wrap="around" w:vAnchor="text" w:hAnchor="text" w:x="-1090" w:y="1"/>
                          <w:spacing w:after="0" w:line="240" w:lineRule="auto"/>
                          <w:suppressOverlap/>
                          <w:jc w:val="both"/>
                          <w:rPr>
                            <w:rFonts w:ascii="Times New Roman" w:eastAsia="Times New Roman" w:hAnsi="Times New Roman" w:cs="Times New Roman"/>
                            <w:kern w:val="0"/>
                            <w:sz w:val="18"/>
                            <w:szCs w:val="18"/>
                            <w:lang w:val="en-US"/>
                            <w14:ligatures w14:val="none"/>
                          </w:rPr>
                        </w:pPr>
                      </w:p>
                    </w:tc>
                  </w:tr>
                </w:tbl>
                <w:p w14:paraId="79FEEC36" w14:textId="77777777" w:rsidR="00526C4D" w:rsidRPr="009E7EA6" w:rsidRDefault="00526C4D" w:rsidP="009E7EA6">
                  <w:pPr>
                    <w:framePr w:hSpace="180" w:wrap="around" w:vAnchor="text" w:hAnchor="text" w:x="-1090" w:y="1"/>
                    <w:spacing w:after="0" w:line="240" w:lineRule="auto"/>
                    <w:suppressOverlap/>
                    <w:jc w:val="both"/>
                    <w:rPr>
                      <w:rFonts w:ascii="Times New Roman" w:eastAsia="Times New Roman" w:hAnsi="Times New Roman" w:cs="Times New Roman"/>
                      <w:kern w:val="0"/>
                      <w:sz w:val="18"/>
                      <w:szCs w:val="18"/>
                      <w:lang w:val="en-US"/>
                      <w14:ligatures w14:val="none"/>
                    </w:rPr>
                  </w:pPr>
                </w:p>
              </w:tc>
            </w:tr>
          </w:tbl>
          <w:p w14:paraId="77729CBF" w14:textId="77777777" w:rsidR="00526C4D" w:rsidRPr="009E7EA6" w:rsidRDefault="00526C4D" w:rsidP="009E7EA6">
            <w:pPr>
              <w:spacing w:before="100" w:beforeAutospacing="1" w:after="100" w:afterAutospacing="1"/>
              <w:jc w:val="both"/>
              <w:rPr>
                <w:rFonts w:ascii="Times New Roman" w:eastAsia="Times New Roman" w:hAnsi="Times New Roman" w:cs="Times New Roman"/>
                <w:sz w:val="18"/>
                <w:szCs w:val="18"/>
              </w:rPr>
            </w:pPr>
          </w:p>
          <w:p w14:paraId="6FA041A3" w14:textId="77777777" w:rsidR="00526C4D" w:rsidRPr="009E7EA6" w:rsidRDefault="00526C4D" w:rsidP="009E7EA6">
            <w:pPr>
              <w:spacing w:before="100" w:beforeAutospacing="1" w:after="100" w:afterAutospacing="1"/>
              <w:jc w:val="both"/>
              <w:rPr>
                <w:rFonts w:ascii="Times New Roman" w:eastAsia="Times New Roman" w:hAnsi="Times New Roman" w:cs="Times New Roman"/>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4924"/>
            </w:tblGrid>
            <w:tr w:rsidR="00526C4D" w:rsidRPr="009E7EA6" w14:paraId="7BC9DF98" w14:textId="77777777" w:rsidTr="00164114">
              <w:trPr>
                <w:tblCellSpacing w:w="0" w:type="dxa"/>
              </w:trPr>
              <w:tc>
                <w:tcPr>
                  <w:tcW w:w="9360" w:type="dxa"/>
                  <w:hideMark/>
                </w:tcPr>
                <w:tbl>
                  <w:tblPr>
                    <w:tblW w:w="5000" w:type="pct"/>
                    <w:tblCellSpacing w:w="0" w:type="dxa"/>
                    <w:tblLayout w:type="fixed"/>
                    <w:tblCellMar>
                      <w:left w:w="0" w:type="dxa"/>
                      <w:right w:w="0" w:type="dxa"/>
                    </w:tblCellMar>
                    <w:tblLook w:val="04A0" w:firstRow="1" w:lastRow="0" w:firstColumn="1" w:lastColumn="0" w:noHBand="0" w:noVBand="1"/>
                  </w:tblPr>
                  <w:tblGrid>
                    <w:gridCol w:w="191"/>
                    <w:gridCol w:w="4733"/>
                  </w:tblGrid>
                  <w:tr w:rsidR="00526C4D" w:rsidRPr="009E7EA6" w14:paraId="13F1B6D4" w14:textId="77777777">
                    <w:trPr>
                      <w:tblCellSpacing w:w="0" w:type="dxa"/>
                    </w:trPr>
                    <w:tc>
                      <w:tcPr>
                        <w:tcW w:w="347" w:type="dxa"/>
                        <w:hideMark/>
                      </w:tcPr>
                      <w:p w14:paraId="5013C02E" w14:textId="48EEF782" w:rsidR="00526C4D" w:rsidRPr="009E7EA6" w:rsidRDefault="00526C4D" w:rsidP="009E7EA6">
                        <w:pPr>
                          <w:framePr w:hSpace="180" w:wrap="around" w:vAnchor="text" w:hAnchor="text" w:x="-1090" w:y="1"/>
                          <w:spacing w:before="100" w:beforeAutospacing="1" w:after="100" w:afterAutospacing="1" w:line="240" w:lineRule="auto"/>
                          <w:suppressOverlap/>
                          <w:jc w:val="both"/>
                          <w:rPr>
                            <w:rFonts w:ascii="Times New Roman" w:eastAsia="Times New Roman" w:hAnsi="Times New Roman" w:cs="Times New Roman"/>
                            <w:kern w:val="0"/>
                            <w:sz w:val="18"/>
                            <w:szCs w:val="18"/>
                            <w:lang w:val="en-US"/>
                            <w14:ligatures w14:val="none"/>
                          </w:rPr>
                        </w:pPr>
                        <w:r w:rsidRPr="009E7EA6">
                          <w:rPr>
                            <w:rFonts w:ascii="Times New Roman" w:eastAsia="Times New Roman" w:hAnsi="Times New Roman" w:cs="Times New Roman"/>
                            <w:kern w:val="0"/>
                            <w:sz w:val="18"/>
                            <w:szCs w:val="18"/>
                            <w:lang w:val="en-US"/>
                            <w14:ligatures w14:val="none"/>
                          </w:rPr>
                          <w:t>‘(a</w:t>
                        </w:r>
                      </w:p>
                    </w:tc>
                    <w:tc>
                      <w:tcPr>
                        <w:tcW w:w="9013" w:type="dxa"/>
                        <w:hideMark/>
                      </w:tcPr>
                      <w:p w14:paraId="20C07FC0" w14:textId="295F7287" w:rsidR="00526C4D" w:rsidRPr="009E7EA6" w:rsidRDefault="00526C4D" w:rsidP="009E7EA6">
                        <w:pPr>
                          <w:framePr w:hSpace="180" w:wrap="around" w:vAnchor="text" w:hAnchor="text" w:x="-1090" w:y="1"/>
                          <w:spacing w:before="100" w:beforeAutospacing="1" w:after="100" w:afterAutospacing="1" w:line="240" w:lineRule="auto"/>
                          <w:suppressOverlap/>
                          <w:jc w:val="both"/>
                          <w:rPr>
                            <w:rFonts w:ascii="Times New Roman" w:eastAsia="Times New Roman" w:hAnsi="Times New Roman" w:cs="Times New Roman"/>
                            <w:kern w:val="0"/>
                            <w:sz w:val="18"/>
                            <w:szCs w:val="18"/>
                            <w:lang w:val="en-US"/>
                            <w14:ligatures w14:val="none"/>
                          </w:rPr>
                        </w:pPr>
                        <w:r w:rsidRPr="009E7EA6">
                          <w:rPr>
                            <w:rFonts w:ascii="Times New Roman" w:eastAsia="Times New Roman" w:hAnsi="Times New Roman" w:cs="Times New Roman"/>
                            <w:kern w:val="0"/>
                            <w:sz w:val="18"/>
                            <w:szCs w:val="18"/>
                            <w:lang w:val="en-US"/>
                            <w14:ligatures w14:val="none"/>
                          </w:rPr>
                          <w:t>) for the purposes of Article 8(1) and Articles 8a to 8ae, the systematic communication of predefined information to another Member State, without prior request, at pre-established regular intervals. For the purposes of Article 8(1), reference to available information relates to information in the tax files of the Member State communicating the information, which is retrievable in accordance with the procedures for gathering and processing information in that Member State;’</w:t>
                        </w:r>
                      </w:p>
                    </w:tc>
                  </w:tr>
                </w:tbl>
                <w:p w14:paraId="3AFFA0D5" w14:textId="77777777" w:rsidR="00526C4D" w:rsidRPr="009E7EA6" w:rsidRDefault="00526C4D" w:rsidP="009E7EA6">
                  <w:pPr>
                    <w:framePr w:hSpace="180" w:wrap="around" w:vAnchor="text" w:hAnchor="text" w:x="-1090" w:y="1"/>
                    <w:spacing w:before="100" w:beforeAutospacing="1" w:after="100" w:afterAutospacing="1" w:line="240" w:lineRule="auto"/>
                    <w:suppressOverlap/>
                    <w:jc w:val="both"/>
                    <w:rPr>
                      <w:rFonts w:ascii="Times New Roman" w:eastAsia="Times New Roman" w:hAnsi="Times New Roman" w:cs="Times New Roman"/>
                      <w:kern w:val="0"/>
                      <w:sz w:val="18"/>
                      <w:szCs w:val="18"/>
                      <w:lang w:val="en-US"/>
                      <w14:ligatures w14:val="none"/>
                    </w:rPr>
                  </w:pPr>
                  <w:r w:rsidRPr="009E7EA6">
                    <w:rPr>
                      <w:rFonts w:ascii="Times New Roman" w:eastAsia="Times New Roman" w:hAnsi="Times New Roman" w:cs="Times New Roman"/>
                      <w:kern w:val="0"/>
                      <w:sz w:val="18"/>
                      <w:szCs w:val="18"/>
                      <w:lang w:val="en-US"/>
                      <w14:ligatures w14:val="none"/>
                    </w:rPr>
                    <w:t>;</w:t>
                  </w:r>
                </w:p>
              </w:tc>
            </w:tr>
          </w:tbl>
          <w:p w14:paraId="0A93D0B8" w14:textId="77777777" w:rsidR="00526C4D" w:rsidRPr="009E7EA6" w:rsidRDefault="00526C4D" w:rsidP="009E7EA6">
            <w:pPr>
              <w:jc w:val="both"/>
              <w:rPr>
                <w:rFonts w:ascii="Times New Roman" w:eastAsia="Times New Roman" w:hAnsi="Times New Roman" w:cs="Times New Roman"/>
                <w:vanish/>
                <w:sz w:val="18"/>
                <w:szCs w:val="18"/>
                <w:lang w:val="en-US"/>
              </w:rPr>
            </w:pPr>
          </w:p>
          <w:tbl>
            <w:tblPr>
              <w:tblW w:w="5000" w:type="pct"/>
              <w:tblCellSpacing w:w="0" w:type="dxa"/>
              <w:tblLayout w:type="fixed"/>
              <w:tblCellMar>
                <w:left w:w="0" w:type="dxa"/>
                <w:right w:w="0" w:type="dxa"/>
              </w:tblCellMar>
              <w:tblLook w:val="04A0" w:firstRow="1" w:lastRow="0" w:firstColumn="1" w:lastColumn="0" w:noHBand="0" w:noVBand="1"/>
            </w:tblPr>
            <w:tblGrid>
              <w:gridCol w:w="164"/>
              <w:gridCol w:w="4760"/>
            </w:tblGrid>
            <w:tr w:rsidR="00526C4D" w:rsidRPr="009E7EA6" w14:paraId="71C09A1C" w14:textId="77777777" w:rsidTr="00164114">
              <w:trPr>
                <w:tblCellSpacing w:w="0" w:type="dxa"/>
              </w:trPr>
              <w:tc>
                <w:tcPr>
                  <w:tcW w:w="294" w:type="dxa"/>
                  <w:hideMark/>
                </w:tcPr>
                <w:p w14:paraId="63BAD81E" w14:textId="52A601BE" w:rsidR="00526C4D" w:rsidRPr="009E7EA6" w:rsidRDefault="00526C4D" w:rsidP="009E7EA6">
                  <w:pPr>
                    <w:framePr w:hSpace="180" w:wrap="around" w:vAnchor="text" w:hAnchor="text" w:x="-1090" w:y="1"/>
                    <w:spacing w:before="100" w:beforeAutospacing="1" w:after="100" w:afterAutospacing="1" w:line="240" w:lineRule="auto"/>
                    <w:suppressOverlap/>
                    <w:jc w:val="both"/>
                    <w:rPr>
                      <w:rFonts w:ascii="Times New Roman" w:eastAsia="Times New Roman" w:hAnsi="Times New Roman" w:cs="Times New Roman"/>
                      <w:kern w:val="0"/>
                      <w:sz w:val="18"/>
                      <w:szCs w:val="18"/>
                      <w:lang w:val="en-US"/>
                      <w14:ligatures w14:val="none"/>
                    </w:rPr>
                  </w:pPr>
                  <w:r w:rsidRPr="009E7EA6">
                    <w:rPr>
                      <w:rFonts w:ascii="Times New Roman" w:eastAsia="Times New Roman" w:hAnsi="Times New Roman" w:cs="Times New Roman"/>
                      <w:kern w:val="0"/>
                      <w:sz w:val="18"/>
                      <w:szCs w:val="18"/>
                      <w:lang w:val="en-US"/>
                      <w14:ligatures w14:val="none"/>
                    </w:rPr>
                    <w:t>(ii</w:t>
                  </w:r>
                </w:p>
              </w:tc>
              <w:tc>
                <w:tcPr>
                  <w:tcW w:w="9066" w:type="dxa"/>
                  <w:hideMark/>
                </w:tcPr>
                <w:p w14:paraId="1201D65C" w14:textId="5CA21FAC" w:rsidR="00526C4D" w:rsidRPr="009E7EA6" w:rsidRDefault="00526C4D" w:rsidP="009E7EA6">
                  <w:pPr>
                    <w:framePr w:hSpace="180" w:wrap="around" w:vAnchor="text" w:hAnchor="text" w:x="-1090" w:y="1"/>
                    <w:spacing w:before="100" w:beforeAutospacing="1" w:after="100" w:afterAutospacing="1" w:line="240" w:lineRule="auto"/>
                    <w:suppressOverlap/>
                    <w:jc w:val="both"/>
                    <w:rPr>
                      <w:rFonts w:ascii="Times New Roman" w:eastAsia="Times New Roman" w:hAnsi="Times New Roman" w:cs="Times New Roman"/>
                      <w:kern w:val="0"/>
                      <w:sz w:val="18"/>
                      <w:szCs w:val="18"/>
                      <w:lang w:val="en-US"/>
                      <w14:ligatures w14:val="none"/>
                    </w:rPr>
                  </w:pPr>
                  <w:r w:rsidRPr="009E7EA6">
                    <w:rPr>
                      <w:rFonts w:ascii="Times New Roman" w:eastAsia="Times New Roman" w:hAnsi="Times New Roman" w:cs="Times New Roman"/>
                      <w:kern w:val="0"/>
                      <w:sz w:val="18"/>
                      <w:szCs w:val="18"/>
                      <w:lang w:val="en-US"/>
                      <w14:ligatures w14:val="none"/>
                    </w:rPr>
                    <w:t>) point (c) is replaced by the following:</w:t>
                  </w:r>
                </w:p>
                <w:tbl>
                  <w:tblPr>
                    <w:tblW w:w="5000" w:type="pct"/>
                    <w:tblCellSpacing w:w="0" w:type="dxa"/>
                    <w:tblLayout w:type="fixed"/>
                    <w:tblCellMar>
                      <w:left w:w="0" w:type="dxa"/>
                      <w:right w:w="0" w:type="dxa"/>
                    </w:tblCellMar>
                    <w:tblLook w:val="04A0" w:firstRow="1" w:lastRow="0" w:firstColumn="1" w:lastColumn="0" w:noHBand="0" w:noVBand="1"/>
                  </w:tblPr>
                  <w:tblGrid>
                    <w:gridCol w:w="191"/>
                    <w:gridCol w:w="4569"/>
                  </w:tblGrid>
                  <w:tr w:rsidR="00526C4D" w:rsidRPr="009E7EA6" w14:paraId="7A6C767F" w14:textId="77777777">
                    <w:trPr>
                      <w:tblCellSpacing w:w="0" w:type="dxa"/>
                    </w:trPr>
                    <w:tc>
                      <w:tcPr>
                        <w:tcW w:w="347" w:type="dxa"/>
                        <w:hideMark/>
                      </w:tcPr>
                      <w:p w14:paraId="6B894AA1" w14:textId="2F5DDFA2" w:rsidR="00526C4D" w:rsidRPr="009E7EA6" w:rsidRDefault="00526C4D" w:rsidP="009E7EA6">
                        <w:pPr>
                          <w:framePr w:hSpace="180" w:wrap="around" w:vAnchor="text" w:hAnchor="text" w:x="-1090" w:y="1"/>
                          <w:spacing w:before="100" w:beforeAutospacing="1" w:after="100" w:afterAutospacing="1" w:line="240" w:lineRule="auto"/>
                          <w:suppressOverlap/>
                          <w:jc w:val="both"/>
                          <w:rPr>
                            <w:rFonts w:ascii="Times New Roman" w:eastAsia="Times New Roman" w:hAnsi="Times New Roman" w:cs="Times New Roman"/>
                            <w:kern w:val="0"/>
                            <w:sz w:val="18"/>
                            <w:szCs w:val="18"/>
                            <w:lang w:val="en-US"/>
                            <w14:ligatures w14:val="none"/>
                          </w:rPr>
                        </w:pPr>
                        <w:r w:rsidRPr="009E7EA6">
                          <w:rPr>
                            <w:rFonts w:ascii="Times New Roman" w:eastAsia="Times New Roman" w:hAnsi="Times New Roman" w:cs="Times New Roman"/>
                            <w:kern w:val="0"/>
                            <w:sz w:val="18"/>
                            <w:szCs w:val="18"/>
                            <w:lang w:val="en-US"/>
                            <w14:ligatures w14:val="none"/>
                          </w:rPr>
                          <w:t>‘(c</w:t>
                        </w:r>
                      </w:p>
                    </w:tc>
                    <w:tc>
                      <w:tcPr>
                        <w:tcW w:w="8719" w:type="dxa"/>
                        <w:hideMark/>
                      </w:tcPr>
                      <w:p w14:paraId="0D010012" w14:textId="77C16A0F" w:rsidR="00526C4D" w:rsidRPr="009E7EA6" w:rsidRDefault="00526C4D" w:rsidP="009E7EA6">
                        <w:pPr>
                          <w:framePr w:hSpace="180" w:wrap="around" w:vAnchor="text" w:hAnchor="text" w:x="-1090" w:y="1"/>
                          <w:spacing w:before="100" w:beforeAutospacing="1" w:after="100" w:afterAutospacing="1" w:line="240" w:lineRule="auto"/>
                          <w:suppressOverlap/>
                          <w:jc w:val="both"/>
                          <w:rPr>
                            <w:rFonts w:ascii="Times New Roman" w:eastAsia="Times New Roman" w:hAnsi="Times New Roman" w:cs="Times New Roman"/>
                            <w:kern w:val="0"/>
                            <w:sz w:val="18"/>
                            <w:szCs w:val="18"/>
                            <w:lang w:val="en-US"/>
                            <w14:ligatures w14:val="none"/>
                          </w:rPr>
                        </w:pPr>
                        <w:r w:rsidRPr="009E7EA6">
                          <w:rPr>
                            <w:rFonts w:ascii="Times New Roman" w:eastAsia="Times New Roman" w:hAnsi="Times New Roman" w:cs="Times New Roman"/>
                            <w:kern w:val="0"/>
                            <w:sz w:val="18"/>
                            <w:szCs w:val="18"/>
                            <w:lang w:val="en-US"/>
                            <w14:ligatures w14:val="none"/>
                          </w:rPr>
                          <w:t>) for the purposes of provisions of this Directive other than Articles 8(1) and 8(3a) and Articles 8a to 8ae, the systematic communication of predefined information provided for in the first subparagraph, points (a) and (b), of this point.’</w:t>
                        </w:r>
                      </w:p>
                    </w:tc>
                  </w:tr>
                </w:tbl>
                <w:p w14:paraId="2E0ADCAD" w14:textId="77777777" w:rsidR="00526C4D" w:rsidRPr="009E7EA6" w:rsidRDefault="00526C4D" w:rsidP="009E7EA6">
                  <w:pPr>
                    <w:framePr w:hSpace="180" w:wrap="around" w:vAnchor="text" w:hAnchor="text" w:x="-1090" w:y="1"/>
                    <w:spacing w:after="0" w:line="240" w:lineRule="auto"/>
                    <w:suppressOverlap/>
                    <w:jc w:val="both"/>
                    <w:rPr>
                      <w:rFonts w:ascii="Times New Roman" w:eastAsia="Times New Roman" w:hAnsi="Times New Roman" w:cs="Times New Roman"/>
                      <w:kern w:val="0"/>
                      <w:sz w:val="18"/>
                      <w:szCs w:val="18"/>
                      <w:lang w:val="en-US"/>
                      <w14:ligatures w14:val="none"/>
                    </w:rPr>
                  </w:pPr>
                </w:p>
              </w:tc>
            </w:tr>
          </w:tbl>
          <w:p w14:paraId="46625844" w14:textId="7B338088" w:rsidR="00526C4D" w:rsidRPr="009E7EA6" w:rsidRDefault="00526C4D" w:rsidP="009E7EA6">
            <w:pPr>
              <w:spacing w:before="100" w:beforeAutospacing="1" w:after="100" w:afterAutospacing="1"/>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b) the second subparagraph is replaced by the following:</w:t>
            </w:r>
          </w:p>
          <w:p w14:paraId="76C5555F" w14:textId="45E105C4" w:rsidR="00526C4D" w:rsidRPr="009E7EA6" w:rsidRDefault="00526C4D" w:rsidP="009E7EA6">
            <w:pPr>
              <w:spacing w:before="100" w:beforeAutospacing="1" w:after="100" w:afterAutospacing="1"/>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 xml:space="preserve">‘In the context of this Article, Articles 8(3a), 8(7a) and 21(2) of this Directive and Annex IV to this Directive, any capitalised term shall have the meaning that it has under the corresponding definitions set out in Annex I to this Directive. In the context of Article 21(5) and Article 25(3) and (4) of this Directive, any capitalised term shall have the meaning that it has under the corresponding definitions set out in Annex I, V or VI to this Directive. In the context of Article 8aa of this Directive and Annex III to this Directive, any capitalised term shall have the meaning that it has under the corresponding definitions set out in Annex III to this Directive. In the context of Article 8ac of this Directive and Annex V to this Directive, any capitalised term shall have the meaning that it has under the corresponding definitions set out in Annex V to this Directive. In the context of Article 8ad of this Directive and Annex VI to this Directive, any capitalised term </w:t>
            </w:r>
            <w:r w:rsidRPr="009E7EA6">
              <w:rPr>
                <w:rFonts w:ascii="Times New Roman" w:eastAsia="Times New Roman" w:hAnsi="Times New Roman" w:cs="Times New Roman"/>
                <w:sz w:val="18"/>
                <w:szCs w:val="18"/>
              </w:rPr>
              <w:lastRenderedPageBreak/>
              <w:t>shall have the meaning that it has under the corresponding definitions set out in Annex VI to this Directive. In the context of Articles 8ae and 9a of this Directive and Annex VII to this Directive, any term shall have the same meaning as defined in Article 3, Article 9(2), point (a), Article 16(4), (6), (8) and (11), Article 17(1), Article 21(5), Article 22(1), Article 24(4) and (6), Article 26(2), Article 27(3), (4), and (5), Article 28(1), Article 30(2), Article 31(1), Article 32, Article 33(1), Article 35(1), Article 36(1), Article 37(1), Article 39(1), Article 42(1), Article 44(1), Article 47(1) and Article 49(3) of Council Directive (EU) 2022/2523 (*1). Furthermore, any capitalised term shall have the same meaning as defined in Section I of Annex VII to this Directive.</w:t>
            </w:r>
          </w:p>
          <w:p w14:paraId="5A7D8909" w14:textId="77777777" w:rsidR="00526C4D" w:rsidRPr="009E7EA6" w:rsidRDefault="00526C4D" w:rsidP="009E7EA6">
            <w:pPr>
              <w:spacing w:before="100" w:beforeAutospacing="1" w:after="100" w:afterAutospacing="1"/>
              <w:jc w:val="both"/>
              <w:rPr>
                <w:rFonts w:ascii="Times New Roman" w:eastAsia="Times New Roman" w:hAnsi="Times New Roman" w:cs="Times New Roman"/>
                <w:sz w:val="18"/>
                <w:szCs w:val="18"/>
              </w:rPr>
            </w:pPr>
          </w:p>
          <w:p w14:paraId="0060CF3B" w14:textId="77777777" w:rsidR="00526C4D" w:rsidRPr="009E7EA6" w:rsidRDefault="00526C4D" w:rsidP="009E7EA6">
            <w:pPr>
              <w:spacing w:before="100" w:beforeAutospacing="1" w:after="100" w:afterAutospacing="1"/>
              <w:jc w:val="both"/>
              <w:rPr>
                <w:rFonts w:ascii="Times New Roman" w:eastAsia="Times New Roman" w:hAnsi="Times New Roman" w:cs="Times New Roman"/>
                <w:sz w:val="18"/>
                <w:szCs w:val="18"/>
              </w:rPr>
            </w:pPr>
          </w:p>
          <w:p w14:paraId="59EA0A1A" w14:textId="77777777" w:rsidR="00526C4D" w:rsidRPr="009E7EA6" w:rsidRDefault="00526C4D" w:rsidP="009E7EA6">
            <w:pPr>
              <w:spacing w:before="100" w:beforeAutospacing="1" w:after="100" w:afterAutospacing="1"/>
              <w:jc w:val="both"/>
              <w:rPr>
                <w:rFonts w:ascii="Times New Roman" w:eastAsia="Times New Roman" w:hAnsi="Times New Roman" w:cs="Times New Roman"/>
                <w:sz w:val="18"/>
                <w:szCs w:val="18"/>
              </w:rPr>
            </w:pPr>
          </w:p>
          <w:p w14:paraId="22239502" w14:textId="4A18373B" w:rsidR="00526C4D" w:rsidRPr="009E7EA6" w:rsidRDefault="00526C4D" w:rsidP="009E7EA6">
            <w:pPr>
              <w:jc w:val="both"/>
              <w:rPr>
                <w:rFonts w:ascii="Times New Roman" w:eastAsia="Calibri" w:hAnsi="Times New Roman" w:cs="Times New Roman"/>
                <w:iCs/>
                <w:sz w:val="18"/>
                <w:szCs w:val="18"/>
              </w:rPr>
            </w:pPr>
          </w:p>
          <w:p w14:paraId="1E0BB38B" w14:textId="41F39E8F" w:rsidR="00526C4D" w:rsidRPr="009E7EA6" w:rsidRDefault="00526C4D" w:rsidP="009E7EA6">
            <w:pPr>
              <w:jc w:val="both"/>
              <w:rPr>
                <w:rFonts w:ascii="Times New Roman" w:eastAsia="Calibri" w:hAnsi="Times New Roman" w:cs="Times New Roman"/>
                <w:iCs/>
                <w:sz w:val="18"/>
                <w:szCs w:val="18"/>
              </w:rPr>
            </w:pPr>
          </w:p>
          <w:p w14:paraId="075EF7ED" w14:textId="1B328152" w:rsidR="00526C4D" w:rsidRPr="009E7EA6" w:rsidRDefault="00526C4D" w:rsidP="009E7EA6">
            <w:pPr>
              <w:jc w:val="both"/>
              <w:rPr>
                <w:rFonts w:ascii="Times New Roman" w:eastAsia="Calibri" w:hAnsi="Times New Roman" w:cs="Times New Roman"/>
                <w:iCs/>
                <w:sz w:val="18"/>
                <w:szCs w:val="18"/>
              </w:rPr>
            </w:pPr>
          </w:p>
        </w:tc>
        <w:tc>
          <w:tcPr>
            <w:tcW w:w="1070" w:type="dxa"/>
          </w:tcPr>
          <w:p w14:paraId="6D951FCC" w14:textId="3D3CD675" w:rsidR="00526C4D" w:rsidRPr="009E7EA6" w:rsidRDefault="00526C4D" w:rsidP="009E7EA6">
            <w:pPr>
              <w:jc w:val="center"/>
              <w:rPr>
                <w:rFonts w:ascii="Times New Roman" w:eastAsia="Calibri" w:hAnsi="Times New Roman" w:cs="Times New Roman"/>
                <w:sz w:val="18"/>
                <w:szCs w:val="18"/>
              </w:rPr>
            </w:pPr>
          </w:p>
        </w:tc>
        <w:tc>
          <w:tcPr>
            <w:tcW w:w="720" w:type="dxa"/>
          </w:tcPr>
          <w:p w14:paraId="617FEE64" w14:textId="77777777" w:rsidR="00526C4D" w:rsidRPr="009E7EA6" w:rsidRDefault="00526C4D" w:rsidP="009E7EA6">
            <w:pPr>
              <w:jc w:val="center"/>
              <w:rPr>
                <w:rFonts w:ascii="Times New Roman" w:eastAsia="Calibri" w:hAnsi="Times New Roman" w:cs="Times New Roman"/>
                <w:sz w:val="18"/>
                <w:szCs w:val="18"/>
              </w:rPr>
            </w:pPr>
          </w:p>
          <w:p w14:paraId="03E95670" w14:textId="77777777" w:rsidR="00526C4D" w:rsidRPr="009E7EA6" w:rsidRDefault="00526C4D" w:rsidP="009E7EA6">
            <w:pPr>
              <w:jc w:val="center"/>
              <w:rPr>
                <w:rFonts w:ascii="Times New Roman" w:eastAsia="Calibri" w:hAnsi="Times New Roman" w:cs="Times New Roman"/>
                <w:sz w:val="18"/>
                <w:szCs w:val="18"/>
              </w:rPr>
            </w:pPr>
          </w:p>
          <w:p w14:paraId="29A5AD94" w14:textId="77777777" w:rsidR="00526C4D" w:rsidRPr="009E7EA6" w:rsidRDefault="00526C4D" w:rsidP="009E7EA6">
            <w:pPr>
              <w:jc w:val="center"/>
              <w:rPr>
                <w:rFonts w:ascii="Times New Roman" w:eastAsia="Calibri" w:hAnsi="Times New Roman" w:cs="Times New Roman"/>
                <w:sz w:val="18"/>
                <w:szCs w:val="18"/>
              </w:rPr>
            </w:pPr>
          </w:p>
          <w:p w14:paraId="5400C4A8" w14:textId="77777777" w:rsidR="00526C4D" w:rsidRPr="009E7EA6" w:rsidRDefault="00526C4D" w:rsidP="009E7EA6">
            <w:pPr>
              <w:jc w:val="center"/>
              <w:rPr>
                <w:rFonts w:ascii="Times New Roman" w:eastAsia="Calibri" w:hAnsi="Times New Roman" w:cs="Times New Roman"/>
                <w:sz w:val="18"/>
                <w:szCs w:val="18"/>
              </w:rPr>
            </w:pPr>
          </w:p>
          <w:p w14:paraId="7B749314" w14:textId="3C853C38" w:rsidR="00526C4D" w:rsidRPr="009E7EA6" w:rsidRDefault="00526C4D" w:rsidP="009E7EA6">
            <w:pPr>
              <w:rPr>
                <w:rFonts w:ascii="Times New Roman" w:eastAsia="Calibri" w:hAnsi="Times New Roman" w:cs="Times New Roman"/>
                <w:sz w:val="18"/>
                <w:szCs w:val="18"/>
              </w:rPr>
            </w:pPr>
            <w:r w:rsidRPr="009E7EA6">
              <w:rPr>
                <w:rFonts w:ascii="Times New Roman" w:eastAsia="Calibri" w:hAnsi="Times New Roman" w:cs="Times New Roman"/>
                <w:sz w:val="18"/>
                <w:szCs w:val="18"/>
              </w:rPr>
              <w:t>N/A</w:t>
            </w:r>
          </w:p>
        </w:tc>
        <w:tc>
          <w:tcPr>
            <w:tcW w:w="4344" w:type="dxa"/>
          </w:tcPr>
          <w:p w14:paraId="5E640C5B" w14:textId="77777777" w:rsidR="00526C4D" w:rsidRPr="009E7EA6" w:rsidRDefault="00526C4D" w:rsidP="009E7EA6">
            <w:pPr>
              <w:jc w:val="center"/>
              <w:rPr>
                <w:rFonts w:ascii="Times New Roman" w:eastAsia="Calibri" w:hAnsi="Times New Roman" w:cs="Times New Roman"/>
                <w:sz w:val="18"/>
                <w:szCs w:val="18"/>
              </w:rPr>
            </w:pPr>
          </w:p>
          <w:p w14:paraId="3F3ADAFF" w14:textId="77777777" w:rsidR="00526C4D" w:rsidRPr="009E7EA6" w:rsidRDefault="00526C4D" w:rsidP="009E7EA6">
            <w:pPr>
              <w:jc w:val="center"/>
              <w:rPr>
                <w:rFonts w:ascii="Times New Roman" w:eastAsia="Calibri" w:hAnsi="Times New Roman" w:cs="Times New Roman"/>
                <w:sz w:val="18"/>
                <w:szCs w:val="18"/>
              </w:rPr>
            </w:pPr>
          </w:p>
          <w:p w14:paraId="4FF03D9B" w14:textId="77777777" w:rsidR="00526C4D" w:rsidRPr="009E7EA6" w:rsidRDefault="00526C4D" w:rsidP="009E7EA6">
            <w:pPr>
              <w:jc w:val="center"/>
              <w:rPr>
                <w:rFonts w:ascii="Times New Roman" w:eastAsia="Calibri" w:hAnsi="Times New Roman" w:cs="Times New Roman"/>
                <w:sz w:val="18"/>
                <w:szCs w:val="18"/>
              </w:rPr>
            </w:pPr>
          </w:p>
          <w:p w14:paraId="4E783C66" w14:textId="77777777" w:rsidR="00526C4D" w:rsidRPr="009E7EA6" w:rsidRDefault="00526C4D" w:rsidP="009E7EA6">
            <w:pPr>
              <w:jc w:val="center"/>
              <w:rPr>
                <w:rFonts w:ascii="Times New Roman" w:eastAsia="Calibri" w:hAnsi="Times New Roman" w:cs="Times New Roman"/>
                <w:sz w:val="18"/>
                <w:szCs w:val="18"/>
              </w:rPr>
            </w:pPr>
          </w:p>
          <w:p w14:paraId="7D2CEC06" w14:textId="75B1EDC4" w:rsidR="00526C4D" w:rsidRPr="009E7EA6" w:rsidRDefault="00526C4D"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N/A</w:t>
            </w:r>
          </w:p>
        </w:tc>
        <w:tc>
          <w:tcPr>
            <w:tcW w:w="1156" w:type="dxa"/>
          </w:tcPr>
          <w:p w14:paraId="6060B9E6" w14:textId="77777777" w:rsidR="00526C4D" w:rsidRPr="009E7EA6" w:rsidRDefault="00526C4D" w:rsidP="009E7EA6">
            <w:pPr>
              <w:jc w:val="center"/>
              <w:rPr>
                <w:rFonts w:ascii="Times New Roman" w:eastAsia="Calibri" w:hAnsi="Times New Roman" w:cs="Times New Roman"/>
                <w:sz w:val="18"/>
                <w:szCs w:val="18"/>
              </w:rPr>
            </w:pPr>
          </w:p>
          <w:p w14:paraId="20A9F665" w14:textId="77777777" w:rsidR="00526C4D" w:rsidRPr="009E7EA6" w:rsidRDefault="00526C4D" w:rsidP="009E7EA6">
            <w:pPr>
              <w:jc w:val="center"/>
              <w:rPr>
                <w:rFonts w:ascii="Times New Roman" w:eastAsia="Calibri" w:hAnsi="Times New Roman" w:cs="Times New Roman"/>
                <w:sz w:val="18"/>
                <w:szCs w:val="18"/>
              </w:rPr>
            </w:pPr>
          </w:p>
          <w:p w14:paraId="42B60841" w14:textId="77777777" w:rsidR="00526C4D" w:rsidRPr="009E7EA6" w:rsidRDefault="00526C4D" w:rsidP="009E7EA6">
            <w:pPr>
              <w:jc w:val="center"/>
              <w:rPr>
                <w:rFonts w:ascii="Times New Roman" w:eastAsia="Calibri" w:hAnsi="Times New Roman" w:cs="Times New Roman"/>
                <w:sz w:val="18"/>
                <w:szCs w:val="18"/>
              </w:rPr>
            </w:pPr>
          </w:p>
          <w:p w14:paraId="0AC2091C" w14:textId="77777777" w:rsidR="00526C4D" w:rsidRPr="009E7EA6" w:rsidRDefault="00526C4D" w:rsidP="009E7EA6">
            <w:pPr>
              <w:jc w:val="center"/>
              <w:rPr>
                <w:rFonts w:ascii="Times New Roman" w:eastAsia="Calibri" w:hAnsi="Times New Roman" w:cs="Times New Roman"/>
                <w:sz w:val="18"/>
                <w:szCs w:val="18"/>
              </w:rPr>
            </w:pPr>
          </w:p>
          <w:p w14:paraId="3F6791D3" w14:textId="02A5C7EA" w:rsidR="00526C4D" w:rsidRPr="009E7EA6" w:rsidRDefault="00526C4D" w:rsidP="009E7EA6">
            <w:pPr>
              <w:rPr>
                <w:rFonts w:ascii="Times New Roman" w:eastAsia="Calibri" w:hAnsi="Times New Roman" w:cs="Times New Roman"/>
                <w:sz w:val="18"/>
                <w:szCs w:val="18"/>
              </w:rPr>
            </w:pPr>
          </w:p>
        </w:tc>
        <w:tc>
          <w:tcPr>
            <w:tcW w:w="2960" w:type="dxa"/>
          </w:tcPr>
          <w:p w14:paraId="03521802" w14:textId="0BFD3F3F" w:rsidR="00526C4D" w:rsidRPr="009E7EA6" w:rsidRDefault="00FB1120" w:rsidP="009E7EA6">
            <w:pPr>
              <w:rPr>
                <w:rFonts w:ascii="Times New Roman" w:eastAsia="Calibri" w:hAnsi="Times New Roman" w:cs="Times New Roman"/>
                <w:sz w:val="18"/>
                <w:szCs w:val="18"/>
              </w:rPr>
            </w:pPr>
            <w:r w:rsidRPr="009E7EA6">
              <w:rPr>
                <w:rFonts w:ascii="Times New Roman" w:eastAsia="Calibri" w:hAnsi="Times New Roman" w:cs="Times New Roman"/>
                <w:sz w:val="18"/>
                <w:szCs w:val="18"/>
              </w:rPr>
              <w:t xml:space="preserve">This provision is related to the definition of automatic exchange of information under Council Directive 2011/16/EU. It does not require direct transposition into national legislation. Its implementation is ensured in a functional manner through the provisions governing the automatic </w:t>
            </w:r>
            <w:r w:rsidRPr="009E7EA6">
              <w:rPr>
                <w:rFonts w:ascii="Times New Roman" w:eastAsia="Calibri" w:hAnsi="Times New Roman" w:cs="Times New Roman"/>
                <w:sz w:val="18"/>
                <w:szCs w:val="18"/>
              </w:rPr>
              <w:lastRenderedPageBreak/>
              <w:t>exchange of the Top-up Tax Information Return (TTIR), in particular the relevant articles of this Law concerning the automatic exchange of information.</w:t>
            </w:r>
          </w:p>
        </w:tc>
      </w:tr>
      <w:tr w:rsidR="00526C4D" w:rsidRPr="009E7EA6" w14:paraId="6F796DB6" w14:textId="77777777" w:rsidTr="009E7EA6">
        <w:trPr>
          <w:trHeight w:val="278"/>
        </w:trPr>
        <w:tc>
          <w:tcPr>
            <w:tcW w:w="805" w:type="dxa"/>
            <w:shd w:val="clear" w:color="auto" w:fill="F2F2F2"/>
          </w:tcPr>
          <w:p w14:paraId="78A89E6F" w14:textId="77777777" w:rsidR="00526C4D" w:rsidRPr="009E7EA6" w:rsidRDefault="00526C4D" w:rsidP="009E7EA6">
            <w:pPr>
              <w:jc w:val="center"/>
              <w:rPr>
                <w:rFonts w:ascii="Times New Roman" w:eastAsia="Calibri" w:hAnsi="Times New Roman" w:cs="Times New Roman"/>
                <w:i/>
                <w:sz w:val="18"/>
                <w:szCs w:val="18"/>
              </w:rPr>
            </w:pPr>
          </w:p>
        </w:tc>
        <w:tc>
          <w:tcPr>
            <w:tcW w:w="5140" w:type="dxa"/>
            <w:shd w:val="clear" w:color="auto" w:fill="F2F2F2"/>
          </w:tcPr>
          <w:p w14:paraId="7F7DAD97" w14:textId="77777777" w:rsidR="00526C4D" w:rsidRPr="009E7EA6" w:rsidRDefault="00526C4D" w:rsidP="009E7EA6">
            <w:pPr>
              <w:jc w:val="both"/>
              <w:rPr>
                <w:rFonts w:ascii="Times New Roman" w:hAnsi="Times New Roman" w:cs="Times New Roman"/>
                <w:sz w:val="18"/>
                <w:szCs w:val="18"/>
              </w:rPr>
            </w:pPr>
          </w:p>
          <w:p w14:paraId="49315876" w14:textId="77777777"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ab/>
            </w:r>
          </w:p>
          <w:p w14:paraId="1785150C" w14:textId="0A351104"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(2) Article 8(3a) is replaced by the following:</w:t>
            </w:r>
          </w:p>
          <w:p w14:paraId="67852EEB" w14:textId="77777777" w:rsidR="00526C4D" w:rsidRPr="009E7EA6" w:rsidRDefault="00526C4D" w:rsidP="009E7EA6">
            <w:pPr>
              <w:jc w:val="both"/>
              <w:rPr>
                <w:rFonts w:ascii="Times New Roman" w:eastAsia="Times New Roman" w:hAnsi="Times New Roman" w:cs="Times New Roman"/>
                <w:sz w:val="18"/>
                <w:szCs w:val="18"/>
              </w:rPr>
            </w:pPr>
          </w:p>
          <w:p w14:paraId="7B65EB19" w14:textId="77777777"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‘3a.   Each Member State shall take the necessary measures to require its Reporting Financial Institutions to perform the reporting and due diligence rules included in Annexes I and II and to ensure effective implementation of, and compliance with, such rules in accordance with Section IX of Annex I.</w:t>
            </w:r>
          </w:p>
          <w:p w14:paraId="0FF91658" w14:textId="77777777" w:rsidR="00526C4D" w:rsidRPr="009E7EA6" w:rsidRDefault="00526C4D" w:rsidP="009E7EA6">
            <w:pPr>
              <w:jc w:val="both"/>
              <w:rPr>
                <w:rFonts w:ascii="Times New Roman" w:eastAsia="Times New Roman" w:hAnsi="Times New Roman" w:cs="Times New Roman"/>
                <w:sz w:val="18"/>
                <w:szCs w:val="18"/>
              </w:rPr>
            </w:pPr>
          </w:p>
          <w:p w14:paraId="61DAF5F9" w14:textId="77777777"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Pursuant to the applicable reporting and due diligence rules contained in Annexes I and II, the competent authority of each Member State shall, by automatic exchange, communicate within the deadline laid down in point (b) of paragraph 6 to the competent authority of any other Member State, the following information regarding taxable periods as from 1 January 2016 concerning a Reportable Account:</w:t>
            </w:r>
          </w:p>
          <w:p w14:paraId="281B40A7" w14:textId="77777777" w:rsidR="00526C4D" w:rsidRPr="009E7EA6" w:rsidRDefault="00526C4D" w:rsidP="009E7EA6">
            <w:pPr>
              <w:jc w:val="both"/>
              <w:rPr>
                <w:rFonts w:ascii="Times New Roman" w:eastAsia="Times New Roman" w:hAnsi="Times New Roman" w:cs="Times New Roman"/>
                <w:sz w:val="18"/>
                <w:szCs w:val="18"/>
              </w:rPr>
            </w:pPr>
          </w:p>
          <w:p w14:paraId="5D7DFFFB" w14:textId="37284E19"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lastRenderedPageBreak/>
              <w:t>(a) the name, address, TIN(s) and date and place of birth (in the case of an individual) of each Reportable Person that is an Account Holder of the account and, in the case of any Entity that is an Account Holder and that, after application of due diligence rules consistent with the Annexes I and II, is identified as having one or more Controlling Persons that are Reportable Persons, the name, address, and TIN(s) of the Entity and the name, address, TIN(s) and date and place of birth of each Reportable Person;</w:t>
            </w:r>
          </w:p>
          <w:p w14:paraId="45D23692" w14:textId="77777777" w:rsidR="00526C4D" w:rsidRPr="009E7EA6" w:rsidRDefault="00526C4D" w:rsidP="009E7EA6">
            <w:pPr>
              <w:jc w:val="both"/>
              <w:rPr>
                <w:rFonts w:ascii="Times New Roman" w:eastAsia="Times New Roman" w:hAnsi="Times New Roman" w:cs="Times New Roman"/>
                <w:sz w:val="18"/>
                <w:szCs w:val="18"/>
              </w:rPr>
            </w:pPr>
          </w:p>
          <w:p w14:paraId="5A747F42" w14:textId="43DE74C2"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(b)the account number (or functional equivalent in the absence of an account number);</w:t>
            </w:r>
          </w:p>
          <w:p w14:paraId="4242E7DC" w14:textId="77777777" w:rsidR="00526C4D" w:rsidRPr="009E7EA6" w:rsidRDefault="00526C4D" w:rsidP="009E7EA6">
            <w:pPr>
              <w:jc w:val="both"/>
              <w:rPr>
                <w:rFonts w:ascii="Times New Roman" w:eastAsia="Times New Roman" w:hAnsi="Times New Roman" w:cs="Times New Roman"/>
                <w:sz w:val="18"/>
                <w:szCs w:val="18"/>
              </w:rPr>
            </w:pPr>
          </w:p>
          <w:p w14:paraId="2B110504" w14:textId="27550573"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(c)the name and identifying number (if any) of the Reporting Financial Institution;</w:t>
            </w:r>
          </w:p>
          <w:p w14:paraId="46FA23B3" w14:textId="77777777" w:rsidR="00526C4D" w:rsidRPr="009E7EA6" w:rsidRDefault="00526C4D" w:rsidP="009E7EA6">
            <w:pPr>
              <w:jc w:val="both"/>
              <w:rPr>
                <w:rFonts w:ascii="Times New Roman" w:eastAsia="Times New Roman" w:hAnsi="Times New Roman" w:cs="Times New Roman"/>
                <w:sz w:val="18"/>
                <w:szCs w:val="18"/>
              </w:rPr>
            </w:pPr>
          </w:p>
          <w:p w14:paraId="37B2476A" w14:textId="477403CC"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(d)the account balance or value (including, in the case of a Cash Value Insurance Contract or Annuity Contract, the Cash Value or surrender value) as of the end of the relevant calendar year or other appropriate reporting period or, if the account was closed during such year or period, the closure of the account;</w:t>
            </w:r>
          </w:p>
          <w:p w14:paraId="4D6A9223" w14:textId="77777777" w:rsidR="00526C4D" w:rsidRPr="009E7EA6" w:rsidRDefault="00526C4D" w:rsidP="009E7EA6">
            <w:pPr>
              <w:jc w:val="both"/>
              <w:rPr>
                <w:rFonts w:ascii="Times New Roman" w:eastAsia="Times New Roman" w:hAnsi="Times New Roman" w:cs="Times New Roman"/>
                <w:sz w:val="18"/>
                <w:szCs w:val="18"/>
              </w:rPr>
            </w:pPr>
          </w:p>
          <w:p w14:paraId="5ADAC27E" w14:textId="6D83F200"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(e)in the case of any Custodial Account:</w:t>
            </w:r>
          </w:p>
          <w:p w14:paraId="156440EE" w14:textId="77777777" w:rsidR="00526C4D" w:rsidRPr="009E7EA6" w:rsidRDefault="00526C4D" w:rsidP="009E7EA6">
            <w:pPr>
              <w:jc w:val="both"/>
              <w:rPr>
                <w:rFonts w:ascii="Times New Roman" w:eastAsia="Times New Roman" w:hAnsi="Times New Roman" w:cs="Times New Roman"/>
                <w:sz w:val="18"/>
                <w:szCs w:val="18"/>
              </w:rPr>
            </w:pPr>
          </w:p>
          <w:p w14:paraId="0BB54798" w14:textId="1682BC93"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(i) the total gross amount of interest, the total gross amount of dividends, and the total gross amount of other income generated with respect to the assets held in the account, in each case paid or credited to the account (or with respect to the account) during the calendar year or other appropriate reporting period; and</w:t>
            </w:r>
          </w:p>
          <w:p w14:paraId="44885A3A" w14:textId="77777777" w:rsidR="00526C4D" w:rsidRPr="009E7EA6" w:rsidRDefault="00526C4D" w:rsidP="009E7EA6">
            <w:pPr>
              <w:jc w:val="both"/>
              <w:rPr>
                <w:rFonts w:ascii="Times New Roman" w:eastAsia="Times New Roman" w:hAnsi="Times New Roman" w:cs="Times New Roman"/>
                <w:sz w:val="18"/>
                <w:szCs w:val="18"/>
              </w:rPr>
            </w:pPr>
          </w:p>
          <w:p w14:paraId="3F065620" w14:textId="63001DC3"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(ii) the total gross proceeds from the sale or redemption of Financial Assets paid or credited to the account during the calendar year or other appropriate reporting period with respect to which the Reporting Financial Institution acted as a custodian, broker, nominee, or otherwise as an agent for the Account Holder;</w:t>
            </w:r>
          </w:p>
          <w:p w14:paraId="7122CF3B" w14:textId="77777777" w:rsidR="00526C4D" w:rsidRPr="009E7EA6" w:rsidRDefault="00526C4D" w:rsidP="009E7EA6">
            <w:pPr>
              <w:jc w:val="both"/>
              <w:rPr>
                <w:rFonts w:ascii="Times New Roman" w:eastAsia="Times New Roman" w:hAnsi="Times New Roman" w:cs="Times New Roman"/>
                <w:sz w:val="18"/>
                <w:szCs w:val="18"/>
              </w:rPr>
            </w:pPr>
          </w:p>
          <w:p w14:paraId="5C11BE38" w14:textId="4F1E61F2"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(f)in the case of any Depository Account, the total gross amount of interest paid or credited to the account during the calendar year or other appropriate reporting period;</w:t>
            </w:r>
          </w:p>
          <w:p w14:paraId="2FBB5D6F" w14:textId="77777777" w:rsidR="00526C4D" w:rsidRPr="009E7EA6" w:rsidRDefault="00526C4D" w:rsidP="009E7EA6">
            <w:pPr>
              <w:jc w:val="both"/>
              <w:rPr>
                <w:rFonts w:ascii="Times New Roman" w:eastAsia="Times New Roman" w:hAnsi="Times New Roman" w:cs="Times New Roman"/>
                <w:sz w:val="18"/>
                <w:szCs w:val="18"/>
              </w:rPr>
            </w:pPr>
          </w:p>
          <w:p w14:paraId="2FC1656C" w14:textId="32B5A644"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 xml:space="preserve">(g)in the case of any account not described in point (e) or point (f), the total gross amount paid or credited to the Account Holder with </w:t>
            </w:r>
            <w:r w:rsidRPr="009E7EA6">
              <w:rPr>
                <w:rFonts w:ascii="Times New Roman" w:eastAsia="Times New Roman" w:hAnsi="Times New Roman" w:cs="Times New Roman"/>
                <w:sz w:val="18"/>
                <w:szCs w:val="18"/>
              </w:rPr>
              <w:lastRenderedPageBreak/>
              <w:t>respect to the account during the calendar year or other appropriate reporting period with respect to which the Reporting Financial Institution is the obligor or debtor, including the aggregate amount of any redemption payments made to the Account Holder during the calendar year or other appropriate reporting period;</w:t>
            </w:r>
          </w:p>
          <w:p w14:paraId="295CABFD" w14:textId="77777777" w:rsidR="00526C4D" w:rsidRPr="009E7EA6" w:rsidRDefault="00526C4D" w:rsidP="009E7EA6">
            <w:pPr>
              <w:jc w:val="both"/>
              <w:rPr>
                <w:rFonts w:ascii="Times New Roman" w:eastAsia="Times New Roman" w:hAnsi="Times New Roman" w:cs="Times New Roman"/>
                <w:sz w:val="18"/>
                <w:szCs w:val="18"/>
              </w:rPr>
            </w:pPr>
          </w:p>
          <w:p w14:paraId="69A7B3D6" w14:textId="0D31F92B"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(h)whether a valid self-certification has been provided for each Account Holder;</w:t>
            </w:r>
          </w:p>
          <w:p w14:paraId="61AB0A42" w14:textId="77777777" w:rsidR="00526C4D" w:rsidRPr="009E7EA6" w:rsidRDefault="00526C4D" w:rsidP="009E7EA6">
            <w:pPr>
              <w:jc w:val="both"/>
              <w:rPr>
                <w:rFonts w:ascii="Times New Roman" w:eastAsia="Times New Roman" w:hAnsi="Times New Roman" w:cs="Times New Roman"/>
                <w:sz w:val="18"/>
                <w:szCs w:val="18"/>
              </w:rPr>
            </w:pPr>
          </w:p>
          <w:p w14:paraId="682B05D0" w14:textId="5C58133E"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(i)the role(s) by virtue of which each Reportable Person that is a Controlling Person of an Entity Account Holder is a Controlling Person of the Entity and whether a valid self-certification has been provided for each such Reportable Person;</w:t>
            </w:r>
          </w:p>
          <w:p w14:paraId="558AF545" w14:textId="77777777" w:rsidR="00526C4D" w:rsidRPr="009E7EA6" w:rsidRDefault="00526C4D" w:rsidP="009E7EA6">
            <w:pPr>
              <w:jc w:val="both"/>
              <w:rPr>
                <w:rFonts w:ascii="Times New Roman" w:eastAsia="Times New Roman" w:hAnsi="Times New Roman" w:cs="Times New Roman"/>
                <w:sz w:val="18"/>
                <w:szCs w:val="18"/>
              </w:rPr>
            </w:pPr>
          </w:p>
          <w:p w14:paraId="262B65D1" w14:textId="09389F87"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(j)the type of account, whether the account is a Pre-existing Account or a New Account and whether the account is a joint account, including the number of joint Account Holders; and</w:t>
            </w:r>
          </w:p>
          <w:p w14:paraId="69EDC3D0" w14:textId="77777777" w:rsidR="00526C4D" w:rsidRPr="009E7EA6" w:rsidRDefault="00526C4D" w:rsidP="009E7EA6">
            <w:pPr>
              <w:jc w:val="both"/>
              <w:rPr>
                <w:rFonts w:ascii="Times New Roman" w:eastAsia="Times New Roman" w:hAnsi="Times New Roman" w:cs="Times New Roman"/>
                <w:sz w:val="18"/>
                <w:szCs w:val="18"/>
              </w:rPr>
            </w:pPr>
          </w:p>
          <w:p w14:paraId="31FE8D9B" w14:textId="6C321846"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(k)in the case of any Equity Interest held in an Investment Entity that is a legal arrangement, the role(s) by virtue of which the Reportable Person is an Equity Interest holder.</w:t>
            </w:r>
          </w:p>
          <w:p w14:paraId="2758A772" w14:textId="0F1C82A7" w:rsidR="00526C4D" w:rsidRPr="009E7EA6" w:rsidRDefault="00526C4D" w:rsidP="009E7EA6">
            <w:pPr>
              <w:jc w:val="both"/>
              <w:rPr>
                <w:rFonts w:ascii="Times New Roman" w:eastAsia="Times New Roman" w:hAnsi="Times New Roman" w:cs="Times New Roman"/>
                <w:sz w:val="18"/>
                <w:szCs w:val="18"/>
              </w:rPr>
            </w:pPr>
          </w:p>
          <w:p w14:paraId="53CD0A06" w14:textId="5DD7299F"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For the purposes of the exchange of information under this paragraph, unless otherwise provided for in this paragraph or in Annex I or II, the amount and characterisation of payments made with respect to a Reportable Account shall be determined in accordance with the national legislation of the Member State which communicates the information.</w:t>
            </w:r>
          </w:p>
          <w:p w14:paraId="1AEB5700" w14:textId="5175639B" w:rsidR="00526C4D" w:rsidRPr="009E7EA6" w:rsidRDefault="00526C4D" w:rsidP="009E7EA6">
            <w:pPr>
              <w:jc w:val="both"/>
              <w:rPr>
                <w:rFonts w:ascii="Times New Roman" w:eastAsia="Times New Roman" w:hAnsi="Times New Roman" w:cs="Times New Roman"/>
                <w:sz w:val="18"/>
                <w:szCs w:val="18"/>
              </w:rPr>
            </w:pPr>
          </w:p>
          <w:p w14:paraId="1F7B0B86" w14:textId="4E75E1D4" w:rsidR="00526C4D" w:rsidRPr="009E7EA6" w:rsidRDefault="00526C4D" w:rsidP="009E7EA6">
            <w:pPr>
              <w:jc w:val="both"/>
              <w:rPr>
                <w:rFonts w:ascii="Times New Roman" w:eastAsia="Times New Roman" w:hAnsi="Times New Roman" w:cs="Times New Roman"/>
                <w:sz w:val="18"/>
                <w:szCs w:val="18"/>
              </w:rPr>
            </w:pPr>
          </w:p>
          <w:p w14:paraId="1B656D2A" w14:textId="20C90CB4" w:rsidR="00526C4D" w:rsidRPr="009E7EA6" w:rsidRDefault="00526C4D" w:rsidP="009E7EA6">
            <w:pPr>
              <w:jc w:val="both"/>
              <w:rPr>
                <w:rFonts w:ascii="Times New Roman" w:eastAsia="Times New Roman" w:hAnsi="Times New Roman" w:cs="Times New Roman"/>
                <w:sz w:val="18"/>
                <w:szCs w:val="18"/>
              </w:rPr>
            </w:pPr>
            <w:r w:rsidRPr="009E7EA6">
              <w:rPr>
                <w:rFonts w:ascii="Times New Roman" w:hAnsi="Times New Roman" w:cs="Times New Roman"/>
                <w:sz w:val="18"/>
                <w:szCs w:val="18"/>
              </w:rPr>
              <w:t>The first and second subparagraphs of this paragraph shall prevail over point (c) of paragraph 1 or any other Union legal instrument, to the extent that the exchange of information at issue would fall within the scope of point (c) of paragraph 1 or of any other Union legal instrument.</w:t>
            </w:r>
          </w:p>
          <w:p w14:paraId="7E28E790" w14:textId="02487DB8" w:rsidR="00526C4D" w:rsidRPr="009E7EA6" w:rsidRDefault="00526C4D" w:rsidP="009E7EA6">
            <w:pPr>
              <w:jc w:val="both"/>
              <w:rPr>
                <w:rFonts w:ascii="Times New Roman" w:eastAsia="Times New Roman" w:hAnsi="Times New Roman" w:cs="Times New Roman"/>
                <w:sz w:val="18"/>
                <w:szCs w:val="18"/>
              </w:rPr>
            </w:pPr>
          </w:p>
          <w:p w14:paraId="320BBFCE" w14:textId="07CA1204" w:rsidR="00526C4D" w:rsidRPr="009E7EA6" w:rsidRDefault="00526C4D" w:rsidP="009E7EA6">
            <w:pPr>
              <w:jc w:val="both"/>
              <w:rPr>
                <w:rFonts w:ascii="Times New Roman" w:eastAsia="Times New Roman" w:hAnsi="Times New Roman" w:cs="Times New Roman"/>
                <w:sz w:val="18"/>
                <w:szCs w:val="18"/>
              </w:rPr>
            </w:pPr>
          </w:p>
          <w:p w14:paraId="5E0B34EB" w14:textId="77777777"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The competent authority of each Member State shall communicate the information referred to in points (h) to (k) of the second subparagraph regarding taxable periods as from 1 January 2026.’</w:t>
            </w:r>
          </w:p>
          <w:p w14:paraId="1664B7E2" w14:textId="454A2051" w:rsidR="00526C4D" w:rsidRPr="009E7EA6" w:rsidRDefault="00526C4D" w:rsidP="009E7EA6">
            <w:pPr>
              <w:jc w:val="both"/>
              <w:rPr>
                <w:rFonts w:ascii="Times New Roman" w:eastAsia="Times New Roman" w:hAnsi="Times New Roman" w:cs="Times New Roman"/>
                <w:sz w:val="18"/>
                <w:szCs w:val="18"/>
              </w:rPr>
            </w:pPr>
            <w:r w:rsidRPr="009E7EA6">
              <w:rPr>
                <w:rFonts w:ascii="Times New Roman" w:eastAsia="Times New Roman" w:hAnsi="Times New Roman" w:cs="Times New Roman"/>
                <w:sz w:val="18"/>
                <w:szCs w:val="18"/>
              </w:rPr>
              <w:t>;</w:t>
            </w:r>
          </w:p>
          <w:p w14:paraId="77D30394" w14:textId="053097A9" w:rsidR="00526C4D" w:rsidRPr="009E7EA6" w:rsidRDefault="00526C4D" w:rsidP="009E7EA6">
            <w:pPr>
              <w:rPr>
                <w:rFonts w:ascii="Times New Roman" w:hAnsi="Times New Roman" w:cs="Times New Roman"/>
                <w:sz w:val="18"/>
                <w:szCs w:val="18"/>
              </w:rPr>
            </w:pPr>
          </w:p>
        </w:tc>
        <w:tc>
          <w:tcPr>
            <w:tcW w:w="1070" w:type="dxa"/>
          </w:tcPr>
          <w:p w14:paraId="753D3D53" w14:textId="77777777" w:rsidR="00526C4D" w:rsidRPr="009E7EA6" w:rsidRDefault="00526C4D" w:rsidP="009E7EA6">
            <w:pPr>
              <w:jc w:val="center"/>
              <w:rPr>
                <w:rFonts w:ascii="Times New Roman" w:eastAsia="Calibri" w:hAnsi="Times New Roman" w:cs="Times New Roman"/>
                <w:i/>
                <w:sz w:val="18"/>
                <w:szCs w:val="18"/>
              </w:rPr>
            </w:pPr>
          </w:p>
        </w:tc>
        <w:tc>
          <w:tcPr>
            <w:tcW w:w="720" w:type="dxa"/>
            <w:shd w:val="clear" w:color="auto" w:fill="F2F2F2"/>
          </w:tcPr>
          <w:p w14:paraId="45FB7ACE" w14:textId="77777777" w:rsidR="00526C4D" w:rsidRPr="009E7EA6" w:rsidRDefault="00526C4D" w:rsidP="009E7EA6">
            <w:pPr>
              <w:jc w:val="center"/>
              <w:rPr>
                <w:rFonts w:ascii="Times New Roman" w:eastAsia="Calibri" w:hAnsi="Times New Roman" w:cs="Times New Roman"/>
                <w:sz w:val="18"/>
                <w:szCs w:val="18"/>
              </w:rPr>
            </w:pPr>
          </w:p>
          <w:p w14:paraId="5BA2FB63" w14:textId="77777777" w:rsidR="00526C4D" w:rsidRPr="009E7EA6" w:rsidRDefault="00526C4D" w:rsidP="009E7EA6">
            <w:pPr>
              <w:jc w:val="center"/>
              <w:rPr>
                <w:rFonts w:ascii="Times New Roman" w:eastAsia="Calibri" w:hAnsi="Times New Roman" w:cs="Times New Roman"/>
                <w:sz w:val="18"/>
                <w:szCs w:val="18"/>
              </w:rPr>
            </w:pPr>
          </w:p>
          <w:p w14:paraId="1692FAE8" w14:textId="77777777" w:rsidR="00526C4D" w:rsidRPr="009E7EA6" w:rsidRDefault="00526C4D" w:rsidP="009E7EA6">
            <w:pPr>
              <w:jc w:val="center"/>
              <w:rPr>
                <w:rFonts w:ascii="Times New Roman" w:eastAsia="Calibri" w:hAnsi="Times New Roman" w:cs="Times New Roman"/>
                <w:sz w:val="18"/>
                <w:szCs w:val="18"/>
              </w:rPr>
            </w:pPr>
          </w:p>
          <w:p w14:paraId="49667D08" w14:textId="1FB04603" w:rsidR="00526C4D" w:rsidRPr="009E7EA6" w:rsidRDefault="00526C4D"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N/A</w:t>
            </w:r>
          </w:p>
        </w:tc>
        <w:tc>
          <w:tcPr>
            <w:tcW w:w="4344" w:type="dxa"/>
            <w:shd w:val="clear" w:color="auto" w:fill="F2F2F2"/>
          </w:tcPr>
          <w:p w14:paraId="487AAF9D" w14:textId="77777777" w:rsidR="00526C4D" w:rsidRPr="009E7EA6" w:rsidRDefault="00526C4D" w:rsidP="009E7EA6">
            <w:pPr>
              <w:jc w:val="both"/>
              <w:rPr>
                <w:rFonts w:ascii="Times New Roman" w:hAnsi="Times New Roman" w:cs="Times New Roman"/>
                <w:sz w:val="18"/>
                <w:szCs w:val="18"/>
              </w:rPr>
            </w:pPr>
          </w:p>
          <w:p w14:paraId="25B001AA" w14:textId="77777777" w:rsidR="00526C4D" w:rsidRPr="009E7EA6" w:rsidRDefault="00526C4D" w:rsidP="009E7EA6">
            <w:pPr>
              <w:jc w:val="both"/>
              <w:rPr>
                <w:rFonts w:ascii="Times New Roman" w:hAnsi="Times New Roman" w:cs="Times New Roman"/>
                <w:sz w:val="18"/>
                <w:szCs w:val="18"/>
              </w:rPr>
            </w:pPr>
          </w:p>
          <w:p w14:paraId="7BD77AB0" w14:textId="6C3C9240" w:rsidR="00526C4D" w:rsidRPr="009E7EA6" w:rsidRDefault="00526C4D" w:rsidP="009E7EA6">
            <w:pPr>
              <w:spacing w:before="100" w:beforeAutospacing="1" w:after="100" w:afterAutospacing="1"/>
              <w:jc w:val="center"/>
              <w:rPr>
                <w:rFonts w:ascii="Times New Roman" w:hAnsi="Times New Roman" w:cs="Times New Roman"/>
                <w:sz w:val="18"/>
                <w:szCs w:val="18"/>
              </w:rPr>
            </w:pPr>
            <w:r w:rsidRPr="009E7EA6">
              <w:rPr>
                <w:rFonts w:ascii="Times New Roman" w:hAnsi="Times New Roman" w:cs="Times New Roman"/>
                <w:sz w:val="18"/>
                <w:szCs w:val="18"/>
              </w:rPr>
              <w:t>N/A</w:t>
            </w:r>
          </w:p>
        </w:tc>
        <w:tc>
          <w:tcPr>
            <w:tcW w:w="1156" w:type="dxa"/>
            <w:shd w:val="clear" w:color="auto" w:fill="F2F2F2"/>
          </w:tcPr>
          <w:p w14:paraId="151C9241" w14:textId="77777777" w:rsidR="00526C4D" w:rsidRPr="009E7EA6" w:rsidRDefault="00526C4D" w:rsidP="009E7EA6">
            <w:pPr>
              <w:jc w:val="center"/>
              <w:rPr>
                <w:rFonts w:ascii="Times New Roman" w:eastAsia="Calibri" w:hAnsi="Times New Roman" w:cs="Times New Roman"/>
                <w:sz w:val="18"/>
                <w:szCs w:val="18"/>
              </w:rPr>
            </w:pPr>
          </w:p>
          <w:p w14:paraId="638BAC9E" w14:textId="77777777" w:rsidR="00526C4D" w:rsidRPr="009E7EA6" w:rsidRDefault="00526C4D" w:rsidP="009E7EA6">
            <w:pPr>
              <w:jc w:val="center"/>
              <w:rPr>
                <w:rFonts w:ascii="Times New Roman" w:eastAsia="Calibri" w:hAnsi="Times New Roman" w:cs="Times New Roman"/>
                <w:sz w:val="18"/>
                <w:szCs w:val="18"/>
              </w:rPr>
            </w:pPr>
          </w:p>
          <w:p w14:paraId="7E86A744" w14:textId="77777777" w:rsidR="00526C4D" w:rsidRPr="009E7EA6" w:rsidRDefault="00526C4D" w:rsidP="009E7EA6">
            <w:pPr>
              <w:jc w:val="center"/>
              <w:rPr>
                <w:rFonts w:ascii="Times New Roman" w:eastAsia="Calibri" w:hAnsi="Times New Roman" w:cs="Times New Roman"/>
                <w:sz w:val="18"/>
                <w:szCs w:val="18"/>
              </w:rPr>
            </w:pPr>
          </w:p>
          <w:p w14:paraId="148AA987" w14:textId="55824D2E" w:rsidR="00526C4D" w:rsidRPr="009E7EA6" w:rsidRDefault="00526C4D" w:rsidP="009E7EA6">
            <w:pPr>
              <w:jc w:val="center"/>
              <w:rPr>
                <w:rFonts w:ascii="Times New Roman" w:eastAsia="Calibri" w:hAnsi="Times New Roman" w:cs="Times New Roman"/>
                <w:sz w:val="18"/>
                <w:szCs w:val="18"/>
              </w:rPr>
            </w:pPr>
          </w:p>
        </w:tc>
        <w:tc>
          <w:tcPr>
            <w:tcW w:w="2960" w:type="dxa"/>
            <w:shd w:val="clear" w:color="auto" w:fill="F2F2F2"/>
          </w:tcPr>
          <w:p w14:paraId="26964FA0" w14:textId="1F53CE53" w:rsidR="00FB1120" w:rsidRPr="009E7EA6" w:rsidRDefault="00FB1120" w:rsidP="009E7EA6">
            <w:pPr>
              <w:spacing w:line="276" w:lineRule="auto"/>
              <w:jc w:val="both"/>
              <w:rPr>
                <w:rFonts w:ascii="Times New Roman" w:eastAsia="Calibri" w:hAnsi="Times New Roman" w:cs="Times New Roman"/>
                <w:sz w:val="18"/>
                <w:szCs w:val="18"/>
              </w:rPr>
            </w:pPr>
            <w:r w:rsidRPr="009E7EA6">
              <w:rPr>
                <w:rFonts w:ascii="Times New Roman" w:eastAsia="Calibri" w:hAnsi="Times New Roman" w:cs="Times New Roman"/>
                <w:sz w:val="18"/>
                <w:szCs w:val="18"/>
              </w:rPr>
              <w:t>This provision concerns the automatic exchange of financial account information pursuant to Article 8(3a) of Council Directive 2011/16/EU and is unrelated to the Top-up Tax Information Return (TTIR) introduced by DAC9. Accordingly, it is outside the scope of this draft law. Its transposition is addressed through the existing national legislation governing the automatic exchange of financial account information.</w:t>
            </w:r>
          </w:p>
          <w:p w14:paraId="6770D8AB" w14:textId="77777777" w:rsidR="00FB1120" w:rsidRPr="009E7EA6" w:rsidRDefault="00FB1120" w:rsidP="009E7EA6">
            <w:pPr>
              <w:rPr>
                <w:rFonts w:ascii="Times New Roman" w:eastAsia="Calibri" w:hAnsi="Times New Roman" w:cs="Times New Roman"/>
                <w:sz w:val="18"/>
                <w:szCs w:val="18"/>
              </w:rPr>
            </w:pPr>
          </w:p>
          <w:p w14:paraId="5DA636DD" w14:textId="77777777" w:rsidR="00FB1120" w:rsidRPr="009E7EA6" w:rsidRDefault="00FB1120" w:rsidP="009E7EA6">
            <w:pPr>
              <w:rPr>
                <w:rFonts w:ascii="Times New Roman" w:eastAsia="Calibri" w:hAnsi="Times New Roman" w:cs="Times New Roman"/>
                <w:sz w:val="18"/>
                <w:szCs w:val="18"/>
              </w:rPr>
            </w:pPr>
          </w:p>
          <w:p w14:paraId="63CE2A8C" w14:textId="4C93B0CC" w:rsidR="00FB1120" w:rsidRPr="009E7EA6" w:rsidRDefault="00FB1120" w:rsidP="009E7EA6">
            <w:pPr>
              <w:rPr>
                <w:rFonts w:ascii="Times New Roman" w:eastAsia="Calibri" w:hAnsi="Times New Roman" w:cs="Times New Roman"/>
                <w:sz w:val="18"/>
                <w:szCs w:val="18"/>
              </w:rPr>
            </w:pPr>
          </w:p>
          <w:p w14:paraId="74D7B268" w14:textId="77777777" w:rsidR="00FB1120" w:rsidRPr="009E7EA6" w:rsidRDefault="00FB1120" w:rsidP="009E7EA6">
            <w:pPr>
              <w:rPr>
                <w:rFonts w:ascii="Times New Roman" w:eastAsia="Calibri" w:hAnsi="Times New Roman" w:cs="Times New Roman"/>
                <w:sz w:val="18"/>
                <w:szCs w:val="18"/>
              </w:rPr>
            </w:pPr>
          </w:p>
          <w:p w14:paraId="58F26D41" w14:textId="11E43E30" w:rsidR="00FB1120" w:rsidRPr="009E7EA6" w:rsidRDefault="00FB1120" w:rsidP="009E7EA6">
            <w:pPr>
              <w:rPr>
                <w:rFonts w:ascii="Times New Roman" w:eastAsia="Calibri" w:hAnsi="Times New Roman" w:cs="Times New Roman"/>
                <w:sz w:val="18"/>
                <w:szCs w:val="18"/>
              </w:rPr>
            </w:pPr>
          </w:p>
          <w:p w14:paraId="7C327B65" w14:textId="37B4C83B" w:rsidR="00FB1120" w:rsidRPr="009E7EA6" w:rsidRDefault="00FB1120" w:rsidP="009E7EA6">
            <w:pPr>
              <w:rPr>
                <w:rFonts w:ascii="Times New Roman" w:eastAsia="Calibri" w:hAnsi="Times New Roman" w:cs="Times New Roman"/>
                <w:sz w:val="18"/>
                <w:szCs w:val="18"/>
              </w:rPr>
            </w:pPr>
          </w:p>
          <w:p w14:paraId="2D7240B3" w14:textId="77777777" w:rsidR="00526C4D" w:rsidRPr="009E7EA6" w:rsidRDefault="00526C4D" w:rsidP="009E7EA6">
            <w:pPr>
              <w:jc w:val="center"/>
              <w:rPr>
                <w:rFonts w:ascii="Times New Roman" w:eastAsia="Calibri" w:hAnsi="Times New Roman" w:cs="Times New Roman"/>
                <w:sz w:val="18"/>
                <w:szCs w:val="18"/>
              </w:rPr>
            </w:pPr>
          </w:p>
        </w:tc>
      </w:tr>
      <w:tr w:rsidR="00526C4D" w:rsidRPr="009E7EA6" w14:paraId="54545BFE" w14:textId="77777777" w:rsidTr="009E7EA6">
        <w:trPr>
          <w:trHeight w:val="1718"/>
        </w:trPr>
        <w:tc>
          <w:tcPr>
            <w:tcW w:w="805" w:type="dxa"/>
            <w:shd w:val="clear" w:color="auto" w:fill="F2F2F2"/>
          </w:tcPr>
          <w:p w14:paraId="2072CEFD" w14:textId="77777777" w:rsidR="00526C4D" w:rsidRPr="009E7EA6" w:rsidRDefault="00526C4D" w:rsidP="009E7EA6">
            <w:pPr>
              <w:jc w:val="center"/>
              <w:rPr>
                <w:rFonts w:ascii="Times New Roman" w:eastAsia="Calibri" w:hAnsi="Times New Roman" w:cs="Times New Roman"/>
                <w:i/>
                <w:sz w:val="18"/>
                <w:szCs w:val="18"/>
              </w:rPr>
            </w:pPr>
          </w:p>
        </w:tc>
        <w:tc>
          <w:tcPr>
            <w:tcW w:w="5140" w:type="dxa"/>
            <w:shd w:val="clear" w:color="auto" w:fill="FFFFFF" w:themeFill="background1"/>
          </w:tcPr>
          <w:p w14:paraId="12DCD2FA" w14:textId="73BEB05B" w:rsidR="00526C4D" w:rsidRPr="009E7EA6" w:rsidRDefault="00526C4D" w:rsidP="009E7EA6">
            <w:pPr>
              <w:pStyle w:val="oj-ti-grseq-1"/>
              <w:shd w:val="clear" w:color="auto" w:fill="FFFFFF"/>
              <w:spacing w:before="240" w:after="120"/>
              <w:jc w:val="center"/>
              <w:rPr>
                <w:rFonts w:eastAsia="Calibri"/>
                <w:b/>
                <w:iCs/>
                <w:sz w:val="18"/>
                <w:szCs w:val="18"/>
              </w:rPr>
            </w:pPr>
            <w:r w:rsidRPr="009E7EA6">
              <w:rPr>
                <w:rFonts w:eastAsia="Calibri"/>
                <w:b/>
                <w:iCs/>
                <w:sz w:val="18"/>
                <w:szCs w:val="18"/>
              </w:rPr>
              <w:t>Article 8ae</w:t>
            </w:r>
          </w:p>
          <w:p w14:paraId="2CE80725" w14:textId="5F96A0FE" w:rsidR="00526C4D" w:rsidRPr="009E7EA6" w:rsidRDefault="00526C4D" w:rsidP="009E7EA6">
            <w:pPr>
              <w:pStyle w:val="oj-ti-grseq-1"/>
              <w:shd w:val="clear" w:color="auto" w:fill="FFFFFF"/>
              <w:spacing w:before="240" w:after="120"/>
              <w:jc w:val="center"/>
              <w:rPr>
                <w:rFonts w:eastAsia="Calibri"/>
                <w:b/>
                <w:iCs/>
                <w:sz w:val="18"/>
                <w:szCs w:val="18"/>
              </w:rPr>
            </w:pPr>
            <w:r w:rsidRPr="009E7EA6">
              <w:rPr>
                <w:rFonts w:eastAsia="Calibri"/>
                <w:b/>
                <w:iCs/>
                <w:sz w:val="18"/>
                <w:szCs w:val="18"/>
              </w:rPr>
              <w:t>Filing format and exchange of information with respect to Top-up tax information returns under Article 44 of Directive (EU) 2022/2523</w:t>
            </w:r>
          </w:p>
          <w:p w14:paraId="727EDE73" w14:textId="30AB185A" w:rsidR="00526C4D" w:rsidRPr="009E7EA6" w:rsidRDefault="00526C4D" w:rsidP="009E7EA6">
            <w:pPr>
              <w:pStyle w:val="oj-ti-grseq-1"/>
              <w:shd w:val="clear" w:color="auto" w:fill="FFFFFF"/>
              <w:spacing w:before="240" w:after="120"/>
              <w:jc w:val="both"/>
              <w:rPr>
                <w:rFonts w:eastAsia="Calibri"/>
                <w:iCs/>
                <w:sz w:val="18"/>
                <w:szCs w:val="18"/>
              </w:rPr>
            </w:pPr>
            <w:r w:rsidRPr="009E7EA6">
              <w:rPr>
                <w:rFonts w:eastAsia="Calibri"/>
                <w:iCs/>
                <w:sz w:val="18"/>
                <w:szCs w:val="18"/>
              </w:rPr>
              <w:t>1.   Each Member State shall take the necessary measures to require the filing constituent entity of an MNE group to use the standard template set out in Section IV of Annex VII to this Directive to fulfil the filing obligations under Article 44 of Directive (EU) 2022/2523.</w:t>
            </w:r>
          </w:p>
          <w:p w14:paraId="20530FE3" w14:textId="2ED1F3A3" w:rsidR="00526C4D" w:rsidRPr="009E7EA6" w:rsidRDefault="00526C4D" w:rsidP="009E7EA6">
            <w:pPr>
              <w:pStyle w:val="oj-ti-grseq-1"/>
              <w:shd w:val="clear" w:color="auto" w:fill="FFFFFF"/>
              <w:spacing w:before="240" w:after="120"/>
              <w:jc w:val="both"/>
              <w:rPr>
                <w:rFonts w:eastAsia="Calibri"/>
                <w:iCs/>
                <w:sz w:val="18"/>
                <w:szCs w:val="18"/>
              </w:rPr>
            </w:pPr>
            <w:r w:rsidRPr="009E7EA6">
              <w:rPr>
                <w:rFonts w:eastAsia="Calibri"/>
                <w:iCs/>
                <w:sz w:val="18"/>
                <w:szCs w:val="18"/>
              </w:rPr>
              <w:t>2.   The competent authority of a Member State which has received the Top-up tax information return filed by the ultimate parent entity or designated filing entity, as referred to in Article 44(3), points (a) and (b), of Directive (EU) 2022/2523, shall communicate, by means of automatic exchange and in accordance with the following dissemination approach, the following:</w:t>
            </w:r>
          </w:p>
          <w:p w14:paraId="2C57ADC1" w14:textId="2289137C" w:rsidR="00526C4D" w:rsidRPr="009E7EA6" w:rsidRDefault="00526C4D" w:rsidP="009E7EA6">
            <w:pPr>
              <w:pStyle w:val="oj-ti-grseq-1"/>
              <w:shd w:val="clear" w:color="auto" w:fill="FFFFFF"/>
              <w:spacing w:before="240" w:after="120"/>
              <w:jc w:val="both"/>
              <w:rPr>
                <w:rFonts w:eastAsia="Calibri"/>
                <w:iCs/>
                <w:sz w:val="18"/>
                <w:szCs w:val="18"/>
              </w:rPr>
            </w:pPr>
            <w:r w:rsidRPr="009E7EA6">
              <w:rPr>
                <w:rFonts w:eastAsia="Calibri"/>
                <w:iCs/>
                <w:sz w:val="18"/>
                <w:szCs w:val="18"/>
              </w:rPr>
              <w:t>(a)the General section of the Top-up tax information return, to the Implementing Member State where the ultimate parent entity or constituent entities of the MNE group are located;</w:t>
            </w:r>
          </w:p>
          <w:p w14:paraId="3AB1A1BA" w14:textId="77777777" w:rsidR="00526C4D" w:rsidRPr="009E7EA6" w:rsidRDefault="00526C4D" w:rsidP="009E7EA6">
            <w:pPr>
              <w:pStyle w:val="oj-ti-grseq-1"/>
              <w:shd w:val="clear" w:color="auto" w:fill="FFFFFF"/>
              <w:spacing w:before="240" w:after="120"/>
              <w:rPr>
                <w:rFonts w:eastAsia="Calibri"/>
                <w:iCs/>
                <w:sz w:val="18"/>
                <w:szCs w:val="18"/>
              </w:rPr>
            </w:pPr>
          </w:p>
          <w:p w14:paraId="1926F870" w14:textId="4CD0BE63" w:rsidR="00526C4D" w:rsidRPr="009E7EA6" w:rsidRDefault="00526C4D" w:rsidP="009E7EA6">
            <w:pPr>
              <w:pStyle w:val="oj-ti-grseq-1"/>
              <w:shd w:val="clear" w:color="auto" w:fill="FFFFFF"/>
              <w:spacing w:before="240" w:after="120"/>
              <w:jc w:val="both"/>
              <w:rPr>
                <w:rFonts w:eastAsia="Calibri"/>
                <w:iCs/>
                <w:sz w:val="18"/>
                <w:szCs w:val="18"/>
              </w:rPr>
            </w:pPr>
            <w:r w:rsidRPr="009E7EA6">
              <w:rPr>
                <w:rFonts w:eastAsia="Calibri"/>
                <w:iCs/>
                <w:sz w:val="18"/>
                <w:szCs w:val="18"/>
              </w:rPr>
              <w:t>(b)the General section of the Top-up tax information return, with the exception of the high-level summary information in Section 1.4 thereof, to the Qualified domestic top-up tax (QDTT)-only Member States:</w:t>
            </w:r>
          </w:p>
          <w:p w14:paraId="00AAF625" w14:textId="46C5BD74" w:rsidR="00526C4D" w:rsidRPr="009E7EA6" w:rsidRDefault="00526C4D" w:rsidP="009E7EA6">
            <w:pPr>
              <w:pStyle w:val="oj-ti-grseq-1"/>
              <w:shd w:val="clear" w:color="auto" w:fill="FFFFFF"/>
              <w:spacing w:before="240" w:after="120"/>
              <w:jc w:val="both"/>
              <w:rPr>
                <w:rFonts w:eastAsia="Calibri"/>
                <w:iCs/>
                <w:sz w:val="18"/>
                <w:szCs w:val="18"/>
              </w:rPr>
            </w:pPr>
            <w:r w:rsidRPr="009E7EA6">
              <w:rPr>
                <w:rFonts w:eastAsia="Calibri"/>
                <w:iCs/>
                <w:sz w:val="18"/>
                <w:szCs w:val="18"/>
              </w:rPr>
              <w:t>(i)where constituent entities of the MNE group are located;</w:t>
            </w:r>
          </w:p>
          <w:p w14:paraId="7FB8E826" w14:textId="36D9259D" w:rsidR="00526C4D" w:rsidRPr="009E7EA6" w:rsidRDefault="00526C4D" w:rsidP="009E7EA6">
            <w:pPr>
              <w:pStyle w:val="oj-ti-grseq-1"/>
              <w:shd w:val="clear" w:color="auto" w:fill="FFFFFF"/>
              <w:spacing w:before="240" w:after="120"/>
              <w:jc w:val="both"/>
              <w:rPr>
                <w:rFonts w:eastAsia="Calibri"/>
                <w:iCs/>
                <w:sz w:val="18"/>
                <w:szCs w:val="18"/>
              </w:rPr>
            </w:pPr>
            <w:r w:rsidRPr="009E7EA6">
              <w:rPr>
                <w:rFonts w:eastAsia="Calibri"/>
                <w:iCs/>
                <w:sz w:val="18"/>
                <w:szCs w:val="18"/>
              </w:rPr>
              <w:t>(ii)where a joint venture or a member of a joint venture group of the MNE group is located if the qualified domestic top-up tax is imposed in respect of joint ventures in the Member State;</w:t>
            </w:r>
          </w:p>
          <w:p w14:paraId="6A86B8ED" w14:textId="23B0A1DD" w:rsidR="00526C4D" w:rsidRPr="009E7EA6" w:rsidRDefault="00526C4D" w:rsidP="009E7EA6">
            <w:pPr>
              <w:pStyle w:val="oj-ti-grseq-1"/>
              <w:shd w:val="clear" w:color="auto" w:fill="FFFFFF"/>
              <w:spacing w:before="240" w:after="120"/>
              <w:jc w:val="both"/>
              <w:rPr>
                <w:rFonts w:eastAsia="Calibri"/>
                <w:iCs/>
                <w:sz w:val="18"/>
                <w:szCs w:val="18"/>
              </w:rPr>
            </w:pPr>
            <w:r w:rsidRPr="009E7EA6">
              <w:rPr>
                <w:rFonts w:eastAsia="Calibri"/>
                <w:iCs/>
                <w:sz w:val="18"/>
                <w:szCs w:val="18"/>
              </w:rPr>
              <w:lastRenderedPageBreak/>
              <w:t>(iii)where the qualified domestic top-up tax is imposed in the Member State in respect of a stateless constituent entity or a stateless joint venture of the MNE group;</w:t>
            </w:r>
          </w:p>
          <w:p w14:paraId="5E2E7F39" w14:textId="4924CBF0" w:rsidR="00526C4D" w:rsidRPr="009E7EA6" w:rsidRDefault="00526C4D" w:rsidP="009E7EA6">
            <w:pPr>
              <w:pStyle w:val="oj-ti-grseq-1"/>
              <w:shd w:val="clear" w:color="auto" w:fill="FFFFFF"/>
              <w:spacing w:before="240" w:after="120"/>
              <w:jc w:val="both"/>
              <w:rPr>
                <w:rFonts w:eastAsia="Calibri"/>
                <w:iCs/>
                <w:sz w:val="18"/>
                <w:szCs w:val="18"/>
              </w:rPr>
            </w:pPr>
            <w:r w:rsidRPr="009E7EA6">
              <w:rPr>
                <w:rFonts w:eastAsia="Calibri"/>
                <w:iCs/>
                <w:sz w:val="18"/>
                <w:szCs w:val="18"/>
              </w:rPr>
              <w:t>(c)one or more Jurisdictional sections of the Top-up tax information return, to Member States that have taxing rights under Directive (EU) 2022/2523, including the qualified domestic top-up tax, in respect of the Member States to which such Jurisdictional sections relate.</w:t>
            </w:r>
          </w:p>
          <w:p w14:paraId="53D6DFF8" w14:textId="6BECE047" w:rsidR="00526C4D" w:rsidRPr="009E7EA6" w:rsidRDefault="00526C4D" w:rsidP="009E7EA6">
            <w:pPr>
              <w:pStyle w:val="oj-ti-grseq-1"/>
              <w:shd w:val="clear" w:color="auto" w:fill="FFFFFF"/>
              <w:spacing w:before="240" w:after="120"/>
              <w:jc w:val="both"/>
              <w:rPr>
                <w:rFonts w:eastAsia="Calibri"/>
                <w:iCs/>
                <w:sz w:val="18"/>
                <w:szCs w:val="18"/>
              </w:rPr>
            </w:pPr>
          </w:p>
          <w:p w14:paraId="7964E2CD" w14:textId="77777777" w:rsidR="00526C4D" w:rsidRPr="009E7EA6" w:rsidRDefault="00526C4D" w:rsidP="009E7EA6">
            <w:pPr>
              <w:pStyle w:val="oj-ti-grseq-1"/>
              <w:shd w:val="clear" w:color="auto" w:fill="FFFFFF"/>
              <w:spacing w:before="240" w:after="120"/>
              <w:jc w:val="both"/>
              <w:rPr>
                <w:rFonts w:eastAsia="Calibri"/>
                <w:iCs/>
                <w:sz w:val="18"/>
                <w:szCs w:val="18"/>
              </w:rPr>
            </w:pPr>
          </w:p>
          <w:p w14:paraId="3F62594A" w14:textId="6C369619" w:rsidR="00526C4D" w:rsidRPr="009E7EA6" w:rsidRDefault="00526C4D" w:rsidP="009E7EA6">
            <w:pPr>
              <w:pStyle w:val="oj-ti-grseq-1"/>
              <w:shd w:val="clear" w:color="auto" w:fill="FFFFFF"/>
              <w:spacing w:before="240" w:after="120"/>
              <w:jc w:val="both"/>
              <w:rPr>
                <w:rFonts w:eastAsia="Calibri"/>
                <w:iCs/>
                <w:sz w:val="18"/>
                <w:szCs w:val="18"/>
              </w:rPr>
            </w:pPr>
            <w:r w:rsidRPr="009E7EA6">
              <w:rPr>
                <w:rFonts w:eastAsia="Calibri"/>
                <w:iCs/>
                <w:sz w:val="18"/>
                <w:szCs w:val="18"/>
              </w:rPr>
              <w:t>Notwithstanding the first subparagraph, point (c), UTPR jurisdictions with a UTPR percentage of zero shall only be provided with the portion of the Top-up tax information return that contains information on the attribution of Top-up tax under the UTPR in respect of that jurisdiction, such information being consistent with an excerpt of Section 3.4.3 of the Top-up tax information return, and the Implementing Member State in which the ultimate parent entity is located shall be provided with all Jurisdictional sections.</w:t>
            </w:r>
          </w:p>
          <w:p w14:paraId="491C8839" w14:textId="77777777" w:rsidR="00526C4D" w:rsidRPr="009E7EA6" w:rsidRDefault="00526C4D" w:rsidP="009E7EA6">
            <w:pPr>
              <w:pStyle w:val="oj-ti-grseq-1"/>
              <w:shd w:val="clear" w:color="auto" w:fill="FFFFFF"/>
              <w:spacing w:before="240" w:after="120"/>
              <w:jc w:val="both"/>
              <w:rPr>
                <w:rFonts w:eastAsia="Calibri"/>
                <w:iCs/>
                <w:sz w:val="18"/>
                <w:szCs w:val="18"/>
              </w:rPr>
            </w:pPr>
          </w:p>
          <w:p w14:paraId="6F7B7ABA" w14:textId="6CB40E03" w:rsidR="00526C4D" w:rsidRPr="009E7EA6" w:rsidRDefault="00526C4D" w:rsidP="009E7EA6">
            <w:pPr>
              <w:pStyle w:val="oj-ti-grseq-1"/>
              <w:shd w:val="clear" w:color="auto" w:fill="FFFFFF"/>
              <w:spacing w:before="240" w:after="120"/>
              <w:jc w:val="both"/>
              <w:rPr>
                <w:rFonts w:eastAsia="Calibri"/>
                <w:iCs/>
                <w:sz w:val="18"/>
                <w:szCs w:val="18"/>
              </w:rPr>
            </w:pPr>
          </w:p>
        </w:tc>
        <w:tc>
          <w:tcPr>
            <w:tcW w:w="1070" w:type="dxa"/>
            <w:shd w:val="clear" w:color="auto" w:fill="FFFFFF" w:themeFill="background1"/>
          </w:tcPr>
          <w:p w14:paraId="6F2021F6" w14:textId="77777777" w:rsidR="00526C4D" w:rsidRPr="009E7EA6" w:rsidRDefault="00526C4D" w:rsidP="009E7EA6">
            <w:pPr>
              <w:jc w:val="center"/>
              <w:rPr>
                <w:rFonts w:ascii="Times New Roman" w:eastAsia="Calibri" w:hAnsi="Times New Roman" w:cs="Times New Roman"/>
                <w:sz w:val="18"/>
                <w:szCs w:val="18"/>
              </w:rPr>
            </w:pPr>
          </w:p>
        </w:tc>
        <w:tc>
          <w:tcPr>
            <w:tcW w:w="720" w:type="dxa"/>
            <w:shd w:val="clear" w:color="auto" w:fill="FFFFFF" w:themeFill="background1"/>
          </w:tcPr>
          <w:p w14:paraId="6AC383A1" w14:textId="77777777" w:rsidR="00526C4D" w:rsidRPr="009E7EA6" w:rsidRDefault="00526C4D" w:rsidP="009E7EA6">
            <w:pPr>
              <w:jc w:val="center"/>
              <w:rPr>
                <w:rFonts w:ascii="Times New Roman" w:eastAsia="Calibri" w:hAnsi="Times New Roman" w:cs="Times New Roman"/>
                <w:sz w:val="18"/>
                <w:szCs w:val="18"/>
              </w:rPr>
            </w:pPr>
          </w:p>
          <w:p w14:paraId="699DA45B" w14:textId="77777777" w:rsidR="00526C4D" w:rsidRPr="009E7EA6" w:rsidRDefault="00526C4D" w:rsidP="009E7EA6">
            <w:pPr>
              <w:jc w:val="center"/>
              <w:rPr>
                <w:rFonts w:ascii="Times New Roman" w:eastAsia="Calibri" w:hAnsi="Times New Roman" w:cs="Times New Roman"/>
                <w:sz w:val="18"/>
                <w:szCs w:val="18"/>
              </w:rPr>
            </w:pPr>
          </w:p>
          <w:p w14:paraId="5FB73456" w14:textId="77777777" w:rsidR="00526C4D" w:rsidRPr="009E7EA6" w:rsidRDefault="00526C4D" w:rsidP="009E7EA6">
            <w:pPr>
              <w:jc w:val="center"/>
              <w:rPr>
                <w:rFonts w:ascii="Times New Roman" w:eastAsia="Calibri" w:hAnsi="Times New Roman" w:cs="Times New Roman"/>
                <w:sz w:val="18"/>
                <w:szCs w:val="18"/>
              </w:rPr>
            </w:pPr>
          </w:p>
          <w:p w14:paraId="3EC3C5E4" w14:textId="075F66F9" w:rsidR="00526C4D" w:rsidRPr="009E7EA6" w:rsidRDefault="00526C4D" w:rsidP="009E7EA6">
            <w:pPr>
              <w:jc w:val="center"/>
              <w:rPr>
                <w:rFonts w:ascii="Times New Roman" w:eastAsia="Calibri" w:hAnsi="Times New Roman" w:cs="Times New Roman"/>
                <w:sz w:val="18"/>
                <w:szCs w:val="18"/>
              </w:rPr>
            </w:pPr>
          </w:p>
        </w:tc>
        <w:tc>
          <w:tcPr>
            <w:tcW w:w="4344" w:type="dxa"/>
            <w:shd w:val="clear" w:color="auto" w:fill="FFFFFF" w:themeFill="background1"/>
          </w:tcPr>
          <w:p w14:paraId="125FBC0F" w14:textId="77777777" w:rsidR="00526C4D" w:rsidRPr="009E7EA6" w:rsidRDefault="00526C4D" w:rsidP="009E7EA6">
            <w:pPr>
              <w:jc w:val="both"/>
              <w:rPr>
                <w:rFonts w:ascii="Times New Roman" w:hAnsi="Times New Roman" w:cs="Times New Roman"/>
                <w:sz w:val="18"/>
                <w:szCs w:val="18"/>
              </w:rPr>
            </w:pPr>
          </w:p>
          <w:p w14:paraId="7DBE45BD" w14:textId="77777777" w:rsidR="00526C4D" w:rsidRPr="009E7EA6" w:rsidRDefault="00526C4D" w:rsidP="009E7EA6">
            <w:pPr>
              <w:jc w:val="both"/>
              <w:rPr>
                <w:rFonts w:ascii="Times New Roman" w:hAnsi="Times New Roman" w:cs="Times New Roman"/>
                <w:sz w:val="18"/>
                <w:szCs w:val="18"/>
              </w:rPr>
            </w:pPr>
          </w:p>
          <w:p w14:paraId="2E5D2315" w14:textId="77777777" w:rsidR="00D15CBC" w:rsidRPr="009E7EA6" w:rsidRDefault="00D15CBC" w:rsidP="009E7EA6">
            <w:pPr>
              <w:jc w:val="center"/>
              <w:rPr>
                <w:rFonts w:ascii="Times New Roman" w:hAnsi="Times New Roman" w:cs="Times New Roman"/>
                <w:b/>
                <w:sz w:val="18"/>
                <w:szCs w:val="18"/>
              </w:rPr>
            </w:pPr>
            <w:r w:rsidRPr="009E7EA6">
              <w:rPr>
                <w:rFonts w:ascii="Times New Roman" w:hAnsi="Times New Roman" w:cs="Times New Roman"/>
                <w:b/>
                <w:sz w:val="18"/>
                <w:szCs w:val="18"/>
              </w:rPr>
              <w:t>Article 1</w:t>
            </w:r>
          </w:p>
          <w:p w14:paraId="4617B63E" w14:textId="77777777" w:rsidR="00D15CBC" w:rsidRPr="009E7EA6" w:rsidRDefault="00D15CBC" w:rsidP="009E7EA6">
            <w:pPr>
              <w:jc w:val="center"/>
              <w:rPr>
                <w:rFonts w:ascii="Times New Roman" w:hAnsi="Times New Roman" w:cs="Times New Roman"/>
                <w:b/>
                <w:sz w:val="18"/>
                <w:szCs w:val="18"/>
              </w:rPr>
            </w:pPr>
            <w:r w:rsidRPr="009E7EA6">
              <w:rPr>
                <w:rFonts w:ascii="Times New Roman" w:hAnsi="Times New Roman" w:cs="Times New Roman"/>
                <w:b/>
                <w:sz w:val="18"/>
                <w:szCs w:val="18"/>
              </w:rPr>
              <w:t>Subject matter and purpose</w:t>
            </w:r>
          </w:p>
          <w:p w14:paraId="5B71E398" w14:textId="77777777" w:rsidR="00786B1B" w:rsidRPr="009E7EA6" w:rsidRDefault="00786B1B" w:rsidP="009E7EA6">
            <w:pPr>
              <w:jc w:val="center"/>
              <w:rPr>
                <w:rFonts w:ascii="Times New Roman" w:hAnsi="Times New Roman" w:cs="Times New Roman"/>
                <w:b/>
                <w:sz w:val="18"/>
                <w:szCs w:val="18"/>
              </w:rPr>
            </w:pPr>
          </w:p>
          <w:p w14:paraId="16B74BA8" w14:textId="029FB95E" w:rsidR="00D15CBC" w:rsidRPr="009E7EA6" w:rsidRDefault="00D15CBC" w:rsidP="009E7EA6">
            <w:pPr>
              <w:jc w:val="both"/>
              <w:rPr>
                <w:rFonts w:ascii="Times New Roman" w:hAnsi="Times New Roman" w:cs="Times New Roman"/>
                <w:sz w:val="18"/>
                <w:szCs w:val="18"/>
              </w:rPr>
            </w:pPr>
            <w:r w:rsidRPr="009E7EA6">
              <w:rPr>
                <w:rFonts w:ascii="Times New Roman" w:hAnsi="Times New Roman" w:cs="Times New Roman"/>
                <w:sz w:val="18"/>
                <w:szCs w:val="18"/>
              </w:rPr>
              <w:t>1.</w:t>
            </w:r>
            <w:r w:rsidRPr="009E7EA6">
              <w:rPr>
                <w:rFonts w:ascii="Times New Roman" w:hAnsi="Times New Roman" w:cs="Times New Roman"/>
                <w:sz w:val="18"/>
                <w:szCs w:val="18"/>
              </w:rPr>
              <w:tab/>
              <w:t>This law lays dow</w:t>
            </w:r>
            <w:r w:rsidR="00A67CB1" w:rsidRPr="009E7EA6">
              <w:rPr>
                <w:rFonts w:ascii="Times New Roman" w:hAnsi="Times New Roman" w:cs="Times New Roman"/>
                <w:sz w:val="18"/>
                <w:szCs w:val="18"/>
              </w:rPr>
              <w:t xml:space="preserve">n the rules for the </w:t>
            </w:r>
            <w:r w:rsidRPr="009E7EA6">
              <w:rPr>
                <w:rFonts w:ascii="Times New Roman" w:hAnsi="Times New Roman" w:cs="Times New Roman"/>
                <w:sz w:val="18"/>
                <w:szCs w:val="18"/>
              </w:rPr>
              <w:t>filing, administration, use, retention, correction and automatic exchange of the Top-up Tax Information Return (Top-up Tax Information Return – TTIR), as well as the administrative procedures related to these processes.</w:t>
            </w:r>
          </w:p>
          <w:p w14:paraId="46E452A7" w14:textId="619093E6" w:rsidR="00C71B16" w:rsidRPr="009E7EA6" w:rsidRDefault="00D15CBC" w:rsidP="009E7EA6">
            <w:pPr>
              <w:spacing w:line="276" w:lineRule="auto"/>
              <w:jc w:val="both"/>
              <w:rPr>
                <w:rFonts w:ascii="Times New Roman" w:hAnsi="Times New Roman" w:cs="Times New Roman"/>
                <w:sz w:val="18"/>
                <w:szCs w:val="18"/>
              </w:rPr>
            </w:pPr>
            <w:r w:rsidRPr="009E7EA6">
              <w:rPr>
                <w:rFonts w:ascii="Times New Roman" w:hAnsi="Times New Roman" w:cs="Times New Roman"/>
                <w:sz w:val="18"/>
                <w:szCs w:val="18"/>
              </w:rPr>
              <w:t>2.</w:t>
            </w:r>
            <w:r w:rsidRPr="009E7EA6">
              <w:rPr>
                <w:rFonts w:ascii="Times New Roman" w:hAnsi="Times New Roman" w:cs="Times New Roman"/>
                <w:sz w:val="18"/>
                <w:szCs w:val="18"/>
              </w:rPr>
              <w:tab/>
            </w:r>
            <w:r w:rsidR="00C71B16" w:rsidRPr="009E7EA6">
              <w:rPr>
                <w:rFonts w:ascii="Times New Roman" w:hAnsi="Times New Roman" w:cs="Times New Roman"/>
                <w:sz w:val="18"/>
                <w:szCs w:val="18"/>
              </w:rPr>
              <w:t xml:space="preserve"> The purpose of this law is to ensure administrative cooperation and the automatic exchange of the Top-up Tax Information Return, in support of the implementation of the global minimum tax rules and the obligations arising from European Union legislation.</w:t>
            </w:r>
          </w:p>
          <w:p w14:paraId="1B380890" w14:textId="4043AC3B" w:rsidR="00D15CBC" w:rsidRPr="009E7EA6" w:rsidRDefault="00D15CBC" w:rsidP="009E7EA6">
            <w:pPr>
              <w:jc w:val="both"/>
              <w:rPr>
                <w:rFonts w:ascii="Times New Roman" w:hAnsi="Times New Roman" w:cs="Times New Roman"/>
                <w:sz w:val="18"/>
                <w:szCs w:val="18"/>
              </w:rPr>
            </w:pPr>
          </w:p>
          <w:p w14:paraId="4454BC04" w14:textId="77777777" w:rsidR="00D15CBC" w:rsidRPr="009E7EA6" w:rsidRDefault="00D15CBC" w:rsidP="009E7EA6">
            <w:pPr>
              <w:jc w:val="center"/>
              <w:rPr>
                <w:rFonts w:ascii="Times New Roman" w:hAnsi="Times New Roman" w:cs="Times New Roman"/>
                <w:b/>
                <w:sz w:val="18"/>
                <w:szCs w:val="18"/>
              </w:rPr>
            </w:pPr>
            <w:r w:rsidRPr="009E7EA6">
              <w:rPr>
                <w:rFonts w:ascii="Times New Roman" w:hAnsi="Times New Roman" w:cs="Times New Roman"/>
                <w:b/>
                <w:sz w:val="18"/>
                <w:szCs w:val="18"/>
              </w:rPr>
              <w:t>Article 2</w:t>
            </w:r>
          </w:p>
          <w:p w14:paraId="01BDBD93" w14:textId="4FAD3961" w:rsidR="00D15CBC" w:rsidRPr="009E7EA6" w:rsidRDefault="00D15CBC" w:rsidP="009E7EA6">
            <w:pPr>
              <w:jc w:val="center"/>
              <w:rPr>
                <w:rFonts w:ascii="Times New Roman" w:hAnsi="Times New Roman" w:cs="Times New Roman"/>
                <w:b/>
                <w:sz w:val="18"/>
                <w:szCs w:val="18"/>
              </w:rPr>
            </w:pPr>
            <w:r w:rsidRPr="009E7EA6">
              <w:rPr>
                <w:rFonts w:ascii="Times New Roman" w:hAnsi="Times New Roman" w:cs="Times New Roman"/>
                <w:b/>
                <w:sz w:val="18"/>
                <w:szCs w:val="18"/>
              </w:rPr>
              <w:t>Scope of application</w:t>
            </w:r>
          </w:p>
          <w:p w14:paraId="437F1980" w14:textId="77777777" w:rsidR="00D15CBC" w:rsidRPr="009E7EA6" w:rsidRDefault="00D15CBC" w:rsidP="009E7EA6">
            <w:pPr>
              <w:jc w:val="center"/>
              <w:rPr>
                <w:rFonts w:ascii="Times New Roman" w:hAnsi="Times New Roman" w:cs="Times New Roman"/>
                <w:b/>
                <w:sz w:val="18"/>
                <w:szCs w:val="18"/>
              </w:rPr>
            </w:pPr>
          </w:p>
          <w:p w14:paraId="671E54E4" w14:textId="77777777" w:rsidR="00D15CBC" w:rsidRPr="009E7EA6" w:rsidRDefault="00D15CBC" w:rsidP="009E7EA6">
            <w:pPr>
              <w:ind w:firstLine="256"/>
              <w:jc w:val="both"/>
              <w:rPr>
                <w:rFonts w:ascii="Times New Roman" w:hAnsi="Times New Roman" w:cs="Times New Roman"/>
                <w:sz w:val="18"/>
                <w:szCs w:val="18"/>
              </w:rPr>
            </w:pPr>
            <w:r w:rsidRPr="009E7EA6">
              <w:rPr>
                <w:rFonts w:ascii="Times New Roman" w:hAnsi="Times New Roman" w:cs="Times New Roman"/>
                <w:b/>
                <w:sz w:val="18"/>
                <w:szCs w:val="18"/>
              </w:rPr>
              <w:t>1.</w:t>
            </w:r>
            <w:r w:rsidRPr="009E7EA6">
              <w:rPr>
                <w:rFonts w:ascii="Times New Roman" w:hAnsi="Times New Roman" w:cs="Times New Roman"/>
                <w:b/>
                <w:sz w:val="18"/>
                <w:szCs w:val="18"/>
              </w:rPr>
              <w:tab/>
            </w:r>
            <w:r w:rsidRPr="009E7EA6">
              <w:rPr>
                <w:rFonts w:ascii="Times New Roman" w:hAnsi="Times New Roman" w:cs="Times New Roman"/>
                <w:sz w:val="18"/>
                <w:szCs w:val="18"/>
              </w:rPr>
              <w:t>This law applies to the Ultimate Parent Entity, the Designated Filing Entity, the Designated Local Entity, and any Constituent Entity resident or established in the Republic of Albania that has reporting obligations under the Law “On Ensuring a Global Minimum Level of Taxation for Multinational Enterprise Groups and Large-Scale Domestic Groups”.</w:t>
            </w:r>
          </w:p>
          <w:p w14:paraId="11AB9A48" w14:textId="77777777" w:rsidR="00D15CBC" w:rsidRPr="009E7EA6" w:rsidRDefault="00D15CBC" w:rsidP="009E7EA6">
            <w:pPr>
              <w:ind w:firstLine="256"/>
              <w:jc w:val="both"/>
              <w:rPr>
                <w:rFonts w:ascii="Times New Roman" w:hAnsi="Times New Roman" w:cs="Times New Roman"/>
                <w:sz w:val="18"/>
                <w:szCs w:val="18"/>
              </w:rPr>
            </w:pPr>
          </w:p>
          <w:p w14:paraId="508C808D" w14:textId="5C3D6980" w:rsidR="008E4DCF" w:rsidRPr="009E7EA6" w:rsidRDefault="00D15CBC" w:rsidP="009E7EA6">
            <w:pPr>
              <w:jc w:val="both"/>
              <w:rPr>
                <w:rFonts w:ascii="Times New Roman" w:hAnsi="Times New Roman" w:cs="Times New Roman"/>
                <w:sz w:val="18"/>
                <w:szCs w:val="18"/>
              </w:rPr>
            </w:pPr>
            <w:r w:rsidRPr="009E7EA6">
              <w:rPr>
                <w:rFonts w:ascii="Times New Roman" w:hAnsi="Times New Roman" w:cs="Times New Roman"/>
                <w:sz w:val="18"/>
                <w:szCs w:val="18"/>
              </w:rPr>
              <w:t>2.</w:t>
            </w:r>
            <w:r w:rsidRPr="009E7EA6">
              <w:rPr>
                <w:rFonts w:ascii="Times New Roman" w:hAnsi="Times New Roman" w:cs="Times New Roman"/>
                <w:sz w:val="18"/>
                <w:szCs w:val="18"/>
              </w:rPr>
              <w:tab/>
            </w:r>
            <w:r w:rsidR="008E4DCF" w:rsidRPr="009E7EA6">
              <w:rPr>
                <w:rFonts w:ascii="Times New Roman" w:hAnsi="Times New Roman" w:cs="Times New Roman"/>
                <w:sz w:val="18"/>
                <w:szCs w:val="18"/>
              </w:rPr>
              <w:t xml:space="preserve"> This law regulates only the procedural and administrative aspects related to the TTIR.</w:t>
            </w:r>
          </w:p>
          <w:p w14:paraId="7F4A7267" w14:textId="392C7F42" w:rsidR="00D15CBC" w:rsidRPr="009E7EA6" w:rsidRDefault="00D15CBC" w:rsidP="009E7EA6">
            <w:pPr>
              <w:ind w:firstLine="256"/>
              <w:jc w:val="both"/>
              <w:rPr>
                <w:rFonts w:ascii="Times New Roman" w:hAnsi="Times New Roman" w:cs="Times New Roman"/>
                <w:sz w:val="18"/>
                <w:szCs w:val="18"/>
              </w:rPr>
            </w:pPr>
            <w:r w:rsidRPr="009E7EA6">
              <w:rPr>
                <w:rFonts w:ascii="Times New Roman" w:hAnsi="Times New Roman" w:cs="Times New Roman"/>
                <w:sz w:val="18"/>
                <w:szCs w:val="18"/>
              </w:rPr>
              <w:t>.</w:t>
            </w:r>
          </w:p>
          <w:p w14:paraId="78E061FD" w14:textId="440F4AC5" w:rsidR="00E50051" w:rsidRPr="009E7EA6" w:rsidRDefault="00D15CBC" w:rsidP="009E7EA6">
            <w:pPr>
              <w:pStyle w:val="ListParagraph"/>
              <w:spacing w:after="0"/>
              <w:ind w:left="360"/>
              <w:jc w:val="both"/>
              <w:rPr>
                <w:rFonts w:ascii="Times New Roman" w:hAnsi="Times New Roman" w:cs="Times New Roman"/>
                <w:sz w:val="18"/>
                <w:szCs w:val="18"/>
              </w:rPr>
            </w:pPr>
            <w:r w:rsidRPr="009E7EA6">
              <w:rPr>
                <w:rFonts w:ascii="Times New Roman" w:hAnsi="Times New Roman" w:cs="Times New Roman"/>
                <w:sz w:val="18"/>
                <w:szCs w:val="18"/>
              </w:rPr>
              <w:t>3.</w:t>
            </w:r>
            <w:r w:rsidRPr="009E7EA6">
              <w:rPr>
                <w:rFonts w:ascii="Times New Roman" w:hAnsi="Times New Roman" w:cs="Times New Roman"/>
                <w:sz w:val="18"/>
                <w:szCs w:val="18"/>
              </w:rPr>
              <w:tab/>
            </w:r>
            <w:r w:rsidR="00E50051" w:rsidRPr="009E7EA6">
              <w:rPr>
                <w:rFonts w:ascii="Times New Roman" w:hAnsi="Times New Roman" w:cs="Times New Roman"/>
                <w:sz w:val="18"/>
                <w:szCs w:val="18"/>
              </w:rPr>
              <w:t xml:space="preserve"> The computation, declaration, and payment of the top-up tax are regulated by the Law “On ensuring a global minimum level of taxation for multinational enterprise groups and large-scale domestic groups”. This law does not regulate the computation, declaration, and payment of the top-up tax, which are regulated by the Law on the Global Minimum Tax.</w:t>
            </w:r>
          </w:p>
          <w:p w14:paraId="5CF7A64E" w14:textId="531C20D1" w:rsidR="00D15CBC" w:rsidRPr="009E7EA6" w:rsidRDefault="00D15CBC" w:rsidP="009E7EA6">
            <w:pPr>
              <w:ind w:firstLine="256"/>
              <w:jc w:val="both"/>
              <w:rPr>
                <w:rFonts w:ascii="Times New Roman" w:hAnsi="Times New Roman" w:cs="Times New Roman"/>
                <w:sz w:val="18"/>
                <w:szCs w:val="18"/>
              </w:rPr>
            </w:pPr>
          </w:p>
          <w:p w14:paraId="70CE201F" w14:textId="77777777" w:rsidR="00D15CBC" w:rsidRPr="009E7EA6" w:rsidRDefault="00D15CBC" w:rsidP="009E7EA6">
            <w:pPr>
              <w:ind w:firstLine="256"/>
              <w:jc w:val="both"/>
              <w:rPr>
                <w:rFonts w:ascii="Times New Roman" w:hAnsi="Times New Roman" w:cs="Times New Roman"/>
                <w:sz w:val="18"/>
                <w:szCs w:val="18"/>
              </w:rPr>
            </w:pPr>
          </w:p>
          <w:p w14:paraId="6F944C0D" w14:textId="77777777" w:rsidR="00D15CBC" w:rsidRPr="009E7EA6" w:rsidRDefault="00D15CBC" w:rsidP="009E7EA6">
            <w:pPr>
              <w:jc w:val="center"/>
              <w:rPr>
                <w:rFonts w:ascii="Times New Roman" w:hAnsi="Times New Roman" w:cs="Times New Roman"/>
                <w:b/>
                <w:sz w:val="18"/>
                <w:szCs w:val="18"/>
              </w:rPr>
            </w:pPr>
            <w:r w:rsidRPr="009E7EA6">
              <w:rPr>
                <w:rFonts w:ascii="Times New Roman" w:hAnsi="Times New Roman" w:cs="Times New Roman"/>
                <w:b/>
                <w:sz w:val="18"/>
                <w:szCs w:val="18"/>
              </w:rPr>
              <w:t>Article 5</w:t>
            </w:r>
          </w:p>
          <w:p w14:paraId="273693F2" w14:textId="77777777" w:rsidR="00D15CBC" w:rsidRPr="009E7EA6" w:rsidRDefault="00D15CBC" w:rsidP="009E7EA6">
            <w:pPr>
              <w:jc w:val="center"/>
              <w:rPr>
                <w:rFonts w:ascii="Times New Roman" w:hAnsi="Times New Roman" w:cs="Times New Roman"/>
                <w:b/>
                <w:sz w:val="18"/>
                <w:szCs w:val="18"/>
              </w:rPr>
            </w:pPr>
            <w:r w:rsidRPr="009E7EA6">
              <w:rPr>
                <w:rFonts w:ascii="Times New Roman" w:hAnsi="Times New Roman" w:cs="Times New Roman"/>
                <w:b/>
                <w:sz w:val="18"/>
                <w:szCs w:val="18"/>
              </w:rPr>
              <w:t>Entities Required to File the TTIR</w:t>
            </w:r>
          </w:p>
          <w:p w14:paraId="017DEB61" w14:textId="77777777" w:rsidR="00786B1B" w:rsidRPr="009E7EA6" w:rsidRDefault="00786B1B" w:rsidP="009E7EA6">
            <w:pPr>
              <w:jc w:val="center"/>
              <w:rPr>
                <w:rFonts w:ascii="Times New Roman" w:hAnsi="Times New Roman" w:cs="Times New Roman"/>
                <w:b/>
                <w:sz w:val="18"/>
                <w:szCs w:val="18"/>
              </w:rPr>
            </w:pPr>
          </w:p>
          <w:p w14:paraId="73D68340" w14:textId="77777777" w:rsidR="00D15CBC" w:rsidRPr="009E7EA6" w:rsidRDefault="00D15CBC" w:rsidP="009E7EA6">
            <w:pPr>
              <w:jc w:val="both"/>
              <w:rPr>
                <w:rFonts w:ascii="Times New Roman" w:hAnsi="Times New Roman" w:cs="Times New Roman"/>
                <w:sz w:val="18"/>
                <w:szCs w:val="18"/>
              </w:rPr>
            </w:pPr>
            <w:r w:rsidRPr="009E7EA6">
              <w:rPr>
                <w:rFonts w:ascii="Times New Roman" w:hAnsi="Times New Roman" w:cs="Times New Roman"/>
                <w:sz w:val="18"/>
                <w:szCs w:val="18"/>
              </w:rPr>
              <w:t>1.</w:t>
            </w:r>
            <w:r w:rsidRPr="009E7EA6">
              <w:rPr>
                <w:rFonts w:ascii="Times New Roman" w:hAnsi="Times New Roman" w:cs="Times New Roman"/>
                <w:sz w:val="18"/>
                <w:szCs w:val="18"/>
              </w:rPr>
              <w:tab/>
              <w:t>Where the Ultimate Parent Entity or the Designated Filing Entity is resident in the Republic of Albania, that entity shall file a single TTIR for the entire Multinational Enterprise Group or Large-Scale Domestic Group, as applicable.</w:t>
            </w:r>
          </w:p>
          <w:p w14:paraId="07763460" w14:textId="77777777" w:rsidR="00D15CBC" w:rsidRPr="009E7EA6" w:rsidRDefault="00D15CBC" w:rsidP="009E7EA6">
            <w:pPr>
              <w:jc w:val="both"/>
              <w:rPr>
                <w:rFonts w:ascii="Times New Roman" w:hAnsi="Times New Roman" w:cs="Times New Roman"/>
                <w:sz w:val="18"/>
                <w:szCs w:val="18"/>
              </w:rPr>
            </w:pPr>
            <w:r w:rsidRPr="009E7EA6">
              <w:rPr>
                <w:rFonts w:ascii="Times New Roman" w:hAnsi="Times New Roman" w:cs="Times New Roman"/>
                <w:sz w:val="18"/>
                <w:szCs w:val="18"/>
              </w:rPr>
              <w:t>2.</w:t>
            </w:r>
            <w:r w:rsidRPr="009E7EA6">
              <w:rPr>
                <w:rFonts w:ascii="Times New Roman" w:hAnsi="Times New Roman" w:cs="Times New Roman"/>
                <w:sz w:val="18"/>
                <w:szCs w:val="18"/>
              </w:rPr>
              <w:tab/>
              <w:t>Where neither the Ultimate Parent Entity nor the Designated Filing Entity is resident in the Republic of Albania, a Constituent Entity resident in the Republic of Albania shall file the TTIR locally only if one of the following conditions is met:</w:t>
            </w:r>
          </w:p>
          <w:p w14:paraId="5CC3FFBF" w14:textId="77777777" w:rsidR="00D15CBC" w:rsidRPr="009E7EA6" w:rsidRDefault="00D15CBC" w:rsidP="009E7EA6">
            <w:pPr>
              <w:jc w:val="both"/>
              <w:rPr>
                <w:rFonts w:ascii="Times New Roman" w:hAnsi="Times New Roman" w:cs="Times New Roman"/>
                <w:sz w:val="18"/>
                <w:szCs w:val="18"/>
              </w:rPr>
            </w:pPr>
            <w:r w:rsidRPr="009E7EA6">
              <w:rPr>
                <w:rFonts w:ascii="Times New Roman" w:hAnsi="Times New Roman" w:cs="Times New Roman"/>
                <w:sz w:val="18"/>
                <w:szCs w:val="18"/>
              </w:rPr>
              <w:t>a) the TTIR has not been filed by the Ultimate Parent Entity or the Designated Filing Entity; or</w:t>
            </w:r>
          </w:p>
          <w:p w14:paraId="6637170E" w14:textId="77777777" w:rsidR="00D15CBC" w:rsidRPr="009E7EA6" w:rsidRDefault="00D15CBC" w:rsidP="009E7EA6">
            <w:pPr>
              <w:jc w:val="both"/>
              <w:rPr>
                <w:rFonts w:ascii="Times New Roman" w:hAnsi="Times New Roman" w:cs="Times New Roman"/>
                <w:sz w:val="18"/>
                <w:szCs w:val="18"/>
              </w:rPr>
            </w:pPr>
            <w:r w:rsidRPr="009E7EA6">
              <w:rPr>
                <w:rFonts w:ascii="Times New Roman" w:hAnsi="Times New Roman" w:cs="Times New Roman"/>
                <w:sz w:val="18"/>
                <w:szCs w:val="18"/>
              </w:rPr>
              <w:t>b) the TTIR has been filed in another jurisdiction, but the Republic of Albania will not receive it through the automatic exchange of information pursuant to a Qualifying Competent Authority Agreement within the time limits provided for in that agreement.</w:t>
            </w:r>
          </w:p>
          <w:p w14:paraId="7CB55C80" w14:textId="287F6E22" w:rsidR="00922214" w:rsidRPr="009E7EA6" w:rsidRDefault="00D15CBC" w:rsidP="009E7EA6">
            <w:pPr>
              <w:jc w:val="both"/>
              <w:rPr>
                <w:rFonts w:ascii="Times New Roman" w:hAnsi="Times New Roman" w:cs="Times New Roman"/>
                <w:sz w:val="18"/>
                <w:szCs w:val="18"/>
              </w:rPr>
            </w:pPr>
            <w:r w:rsidRPr="009E7EA6">
              <w:rPr>
                <w:rFonts w:ascii="Times New Roman" w:hAnsi="Times New Roman" w:cs="Times New Roman"/>
                <w:sz w:val="18"/>
                <w:szCs w:val="18"/>
              </w:rPr>
              <w:t>3.</w:t>
            </w:r>
            <w:r w:rsidRPr="009E7EA6">
              <w:rPr>
                <w:rFonts w:ascii="Times New Roman" w:hAnsi="Times New Roman" w:cs="Times New Roman"/>
                <w:sz w:val="18"/>
                <w:szCs w:val="18"/>
              </w:rPr>
              <w:tab/>
            </w:r>
            <w:r w:rsidR="00922214" w:rsidRPr="009E7EA6">
              <w:rPr>
                <w:rFonts w:ascii="Times New Roman" w:hAnsi="Times New Roman" w:cs="Times New Roman"/>
                <w:sz w:val="18"/>
                <w:szCs w:val="18"/>
              </w:rPr>
              <w:t xml:space="preserve"> The local filing obligation shall not apply where, on the basis of the agreements in force for the automatic exchange of information and the list of qualified jurisdictions for exchange, the TTIR is automatically exchanged with the Republic of Albania, in accordance with the international framework for the exchange of information.</w:t>
            </w:r>
          </w:p>
          <w:p w14:paraId="54AA99CD" w14:textId="5C8FCE10" w:rsidR="00922214" w:rsidRPr="009E7EA6" w:rsidRDefault="00922214" w:rsidP="009E7EA6">
            <w:pPr>
              <w:jc w:val="both"/>
              <w:rPr>
                <w:rFonts w:ascii="Times New Roman" w:hAnsi="Times New Roman" w:cs="Times New Roman"/>
                <w:sz w:val="18"/>
                <w:szCs w:val="18"/>
              </w:rPr>
            </w:pPr>
            <w:r w:rsidRPr="009E7EA6">
              <w:rPr>
                <w:rFonts w:ascii="Times New Roman" w:hAnsi="Times New Roman" w:cs="Times New Roman"/>
                <w:sz w:val="18"/>
                <w:szCs w:val="18"/>
              </w:rPr>
              <w:t>4. Where a group does not fall within the scope of application for a Reporting Fiscal Year under the legislation on the global minimum tax, no obligation to file a TTIR shall arise for that year.</w:t>
            </w:r>
          </w:p>
          <w:p w14:paraId="674788D0" w14:textId="52203048" w:rsidR="007432DD" w:rsidRPr="009E7EA6" w:rsidRDefault="00D15CBC" w:rsidP="009E7EA6">
            <w:pPr>
              <w:jc w:val="both"/>
              <w:rPr>
                <w:rFonts w:ascii="Times New Roman" w:hAnsi="Times New Roman" w:cs="Times New Roman"/>
                <w:sz w:val="18"/>
                <w:szCs w:val="18"/>
              </w:rPr>
            </w:pPr>
            <w:r w:rsidRPr="009E7EA6">
              <w:rPr>
                <w:rFonts w:ascii="Times New Roman" w:hAnsi="Times New Roman" w:cs="Times New Roman"/>
                <w:sz w:val="18"/>
                <w:szCs w:val="18"/>
              </w:rPr>
              <w:t>5.</w:t>
            </w:r>
            <w:r w:rsidRPr="009E7EA6">
              <w:rPr>
                <w:rFonts w:ascii="Times New Roman" w:hAnsi="Times New Roman" w:cs="Times New Roman"/>
                <w:sz w:val="18"/>
                <w:szCs w:val="18"/>
              </w:rPr>
              <w:tab/>
            </w:r>
            <w:r w:rsidR="007432DD" w:rsidRPr="009E7EA6">
              <w:rPr>
                <w:rFonts w:ascii="Times New Roman" w:hAnsi="Times New Roman" w:cs="Times New Roman"/>
                <w:sz w:val="18"/>
                <w:szCs w:val="18"/>
              </w:rPr>
              <w:t xml:space="preserve"> Where, pursuant to the Global Minimum Tax Law or this Law, more than one Constituent Entity in the Republic of Albania has the obligation to submit the notification or local filing obligations, the General Directorate of Taxation may require the group to designate a single entity responsible for procedural communications with the Albanian tax administration.</w:t>
            </w:r>
          </w:p>
          <w:p w14:paraId="3E588108" w14:textId="77777777" w:rsidR="007432DD" w:rsidRPr="009E7EA6" w:rsidRDefault="007432DD" w:rsidP="009E7EA6">
            <w:pPr>
              <w:rPr>
                <w:rFonts w:ascii="Times New Roman" w:hAnsi="Times New Roman" w:cs="Times New Roman"/>
                <w:sz w:val="18"/>
                <w:szCs w:val="18"/>
              </w:rPr>
            </w:pPr>
          </w:p>
          <w:p w14:paraId="10E119BA" w14:textId="2D258E56" w:rsidR="00526C4D" w:rsidRPr="009E7EA6" w:rsidRDefault="00526C4D" w:rsidP="009E7EA6">
            <w:pPr>
              <w:jc w:val="both"/>
              <w:rPr>
                <w:rFonts w:ascii="Times New Roman" w:hAnsi="Times New Roman" w:cs="Times New Roman"/>
                <w:sz w:val="18"/>
                <w:szCs w:val="18"/>
              </w:rPr>
            </w:pPr>
          </w:p>
          <w:p w14:paraId="26A4A61A" w14:textId="77777777" w:rsidR="00526C4D" w:rsidRPr="009E7EA6" w:rsidRDefault="00526C4D" w:rsidP="009E7EA6">
            <w:pPr>
              <w:jc w:val="both"/>
              <w:rPr>
                <w:rFonts w:ascii="Times New Roman" w:hAnsi="Times New Roman" w:cs="Times New Roman"/>
                <w:sz w:val="18"/>
                <w:szCs w:val="18"/>
              </w:rPr>
            </w:pPr>
          </w:p>
          <w:p w14:paraId="1E72C5BC" w14:textId="77777777" w:rsidR="00D15CBC" w:rsidRPr="009E7EA6" w:rsidRDefault="00D15CBC" w:rsidP="009E7EA6">
            <w:pPr>
              <w:jc w:val="center"/>
              <w:rPr>
                <w:rFonts w:ascii="Times New Roman" w:hAnsi="Times New Roman" w:cs="Times New Roman"/>
                <w:b/>
                <w:sz w:val="18"/>
                <w:szCs w:val="18"/>
              </w:rPr>
            </w:pPr>
            <w:r w:rsidRPr="009E7EA6">
              <w:rPr>
                <w:rFonts w:ascii="Times New Roman" w:hAnsi="Times New Roman" w:cs="Times New Roman"/>
                <w:b/>
                <w:sz w:val="18"/>
                <w:szCs w:val="18"/>
              </w:rPr>
              <w:t>Article 11</w:t>
            </w:r>
          </w:p>
          <w:p w14:paraId="53649D8C" w14:textId="389D55A3" w:rsidR="00D15CBC" w:rsidRPr="009E7EA6" w:rsidRDefault="00D15CBC" w:rsidP="009E7EA6">
            <w:pPr>
              <w:jc w:val="center"/>
              <w:rPr>
                <w:rFonts w:ascii="Times New Roman" w:hAnsi="Times New Roman" w:cs="Times New Roman"/>
                <w:b/>
                <w:sz w:val="18"/>
                <w:szCs w:val="18"/>
              </w:rPr>
            </w:pPr>
            <w:r w:rsidRPr="009E7EA6">
              <w:rPr>
                <w:rFonts w:ascii="Times New Roman" w:hAnsi="Times New Roman" w:cs="Times New Roman"/>
                <w:b/>
                <w:sz w:val="18"/>
                <w:szCs w:val="18"/>
              </w:rPr>
              <w:t xml:space="preserve">The TTIR Dissemination </w:t>
            </w:r>
            <w:r w:rsidR="00EB57B7" w:rsidRPr="009E7EA6">
              <w:rPr>
                <w:rFonts w:ascii="Times New Roman" w:hAnsi="Times New Roman" w:cs="Times New Roman"/>
                <w:b/>
                <w:sz w:val="18"/>
                <w:szCs w:val="18"/>
              </w:rPr>
              <w:t>Rules</w:t>
            </w:r>
          </w:p>
          <w:p w14:paraId="615627C0" w14:textId="77777777" w:rsidR="00D15CBC" w:rsidRPr="009E7EA6" w:rsidRDefault="00D15CBC" w:rsidP="009E7EA6">
            <w:pPr>
              <w:jc w:val="both"/>
              <w:rPr>
                <w:rFonts w:ascii="Times New Roman" w:hAnsi="Times New Roman" w:cs="Times New Roman"/>
                <w:sz w:val="18"/>
                <w:szCs w:val="18"/>
              </w:rPr>
            </w:pPr>
          </w:p>
          <w:p w14:paraId="078D2994" w14:textId="77777777" w:rsidR="00D15CBC" w:rsidRPr="009E7EA6" w:rsidRDefault="00D15CBC" w:rsidP="009E7EA6">
            <w:pPr>
              <w:jc w:val="both"/>
              <w:rPr>
                <w:rFonts w:ascii="Times New Roman" w:hAnsi="Times New Roman" w:cs="Times New Roman"/>
                <w:sz w:val="18"/>
                <w:szCs w:val="18"/>
              </w:rPr>
            </w:pPr>
            <w:r w:rsidRPr="009E7EA6">
              <w:rPr>
                <w:rFonts w:ascii="Times New Roman" w:hAnsi="Times New Roman" w:cs="Times New Roman"/>
                <w:sz w:val="18"/>
                <w:szCs w:val="18"/>
              </w:rPr>
              <w:t>1.</w:t>
            </w:r>
            <w:r w:rsidRPr="009E7EA6">
              <w:rPr>
                <w:rFonts w:ascii="Times New Roman" w:hAnsi="Times New Roman" w:cs="Times New Roman"/>
                <w:sz w:val="18"/>
                <w:szCs w:val="18"/>
              </w:rPr>
              <w:tab/>
              <w:t>Where the General Directorate of Taxation receives a TTIR filed by the Ultimate Parent Entity or by the Designated Filing Entity, it shall communicate, through the automatic exchange of information, the General Section of the TTIR to the Implementing Member States in which the Ultimate Parent Entity or the Constituent Entities of the group are located.</w:t>
            </w:r>
          </w:p>
          <w:p w14:paraId="4D80BAED" w14:textId="77777777" w:rsidR="00D15CBC" w:rsidRPr="009E7EA6" w:rsidRDefault="00D15CBC" w:rsidP="009E7EA6">
            <w:pPr>
              <w:jc w:val="both"/>
              <w:rPr>
                <w:rFonts w:ascii="Times New Roman" w:hAnsi="Times New Roman" w:cs="Times New Roman"/>
                <w:sz w:val="18"/>
                <w:szCs w:val="18"/>
              </w:rPr>
            </w:pPr>
            <w:r w:rsidRPr="009E7EA6">
              <w:rPr>
                <w:rFonts w:ascii="Times New Roman" w:hAnsi="Times New Roman" w:cs="Times New Roman"/>
                <w:sz w:val="18"/>
                <w:szCs w:val="18"/>
              </w:rPr>
              <w:t>2.</w:t>
            </w:r>
            <w:r w:rsidRPr="009E7EA6">
              <w:rPr>
                <w:rFonts w:ascii="Times New Roman" w:hAnsi="Times New Roman" w:cs="Times New Roman"/>
                <w:sz w:val="18"/>
                <w:szCs w:val="18"/>
              </w:rPr>
              <w:tab/>
              <w:t>The General Directorate of Taxation shall communicate the General Section of the TTIR, excluding the high-level summary information contained in the standard template, to Member States that apply only the Qualified Domestic Top-up Tax (QDMTT).</w:t>
            </w:r>
          </w:p>
          <w:p w14:paraId="5E8FFDB9" w14:textId="77777777" w:rsidR="00D15CBC" w:rsidRPr="009E7EA6" w:rsidRDefault="00D15CBC" w:rsidP="009E7EA6">
            <w:pPr>
              <w:jc w:val="both"/>
              <w:rPr>
                <w:rFonts w:ascii="Times New Roman" w:hAnsi="Times New Roman" w:cs="Times New Roman"/>
                <w:sz w:val="18"/>
                <w:szCs w:val="18"/>
              </w:rPr>
            </w:pPr>
            <w:r w:rsidRPr="009E7EA6">
              <w:rPr>
                <w:rFonts w:ascii="Times New Roman" w:hAnsi="Times New Roman" w:cs="Times New Roman"/>
                <w:sz w:val="18"/>
                <w:szCs w:val="18"/>
              </w:rPr>
              <w:t>3.</w:t>
            </w:r>
            <w:r w:rsidRPr="009E7EA6">
              <w:rPr>
                <w:rFonts w:ascii="Times New Roman" w:hAnsi="Times New Roman" w:cs="Times New Roman"/>
                <w:sz w:val="18"/>
                <w:szCs w:val="18"/>
              </w:rPr>
              <w:tab/>
              <w:t>The General Directorate of Taxation shall communicate one or more Jurisdictional Sections to Member States that have taxing rights, including rights relating to the Qualified Domestic Top-up Tax (QDMTT), with respect to the relevant jurisdictions.</w:t>
            </w:r>
          </w:p>
          <w:p w14:paraId="55058410" w14:textId="77777777" w:rsidR="00D15CBC" w:rsidRPr="009E7EA6" w:rsidRDefault="00D15CBC" w:rsidP="009E7EA6">
            <w:pPr>
              <w:jc w:val="both"/>
              <w:rPr>
                <w:rFonts w:ascii="Times New Roman" w:hAnsi="Times New Roman" w:cs="Times New Roman"/>
                <w:sz w:val="18"/>
                <w:szCs w:val="18"/>
              </w:rPr>
            </w:pPr>
            <w:r w:rsidRPr="009E7EA6">
              <w:rPr>
                <w:rFonts w:ascii="Times New Roman" w:hAnsi="Times New Roman" w:cs="Times New Roman"/>
                <w:sz w:val="18"/>
                <w:szCs w:val="18"/>
              </w:rPr>
              <w:t>4.</w:t>
            </w:r>
            <w:r w:rsidRPr="009E7EA6">
              <w:rPr>
                <w:rFonts w:ascii="Times New Roman" w:hAnsi="Times New Roman" w:cs="Times New Roman"/>
                <w:sz w:val="18"/>
                <w:szCs w:val="18"/>
              </w:rPr>
              <w:tab/>
              <w:t>Jurisdictions applying the Undertaxed Profits Rule (UTPR) at a zero percentage shall receive only the portion of the TTIR containing information relating to the allocation of top-up tax under the UTPR rules for that jurisdiction.</w:t>
            </w:r>
          </w:p>
          <w:p w14:paraId="778B887A" w14:textId="047617EC" w:rsidR="00526C4D" w:rsidRPr="009E7EA6" w:rsidRDefault="00D15CBC" w:rsidP="009E7EA6">
            <w:pPr>
              <w:jc w:val="both"/>
              <w:rPr>
                <w:rFonts w:ascii="Times New Roman" w:hAnsi="Times New Roman" w:cs="Times New Roman"/>
                <w:sz w:val="18"/>
                <w:szCs w:val="18"/>
              </w:rPr>
            </w:pPr>
            <w:r w:rsidRPr="009E7EA6">
              <w:rPr>
                <w:rFonts w:ascii="Times New Roman" w:hAnsi="Times New Roman" w:cs="Times New Roman"/>
                <w:sz w:val="18"/>
                <w:szCs w:val="18"/>
              </w:rPr>
              <w:t>5.</w:t>
            </w:r>
            <w:r w:rsidRPr="009E7EA6">
              <w:rPr>
                <w:rFonts w:ascii="Times New Roman" w:hAnsi="Times New Roman" w:cs="Times New Roman"/>
                <w:sz w:val="18"/>
                <w:szCs w:val="18"/>
              </w:rPr>
              <w:tab/>
              <w:t>The Decision of the Council of Ministers</w:t>
            </w:r>
            <w:r w:rsidR="00EB57B7" w:rsidRPr="009E7EA6">
              <w:rPr>
                <w:rFonts w:ascii="Times New Roman" w:hAnsi="Times New Roman" w:cs="Times New Roman"/>
                <w:sz w:val="18"/>
                <w:szCs w:val="18"/>
              </w:rPr>
              <w:t>, issued pursuant to this law</w:t>
            </w:r>
            <w:r w:rsidRPr="009E7EA6">
              <w:rPr>
                <w:rFonts w:ascii="Times New Roman" w:hAnsi="Times New Roman" w:cs="Times New Roman"/>
                <w:sz w:val="18"/>
                <w:szCs w:val="18"/>
              </w:rPr>
              <w:t xml:space="preserve"> shall lay down in detail the national dissemination matrix, the rules for determining recipient jurisdictions and the compliance controls applicable to the dissemination process, in accordance with the specifications and implementing acts of the European Union.</w:t>
            </w:r>
          </w:p>
        </w:tc>
        <w:tc>
          <w:tcPr>
            <w:tcW w:w="1156" w:type="dxa"/>
            <w:shd w:val="clear" w:color="auto" w:fill="FFFFFF" w:themeFill="background1"/>
          </w:tcPr>
          <w:p w14:paraId="15655B97" w14:textId="77777777" w:rsidR="00526C4D" w:rsidRPr="009E7EA6" w:rsidRDefault="00526C4D" w:rsidP="009E7EA6">
            <w:pPr>
              <w:jc w:val="center"/>
              <w:rPr>
                <w:rFonts w:ascii="Times New Roman" w:eastAsia="Calibri" w:hAnsi="Times New Roman" w:cs="Times New Roman"/>
                <w:sz w:val="18"/>
                <w:szCs w:val="18"/>
              </w:rPr>
            </w:pPr>
          </w:p>
          <w:p w14:paraId="39F6F364" w14:textId="77777777" w:rsidR="00526C4D" w:rsidRPr="009E7EA6" w:rsidRDefault="00526C4D" w:rsidP="009E7EA6">
            <w:pPr>
              <w:jc w:val="center"/>
              <w:rPr>
                <w:rFonts w:ascii="Times New Roman" w:eastAsia="Calibri" w:hAnsi="Times New Roman" w:cs="Times New Roman"/>
                <w:sz w:val="18"/>
                <w:szCs w:val="18"/>
              </w:rPr>
            </w:pPr>
          </w:p>
          <w:p w14:paraId="3448EE70" w14:textId="77777777" w:rsidR="00526C4D" w:rsidRPr="009E7EA6" w:rsidRDefault="00526C4D" w:rsidP="009E7EA6">
            <w:pPr>
              <w:jc w:val="center"/>
              <w:rPr>
                <w:rFonts w:ascii="Times New Roman" w:eastAsia="Calibri" w:hAnsi="Times New Roman" w:cs="Times New Roman"/>
                <w:sz w:val="18"/>
                <w:szCs w:val="18"/>
              </w:rPr>
            </w:pPr>
          </w:p>
          <w:p w14:paraId="3EFFA98E" w14:textId="30760153" w:rsidR="00526C4D" w:rsidRPr="009E7EA6" w:rsidRDefault="00FB1120"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F</w:t>
            </w:r>
          </w:p>
        </w:tc>
        <w:tc>
          <w:tcPr>
            <w:tcW w:w="2960" w:type="dxa"/>
            <w:shd w:val="clear" w:color="auto" w:fill="FFFFFF" w:themeFill="background1"/>
          </w:tcPr>
          <w:p w14:paraId="71188287" w14:textId="489CC9FB" w:rsidR="00526C4D" w:rsidRPr="009E7EA6" w:rsidRDefault="00526C4D" w:rsidP="009E7EA6">
            <w:pPr>
              <w:rPr>
                <w:rFonts w:ascii="Times New Roman" w:eastAsia="Calibri" w:hAnsi="Times New Roman" w:cs="Times New Roman"/>
                <w:sz w:val="18"/>
                <w:szCs w:val="18"/>
              </w:rPr>
            </w:pPr>
          </w:p>
        </w:tc>
      </w:tr>
      <w:tr w:rsidR="00526C4D" w:rsidRPr="009E7EA6" w14:paraId="65C77C64" w14:textId="77777777" w:rsidTr="009E7EA6">
        <w:trPr>
          <w:trHeight w:val="1691"/>
        </w:trPr>
        <w:tc>
          <w:tcPr>
            <w:tcW w:w="805" w:type="dxa"/>
          </w:tcPr>
          <w:p w14:paraId="6050527A" w14:textId="18C04CA8" w:rsidR="00526C4D" w:rsidRPr="009E7EA6" w:rsidRDefault="00526C4D" w:rsidP="009E7EA6">
            <w:pPr>
              <w:jc w:val="both"/>
              <w:rPr>
                <w:rFonts w:ascii="Times New Roman" w:eastAsia="Calibri" w:hAnsi="Times New Roman" w:cs="Times New Roman"/>
                <w:sz w:val="18"/>
                <w:szCs w:val="18"/>
              </w:rPr>
            </w:pPr>
          </w:p>
        </w:tc>
        <w:tc>
          <w:tcPr>
            <w:tcW w:w="5140" w:type="dxa"/>
          </w:tcPr>
          <w:p w14:paraId="6AB71FC4" w14:textId="77777777" w:rsidR="00526C4D" w:rsidRPr="009E7EA6" w:rsidRDefault="00526C4D" w:rsidP="009E7EA6">
            <w:pPr>
              <w:jc w:val="both"/>
              <w:rPr>
                <w:rFonts w:ascii="Times New Roman" w:eastAsia="Times New Roman" w:hAnsi="Times New Roman" w:cs="Times New Roman"/>
                <w:color w:val="333333"/>
                <w:sz w:val="18"/>
                <w:szCs w:val="18"/>
              </w:rPr>
            </w:pPr>
          </w:p>
          <w:p w14:paraId="597C2BF6" w14:textId="440556DA" w:rsidR="00526C4D" w:rsidRPr="009E7EA6" w:rsidRDefault="00526C4D" w:rsidP="009E7EA6">
            <w:pPr>
              <w:shd w:val="clear" w:color="auto" w:fill="FFFFFF"/>
              <w:spacing w:before="120"/>
              <w:jc w:val="both"/>
              <w:rPr>
                <w:rFonts w:ascii="Times New Roman" w:eastAsia="Times New Roman" w:hAnsi="Times New Roman" w:cs="Times New Roman"/>
                <w:vanish/>
                <w:color w:val="333333"/>
                <w:sz w:val="18"/>
                <w:szCs w:val="18"/>
              </w:rPr>
            </w:pPr>
            <w:r w:rsidRPr="009E7EA6">
              <w:rPr>
                <w:rFonts w:ascii="Times New Roman" w:eastAsia="Times New Roman" w:hAnsi="Times New Roman" w:cs="Times New Roman"/>
                <w:color w:val="333333"/>
                <w:sz w:val="18"/>
                <w:szCs w:val="18"/>
              </w:rPr>
              <w:t xml:space="preserve">3. The competent authority of a Member State shall </w:t>
            </w:r>
            <w:bookmarkStart w:id="1" w:name="_Hlk233202108"/>
            <w:bookmarkStart w:id="2" w:name="_Hlk233202212"/>
            <w:r w:rsidRPr="009E7EA6">
              <w:rPr>
                <w:rFonts w:ascii="Times New Roman" w:eastAsia="Times New Roman" w:hAnsi="Times New Roman" w:cs="Times New Roman"/>
                <w:color w:val="333333"/>
                <w:sz w:val="18"/>
                <w:szCs w:val="18"/>
              </w:rPr>
              <w:t>communicate</w:t>
            </w:r>
            <w:bookmarkEnd w:id="1"/>
            <w:r w:rsidRPr="009E7EA6">
              <w:rPr>
                <w:rFonts w:ascii="Times New Roman" w:eastAsia="Times New Roman" w:hAnsi="Times New Roman" w:cs="Times New Roman"/>
                <w:color w:val="333333"/>
                <w:sz w:val="18"/>
                <w:szCs w:val="18"/>
              </w:rPr>
              <w:t xml:space="preserve"> </w:t>
            </w:r>
            <w:bookmarkEnd w:id="2"/>
            <w:r w:rsidRPr="009E7EA6">
              <w:rPr>
                <w:rFonts w:ascii="Times New Roman" w:eastAsia="Times New Roman" w:hAnsi="Times New Roman" w:cs="Times New Roman"/>
                <w:color w:val="333333"/>
                <w:sz w:val="18"/>
                <w:szCs w:val="18"/>
              </w:rPr>
              <w:t>the Top-up tax information return received pursuant to paragraph 2 and that communication shall take place no later than 3 months after the filing deadline for the Reporting fiscal year.</w:t>
            </w:r>
          </w:p>
          <w:p w14:paraId="13191D8A" w14:textId="1253F63D" w:rsidR="00526C4D" w:rsidRPr="009E7EA6" w:rsidRDefault="00526C4D" w:rsidP="009E7EA6">
            <w:pPr>
              <w:jc w:val="both"/>
              <w:rPr>
                <w:rFonts w:ascii="Times New Roman" w:eastAsia="Calibri" w:hAnsi="Times New Roman" w:cs="Times New Roman"/>
                <w:iCs/>
                <w:sz w:val="18"/>
                <w:szCs w:val="18"/>
              </w:rPr>
            </w:pPr>
          </w:p>
        </w:tc>
        <w:tc>
          <w:tcPr>
            <w:tcW w:w="1070" w:type="dxa"/>
          </w:tcPr>
          <w:p w14:paraId="73A9F1D9" w14:textId="24499071" w:rsidR="00526C4D" w:rsidRPr="009E7EA6" w:rsidRDefault="00526C4D" w:rsidP="009E7EA6">
            <w:pPr>
              <w:jc w:val="center"/>
              <w:rPr>
                <w:rFonts w:ascii="Times New Roman" w:eastAsia="Calibri" w:hAnsi="Times New Roman" w:cs="Times New Roman"/>
                <w:sz w:val="18"/>
                <w:szCs w:val="18"/>
              </w:rPr>
            </w:pPr>
          </w:p>
        </w:tc>
        <w:tc>
          <w:tcPr>
            <w:tcW w:w="720" w:type="dxa"/>
          </w:tcPr>
          <w:p w14:paraId="201D958C" w14:textId="77777777" w:rsidR="00526C4D" w:rsidRPr="009E7EA6" w:rsidRDefault="00526C4D" w:rsidP="009E7EA6">
            <w:pPr>
              <w:jc w:val="center"/>
              <w:rPr>
                <w:rFonts w:ascii="Times New Roman" w:eastAsia="Calibri" w:hAnsi="Times New Roman" w:cs="Times New Roman"/>
                <w:sz w:val="18"/>
                <w:szCs w:val="18"/>
              </w:rPr>
            </w:pPr>
          </w:p>
          <w:p w14:paraId="16B43562" w14:textId="41379F95" w:rsidR="00526C4D" w:rsidRPr="009E7EA6" w:rsidRDefault="00526C4D" w:rsidP="009E7EA6">
            <w:pPr>
              <w:jc w:val="center"/>
              <w:rPr>
                <w:rFonts w:ascii="Times New Roman" w:eastAsia="Calibri" w:hAnsi="Times New Roman" w:cs="Times New Roman"/>
                <w:sz w:val="18"/>
                <w:szCs w:val="18"/>
              </w:rPr>
            </w:pPr>
          </w:p>
        </w:tc>
        <w:tc>
          <w:tcPr>
            <w:tcW w:w="4344" w:type="dxa"/>
            <w:tcBorders>
              <w:bottom w:val="dashed" w:sz="4" w:space="0" w:color="auto"/>
            </w:tcBorders>
          </w:tcPr>
          <w:p w14:paraId="59D16A27" w14:textId="77777777" w:rsidR="00FE6522" w:rsidRPr="009E7EA6" w:rsidRDefault="00FE6522" w:rsidP="009E7EA6">
            <w:pPr>
              <w:jc w:val="center"/>
              <w:rPr>
                <w:rFonts w:ascii="Times New Roman" w:eastAsia="Calibri" w:hAnsi="Times New Roman" w:cs="Times New Roman"/>
                <w:b/>
                <w:sz w:val="18"/>
                <w:szCs w:val="18"/>
              </w:rPr>
            </w:pPr>
            <w:r w:rsidRPr="009E7EA6">
              <w:rPr>
                <w:rFonts w:ascii="Times New Roman" w:eastAsia="Calibri" w:hAnsi="Times New Roman" w:cs="Times New Roman"/>
                <w:b/>
                <w:sz w:val="18"/>
                <w:szCs w:val="18"/>
              </w:rPr>
              <w:t>Article 7</w:t>
            </w:r>
          </w:p>
          <w:p w14:paraId="51E22F36" w14:textId="77777777" w:rsidR="00FE6522" w:rsidRPr="009E7EA6" w:rsidRDefault="00FE6522" w:rsidP="009E7EA6">
            <w:pPr>
              <w:jc w:val="center"/>
              <w:rPr>
                <w:rFonts w:ascii="Times New Roman" w:eastAsia="Calibri" w:hAnsi="Times New Roman" w:cs="Times New Roman"/>
                <w:b/>
                <w:sz w:val="18"/>
                <w:szCs w:val="18"/>
              </w:rPr>
            </w:pPr>
            <w:r w:rsidRPr="009E7EA6">
              <w:rPr>
                <w:rFonts w:ascii="Times New Roman" w:eastAsia="Calibri" w:hAnsi="Times New Roman" w:cs="Times New Roman"/>
                <w:b/>
                <w:sz w:val="18"/>
                <w:szCs w:val="18"/>
              </w:rPr>
              <w:t>Filing deadlines</w:t>
            </w:r>
          </w:p>
          <w:p w14:paraId="636862B2" w14:textId="77777777" w:rsidR="00AB435E" w:rsidRPr="009E7EA6" w:rsidRDefault="00AB435E" w:rsidP="009E7EA6">
            <w:pPr>
              <w:jc w:val="center"/>
              <w:rPr>
                <w:rFonts w:ascii="Times New Roman" w:eastAsia="Calibri" w:hAnsi="Times New Roman" w:cs="Times New Roman"/>
                <w:b/>
                <w:sz w:val="18"/>
                <w:szCs w:val="18"/>
              </w:rPr>
            </w:pPr>
          </w:p>
          <w:p w14:paraId="05CBA041" w14:textId="6D3A0AAC" w:rsidR="00526C4D" w:rsidRPr="009E7EA6" w:rsidRDefault="00FE6522" w:rsidP="009E7EA6">
            <w:pPr>
              <w:jc w:val="both"/>
              <w:rPr>
                <w:rFonts w:ascii="Times New Roman" w:eastAsia="Calibri" w:hAnsi="Times New Roman" w:cs="Times New Roman"/>
                <w:sz w:val="18"/>
                <w:szCs w:val="18"/>
              </w:rPr>
            </w:pPr>
            <w:r w:rsidRPr="009E7EA6">
              <w:rPr>
                <w:rFonts w:ascii="Times New Roman" w:eastAsia="Calibri" w:hAnsi="Times New Roman" w:cs="Times New Roman"/>
                <w:sz w:val="18"/>
                <w:szCs w:val="18"/>
              </w:rPr>
              <w:t>1.</w:t>
            </w:r>
            <w:r w:rsidRPr="009E7EA6">
              <w:rPr>
                <w:rFonts w:ascii="Times New Roman" w:eastAsia="Calibri" w:hAnsi="Times New Roman" w:cs="Times New Roman"/>
                <w:sz w:val="18"/>
                <w:szCs w:val="18"/>
              </w:rPr>
              <w:tab/>
              <w:t>For reporting fiscal years corresponding to the calendar year, the TTIR shall be filed no later than 31 March of the second year after the end of the relevant Reporting Fiscal Year.</w:t>
            </w:r>
          </w:p>
        </w:tc>
        <w:tc>
          <w:tcPr>
            <w:tcW w:w="1156" w:type="dxa"/>
            <w:tcBorders>
              <w:bottom w:val="dashed" w:sz="4" w:space="0" w:color="auto"/>
            </w:tcBorders>
          </w:tcPr>
          <w:p w14:paraId="6FCF9030" w14:textId="3A1D8905" w:rsidR="00526C4D" w:rsidRPr="009E7EA6" w:rsidRDefault="00FB1120"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F</w:t>
            </w:r>
          </w:p>
        </w:tc>
        <w:tc>
          <w:tcPr>
            <w:tcW w:w="2960" w:type="dxa"/>
            <w:tcBorders>
              <w:bottom w:val="dashed" w:sz="4" w:space="0" w:color="auto"/>
            </w:tcBorders>
          </w:tcPr>
          <w:p w14:paraId="08DB7295" w14:textId="67880360" w:rsidR="00526C4D" w:rsidRPr="009E7EA6" w:rsidRDefault="00526C4D" w:rsidP="009E7EA6">
            <w:pPr>
              <w:rPr>
                <w:rFonts w:ascii="Times New Roman" w:eastAsia="Calibri" w:hAnsi="Times New Roman" w:cs="Times New Roman"/>
                <w:sz w:val="18"/>
                <w:szCs w:val="18"/>
              </w:rPr>
            </w:pPr>
          </w:p>
        </w:tc>
      </w:tr>
      <w:tr w:rsidR="00526C4D" w:rsidRPr="009E7EA6" w14:paraId="7D4505B4" w14:textId="77777777" w:rsidTr="009E7EA6">
        <w:trPr>
          <w:trHeight w:val="645"/>
        </w:trPr>
        <w:tc>
          <w:tcPr>
            <w:tcW w:w="805" w:type="dxa"/>
          </w:tcPr>
          <w:p w14:paraId="1080D9D2" w14:textId="139AC4B4" w:rsidR="00526C4D" w:rsidRPr="009E7EA6" w:rsidRDefault="00526C4D" w:rsidP="009E7EA6">
            <w:pPr>
              <w:jc w:val="both"/>
              <w:rPr>
                <w:rFonts w:ascii="Times New Roman" w:eastAsia="Calibri" w:hAnsi="Times New Roman" w:cs="Times New Roman"/>
                <w:sz w:val="18"/>
                <w:szCs w:val="18"/>
              </w:rPr>
            </w:pPr>
          </w:p>
        </w:tc>
        <w:tc>
          <w:tcPr>
            <w:tcW w:w="5140" w:type="dxa"/>
          </w:tcPr>
          <w:p w14:paraId="61E278E6" w14:textId="7A317C01" w:rsidR="00526C4D" w:rsidRPr="009E7EA6" w:rsidRDefault="00526C4D" w:rsidP="009E7EA6">
            <w:pPr>
              <w:jc w:val="both"/>
              <w:rPr>
                <w:rFonts w:ascii="Times New Roman" w:hAnsi="Times New Roman" w:cs="Times New Roman"/>
                <w:vanish/>
                <w:sz w:val="18"/>
                <w:szCs w:val="18"/>
              </w:rPr>
            </w:pPr>
            <w:r w:rsidRPr="009E7EA6">
              <w:rPr>
                <w:rFonts w:ascii="Times New Roman" w:hAnsi="Times New Roman" w:cs="Times New Roman"/>
                <w:sz w:val="18"/>
                <w:szCs w:val="18"/>
              </w:rPr>
              <w:t>4. The competent authority of a Member State shall communicate the Top-up tax information return received after the filing deadline, and that communication shall take place no later than 3 months after the date on which it is received.</w:t>
            </w:r>
          </w:p>
          <w:p w14:paraId="3A31154C" w14:textId="6A5680DE" w:rsidR="00526C4D" w:rsidRPr="009E7EA6" w:rsidRDefault="00526C4D" w:rsidP="009E7EA6">
            <w:pPr>
              <w:jc w:val="both"/>
              <w:rPr>
                <w:rFonts w:ascii="Times New Roman" w:eastAsia="Calibri" w:hAnsi="Times New Roman" w:cs="Times New Roman"/>
                <w:iCs/>
                <w:sz w:val="18"/>
                <w:szCs w:val="18"/>
              </w:rPr>
            </w:pPr>
          </w:p>
        </w:tc>
        <w:tc>
          <w:tcPr>
            <w:tcW w:w="1070" w:type="dxa"/>
          </w:tcPr>
          <w:p w14:paraId="68273547" w14:textId="0F3E768C" w:rsidR="00526C4D" w:rsidRPr="009E7EA6" w:rsidRDefault="00526C4D" w:rsidP="009E7EA6">
            <w:pPr>
              <w:jc w:val="center"/>
              <w:rPr>
                <w:rFonts w:ascii="Times New Roman" w:eastAsia="Calibri" w:hAnsi="Times New Roman" w:cs="Times New Roman"/>
                <w:sz w:val="18"/>
                <w:szCs w:val="18"/>
              </w:rPr>
            </w:pPr>
          </w:p>
        </w:tc>
        <w:tc>
          <w:tcPr>
            <w:tcW w:w="720" w:type="dxa"/>
          </w:tcPr>
          <w:p w14:paraId="5DE13A5E" w14:textId="77777777" w:rsidR="00526C4D" w:rsidRPr="009E7EA6" w:rsidRDefault="00526C4D" w:rsidP="009E7EA6">
            <w:pPr>
              <w:jc w:val="center"/>
              <w:rPr>
                <w:rFonts w:ascii="Times New Roman" w:eastAsia="Calibri" w:hAnsi="Times New Roman" w:cs="Times New Roman"/>
                <w:sz w:val="18"/>
                <w:szCs w:val="18"/>
              </w:rPr>
            </w:pPr>
          </w:p>
          <w:p w14:paraId="217830CF" w14:textId="0DF1FE9C" w:rsidR="00526C4D" w:rsidRPr="009E7EA6" w:rsidRDefault="00526C4D" w:rsidP="009E7EA6">
            <w:pPr>
              <w:jc w:val="center"/>
              <w:rPr>
                <w:rFonts w:ascii="Times New Roman" w:eastAsia="Calibri" w:hAnsi="Times New Roman" w:cs="Times New Roman"/>
                <w:sz w:val="18"/>
                <w:szCs w:val="18"/>
              </w:rPr>
            </w:pPr>
          </w:p>
        </w:tc>
        <w:tc>
          <w:tcPr>
            <w:tcW w:w="4344" w:type="dxa"/>
            <w:tcBorders>
              <w:bottom w:val="dashed" w:sz="4" w:space="0" w:color="auto"/>
            </w:tcBorders>
          </w:tcPr>
          <w:p w14:paraId="7402432A" w14:textId="77777777" w:rsidR="00FE6522" w:rsidRPr="009E7EA6" w:rsidRDefault="00FE6522" w:rsidP="009E7EA6">
            <w:pPr>
              <w:jc w:val="center"/>
              <w:rPr>
                <w:rFonts w:ascii="Times New Roman" w:eastAsia="Calibri" w:hAnsi="Times New Roman" w:cs="Times New Roman"/>
                <w:b/>
                <w:sz w:val="18"/>
                <w:szCs w:val="18"/>
              </w:rPr>
            </w:pPr>
            <w:r w:rsidRPr="009E7EA6">
              <w:rPr>
                <w:rFonts w:ascii="Times New Roman" w:eastAsia="Calibri" w:hAnsi="Times New Roman" w:cs="Times New Roman"/>
                <w:b/>
                <w:sz w:val="18"/>
                <w:szCs w:val="18"/>
              </w:rPr>
              <w:t>Article 10</w:t>
            </w:r>
          </w:p>
          <w:p w14:paraId="15D796B3" w14:textId="77777777" w:rsidR="00FE6522" w:rsidRPr="009E7EA6" w:rsidRDefault="00FE6522" w:rsidP="009E7EA6">
            <w:pPr>
              <w:jc w:val="center"/>
              <w:rPr>
                <w:rFonts w:ascii="Times New Roman" w:eastAsia="Calibri" w:hAnsi="Times New Roman" w:cs="Times New Roman"/>
                <w:b/>
                <w:sz w:val="18"/>
                <w:szCs w:val="18"/>
              </w:rPr>
            </w:pPr>
            <w:r w:rsidRPr="009E7EA6">
              <w:rPr>
                <w:rFonts w:ascii="Times New Roman" w:eastAsia="Calibri" w:hAnsi="Times New Roman" w:cs="Times New Roman"/>
                <w:b/>
                <w:sz w:val="18"/>
                <w:szCs w:val="18"/>
              </w:rPr>
              <w:t>Automatic exchange of TTIR</w:t>
            </w:r>
          </w:p>
          <w:p w14:paraId="11F5086F" w14:textId="5D112062" w:rsidR="00FE6522" w:rsidRPr="009E7EA6" w:rsidRDefault="00FE6522" w:rsidP="009E7EA6">
            <w:pPr>
              <w:jc w:val="center"/>
              <w:rPr>
                <w:rFonts w:ascii="Times New Roman" w:eastAsia="Calibri" w:hAnsi="Times New Roman" w:cs="Times New Roman"/>
                <w:b/>
                <w:sz w:val="18"/>
                <w:szCs w:val="18"/>
              </w:rPr>
            </w:pPr>
          </w:p>
          <w:p w14:paraId="1AF536FD" w14:textId="0BD6C230" w:rsidR="00526C4D" w:rsidRPr="009E7EA6" w:rsidRDefault="00FE6522" w:rsidP="009E7EA6">
            <w:pPr>
              <w:jc w:val="both"/>
              <w:rPr>
                <w:rFonts w:ascii="Times New Roman" w:eastAsia="Calibri" w:hAnsi="Times New Roman" w:cs="Times New Roman"/>
                <w:sz w:val="18"/>
                <w:szCs w:val="18"/>
              </w:rPr>
            </w:pPr>
            <w:r w:rsidRPr="009E7EA6">
              <w:rPr>
                <w:rFonts w:ascii="Times New Roman" w:eastAsia="Calibri" w:hAnsi="Times New Roman" w:cs="Times New Roman"/>
                <w:sz w:val="18"/>
                <w:szCs w:val="18"/>
              </w:rPr>
              <w:t>3.</w:t>
            </w:r>
            <w:r w:rsidRPr="009E7EA6">
              <w:rPr>
                <w:rFonts w:ascii="Times New Roman" w:eastAsia="Calibri" w:hAnsi="Times New Roman" w:cs="Times New Roman"/>
                <w:sz w:val="18"/>
                <w:szCs w:val="18"/>
              </w:rPr>
              <w:tab/>
              <w:t xml:space="preserve">The TTIRs received after the filing deadline shall </w:t>
            </w:r>
            <w:r w:rsidR="00D15CBC" w:rsidRPr="009E7EA6">
              <w:rPr>
                <w:rFonts w:ascii="Times New Roman" w:eastAsia="Calibri" w:hAnsi="Times New Roman" w:cs="Times New Roman"/>
                <w:sz w:val="18"/>
                <w:szCs w:val="18"/>
              </w:rPr>
              <w:t xml:space="preserve">be communicated </w:t>
            </w:r>
            <w:r w:rsidRPr="009E7EA6">
              <w:rPr>
                <w:rFonts w:ascii="Times New Roman" w:eastAsia="Calibri" w:hAnsi="Times New Roman" w:cs="Times New Roman"/>
                <w:sz w:val="18"/>
                <w:szCs w:val="18"/>
              </w:rPr>
              <w:t>no later than 3 months from the date of their receipt.</w:t>
            </w:r>
          </w:p>
        </w:tc>
        <w:tc>
          <w:tcPr>
            <w:tcW w:w="1156" w:type="dxa"/>
            <w:tcBorders>
              <w:bottom w:val="dashed" w:sz="4" w:space="0" w:color="auto"/>
            </w:tcBorders>
          </w:tcPr>
          <w:p w14:paraId="4C4B4DD1" w14:textId="1A1E63AE" w:rsidR="00526C4D" w:rsidRPr="009E7EA6" w:rsidRDefault="00FB1120"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F</w:t>
            </w:r>
          </w:p>
        </w:tc>
        <w:tc>
          <w:tcPr>
            <w:tcW w:w="2960" w:type="dxa"/>
            <w:tcBorders>
              <w:bottom w:val="dashed" w:sz="4" w:space="0" w:color="auto"/>
            </w:tcBorders>
          </w:tcPr>
          <w:p w14:paraId="7FF536D2" w14:textId="30131ECC" w:rsidR="00526C4D" w:rsidRPr="009E7EA6" w:rsidRDefault="00526C4D" w:rsidP="009E7EA6">
            <w:pPr>
              <w:rPr>
                <w:rFonts w:ascii="Times New Roman" w:eastAsia="Calibri" w:hAnsi="Times New Roman" w:cs="Times New Roman"/>
                <w:sz w:val="18"/>
                <w:szCs w:val="18"/>
              </w:rPr>
            </w:pPr>
          </w:p>
        </w:tc>
      </w:tr>
      <w:tr w:rsidR="00526C4D" w:rsidRPr="009E7EA6" w14:paraId="05E7A252" w14:textId="77777777" w:rsidTr="009E7EA6">
        <w:trPr>
          <w:trHeight w:val="870"/>
        </w:trPr>
        <w:tc>
          <w:tcPr>
            <w:tcW w:w="805" w:type="dxa"/>
          </w:tcPr>
          <w:p w14:paraId="56054E51" w14:textId="1549FBFD" w:rsidR="00526C4D" w:rsidRPr="009E7EA6" w:rsidRDefault="00526C4D" w:rsidP="009E7EA6">
            <w:pPr>
              <w:jc w:val="both"/>
              <w:rPr>
                <w:rFonts w:ascii="Times New Roman" w:eastAsia="Calibri" w:hAnsi="Times New Roman" w:cs="Times New Roman"/>
                <w:sz w:val="18"/>
                <w:szCs w:val="18"/>
              </w:rPr>
            </w:pPr>
          </w:p>
        </w:tc>
        <w:tc>
          <w:tcPr>
            <w:tcW w:w="5140" w:type="dxa"/>
          </w:tcPr>
          <w:p w14:paraId="7CA0C0DA" w14:textId="77777777" w:rsidR="00526C4D" w:rsidRPr="009E7EA6" w:rsidRDefault="00526C4D" w:rsidP="009E7EA6">
            <w:pPr>
              <w:jc w:val="both"/>
              <w:rPr>
                <w:rFonts w:ascii="Times New Roman" w:eastAsia="Calibri" w:hAnsi="Times New Roman" w:cs="Times New Roman"/>
                <w:iCs/>
                <w:sz w:val="18"/>
                <w:szCs w:val="18"/>
              </w:rPr>
            </w:pPr>
          </w:p>
          <w:p w14:paraId="249A4F98" w14:textId="119C29DA"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5. The Commission shall adopt, by means of implementing acts, the necessary practical arrangements to facilitate the communication as referred to in paragraph 2 of this Article. Those implementing acts shall be adopted in accordance with the procedure referred to in Article 26(2).</w:t>
            </w:r>
          </w:p>
        </w:tc>
        <w:tc>
          <w:tcPr>
            <w:tcW w:w="1070" w:type="dxa"/>
          </w:tcPr>
          <w:p w14:paraId="59B66D4C" w14:textId="00B84A40" w:rsidR="00526C4D" w:rsidRPr="009E7EA6" w:rsidRDefault="00526C4D" w:rsidP="009E7EA6">
            <w:pPr>
              <w:jc w:val="both"/>
              <w:rPr>
                <w:rFonts w:ascii="Times New Roman" w:eastAsia="Calibri" w:hAnsi="Times New Roman" w:cs="Times New Roman"/>
                <w:sz w:val="18"/>
                <w:szCs w:val="18"/>
              </w:rPr>
            </w:pPr>
          </w:p>
        </w:tc>
        <w:tc>
          <w:tcPr>
            <w:tcW w:w="720" w:type="dxa"/>
          </w:tcPr>
          <w:p w14:paraId="5ABADC9F" w14:textId="662BA98F" w:rsidR="00526C4D" w:rsidRPr="009E7EA6" w:rsidRDefault="00526C4D"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 xml:space="preserve"> </w:t>
            </w:r>
          </w:p>
        </w:tc>
        <w:tc>
          <w:tcPr>
            <w:tcW w:w="4344" w:type="dxa"/>
            <w:tcBorders>
              <w:bottom w:val="dashed" w:sz="4" w:space="0" w:color="auto"/>
            </w:tcBorders>
          </w:tcPr>
          <w:p w14:paraId="3414BE79" w14:textId="77777777" w:rsidR="00526C4D" w:rsidRPr="009E7EA6" w:rsidRDefault="00526C4D" w:rsidP="009E7EA6">
            <w:pPr>
              <w:jc w:val="center"/>
              <w:rPr>
                <w:rFonts w:ascii="Times New Roman" w:hAnsi="Times New Roman" w:cs="Times New Roman"/>
                <w:sz w:val="18"/>
                <w:szCs w:val="18"/>
              </w:rPr>
            </w:pPr>
            <w:r w:rsidRPr="009E7EA6">
              <w:rPr>
                <w:rFonts w:ascii="Times New Roman" w:hAnsi="Times New Roman" w:cs="Times New Roman"/>
                <w:sz w:val="18"/>
                <w:szCs w:val="18"/>
              </w:rPr>
              <w:br/>
            </w:r>
          </w:p>
          <w:p w14:paraId="4DAEA1FE" w14:textId="1ADBF489" w:rsidR="00526C4D" w:rsidRPr="009E7EA6" w:rsidRDefault="00526C4D" w:rsidP="009E7EA6">
            <w:pPr>
              <w:rPr>
                <w:rFonts w:ascii="Times New Roman" w:eastAsia="Calibri" w:hAnsi="Times New Roman" w:cs="Times New Roman"/>
                <w:sz w:val="18"/>
                <w:szCs w:val="18"/>
              </w:rPr>
            </w:pPr>
            <w:r w:rsidRPr="009E7EA6">
              <w:rPr>
                <w:rFonts w:ascii="Times New Roman" w:eastAsia="Calibri" w:hAnsi="Times New Roman" w:cs="Times New Roman"/>
                <w:sz w:val="18"/>
                <w:szCs w:val="18"/>
              </w:rPr>
              <w:t>N/A</w:t>
            </w:r>
          </w:p>
        </w:tc>
        <w:tc>
          <w:tcPr>
            <w:tcW w:w="1156" w:type="dxa"/>
            <w:tcBorders>
              <w:bottom w:val="dashed" w:sz="4" w:space="0" w:color="auto"/>
            </w:tcBorders>
          </w:tcPr>
          <w:p w14:paraId="466B2E10" w14:textId="77777777" w:rsidR="00526C4D" w:rsidRPr="009E7EA6" w:rsidRDefault="00526C4D" w:rsidP="009E7EA6">
            <w:pPr>
              <w:jc w:val="center"/>
              <w:rPr>
                <w:rFonts w:ascii="Times New Roman" w:eastAsia="Calibri" w:hAnsi="Times New Roman" w:cs="Times New Roman"/>
                <w:sz w:val="18"/>
                <w:szCs w:val="18"/>
              </w:rPr>
            </w:pPr>
          </w:p>
          <w:p w14:paraId="6DD6B3FA" w14:textId="77777777" w:rsidR="00526C4D" w:rsidRPr="009E7EA6" w:rsidRDefault="00526C4D" w:rsidP="009E7EA6">
            <w:pPr>
              <w:jc w:val="center"/>
              <w:rPr>
                <w:rFonts w:ascii="Times New Roman" w:eastAsia="Calibri" w:hAnsi="Times New Roman" w:cs="Times New Roman"/>
                <w:sz w:val="18"/>
                <w:szCs w:val="18"/>
              </w:rPr>
            </w:pPr>
          </w:p>
          <w:p w14:paraId="3F896C22" w14:textId="54295277" w:rsidR="00526C4D" w:rsidRPr="009E7EA6" w:rsidRDefault="00FB1120"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N/A</w:t>
            </w:r>
          </w:p>
        </w:tc>
        <w:tc>
          <w:tcPr>
            <w:tcW w:w="2960" w:type="dxa"/>
            <w:tcBorders>
              <w:bottom w:val="dashed" w:sz="4" w:space="0" w:color="auto"/>
            </w:tcBorders>
          </w:tcPr>
          <w:p w14:paraId="76BFEABA" w14:textId="4DC75375" w:rsidR="00526C4D" w:rsidRPr="009E7EA6" w:rsidRDefault="00526C4D" w:rsidP="009E7EA6">
            <w:pPr>
              <w:rPr>
                <w:rFonts w:ascii="Times New Roman" w:eastAsia="Calibri" w:hAnsi="Times New Roman" w:cs="Times New Roman"/>
                <w:iCs/>
                <w:sz w:val="18"/>
                <w:szCs w:val="18"/>
              </w:rPr>
            </w:pPr>
          </w:p>
          <w:p w14:paraId="16062C8C" w14:textId="7D9B6057" w:rsidR="00526C4D" w:rsidRPr="009E7EA6" w:rsidRDefault="00FB1120" w:rsidP="009E7EA6">
            <w:pPr>
              <w:rPr>
                <w:rFonts w:ascii="Times New Roman" w:eastAsia="Calibri" w:hAnsi="Times New Roman" w:cs="Times New Roman"/>
                <w:sz w:val="18"/>
                <w:szCs w:val="18"/>
              </w:rPr>
            </w:pPr>
            <w:r w:rsidRPr="009E7EA6">
              <w:rPr>
                <w:rFonts w:ascii="Times New Roman" w:eastAsia="Calibri" w:hAnsi="Times New Roman" w:cs="Times New Roman"/>
                <w:sz w:val="18"/>
                <w:szCs w:val="18"/>
              </w:rPr>
              <w:t>The provision is addressed to the European Commission and, as such, does not require transposition into national law.</w:t>
            </w:r>
          </w:p>
        </w:tc>
      </w:tr>
      <w:tr w:rsidR="00526C4D" w:rsidRPr="009E7EA6" w14:paraId="69F77E82" w14:textId="77777777" w:rsidTr="009E7EA6">
        <w:tc>
          <w:tcPr>
            <w:tcW w:w="805" w:type="dxa"/>
          </w:tcPr>
          <w:p w14:paraId="69F19673" w14:textId="7B3D6D02" w:rsidR="00526C4D" w:rsidRPr="009E7EA6" w:rsidRDefault="00526C4D" w:rsidP="009E7EA6">
            <w:pPr>
              <w:jc w:val="both"/>
              <w:rPr>
                <w:rFonts w:ascii="Times New Roman" w:eastAsia="Calibri" w:hAnsi="Times New Roman" w:cs="Times New Roman"/>
                <w:sz w:val="18"/>
                <w:szCs w:val="18"/>
              </w:rPr>
            </w:pPr>
          </w:p>
        </w:tc>
        <w:tc>
          <w:tcPr>
            <w:tcW w:w="5140" w:type="dxa"/>
          </w:tcPr>
          <w:p w14:paraId="4D8B60BA" w14:textId="3F595D51" w:rsidR="00526C4D" w:rsidRPr="009E7EA6" w:rsidRDefault="00526C4D" w:rsidP="009E7EA6">
            <w:pPr>
              <w:jc w:val="both"/>
              <w:rPr>
                <w:rFonts w:ascii="Times New Roman" w:eastAsia="Calibri" w:hAnsi="Times New Roman" w:cs="Times New Roman"/>
                <w:iCs/>
                <w:sz w:val="18"/>
                <w:szCs w:val="18"/>
              </w:rPr>
            </w:pPr>
          </w:p>
          <w:p w14:paraId="7379828A" w14:textId="1319FFC2"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6. The Commission shall not have access to the information referred to in paragraph 2, points (a) to (c).</w:t>
            </w:r>
          </w:p>
        </w:tc>
        <w:tc>
          <w:tcPr>
            <w:tcW w:w="1070" w:type="dxa"/>
          </w:tcPr>
          <w:p w14:paraId="126B8A65" w14:textId="484EE591" w:rsidR="00526C4D" w:rsidRPr="009E7EA6" w:rsidRDefault="00526C4D" w:rsidP="009E7EA6">
            <w:pPr>
              <w:jc w:val="center"/>
              <w:rPr>
                <w:rFonts w:ascii="Times New Roman" w:eastAsia="Calibri" w:hAnsi="Times New Roman" w:cs="Times New Roman"/>
                <w:sz w:val="18"/>
                <w:szCs w:val="18"/>
              </w:rPr>
            </w:pPr>
          </w:p>
        </w:tc>
        <w:tc>
          <w:tcPr>
            <w:tcW w:w="720" w:type="dxa"/>
          </w:tcPr>
          <w:p w14:paraId="0340F7AD" w14:textId="77777777" w:rsidR="00526C4D" w:rsidRPr="009E7EA6" w:rsidRDefault="00526C4D" w:rsidP="009E7EA6">
            <w:pPr>
              <w:jc w:val="center"/>
              <w:rPr>
                <w:rFonts w:ascii="Times New Roman" w:eastAsia="Calibri" w:hAnsi="Times New Roman" w:cs="Times New Roman"/>
                <w:sz w:val="18"/>
                <w:szCs w:val="18"/>
              </w:rPr>
            </w:pPr>
          </w:p>
          <w:p w14:paraId="4F71CC44" w14:textId="56BB8142" w:rsidR="00526C4D" w:rsidRPr="009E7EA6" w:rsidRDefault="00526C4D" w:rsidP="009E7EA6">
            <w:pPr>
              <w:jc w:val="center"/>
              <w:rPr>
                <w:rFonts w:ascii="Times New Roman" w:eastAsia="Calibri" w:hAnsi="Times New Roman" w:cs="Times New Roman"/>
                <w:sz w:val="18"/>
                <w:szCs w:val="18"/>
              </w:rPr>
            </w:pPr>
          </w:p>
        </w:tc>
        <w:tc>
          <w:tcPr>
            <w:tcW w:w="4344" w:type="dxa"/>
          </w:tcPr>
          <w:p w14:paraId="60FD4A75" w14:textId="77777777" w:rsidR="00FE6522" w:rsidRPr="009E7EA6" w:rsidRDefault="00FE6522" w:rsidP="009E7EA6">
            <w:pPr>
              <w:jc w:val="center"/>
              <w:rPr>
                <w:rFonts w:ascii="Times New Roman" w:eastAsia="Calibri" w:hAnsi="Times New Roman" w:cs="Times New Roman"/>
                <w:b/>
                <w:sz w:val="18"/>
                <w:szCs w:val="18"/>
              </w:rPr>
            </w:pPr>
            <w:r w:rsidRPr="009E7EA6">
              <w:rPr>
                <w:rFonts w:ascii="Times New Roman" w:eastAsia="Calibri" w:hAnsi="Times New Roman" w:cs="Times New Roman"/>
                <w:b/>
                <w:sz w:val="18"/>
                <w:szCs w:val="18"/>
              </w:rPr>
              <w:t>Article 13</w:t>
            </w:r>
          </w:p>
          <w:p w14:paraId="3CF608F0" w14:textId="701E5DD1" w:rsidR="00526C4D" w:rsidRPr="009E7EA6" w:rsidRDefault="00FE6522" w:rsidP="009E7EA6">
            <w:pPr>
              <w:jc w:val="both"/>
              <w:rPr>
                <w:rFonts w:ascii="Times New Roman" w:eastAsia="Calibri" w:hAnsi="Times New Roman" w:cs="Times New Roman"/>
                <w:sz w:val="18"/>
                <w:szCs w:val="18"/>
              </w:rPr>
            </w:pPr>
            <w:r w:rsidRPr="009E7EA6">
              <w:rPr>
                <w:rFonts w:ascii="Times New Roman" w:eastAsia="Calibri" w:hAnsi="Times New Roman" w:cs="Times New Roman"/>
                <w:b/>
                <w:sz w:val="18"/>
                <w:szCs w:val="18"/>
              </w:rPr>
              <w:t>Permitted use, confidentiality and data protection</w:t>
            </w:r>
          </w:p>
          <w:p w14:paraId="5BB63C0C" w14:textId="2C61B413" w:rsidR="00526C4D" w:rsidRPr="009E7EA6" w:rsidRDefault="00FE6522" w:rsidP="009E7EA6">
            <w:pPr>
              <w:jc w:val="both"/>
              <w:rPr>
                <w:rFonts w:ascii="Times New Roman" w:eastAsia="Calibri" w:hAnsi="Times New Roman" w:cs="Times New Roman"/>
                <w:sz w:val="18"/>
                <w:szCs w:val="18"/>
              </w:rPr>
            </w:pPr>
            <w:r w:rsidRPr="009E7EA6">
              <w:rPr>
                <w:rFonts w:ascii="Times New Roman" w:eastAsia="Calibri" w:hAnsi="Times New Roman" w:cs="Times New Roman"/>
                <w:sz w:val="18"/>
                <w:szCs w:val="18"/>
              </w:rPr>
              <w:t>5.</w:t>
            </w:r>
            <w:r w:rsidRPr="009E7EA6">
              <w:rPr>
                <w:rFonts w:ascii="Times New Roman" w:eastAsia="Calibri" w:hAnsi="Times New Roman" w:cs="Times New Roman"/>
                <w:sz w:val="18"/>
                <w:szCs w:val="18"/>
              </w:rPr>
              <w:tab/>
              <w:t>The European Commission may have access only to such information and to the extent provided for under European Union law.</w:t>
            </w:r>
          </w:p>
        </w:tc>
        <w:tc>
          <w:tcPr>
            <w:tcW w:w="1156" w:type="dxa"/>
          </w:tcPr>
          <w:p w14:paraId="352AAE90" w14:textId="77777777" w:rsidR="00526C4D" w:rsidRPr="009E7EA6" w:rsidRDefault="00526C4D" w:rsidP="009E7EA6">
            <w:pPr>
              <w:jc w:val="center"/>
              <w:rPr>
                <w:rFonts w:ascii="Times New Roman" w:eastAsia="Calibri" w:hAnsi="Times New Roman" w:cs="Times New Roman"/>
                <w:sz w:val="18"/>
                <w:szCs w:val="18"/>
              </w:rPr>
            </w:pPr>
          </w:p>
          <w:p w14:paraId="792A6F0C" w14:textId="4CCBEAA2" w:rsidR="00526C4D" w:rsidRPr="009E7EA6" w:rsidRDefault="00FB1120"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F</w:t>
            </w:r>
          </w:p>
        </w:tc>
        <w:tc>
          <w:tcPr>
            <w:tcW w:w="2960" w:type="dxa"/>
          </w:tcPr>
          <w:p w14:paraId="6BF325A1" w14:textId="47A36095" w:rsidR="00526C4D" w:rsidRPr="009E7EA6" w:rsidRDefault="00526C4D" w:rsidP="009E7EA6">
            <w:pPr>
              <w:rPr>
                <w:rFonts w:ascii="Times New Roman" w:eastAsia="Calibri" w:hAnsi="Times New Roman" w:cs="Times New Roman"/>
                <w:sz w:val="18"/>
                <w:szCs w:val="18"/>
              </w:rPr>
            </w:pPr>
          </w:p>
        </w:tc>
      </w:tr>
      <w:tr w:rsidR="00526C4D" w:rsidRPr="009E7EA6" w14:paraId="602A0892" w14:textId="77777777" w:rsidTr="009E7EA6">
        <w:trPr>
          <w:trHeight w:val="900"/>
        </w:trPr>
        <w:tc>
          <w:tcPr>
            <w:tcW w:w="805" w:type="dxa"/>
          </w:tcPr>
          <w:p w14:paraId="176CFC32" w14:textId="7CC0D92E" w:rsidR="00526C4D" w:rsidRPr="009E7EA6" w:rsidRDefault="00526C4D" w:rsidP="009E7EA6">
            <w:pPr>
              <w:jc w:val="both"/>
              <w:rPr>
                <w:rFonts w:ascii="Times New Roman" w:eastAsia="Calibri" w:hAnsi="Times New Roman" w:cs="Times New Roman"/>
                <w:sz w:val="18"/>
                <w:szCs w:val="18"/>
              </w:rPr>
            </w:pPr>
          </w:p>
        </w:tc>
        <w:tc>
          <w:tcPr>
            <w:tcW w:w="5140" w:type="dxa"/>
          </w:tcPr>
          <w:p w14:paraId="37B59ACE" w14:textId="1556B32D" w:rsidR="00526C4D" w:rsidRPr="009E7EA6" w:rsidRDefault="00526C4D" w:rsidP="009E7EA6">
            <w:pPr>
              <w:jc w:val="both"/>
              <w:rPr>
                <w:rFonts w:ascii="Times New Roman" w:eastAsia="Calibri" w:hAnsi="Times New Roman" w:cs="Times New Roman"/>
                <w:iCs/>
                <w:sz w:val="18"/>
                <w:szCs w:val="18"/>
              </w:rPr>
            </w:pPr>
          </w:p>
          <w:p w14:paraId="7190058A" w14:textId="2F28556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7. The communication of information, as referred to in paragraphs 2, 3 and 4 of this Article, shall take place using the standard computerised format referred to in Article 20(4).’</w:t>
            </w:r>
          </w:p>
          <w:p w14:paraId="4B13DA69" w14:textId="3D3180D6"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w:t>
            </w:r>
          </w:p>
        </w:tc>
        <w:tc>
          <w:tcPr>
            <w:tcW w:w="1070" w:type="dxa"/>
          </w:tcPr>
          <w:p w14:paraId="08D27D38" w14:textId="022BD9E7" w:rsidR="00526C4D" w:rsidRPr="009E7EA6" w:rsidRDefault="00526C4D" w:rsidP="009E7EA6">
            <w:pPr>
              <w:jc w:val="center"/>
              <w:rPr>
                <w:rFonts w:ascii="Times New Roman" w:eastAsia="Calibri" w:hAnsi="Times New Roman" w:cs="Times New Roman"/>
                <w:sz w:val="18"/>
                <w:szCs w:val="18"/>
              </w:rPr>
            </w:pPr>
          </w:p>
        </w:tc>
        <w:tc>
          <w:tcPr>
            <w:tcW w:w="720" w:type="dxa"/>
          </w:tcPr>
          <w:p w14:paraId="30D921BA" w14:textId="77777777" w:rsidR="00526C4D" w:rsidRPr="009E7EA6" w:rsidRDefault="00526C4D" w:rsidP="009E7EA6">
            <w:pPr>
              <w:jc w:val="center"/>
              <w:rPr>
                <w:rFonts w:ascii="Times New Roman" w:eastAsia="Calibri" w:hAnsi="Times New Roman" w:cs="Times New Roman"/>
                <w:sz w:val="18"/>
                <w:szCs w:val="18"/>
              </w:rPr>
            </w:pPr>
          </w:p>
          <w:p w14:paraId="76515CA7" w14:textId="1928B325" w:rsidR="00526C4D" w:rsidRPr="009E7EA6" w:rsidRDefault="00526C4D" w:rsidP="009E7EA6">
            <w:pPr>
              <w:jc w:val="center"/>
              <w:rPr>
                <w:rFonts w:ascii="Times New Roman" w:eastAsia="Calibri" w:hAnsi="Times New Roman" w:cs="Times New Roman"/>
                <w:sz w:val="18"/>
                <w:szCs w:val="18"/>
              </w:rPr>
            </w:pPr>
          </w:p>
        </w:tc>
        <w:tc>
          <w:tcPr>
            <w:tcW w:w="4344" w:type="dxa"/>
            <w:tcBorders>
              <w:bottom w:val="dashed" w:sz="4" w:space="0" w:color="auto"/>
            </w:tcBorders>
          </w:tcPr>
          <w:p w14:paraId="0F312F5D" w14:textId="77777777" w:rsidR="00FE6522" w:rsidRPr="009E7EA6" w:rsidRDefault="00526C4D" w:rsidP="009E7EA6">
            <w:pPr>
              <w:spacing w:line="276" w:lineRule="auto"/>
              <w:jc w:val="center"/>
              <w:rPr>
                <w:rFonts w:ascii="Times New Roman" w:eastAsia="Calibri" w:hAnsi="Times New Roman" w:cs="Times New Roman"/>
                <w:b/>
                <w:sz w:val="18"/>
                <w:szCs w:val="18"/>
              </w:rPr>
            </w:pPr>
            <w:r w:rsidRPr="009E7EA6">
              <w:rPr>
                <w:rFonts w:ascii="Times New Roman" w:hAnsi="Times New Roman" w:cs="Times New Roman"/>
                <w:color w:val="000000" w:themeColor="text1"/>
                <w:sz w:val="18"/>
                <w:szCs w:val="18"/>
              </w:rPr>
              <w:br/>
            </w:r>
            <w:r w:rsidR="00FE6522" w:rsidRPr="009E7EA6">
              <w:rPr>
                <w:rFonts w:ascii="Times New Roman" w:eastAsia="Calibri" w:hAnsi="Times New Roman" w:cs="Times New Roman"/>
                <w:b/>
                <w:sz w:val="18"/>
                <w:szCs w:val="18"/>
              </w:rPr>
              <w:t>Article 8</w:t>
            </w:r>
          </w:p>
          <w:p w14:paraId="6CF2CB64" w14:textId="77777777" w:rsidR="00FE6522" w:rsidRPr="009E7EA6" w:rsidRDefault="00FE6522" w:rsidP="009E7EA6">
            <w:pPr>
              <w:spacing w:line="276" w:lineRule="auto"/>
              <w:jc w:val="center"/>
              <w:rPr>
                <w:rFonts w:ascii="Times New Roman" w:eastAsia="Calibri" w:hAnsi="Times New Roman" w:cs="Times New Roman"/>
                <w:b/>
                <w:sz w:val="18"/>
                <w:szCs w:val="18"/>
              </w:rPr>
            </w:pPr>
            <w:r w:rsidRPr="009E7EA6">
              <w:rPr>
                <w:rFonts w:ascii="Times New Roman" w:eastAsia="Calibri" w:hAnsi="Times New Roman" w:cs="Times New Roman"/>
                <w:b/>
                <w:sz w:val="18"/>
                <w:szCs w:val="18"/>
              </w:rPr>
              <w:t>Form, language, currency and filing channel</w:t>
            </w:r>
          </w:p>
          <w:p w14:paraId="3971AC8C" w14:textId="77777777" w:rsidR="00FE6522" w:rsidRPr="009E7EA6" w:rsidRDefault="00FE6522" w:rsidP="009E7EA6">
            <w:pPr>
              <w:spacing w:line="276" w:lineRule="auto"/>
              <w:jc w:val="both"/>
              <w:rPr>
                <w:rFonts w:ascii="Times New Roman" w:eastAsia="Calibri" w:hAnsi="Times New Roman" w:cs="Times New Roman"/>
                <w:sz w:val="18"/>
                <w:szCs w:val="18"/>
              </w:rPr>
            </w:pPr>
            <w:r w:rsidRPr="009E7EA6">
              <w:rPr>
                <w:rFonts w:ascii="Times New Roman" w:eastAsia="Calibri" w:hAnsi="Times New Roman" w:cs="Times New Roman"/>
                <w:b/>
                <w:sz w:val="18"/>
                <w:szCs w:val="18"/>
              </w:rPr>
              <w:t>1.</w:t>
            </w:r>
            <w:r w:rsidRPr="009E7EA6">
              <w:rPr>
                <w:rFonts w:ascii="Times New Roman" w:eastAsia="Calibri" w:hAnsi="Times New Roman" w:cs="Times New Roman"/>
                <w:b/>
                <w:sz w:val="18"/>
                <w:szCs w:val="18"/>
              </w:rPr>
              <w:tab/>
            </w:r>
            <w:r w:rsidRPr="009E7EA6">
              <w:rPr>
                <w:rFonts w:ascii="Times New Roman" w:eastAsia="Calibri" w:hAnsi="Times New Roman" w:cs="Times New Roman"/>
                <w:sz w:val="18"/>
                <w:szCs w:val="18"/>
              </w:rPr>
              <w:t xml:space="preserve">TTIR shall be filed exclusively in electronic form through the electronic system designated for this purpose by the General Directorate of Taxation. </w:t>
            </w:r>
          </w:p>
          <w:p w14:paraId="58F53C04" w14:textId="2B67E3AD" w:rsidR="00FE6522" w:rsidRPr="009E7EA6" w:rsidRDefault="00FE6522" w:rsidP="009E7EA6">
            <w:pPr>
              <w:spacing w:line="276" w:lineRule="auto"/>
              <w:jc w:val="both"/>
              <w:rPr>
                <w:rFonts w:ascii="Times New Roman" w:eastAsia="Calibri" w:hAnsi="Times New Roman" w:cs="Times New Roman"/>
                <w:sz w:val="18"/>
                <w:szCs w:val="18"/>
              </w:rPr>
            </w:pPr>
            <w:r w:rsidRPr="009E7EA6">
              <w:rPr>
                <w:rFonts w:ascii="Times New Roman" w:eastAsia="Calibri" w:hAnsi="Times New Roman" w:cs="Times New Roman"/>
                <w:sz w:val="18"/>
                <w:szCs w:val="18"/>
              </w:rPr>
              <w:t>2.</w:t>
            </w:r>
            <w:r w:rsidRPr="009E7EA6">
              <w:rPr>
                <w:rFonts w:ascii="Times New Roman" w:eastAsia="Calibri" w:hAnsi="Times New Roman" w:cs="Times New Roman"/>
                <w:sz w:val="18"/>
                <w:szCs w:val="18"/>
              </w:rPr>
              <w:tab/>
              <w:t xml:space="preserve">TTIR shall be submitted in the Albanian language. </w:t>
            </w:r>
            <w:r w:rsidR="009432E4" w:rsidRPr="009E7EA6">
              <w:rPr>
                <w:rFonts w:ascii="Times New Roman" w:eastAsia="Calibri" w:hAnsi="Times New Roman" w:cs="Times New Roman"/>
                <w:sz w:val="18"/>
                <w:szCs w:val="18"/>
              </w:rPr>
              <w:t>T</w:t>
            </w:r>
            <w:r w:rsidRPr="009E7EA6">
              <w:rPr>
                <w:rFonts w:ascii="Times New Roman" w:eastAsia="Calibri" w:hAnsi="Times New Roman" w:cs="Times New Roman"/>
                <w:sz w:val="18"/>
                <w:szCs w:val="18"/>
              </w:rPr>
              <w:t>he structural data elements, including technical labels, XML schemas, controlled values, field codes, attribute names and any other technical element required by the technical specifications and standards of the European Union, are presented in the English language to the extent determined by the decision of the Council of Ministers</w:t>
            </w:r>
            <w:r w:rsidR="009432E4" w:rsidRPr="009E7EA6">
              <w:rPr>
                <w:rFonts w:ascii="Times New Roman" w:eastAsia="Calibri" w:hAnsi="Times New Roman" w:cs="Times New Roman"/>
                <w:sz w:val="18"/>
                <w:szCs w:val="18"/>
              </w:rPr>
              <w:t xml:space="preserve"> issued pursuant to this law</w:t>
            </w:r>
            <w:r w:rsidRPr="009E7EA6">
              <w:rPr>
                <w:rFonts w:ascii="Times New Roman" w:eastAsia="Calibri" w:hAnsi="Times New Roman" w:cs="Times New Roman"/>
                <w:sz w:val="18"/>
                <w:szCs w:val="18"/>
              </w:rPr>
              <w:t xml:space="preserve"> and the relevant specifications of the European Commission. </w:t>
            </w:r>
          </w:p>
          <w:p w14:paraId="530C5864" w14:textId="101D0AB2" w:rsidR="00FE6522" w:rsidRPr="009E7EA6" w:rsidRDefault="00FE6522" w:rsidP="009E7EA6">
            <w:pPr>
              <w:spacing w:line="276" w:lineRule="auto"/>
              <w:jc w:val="both"/>
              <w:rPr>
                <w:rFonts w:ascii="Times New Roman" w:eastAsia="Calibri" w:hAnsi="Times New Roman" w:cs="Times New Roman"/>
                <w:sz w:val="18"/>
                <w:szCs w:val="18"/>
              </w:rPr>
            </w:pPr>
            <w:r w:rsidRPr="009E7EA6">
              <w:rPr>
                <w:rFonts w:ascii="Times New Roman" w:eastAsia="Calibri" w:hAnsi="Times New Roman" w:cs="Times New Roman"/>
                <w:sz w:val="18"/>
                <w:szCs w:val="18"/>
              </w:rPr>
              <w:t>3.</w:t>
            </w:r>
            <w:r w:rsidRPr="009E7EA6">
              <w:rPr>
                <w:rFonts w:ascii="Times New Roman" w:eastAsia="Calibri" w:hAnsi="Times New Roman" w:cs="Times New Roman"/>
                <w:sz w:val="18"/>
                <w:szCs w:val="18"/>
              </w:rPr>
              <w:tab/>
              <w:t xml:space="preserve">Monetary amounts shall be reported in the currency used in the consolidated financial statements for the preparation of the TTIR. </w:t>
            </w:r>
            <w:r w:rsidR="0042786A" w:rsidRPr="009E7EA6">
              <w:rPr>
                <w:rFonts w:ascii="Times New Roman" w:eastAsia="Calibri" w:hAnsi="Times New Roman" w:cs="Times New Roman"/>
                <w:sz w:val="18"/>
                <w:szCs w:val="18"/>
              </w:rPr>
              <w:t>In cases w</w:t>
            </w:r>
            <w:r w:rsidRPr="009E7EA6">
              <w:rPr>
                <w:rFonts w:ascii="Times New Roman" w:eastAsia="Calibri" w:hAnsi="Times New Roman" w:cs="Times New Roman"/>
                <w:sz w:val="18"/>
                <w:szCs w:val="18"/>
              </w:rPr>
              <w:t xml:space="preserve">here currency conversion is required, it shall be carried out in accordance with the rules laid down in the implementing </w:t>
            </w:r>
            <w:r w:rsidRPr="009E7EA6">
              <w:rPr>
                <w:rFonts w:ascii="Times New Roman" w:eastAsia="Calibri" w:hAnsi="Times New Roman" w:cs="Times New Roman"/>
                <w:sz w:val="18"/>
                <w:szCs w:val="18"/>
              </w:rPr>
              <w:lastRenderedPageBreak/>
              <w:t xml:space="preserve">acts of the European Union and/or the international standards referred to therein. </w:t>
            </w:r>
          </w:p>
          <w:p w14:paraId="2A5C5DAB" w14:textId="5BA8C28C" w:rsidR="00526C4D" w:rsidRPr="009E7EA6" w:rsidRDefault="00FE6522" w:rsidP="009E7EA6">
            <w:pPr>
              <w:spacing w:line="276" w:lineRule="auto"/>
              <w:jc w:val="both"/>
              <w:rPr>
                <w:rFonts w:ascii="Times New Roman" w:eastAsia="Calibri" w:hAnsi="Times New Roman" w:cs="Times New Roman"/>
                <w:sz w:val="18"/>
                <w:szCs w:val="18"/>
              </w:rPr>
            </w:pPr>
            <w:r w:rsidRPr="009E7EA6">
              <w:rPr>
                <w:rFonts w:ascii="Times New Roman" w:eastAsia="Calibri" w:hAnsi="Times New Roman" w:cs="Times New Roman"/>
                <w:sz w:val="18"/>
                <w:szCs w:val="18"/>
              </w:rPr>
              <w:t>4.</w:t>
            </w:r>
            <w:r w:rsidRPr="009E7EA6">
              <w:rPr>
                <w:rFonts w:ascii="Times New Roman" w:eastAsia="Calibri" w:hAnsi="Times New Roman" w:cs="Times New Roman"/>
                <w:sz w:val="18"/>
                <w:szCs w:val="18"/>
              </w:rPr>
              <w:tab/>
              <w:t xml:space="preserve">In the event of inconsistency between the provisions of this Law and the technical specifications of the electronic format approved at the level of the European Union, the technical specifications and the electronic format approved </w:t>
            </w:r>
            <w:r w:rsidR="0042786A" w:rsidRPr="009E7EA6">
              <w:rPr>
                <w:rFonts w:ascii="Times New Roman" w:eastAsia="Calibri" w:hAnsi="Times New Roman" w:cs="Times New Roman"/>
                <w:sz w:val="18"/>
                <w:szCs w:val="18"/>
              </w:rPr>
              <w:t>by</w:t>
            </w:r>
            <w:r w:rsidRPr="009E7EA6">
              <w:rPr>
                <w:rFonts w:ascii="Times New Roman" w:eastAsia="Calibri" w:hAnsi="Times New Roman" w:cs="Times New Roman"/>
                <w:sz w:val="18"/>
                <w:szCs w:val="18"/>
              </w:rPr>
              <w:t xml:space="preserve"> the European Union shall prevail. </w:t>
            </w:r>
          </w:p>
        </w:tc>
        <w:tc>
          <w:tcPr>
            <w:tcW w:w="1156" w:type="dxa"/>
            <w:tcBorders>
              <w:bottom w:val="dashed" w:sz="4" w:space="0" w:color="auto"/>
            </w:tcBorders>
          </w:tcPr>
          <w:p w14:paraId="1ADB1BA9" w14:textId="77777777" w:rsidR="00526C4D" w:rsidRPr="009E7EA6" w:rsidRDefault="00526C4D" w:rsidP="009E7EA6">
            <w:pPr>
              <w:jc w:val="center"/>
              <w:rPr>
                <w:rFonts w:ascii="Times New Roman" w:eastAsia="Calibri" w:hAnsi="Times New Roman" w:cs="Times New Roman"/>
                <w:sz w:val="18"/>
                <w:szCs w:val="18"/>
              </w:rPr>
            </w:pPr>
          </w:p>
          <w:p w14:paraId="34822B49" w14:textId="45F51A99" w:rsidR="00526C4D" w:rsidRPr="009E7EA6" w:rsidRDefault="00FB1120"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F</w:t>
            </w:r>
          </w:p>
        </w:tc>
        <w:tc>
          <w:tcPr>
            <w:tcW w:w="2960" w:type="dxa"/>
            <w:tcBorders>
              <w:bottom w:val="dashed" w:sz="4" w:space="0" w:color="auto"/>
            </w:tcBorders>
          </w:tcPr>
          <w:p w14:paraId="00C351E9" w14:textId="2CE1D3DD" w:rsidR="00526C4D" w:rsidRPr="009E7EA6" w:rsidRDefault="00526C4D" w:rsidP="009E7EA6">
            <w:pPr>
              <w:rPr>
                <w:rFonts w:ascii="Times New Roman" w:eastAsia="Calibri" w:hAnsi="Times New Roman" w:cs="Times New Roman"/>
                <w:sz w:val="18"/>
                <w:szCs w:val="18"/>
              </w:rPr>
            </w:pPr>
          </w:p>
        </w:tc>
      </w:tr>
      <w:tr w:rsidR="00526C4D" w:rsidRPr="009E7EA6" w14:paraId="7AB48AF4" w14:textId="77777777" w:rsidTr="009E7EA6">
        <w:tc>
          <w:tcPr>
            <w:tcW w:w="805" w:type="dxa"/>
          </w:tcPr>
          <w:p w14:paraId="796E7F23" w14:textId="465E4252" w:rsidR="00526C4D" w:rsidRPr="009E7EA6" w:rsidRDefault="00526C4D" w:rsidP="009E7EA6">
            <w:pPr>
              <w:jc w:val="both"/>
              <w:rPr>
                <w:rFonts w:ascii="Times New Roman" w:eastAsia="Calibri" w:hAnsi="Times New Roman" w:cs="Times New Roman"/>
                <w:sz w:val="18"/>
                <w:szCs w:val="18"/>
              </w:rPr>
            </w:pPr>
          </w:p>
        </w:tc>
        <w:tc>
          <w:tcPr>
            <w:tcW w:w="5140" w:type="dxa"/>
            <w:tcBorders>
              <w:bottom w:val="single" w:sz="4" w:space="0" w:color="auto"/>
            </w:tcBorders>
          </w:tcPr>
          <w:p w14:paraId="7924E578" w14:textId="5C831B52" w:rsidR="00526C4D" w:rsidRPr="009E7EA6" w:rsidRDefault="00526C4D" w:rsidP="009E7EA6">
            <w:pPr>
              <w:shd w:val="clear" w:color="auto" w:fill="FFFFFF"/>
              <w:spacing w:before="120"/>
              <w:jc w:val="center"/>
              <w:rPr>
                <w:rFonts w:ascii="Times New Roman" w:eastAsia="Calibri" w:hAnsi="Times New Roman" w:cs="Times New Roman"/>
                <w:b/>
                <w:iCs/>
                <w:sz w:val="18"/>
                <w:szCs w:val="18"/>
              </w:rPr>
            </w:pPr>
            <w:r w:rsidRPr="009E7EA6">
              <w:rPr>
                <w:rFonts w:ascii="Times New Roman" w:eastAsia="Calibri" w:hAnsi="Times New Roman" w:cs="Times New Roman"/>
                <w:b/>
                <w:iCs/>
                <w:sz w:val="18"/>
                <w:szCs w:val="18"/>
              </w:rPr>
              <w:t>Article 8b</w:t>
            </w:r>
          </w:p>
          <w:p w14:paraId="4653DD56" w14:textId="670240F6" w:rsidR="00526C4D" w:rsidRPr="009E7EA6" w:rsidRDefault="00526C4D" w:rsidP="009E7EA6">
            <w:pPr>
              <w:shd w:val="clear" w:color="auto" w:fill="FFFFFF"/>
              <w:spacing w:before="120"/>
              <w:jc w:val="center"/>
              <w:rPr>
                <w:rFonts w:ascii="Times New Roman" w:eastAsia="Calibri" w:hAnsi="Times New Roman" w:cs="Times New Roman"/>
                <w:b/>
                <w:iCs/>
                <w:sz w:val="18"/>
                <w:szCs w:val="18"/>
              </w:rPr>
            </w:pPr>
            <w:r w:rsidRPr="009E7EA6">
              <w:rPr>
                <w:rFonts w:ascii="Times New Roman" w:eastAsia="Calibri" w:hAnsi="Times New Roman" w:cs="Times New Roman"/>
                <w:b/>
                <w:iCs/>
                <w:sz w:val="18"/>
                <w:szCs w:val="18"/>
              </w:rPr>
              <w:t>Statistics on automatic exchanges</w:t>
            </w:r>
          </w:p>
          <w:p w14:paraId="1A5F002A" w14:textId="77777777" w:rsidR="00526C4D" w:rsidRPr="009E7EA6" w:rsidRDefault="00526C4D" w:rsidP="009E7EA6">
            <w:pPr>
              <w:shd w:val="clear" w:color="auto" w:fill="FFFFFF"/>
              <w:spacing w:before="120"/>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Member States shall provide the Commission on an annual basis with statistics on the volume of automatic exchanges under Articles 8(1), 8(3a), 8aa, 8ac and 8ae and with information on the administrative and other relevant costs and benefits relating to exchanges that have taken place and any potential changes, for both tax administrations and third parties.’</w:t>
            </w:r>
          </w:p>
          <w:p w14:paraId="49960F84" w14:textId="77777777" w:rsidR="00526C4D" w:rsidRPr="009E7EA6" w:rsidRDefault="00526C4D" w:rsidP="009E7EA6">
            <w:pPr>
              <w:shd w:val="clear" w:color="auto" w:fill="FFFFFF"/>
              <w:spacing w:before="120"/>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w:t>
            </w:r>
          </w:p>
          <w:p w14:paraId="1CDE2701" w14:textId="77777777" w:rsidR="00526C4D" w:rsidRPr="009E7EA6" w:rsidRDefault="00526C4D" w:rsidP="009E7EA6">
            <w:pPr>
              <w:shd w:val="clear" w:color="auto" w:fill="FFFFFF"/>
              <w:spacing w:before="120"/>
              <w:jc w:val="both"/>
              <w:rPr>
                <w:rFonts w:ascii="Times New Roman" w:eastAsia="Calibri" w:hAnsi="Times New Roman" w:cs="Times New Roman"/>
                <w:iCs/>
                <w:sz w:val="18"/>
                <w:szCs w:val="18"/>
              </w:rPr>
            </w:pPr>
          </w:p>
          <w:p w14:paraId="1F105BED" w14:textId="683B795E" w:rsidR="00526C4D" w:rsidRPr="009E7EA6" w:rsidRDefault="00526C4D" w:rsidP="009E7EA6">
            <w:pPr>
              <w:shd w:val="clear" w:color="auto" w:fill="FFFFFF"/>
              <w:spacing w:before="120"/>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(5)the following article is inserted:</w:t>
            </w:r>
          </w:p>
        </w:tc>
        <w:tc>
          <w:tcPr>
            <w:tcW w:w="1070" w:type="dxa"/>
            <w:tcBorders>
              <w:bottom w:val="single" w:sz="4" w:space="0" w:color="auto"/>
            </w:tcBorders>
          </w:tcPr>
          <w:p w14:paraId="3E152E78" w14:textId="127DB0ED" w:rsidR="00526C4D" w:rsidRPr="009E7EA6" w:rsidRDefault="00526C4D" w:rsidP="009E7EA6">
            <w:pPr>
              <w:jc w:val="center"/>
              <w:rPr>
                <w:rFonts w:ascii="Times New Roman" w:eastAsia="Calibri" w:hAnsi="Times New Roman" w:cs="Times New Roman"/>
                <w:sz w:val="18"/>
                <w:szCs w:val="18"/>
                <w:highlight w:val="yellow"/>
              </w:rPr>
            </w:pPr>
          </w:p>
        </w:tc>
        <w:tc>
          <w:tcPr>
            <w:tcW w:w="720" w:type="dxa"/>
            <w:tcBorders>
              <w:bottom w:val="single" w:sz="4" w:space="0" w:color="auto"/>
            </w:tcBorders>
          </w:tcPr>
          <w:p w14:paraId="7F741FD9" w14:textId="77777777" w:rsidR="00526C4D" w:rsidRPr="009E7EA6" w:rsidRDefault="00526C4D" w:rsidP="009E7EA6">
            <w:pPr>
              <w:jc w:val="center"/>
              <w:rPr>
                <w:rFonts w:ascii="Times New Roman" w:eastAsia="Calibri" w:hAnsi="Times New Roman" w:cs="Times New Roman"/>
                <w:sz w:val="18"/>
                <w:szCs w:val="18"/>
                <w:highlight w:val="yellow"/>
              </w:rPr>
            </w:pPr>
          </w:p>
          <w:p w14:paraId="0152B602" w14:textId="5B7BE209" w:rsidR="00526C4D" w:rsidRPr="009E7EA6" w:rsidRDefault="00526C4D" w:rsidP="009E7EA6">
            <w:pPr>
              <w:jc w:val="center"/>
              <w:rPr>
                <w:rFonts w:ascii="Times New Roman" w:eastAsia="Calibri" w:hAnsi="Times New Roman" w:cs="Times New Roman"/>
                <w:sz w:val="18"/>
                <w:szCs w:val="18"/>
                <w:highlight w:val="yellow"/>
              </w:rPr>
            </w:pPr>
          </w:p>
        </w:tc>
        <w:tc>
          <w:tcPr>
            <w:tcW w:w="4344" w:type="dxa"/>
            <w:tcBorders>
              <w:bottom w:val="single" w:sz="4" w:space="0" w:color="auto"/>
            </w:tcBorders>
          </w:tcPr>
          <w:p w14:paraId="24F6B754" w14:textId="77777777" w:rsidR="00526C4D" w:rsidRPr="009E7EA6" w:rsidRDefault="00526C4D" w:rsidP="009E7EA6">
            <w:pPr>
              <w:jc w:val="center"/>
              <w:rPr>
                <w:rFonts w:ascii="Times New Roman" w:hAnsi="Times New Roman" w:cs="Times New Roman"/>
                <w:color w:val="000000" w:themeColor="text1"/>
                <w:sz w:val="18"/>
                <w:szCs w:val="18"/>
                <w:highlight w:val="yellow"/>
              </w:rPr>
            </w:pPr>
          </w:p>
          <w:p w14:paraId="679631EA" w14:textId="77777777" w:rsidR="00FE6522" w:rsidRPr="009E7EA6" w:rsidRDefault="00FE6522" w:rsidP="009E7EA6">
            <w:pPr>
              <w:jc w:val="center"/>
              <w:rPr>
                <w:rFonts w:ascii="Times New Roman" w:hAnsi="Times New Roman" w:cs="Times New Roman"/>
                <w:b/>
                <w:color w:val="000000" w:themeColor="text1"/>
                <w:sz w:val="18"/>
                <w:szCs w:val="18"/>
              </w:rPr>
            </w:pPr>
            <w:r w:rsidRPr="009E7EA6">
              <w:rPr>
                <w:rFonts w:ascii="Times New Roman" w:hAnsi="Times New Roman" w:cs="Times New Roman"/>
                <w:b/>
                <w:color w:val="000000" w:themeColor="text1"/>
                <w:sz w:val="18"/>
                <w:szCs w:val="18"/>
              </w:rPr>
              <w:t>Article 13</w:t>
            </w:r>
          </w:p>
          <w:p w14:paraId="47374E8F" w14:textId="5FCF4177" w:rsidR="00526C4D" w:rsidRPr="009E7EA6" w:rsidRDefault="00FE6522" w:rsidP="009E7EA6">
            <w:pPr>
              <w:jc w:val="center"/>
              <w:rPr>
                <w:rFonts w:ascii="Times New Roman" w:hAnsi="Times New Roman" w:cs="Times New Roman"/>
                <w:b/>
                <w:color w:val="000000" w:themeColor="text1"/>
                <w:sz w:val="18"/>
                <w:szCs w:val="18"/>
              </w:rPr>
            </w:pPr>
            <w:r w:rsidRPr="009E7EA6">
              <w:rPr>
                <w:rFonts w:ascii="Times New Roman" w:hAnsi="Times New Roman" w:cs="Times New Roman"/>
                <w:b/>
                <w:color w:val="000000" w:themeColor="text1"/>
                <w:sz w:val="18"/>
                <w:szCs w:val="18"/>
              </w:rPr>
              <w:t>Permitted use, confidentiality and data protection</w:t>
            </w:r>
          </w:p>
          <w:p w14:paraId="2D0F65B2" w14:textId="77777777" w:rsidR="00FE6522" w:rsidRPr="009E7EA6" w:rsidRDefault="00FE6522" w:rsidP="009E7EA6">
            <w:pPr>
              <w:jc w:val="center"/>
              <w:rPr>
                <w:rFonts w:ascii="Times New Roman" w:hAnsi="Times New Roman" w:cs="Times New Roman"/>
                <w:b/>
                <w:color w:val="000000" w:themeColor="text1"/>
                <w:sz w:val="18"/>
                <w:szCs w:val="18"/>
                <w:highlight w:val="yellow"/>
              </w:rPr>
            </w:pPr>
          </w:p>
          <w:p w14:paraId="5D1D16DC" w14:textId="53B36784" w:rsidR="00526C4D" w:rsidRPr="009E7EA6" w:rsidRDefault="00526C4D" w:rsidP="009E7EA6">
            <w:pPr>
              <w:spacing w:line="276" w:lineRule="auto"/>
              <w:rPr>
                <w:rFonts w:ascii="Times New Roman" w:eastAsia="Calibri" w:hAnsi="Times New Roman" w:cs="Times New Roman"/>
                <w:sz w:val="18"/>
                <w:szCs w:val="18"/>
                <w:highlight w:val="yellow"/>
              </w:rPr>
            </w:pPr>
            <w:r w:rsidRPr="009E7EA6">
              <w:rPr>
                <w:rFonts w:ascii="Times New Roman" w:eastAsia="Calibri" w:hAnsi="Times New Roman" w:cs="Times New Roman"/>
                <w:sz w:val="18"/>
                <w:szCs w:val="18"/>
              </w:rPr>
              <w:t xml:space="preserve"> </w:t>
            </w:r>
            <w:r w:rsidR="00FE6522" w:rsidRPr="009E7EA6">
              <w:rPr>
                <w:rFonts w:ascii="Times New Roman" w:eastAsia="Calibri" w:hAnsi="Times New Roman" w:cs="Times New Roman"/>
                <w:sz w:val="18"/>
                <w:szCs w:val="18"/>
              </w:rPr>
              <w:t>6.</w:t>
            </w:r>
            <w:r w:rsidR="00FE6522" w:rsidRPr="009E7EA6">
              <w:rPr>
                <w:rFonts w:ascii="Times New Roman" w:eastAsia="Calibri" w:hAnsi="Times New Roman" w:cs="Times New Roman"/>
                <w:sz w:val="18"/>
                <w:szCs w:val="18"/>
              </w:rPr>
              <w:tab/>
              <w:t>The General Directorate of Taxation shall annually compile statistics on the volume of automatic exchanges of information, as well as information on the administrative and other relevant costs, the benefits arising from such exchanges, and any potential changes resulting therefrom, both for the tax administration and for third parties.</w:t>
            </w:r>
          </w:p>
        </w:tc>
        <w:tc>
          <w:tcPr>
            <w:tcW w:w="1156" w:type="dxa"/>
            <w:tcBorders>
              <w:bottom w:val="single" w:sz="4" w:space="0" w:color="auto"/>
            </w:tcBorders>
          </w:tcPr>
          <w:p w14:paraId="53345587" w14:textId="77777777" w:rsidR="00526C4D" w:rsidRPr="009E7EA6" w:rsidRDefault="00526C4D" w:rsidP="009E7EA6">
            <w:pPr>
              <w:jc w:val="center"/>
              <w:rPr>
                <w:rFonts w:ascii="Times New Roman" w:eastAsia="Calibri" w:hAnsi="Times New Roman" w:cs="Times New Roman"/>
                <w:sz w:val="18"/>
                <w:szCs w:val="18"/>
              </w:rPr>
            </w:pPr>
          </w:p>
          <w:p w14:paraId="4002CF3D" w14:textId="670A3FF0" w:rsidR="00526C4D" w:rsidRPr="009E7EA6" w:rsidRDefault="00FB1120" w:rsidP="009E7EA6">
            <w:pPr>
              <w:jc w:val="center"/>
              <w:rPr>
                <w:rFonts w:ascii="Times New Roman" w:eastAsia="Calibri" w:hAnsi="Times New Roman" w:cs="Times New Roman"/>
                <w:sz w:val="18"/>
                <w:szCs w:val="18"/>
                <w:highlight w:val="yellow"/>
              </w:rPr>
            </w:pPr>
            <w:r w:rsidRPr="009E7EA6">
              <w:rPr>
                <w:rFonts w:ascii="Times New Roman" w:eastAsia="Calibri" w:hAnsi="Times New Roman" w:cs="Times New Roman"/>
                <w:sz w:val="18"/>
                <w:szCs w:val="18"/>
              </w:rPr>
              <w:t>F</w:t>
            </w:r>
          </w:p>
        </w:tc>
        <w:tc>
          <w:tcPr>
            <w:tcW w:w="2960" w:type="dxa"/>
            <w:tcBorders>
              <w:bottom w:val="single" w:sz="4" w:space="0" w:color="auto"/>
            </w:tcBorders>
          </w:tcPr>
          <w:p w14:paraId="46D529E2" w14:textId="0A5763DF" w:rsidR="00526C4D" w:rsidRPr="009E7EA6" w:rsidRDefault="00526C4D" w:rsidP="009E7EA6">
            <w:pPr>
              <w:rPr>
                <w:rFonts w:ascii="Times New Roman" w:eastAsia="Calibri" w:hAnsi="Times New Roman" w:cs="Times New Roman"/>
                <w:sz w:val="18"/>
                <w:szCs w:val="18"/>
                <w:highlight w:val="yellow"/>
              </w:rPr>
            </w:pPr>
          </w:p>
        </w:tc>
      </w:tr>
      <w:tr w:rsidR="00526C4D" w:rsidRPr="009E7EA6" w14:paraId="26A635EE" w14:textId="77777777" w:rsidTr="009E7EA6">
        <w:trPr>
          <w:trHeight w:val="1875"/>
        </w:trPr>
        <w:tc>
          <w:tcPr>
            <w:tcW w:w="805" w:type="dxa"/>
          </w:tcPr>
          <w:p w14:paraId="37347107" w14:textId="4D5D7C68" w:rsidR="00526C4D" w:rsidRPr="009E7EA6" w:rsidRDefault="00526C4D" w:rsidP="009E7EA6">
            <w:pPr>
              <w:jc w:val="both"/>
              <w:rPr>
                <w:rFonts w:ascii="Times New Roman" w:eastAsia="Calibri" w:hAnsi="Times New Roman" w:cs="Times New Roman"/>
                <w:sz w:val="18"/>
                <w:szCs w:val="18"/>
              </w:rPr>
            </w:pPr>
          </w:p>
        </w:tc>
        <w:tc>
          <w:tcPr>
            <w:tcW w:w="5140" w:type="dxa"/>
            <w:tcBorders>
              <w:bottom w:val="single" w:sz="4" w:space="0" w:color="auto"/>
            </w:tcBorders>
          </w:tcPr>
          <w:p w14:paraId="09841C17" w14:textId="79A311A6" w:rsidR="00526C4D" w:rsidRPr="009E7EA6" w:rsidRDefault="00526C4D" w:rsidP="009E7EA6">
            <w:pPr>
              <w:shd w:val="clear" w:color="auto" w:fill="FFFFFF"/>
              <w:spacing w:before="120"/>
              <w:jc w:val="center"/>
              <w:rPr>
                <w:rFonts w:ascii="Times New Roman" w:eastAsia="Calibri" w:hAnsi="Times New Roman" w:cs="Times New Roman"/>
                <w:b/>
                <w:iCs/>
                <w:sz w:val="18"/>
                <w:szCs w:val="18"/>
              </w:rPr>
            </w:pPr>
            <w:r w:rsidRPr="009E7EA6">
              <w:rPr>
                <w:rFonts w:ascii="Times New Roman" w:eastAsia="Calibri" w:hAnsi="Times New Roman" w:cs="Times New Roman"/>
                <w:b/>
                <w:iCs/>
                <w:sz w:val="18"/>
                <w:szCs w:val="18"/>
              </w:rPr>
              <w:t>Article 9a</w:t>
            </w:r>
          </w:p>
          <w:p w14:paraId="2C3652A8" w14:textId="77777777" w:rsidR="00526C4D" w:rsidRPr="009E7EA6" w:rsidRDefault="00526C4D" w:rsidP="009E7EA6">
            <w:pPr>
              <w:shd w:val="clear" w:color="auto" w:fill="FFFFFF"/>
              <w:spacing w:before="120"/>
              <w:jc w:val="center"/>
              <w:rPr>
                <w:rFonts w:ascii="Times New Roman" w:eastAsia="Calibri" w:hAnsi="Times New Roman" w:cs="Times New Roman"/>
                <w:b/>
                <w:iCs/>
                <w:sz w:val="18"/>
                <w:szCs w:val="18"/>
              </w:rPr>
            </w:pPr>
            <w:r w:rsidRPr="009E7EA6">
              <w:rPr>
                <w:rFonts w:ascii="Times New Roman" w:eastAsia="Calibri" w:hAnsi="Times New Roman" w:cs="Times New Roman"/>
                <w:b/>
                <w:iCs/>
                <w:sz w:val="18"/>
                <w:szCs w:val="18"/>
              </w:rPr>
              <w:t>Collaboration on corrections, compliance and enforcement with respect to Top-up tax information returns</w:t>
            </w:r>
          </w:p>
          <w:p w14:paraId="3B0DC8A1" w14:textId="77777777" w:rsidR="00526C4D" w:rsidRPr="009E7EA6" w:rsidRDefault="00526C4D" w:rsidP="009E7EA6">
            <w:pPr>
              <w:shd w:val="clear" w:color="auto" w:fill="FFFFFF"/>
              <w:spacing w:before="120"/>
              <w:jc w:val="center"/>
              <w:rPr>
                <w:rFonts w:ascii="Times New Roman" w:eastAsia="Calibri" w:hAnsi="Times New Roman" w:cs="Times New Roman"/>
                <w:b/>
                <w:iCs/>
                <w:sz w:val="18"/>
                <w:szCs w:val="18"/>
              </w:rPr>
            </w:pPr>
          </w:p>
          <w:p w14:paraId="02F6F541" w14:textId="1AD69AE9" w:rsidR="00526C4D" w:rsidRPr="009E7EA6" w:rsidRDefault="00526C4D" w:rsidP="009E7EA6">
            <w:pPr>
              <w:shd w:val="clear" w:color="auto" w:fill="FFFFFF"/>
              <w:spacing w:before="120"/>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 xml:space="preserve">1.   Where the competent authority of a Member State has reason to believe that the information in a Top-up tax information return filed by an ultimate parent entity or designated filing entity that is located in the jurisdiction of the other Member State, communicated under Article 8ae, requires the correction of manifest errors, it shall, without undue delay, notify the competent authority of the other Member State. If the notified competent authority agrees that the information in the Top-up tax information return requires correction, it shall take, without undue delay, appropriate measures to obtain a corrected Top-up tax information return from the concerned ultimate parent entity or designated filing entity. It shall communicate, </w:t>
            </w:r>
            <w:r w:rsidRPr="009E7EA6">
              <w:rPr>
                <w:rFonts w:ascii="Times New Roman" w:eastAsia="Calibri" w:hAnsi="Times New Roman" w:cs="Times New Roman"/>
                <w:iCs/>
                <w:sz w:val="18"/>
                <w:szCs w:val="18"/>
              </w:rPr>
              <w:lastRenderedPageBreak/>
              <w:t>without undue delay, the corrected Top-up tax information return with all competent authorities for which such information is subject to exchange in accordance with this Directive.</w:t>
            </w:r>
          </w:p>
        </w:tc>
        <w:tc>
          <w:tcPr>
            <w:tcW w:w="1070" w:type="dxa"/>
            <w:tcBorders>
              <w:bottom w:val="single" w:sz="4" w:space="0" w:color="auto"/>
            </w:tcBorders>
          </w:tcPr>
          <w:p w14:paraId="4490F7F0" w14:textId="5E59336E" w:rsidR="00526C4D" w:rsidRPr="009E7EA6" w:rsidRDefault="00526C4D" w:rsidP="009E7EA6">
            <w:pPr>
              <w:jc w:val="center"/>
              <w:rPr>
                <w:rFonts w:ascii="Times New Roman" w:eastAsia="Calibri" w:hAnsi="Times New Roman" w:cs="Times New Roman"/>
                <w:sz w:val="18"/>
                <w:szCs w:val="18"/>
              </w:rPr>
            </w:pPr>
          </w:p>
        </w:tc>
        <w:tc>
          <w:tcPr>
            <w:tcW w:w="720" w:type="dxa"/>
            <w:tcBorders>
              <w:bottom w:val="single" w:sz="4" w:space="0" w:color="auto"/>
            </w:tcBorders>
          </w:tcPr>
          <w:p w14:paraId="7EC37932" w14:textId="77777777" w:rsidR="00526C4D" w:rsidRPr="009E7EA6" w:rsidRDefault="00526C4D" w:rsidP="009E7EA6">
            <w:pPr>
              <w:jc w:val="center"/>
              <w:rPr>
                <w:rFonts w:ascii="Times New Roman" w:eastAsia="Calibri" w:hAnsi="Times New Roman" w:cs="Times New Roman"/>
                <w:sz w:val="18"/>
                <w:szCs w:val="18"/>
              </w:rPr>
            </w:pPr>
          </w:p>
          <w:p w14:paraId="3A291DFE" w14:textId="50D330D0" w:rsidR="00526C4D" w:rsidRPr="009E7EA6" w:rsidRDefault="00526C4D" w:rsidP="009E7EA6">
            <w:pPr>
              <w:rPr>
                <w:rFonts w:ascii="Times New Roman" w:eastAsia="Calibri" w:hAnsi="Times New Roman" w:cs="Times New Roman"/>
                <w:sz w:val="18"/>
                <w:szCs w:val="18"/>
              </w:rPr>
            </w:pPr>
          </w:p>
        </w:tc>
        <w:tc>
          <w:tcPr>
            <w:tcW w:w="4344" w:type="dxa"/>
            <w:tcBorders>
              <w:bottom w:val="single" w:sz="4" w:space="0" w:color="auto"/>
            </w:tcBorders>
          </w:tcPr>
          <w:p w14:paraId="2C0D7EAF" w14:textId="77777777" w:rsidR="00526C4D" w:rsidRPr="009E7EA6" w:rsidRDefault="00526C4D" w:rsidP="009E7EA6">
            <w:pPr>
              <w:jc w:val="center"/>
              <w:rPr>
                <w:rFonts w:ascii="Times New Roman" w:eastAsia="Times New Roman" w:hAnsi="Times New Roman" w:cs="Times New Roman"/>
                <w:sz w:val="18"/>
                <w:szCs w:val="18"/>
                <w:lang w:eastAsia="sq-AL"/>
              </w:rPr>
            </w:pPr>
          </w:p>
          <w:p w14:paraId="0F429320" w14:textId="77777777" w:rsidR="00FE6522" w:rsidRPr="009E7EA6" w:rsidRDefault="00FE6522" w:rsidP="009E7EA6">
            <w:pPr>
              <w:jc w:val="center"/>
              <w:rPr>
                <w:rFonts w:ascii="Times New Roman" w:eastAsia="Calibri" w:hAnsi="Times New Roman" w:cs="Times New Roman"/>
                <w:b/>
                <w:sz w:val="18"/>
                <w:szCs w:val="18"/>
              </w:rPr>
            </w:pPr>
            <w:r w:rsidRPr="009E7EA6">
              <w:rPr>
                <w:rFonts w:ascii="Times New Roman" w:eastAsia="Calibri" w:hAnsi="Times New Roman" w:cs="Times New Roman"/>
                <w:b/>
                <w:sz w:val="18"/>
                <w:szCs w:val="18"/>
              </w:rPr>
              <w:t>Article 9</w:t>
            </w:r>
          </w:p>
          <w:p w14:paraId="0812EE32" w14:textId="77777777" w:rsidR="00FE6522" w:rsidRPr="009E7EA6" w:rsidRDefault="00FE6522" w:rsidP="009E7EA6">
            <w:pPr>
              <w:jc w:val="center"/>
              <w:rPr>
                <w:rFonts w:ascii="Times New Roman" w:eastAsia="Calibri" w:hAnsi="Times New Roman" w:cs="Times New Roman"/>
                <w:b/>
                <w:sz w:val="18"/>
                <w:szCs w:val="18"/>
              </w:rPr>
            </w:pPr>
            <w:r w:rsidRPr="009E7EA6">
              <w:rPr>
                <w:rFonts w:ascii="Times New Roman" w:eastAsia="Calibri" w:hAnsi="Times New Roman" w:cs="Times New Roman"/>
                <w:b/>
                <w:sz w:val="18"/>
                <w:szCs w:val="18"/>
              </w:rPr>
              <w:t>Accuracy of Reporting, Retention of Documentation and Corrections</w:t>
            </w:r>
          </w:p>
          <w:p w14:paraId="5948B726" w14:textId="77777777" w:rsidR="00FE6522" w:rsidRPr="009E7EA6" w:rsidRDefault="00FE6522" w:rsidP="009E7EA6">
            <w:pPr>
              <w:jc w:val="center"/>
              <w:rPr>
                <w:rFonts w:ascii="Times New Roman" w:eastAsia="Calibri" w:hAnsi="Times New Roman" w:cs="Times New Roman"/>
                <w:b/>
                <w:sz w:val="18"/>
                <w:szCs w:val="18"/>
              </w:rPr>
            </w:pPr>
          </w:p>
          <w:p w14:paraId="55A7157A" w14:textId="77777777" w:rsidR="00FE6522" w:rsidRPr="009E7EA6" w:rsidRDefault="00FE6522" w:rsidP="009E7EA6">
            <w:pPr>
              <w:jc w:val="both"/>
              <w:rPr>
                <w:rFonts w:ascii="Times New Roman" w:eastAsia="Calibri" w:hAnsi="Times New Roman" w:cs="Times New Roman"/>
                <w:sz w:val="18"/>
                <w:szCs w:val="18"/>
              </w:rPr>
            </w:pPr>
            <w:r w:rsidRPr="009E7EA6">
              <w:rPr>
                <w:rFonts w:ascii="Times New Roman" w:eastAsia="Calibri" w:hAnsi="Times New Roman" w:cs="Times New Roman"/>
                <w:sz w:val="18"/>
                <w:szCs w:val="18"/>
              </w:rPr>
              <w:t>1.</w:t>
            </w:r>
            <w:r w:rsidRPr="009E7EA6">
              <w:rPr>
                <w:rFonts w:ascii="Times New Roman" w:eastAsia="Calibri" w:hAnsi="Times New Roman" w:cs="Times New Roman"/>
                <w:sz w:val="18"/>
                <w:szCs w:val="18"/>
              </w:rPr>
              <w:tab/>
              <w:t xml:space="preserve">The entity filing the TTIR and each Albanian constituent entity included in the TTIR is obliged to retain the documentation, records and supporting explanations used for the preparation of the TTIR, for the period of retention of documentation under the tax and accounting legislation in force, and in any case until the expiration of the deadlines for inspection, assessment and appeal for the respective period. </w:t>
            </w:r>
          </w:p>
          <w:p w14:paraId="05EFE003" w14:textId="60F10053" w:rsidR="00FE6522" w:rsidRPr="009E7EA6" w:rsidRDefault="00FE6522" w:rsidP="009E7EA6">
            <w:pPr>
              <w:jc w:val="both"/>
              <w:rPr>
                <w:rFonts w:ascii="Times New Roman" w:eastAsia="Calibri" w:hAnsi="Times New Roman" w:cs="Times New Roman"/>
                <w:sz w:val="18"/>
                <w:szCs w:val="18"/>
              </w:rPr>
            </w:pPr>
            <w:r w:rsidRPr="009E7EA6">
              <w:rPr>
                <w:rFonts w:ascii="Times New Roman" w:eastAsia="Calibri" w:hAnsi="Times New Roman" w:cs="Times New Roman"/>
                <w:sz w:val="18"/>
                <w:szCs w:val="18"/>
              </w:rPr>
              <w:t>2.</w:t>
            </w:r>
            <w:r w:rsidRPr="009E7EA6">
              <w:rPr>
                <w:rFonts w:ascii="Times New Roman" w:eastAsia="Calibri" w:hAnsi="Times New Roman" w:cs="Times New Roman"/>
                <w:sz w:val="18"/>
                <w:szCs w:val="18"/>
              </w:rPr>
              <w:tab/>
              <w:t>When a material inaccuracy, lack of information, technical error, identification error, the reported information is identified, the entity filing the TTIR  make</w:t>
            </w:r>
            <w:r w:rsidR="0022418D" w:rsidRPr="009E7EA6">
              <w:rPr>
                <w:rFonts w:ascii="Times New Roman" w:eastAsia="Calibri" w:hAnsi="Times New Roman" w:cs="Times New Roman"/>
                <w:sz w:val="18"/>
                <w:szCs w:val="18"/>
              </w:rPr>
              <w:t>s</w:t>
            </w:r>
            <w:r w:rsidRPr="009E7EA6">
              <w:rPr>
                <w:rFonts w:ascii="Times New Roman" w:eastAsia="Calibri" w:hAnsi="Times New Roman" w:cs="Times New Roman"/>
                <w:sz w:val="18"/>
                <w:szCs w:val="18"/>
              </w:rPr>
              <w:t xml:space="preserve"> the appropriate correction without undue </w:t>
            </w:r>
            <w:r w:rsidRPr="009E7EA6">
              <w:rPr>
                <w:rFonts w:ascii="Times New Roman" w:eastAsia="Calibri" w:hAnsi="Times New Roman" w:cs="Times New Roman"/>
                <w:sz w:val="18"/>
                <w:szCs w:val="18"/>
              </w:rPr>
              <w:lastRenderedPageBreak/>
              <w:t xml:space="preserve">delay, in accordance with the procedure laid down in the bylaws. </w:t>
            </w:r>
          </w:p>
          <w:p w14:paraId="5685D121" w14:textId="42A64CF9" w:rsidR="00526C4D" w:rsidRPr="009E7EA6" w:rsidRDefault="00FE6522" w:rsidP="009E7EA6">
            <w:pPr>
              <w:jc w:val="both"/>
              <w:rPr>
                <w:rFonts w:ascii="Times New Roman" w:eastAsia="Calibri" w:hAnsi="Times New Roman" w:cs="Times New Roman"/>
                <w:sz w:val="18"/>
                <w:szCs w:val="18"/>
              </w:rPr>
            </w:pPr>
            <w:r w:rsidRPr="009E7EA6">
              <w:rPr>
                <w:rFonts w:ascii="Times New Roman" w:eastAsia="Calibri" w:hAnsi="Times New Roman" w:cs="Times New Roman"/>
                <w:sz w:val="18"/>
                <w:szCs w:val="18"/>
              </w:rPr>
              <w:t>3.</w:t>
            </w:r>
            <w:r w:rsidRPr="009E7EA6">
              <w:rPr>
                <w:rFonts w:ascii="Times New Roman" w:eastAsia="Calibri" w:hAnsi="Times New Roman" w:cs="Times New Roman"/>
                <w:sz w:val="18"/>
                <w:szCs w:val="18"/>
              </w:rPr>
              <w:tab/>
              <w:t>The General Directorate of Taxation may request additional documents, clarifications, corrected versions, evidence of central filing in another jurisdiction, or evidence demonstrating the adequacy of the Qualifing Competent Authority Agreement.</w:t>
            </w:r>
          </w:p>
          <w:p w14:paraId="00E3B178" w14:textId="77777777" w:rsidR="00FE6522" w:rsidRPr="009E7EA6" w:rsidRDefault="00FE6522" w:rsidP="009E7EA6">
            <w:pPr>
              <w:jc w:val="center"/>
              <w:rPr>
                <w:rFonts w:ascii="Times New Roman" w:eastAsia="Calibri" w:hAnsi="Times New Roman" w:cs="Times New Roman"/>
                <w:b/>
                <w:sz w:val="18"/>
                <w:szCs w:val="18"/>
              </w:rPr>
            </w:pPr>
          </w:p>
          <w:p w14:paraId="458665D4" w14:textId="77777777" w:rsidR="00FE6522" w:rsidRPr="009E7EA6" w:rsidRDefault="00FE6522" w:rsidP="009E7EA6">
            <w:pPr>
              <w:jc w:val="center"/>
              <w:rPr>
                <w:rFonts w:ascii="Times New Roman" w:eastAsia="Calibri" w:hAnsi="Times New Roman" w:cs="Times New Roman"/>
                <w:b/>
                <w:sz w:val="18"/>
                <w:szCs w:val="18"/>
              </w:rPr>
            </w:pPr>
            <w:r w:rsidRPr="009E7EA6">
              <w:rPr>
                <w:rFonts w:ascii="Times New Roman" w:eastAsia="Calibri" w:hAnsi="Times New Roman" w:cs="Times New Roman"/>
                <w:b/>
                <w:sz w:val="18"/>
                <w:szCs w:val="18"/>
              </w:rPr>
              <w:t>Article 10</w:t>
            </w:r>
          </w:p>
          <w:p w14:paraId="0B57FF8C" w14:textId="464EBAD0" w:rsidR="00526C4D" w:rsidRPr="009E7EA6" w:rsidRDefault="00FE6522" w:rsidP="009E7EA6">
            <w:pPr>
              <w:jc w:val="center"/>
              <w:rPr>
                <w:rFonts w:ascii="Times New Roman" w:eastAsia="Calibri" w:hAnsi="Times New Roman" w:cs="Times New Roman"/>
                <w:b/>
                <w:sz w:val="18"/>
                <w:szCs w:val="18"/>
              </w:rPr>
            </w:pPr>
            <w:r w:rsidRPr="009E7EA6">
              <w:rPr>
                <w:rFonts w:ascii="Times New Roman" w:eastAsia="Calibri" w:hAnsi="Times New Roman" w:cs="Times New Roman"/>
                <w:b/>
                <w:sz w:val="18"/>
                <w:szCs w:val="18"/>
              </w:rPr>
              <w:t>Automatic exchange of TTIR</w:t>
            </w:r>
          </w:p>
          <w:p w14:paraId="55619FA5" w14:textId="77777777" w:rsidR="00FE6522" w:rsidRPr="009E7EA6" w:rsidRDefault="00FE6522" w:rsidP="009E7EA6">
            <w:pPr>
              <w:jc w:val="both"/>
              <w:rPr>
                <w:rFonts w:ascii="Times New Roman" w:eastAsia="Calibri" w:hAnsi="Times New Roman" w:cs="Times New Roman"/>
                <w:sz w:val="18"/>
                <w:szCs w:val="18"/>
              </w:rPr>
            </w:pPr>
          </w:p>
          <w:p w14:paraId="5E5E4E29" w14:textId="77777777" w:rsidR="00526C4D" w:rsidRPr="009E7EA6" w:rsidRDefault="00526C4D" w:rsidP="009E7EA6">
            <w:pPr>
              <w:jc w:val="both"/>
              <w:rPr>
                <w:rFonts w:ascii="Times New Roman" w:eastAsia="Calibri" w:hAnsi="Times New Roman" w:cs="Times New Roman"/>
                <w:sz w:val="18"/>
                <w:szCs w:val="18"/>
              </w:rPr>
            </w:pPr>
            <w:r w:rsidRPr="009E7EA6">
              <w:rPr>
                <w:rFonts w:ascii="Times New Roman" w:eastAsia="Calibri" w:hAnsi="Times New Roman" w:cs="Times New Roman"/>
                <w:sz w:val="18"/>
                <w:szCs w:val="18"/>
              </w:rPr>
              <w:t>4.</w:t>
            </w:r>
            <w:r w:rsidR="00FE6522" w:rsidRPr="009E7EA6">
              <w:rPr>
                <w:rFonts w:ascii="Times New Roman" w:eastAsia="Calibri" w:hAnsi="Times New Roman" w:cs="Times New Roman"/>
                <w:sz w:val="18"/>
                <w:szCs w:val="18"/>
              </w:rPr>
              <w:t xml:space="preserve"> Corrections, replacements and deletions accepted by the General Directorate of Taxation shall </w:t>
            </w:r>
            <w:r w:rsidR="00D15CBC" w:rsidRPr="009E7EA6">
              <w:rPr>
                <w:rFonts w:ascii="Times New Roman" w:eastAsia="Calibri" w:hAnsi="Times New Roman" w:cs="Times New Roman"/>
                <w:sz w:val="18"/>
                <w:szCs w:val="18"/>
              </w:rPr>
              <w:t xml:space="preserve">be communicated </w:t>
            </w:r>
            <w:r w:rsidR="00FE6522" w:rsidRPr="009E7EA6">
              <w:rPr>
                <w:rFonts w:ascii="Times New Roman" w:eastAsia="Calibri" w:hAnsi="Times New Roman" w:cs="Times New Roman"/>
                <w:sz w:val="18"/>
                <w:szCs w:val="18"/>
              </w:rPr>
              <w:t>without delay and, in any case, in accordance with the rules and deadlines set out in the secondary legislation.</w:t>
            </w:r>
          </w:p>
          <w:p w14:paraId="3486BF7E" w14:textId="770A39F4" w:rsidR="00367004" w:rsidRPr="009E7EA6" w:rsidRDefault="00367004" w:rsidP="009E7EA6">
            <w:pPr>
              <w:jc w:val="both"/>
              <w:rPr>
                <w:rFonts w:ascii="Times New Roman" w:eastAsia="Calibri" w:hAnsi="Times New Roman" w:cs="Times New Roman"/>
                <w:sz w:val="18"/>
                <w:szCs w:val="18"/>
              </w:rPr>
            </w:pPr>
          </w:p>
        </w:tc>
        <w:tc>
          <w:tcPr>
            <w:tcW w:w="1156" w:type="dxa"/>
            <w:tcBorders>
              <w:bottom w:val="single" w:sz="4" w:space="0" w:color="auto"/>
            </w:tcBorders>
          </w:tcPr>
          <w:p w14:paraId="3EECDCCB" w14:textId="77777777" w:rsidR="00526C4D" w:rsidRPr="009E7EA6" w:rsidRDefault="00526C4D" w:rsidP="009E7EA6">
            <w:pPr>
              <w:jc w:val="center"/>
              <w:rPr>
                <w:rFonts w:ascii="Times New Roman" w:eastAsia="Calibri" w:hAnsi="Times New Roman" w:cs="Times New Roman"/>
                <w:sz w:val="18"/>
                <w:szCs w:val="18"/>
              </w:rPr>
            </w:pPr>
          </w:p>
          <w:p w14:paraId="306D02AA" w14:textId="2B643909" w:rsidR="00526C4D" w:rsidRPr="009E7EA6" w:rsidRDefault="00526C4D"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F</w:t>
            </w:r>
          </w:p>
        </w:tc>
        <w:tc>
          <w:tcPr>
            <w:tcW w:w="2960" w:type="dxa"/>
            <w:tcBorders>
              <w:bottom w:val="single" w:sz="4" w:space="0" w:color="auto"/>
            </w:tcBorders>
          </w:tcPr>
          <w:p w14:paraId="610C0EF2" w14:textId="6B7DF9D5" w:rsidR="00526C4D" w:rsidRPr="009E7EA6" w:rsidRDefault="00526C4D" w:rsidP="009E7EA6">
            <w:pPr>
              <w:rPr>
                <w:rFonts w:ascii="Times New Roman" w:eastAsia="Calibri" w:hAnsi="Times New Roman" w:cs="Times New Roman"/>
                <w:sz w:val="18"/>
                <w:szCs w:val="18"/>
              </w:rPr>
            </w:pPr>
          </w:p>
        </w:tc>
      </w:tr>
      <w:tr w:rsidR="00526C4D" w:rsidRPr="009E7EA6" w14:paraId="2C6CF3C7" w14:textId="77777777" w:rsidTr="009E7EA6">
        <w:trPr>
          <w:trHeight w:val="1875"/>
        </w:trPr>
        <w:tc>
          <w:tcPr>
            <w:tcW w:w="805" w:type="dxa"/>
          </w:tcPr>
          <w:p w14:paraId="2D934E04" w14:textId="77777777" w:rsidR="00526C4D" w:rsidRPr="009E7EA6" w:rsidRDefault="00526C4D" w:rsidP="009E7EA6">
            <w:pPr>
              <w:jc w:val="both"/>
              <w:rPr>
                <w:rFonts w:ascii="Times New Roman" w:eastAsia="Calibri" w:hAnsi="Times New Roman" w:cs="Times New Roman"/>
                <w:sz w:val="18"/>
                <w:szCs w:val="18"/>
              </w:rPr>
            </w:pPr>
          </w:p>
        </w:tc>
        <w:tc>
          <w:tcPr>
            <w:tcW w:w="5140" w:type="dxa"/>
            <w:tcBorders>
              <w:top w:val="single" w:sz="4" w:space="0" w:color="auto"/>
            </w:tcBorders>
          </w:tcPr>
          <w:p w14:paraId="17942108" w14:textId="77777777" w:rsidR="00526C4D" w:rsidRPr="009E7EA6" w:rsidRDefault="00526C4D" w:rsidP="009E7EA6">
            <w:pPr>
              <w:shd w:val="clear" w:color="auto" w:fill="FFFFFF"/>
              <w:spacing w:before="120" w:line="276" w:lineRule="auto"/>
              <w:jc w:val="both"/>
              <w:rPr>
                <w:rFonts w:ascii="Times New Roman" w:eastAsia="Calibri" w:hAnsi="Times New Roman" w:cs="Times New Roman"/>
                <w:iCs/>
                <w:sz w:val="18"/>
                <w:szCs w:val="18"/>
              </w:rPr>
            </w:pPr>
          </w:p>
          <w:p w14:paraId="0724B391" w14:textId="2B342377" w:rsidR="00526C4D" w:rsidRPr="009E7EA6" w:rsidRDefault="00526C4D" w:rsidP="009E7EA6">
            <w:pPr>
              <w:shd w:val="clear" w:color="auto" w:fill="FFFFFF"/>
              <w:spacing w:before="120" w:line="276" w:lineRule="auto"/>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2.   When the competent authority of a Member State has received a notification from one or more constituent entities located in its Member State that the Top-up tax information return for such constituent entities was to be filed by the ultimate parent entity or designated filing entity located in another Member State, but the information included in the Top-up tax information return was not communicated within the deadlines specified in Article 8ae(3) or Article 27d(3) and (4), it shall, without undue delay, notify the other competent authority that the information has not been received. The notified competent authority shall, without undue delay, determine the reason for not communicating the concerned Top-up tax information return and shall inform the competent authority within 1 month of receipt of the notification, including the expected exchange date for the Top-up tax information return, where relevant. The expected exchange date shall be set for a date no later than 3 months from the date of the receipt of notification of the missing exchange.’</w:t>
            </w:r>
          </w:p>
        </w:tc>
        <w:tc>
          <w:tcPr>
            <w:tcW w:w="1070" w:type="dxa"/>
            <w:tcBorders>
              <w:top w:val="single" w:sz="4" w:space="0" w:color="auto"/>
            </w:tcBorders>
          </w:tcPr>
          <w:p w14:paraId="2609796D" w14:textId="77777777" w:rsidR="00526C4D" w:rsidRPr="009E7EA6" w:rsidRDefault="00526C4D" w:rsidP="009E7EA6">
            <w:pPr>
              <w:jc w:val="center"/>
              <w:rPr>
                <w:rFonts w:ascii="Times New Roman" w:eastAsia="Calibri" w:hAnsi="Times New Roman" w:cs="Times New Roman"/>
                <w:sz w:val="18"/>
                <w:szCs w:val="18"/>
              </w:rPr>
            </w:pPr>
          </w:p>
        </w:tc>
        <w:tc>
          <w:tcPr>
            <w:tcW w:w="720" w:type="dxa"/>
            <w:tcBorders>
              <w:top w:val="single" w:sz="4" w:space="0" w:color="auto"/>
            </w:tcBorders>
          </w:tcPr>
          <w:p w14:paraId="54840378" w14:textId="77777777" w:rsidR="00526C4D" w:rsidRPr="009E7EA6" w:rsidRDefault="00526C4D" w:rsidP="009E7EA6">
            <w:pPr>
              <w:jc w:val="center"/>
              <w:rPr>
                <w:rFonts w:ascii="Times New Roman" w:eastAsia="Calibri" w:hAnsi="Times New Roman" w:cs="Times New Roman"/>
                <w:sz w:val="18"/>
                <w:szCs w:val="18"/>
              </w:rPr>
            </w:pPr>
          </w:p>
        </w:tc>
        <w:tc>
          <w:tcPr>
            <w:tcW w:w="4344" w:type="dxa"/>
            <w:tcBorders>
              <w:top w:val="single" w:sz="4" w:space="0" w:color="auto"/>
              <w:bottom w:val="dashed" w:sz="4" w:space="0" w:color="auto"/>
            </w:tcBorders>
          </w:tcPr>
          <w:p w14:paraId="1B5389C8" w14:textId="77777777" w:rsidR="00FE6522" w:rsidRPr="009E7EA6" w:rsidRDefault="00FE6522" w:rsidP="009E7EA6">
            <w:pPr>
              <w:jc w:val="center"/>
              <w:rPr>
                <w:rFonts w:ascii="Times New Roman" w:eastAsia="Times New Roman" w:hAnsi="Times New Roman" w:cs="Times New Roman"/>
                <w:b/>
                <w:sz w:val="18"/>
                <w:szCs w:val="18"/>
                <w:lang w:eastAsia="sq-AL"/>
              </w:rPr>
            </w:pPr>
            <w:r w:rsidRPr="009E7EA6">
              <w:rPr>
                <w:rFonts w:ascii="Times New Roman" w:eastAsia="Times New Roman" w:hAnsi="Times New Roman" w:cs="Times New Roman"/>
                <w:b/>
                <w:sz w:val="18"/>
                <w:szCs w:val="18"/>
                <w:lang w:eastAsia="sq-AL"/>
              </w:rPr>
              <w:t>Article 15</w:t>
            </w:r>
          </w:p>
          <w:p w14:paraId="5769BDFC" w14:textId="77777777" w:rsidR="00FE6522" w:rsidRPr="009E7EA6" w:rsidRDefault="00FE6522" w:rsidP="009E7EA6">
            <w:pPr>
              <w:jc w:val="both"/>
              <w:rPr>
                <w:rFonts w:ascii="Times New Roman" w:eastAsia="Times New Roman" w:hAnsi="Times New Roman" w:cs="Times New Roman"/>
                <w:b/>
                <w:sz w:val="18"/>
                <w:szCs w:val="18"/>
                <w:lang w:eastAsia="sq-AL"/>
              </w:rPr>
            </w:pPr>
            <w:r w:rsidRPr="009E7EA6">
              <w:rPr>
                <w:rFonts w:ascii="Times New Roman" w:eastAsia="Times New Roman" w:hAnsi="Times New Roman" w:cs="Times New Roman"/>
                <w:b/>
                <w:sz w:val="18"/>
                <w:szCs w:val="18"/>
                <w:lang w:eastAsia="sq-AL"/>
              </w:rPr>
              <w:t>Audits, Requests for Information and Verifications</w:t>
            </w:r>
          </w:p>
          <w:p w14:paraId="38D90D6B" w14:textId="77777777" w:rsidR="00FE6522" w:rsidRPr="009E7EA6" w:rsidRDefault="00FE6522" w:rsidP="009E7EA6">
            <w:pPr>
              <w:jc w:val="both"/>
              <w:rPr>
                <w:rFonts w:ascii="Times New Roman" w:eastAsia="Times New Roman" w:hAnsi="Times New Roman" w:cs="Times New Roman"/>
                <w:sz w:val="18"/>
                <w:szCs w:val="18"/>
                <w:lang w:eastAsia="sq-AL"/>
              </w:rPr>
            </w:pPr>
          </w:p>
          <w:p w14:paraId="2303DD7D" w14:textId="1665D866" w:rsidR="005A2933" w:rsidRPr="009E7EA6" w:rsidRDefault="00526C4D" w:rsidP="009E7EA6">
            <w:pPr>
              <w:jc w:val="both"/>
              <w:rPr>
                <w:rFonts w:ascii="Times New Roman" w:hAnsi="Times New Roman" w:cs="Times New Roman"/>
                <w:sz w:val="18"/>
                <w:szCs w:val="18"/>
              </w:rPr>
            </w:pPr>
            <w:r w:rsidRPr="009E7EA6">
              <w:rPr>
                <w:rFonts w:ascii="Times New Roman" w:eastAsia="Times New Roman" w:hAnsi="Times New Roman" w:cs="Times New Roman"/>
                <w:sz w:val="18"/>
                <w:szCs w:val="18"/>
                <w:lang w:eastAsia="sq-AL"/>
              </w:rPr>
              <w:t>4.</w:t>
            </w:r>
            <w:r w:rsidR="00FE6522" w:rsidRPr="009E7EA6">
              <w:rPr>
                <w:rFonts w:ascii="Times New Roman" w:eastAsia="Times New Roman" w:hAnsi="Times New Roman" w:cs="Times New Roman"/>
                <w:sz w:val="18"/>
                <w:szCs w:val="18"/>
                <w:lang w:eastAsia="sq-AL"/>
              </w:rPr>
              <w:t xml:space="preserve"> </w:t>
            </w:r>
            <w:r w:rsidR="005A2933" w:rsidRPr="009E7EA6">
              <w:rPr>
                <w:rFonts w:ascii="Times New Roman" w:hAnsi="Times New Roman" w:cs="Times New Roman"/>
                <w:sz w:val="18"/>
                <w:szCs w:val="18"/>
              </w:rPr>
              <w:t xml:space="preserve"> Where a review carried out in the Republic of Albania indicates that a TTIR filed or received through automatic exchange is inaccurate, the General Directorate of Taxation shall require its correction in accordance with the rules laid down in the decision of the Council of Ministers issued pursuant to this law and, where necessary, shall communicate with the competent authorities of other Member States through the automatic exchange of information mechanisms.</w:t>
            </w:r>
          </w:p>
          <w:p w14:paraId="577B5849" w14:textId="6654BF87" w:rsidR="00526C4D" w:rsidRPr="009E7EA6" w:rsidRDefault="00526C4D" w:rsidP="009E7EA6">
            <w:pPr>
              <w:jc w:val="both"/>
              <w:rPr>
                <w:rFonts w:ascii="Times New Roman" w:eastAsia="Times New Roman" w:hAnsi="Times New Roman" w:cs="Times New Roman"/>
                <w:sz w:val="18"/>
                <w:szCs w:val="18"/>
                <w:lang w:eastAsia="sq-AL"/>
              </w:rPr>
            </w:pPr>
          </w:p>
          <w:p w14:paraId="17B71FF1" w14:textId="77777777" w:rsidR="00FE6522" w:rsidRPr="009E7EA6" w:rsidRDefault="00FE6522" w:rsidP="009E7EA6">
            <w:pPr>
              <w:jc w:val="center"/>
              <w:rPr>
                <w:rFonts w:ascii="Times New Roman" w:eastAsia="Times New Roman" w:hAnsi="Times New Roman" w:cs="Times New Roman"/>
                <w:b/>
                <w:sz w:val="18"/>
                <w:szCs w:val="18"/>
                <w:lang w:eastAsia="sq-AL"/>
              </w:rPr>
            </w:pPr>
            <w:r w:rsidRPr="009E7EA6">
              <w:rPr>
                <w:rFonts w:ascii="Times New Roman" w:eastAsia="Times New Roman" w:hAnsi="Times New Roman" w:cs="Times New Roman"/>
                <w:b/>
                <w:sz w:val="18"/>
                <w:szCs w:val="18"/>
                <w:lang w:eastAsia="sq-AL"/>
              </w:rPr>
              <w:t>Article 6</w:t>
            </w:r>
          </w:p>
          <w:p w14:paraId="7D209B46" w14:textId="67511945" w:rsidR="00526C4D" w:rsidRPr="009E7EA6" w:rsidRDefault="00FE6522" w:rsidP="009E7EA6">
            <w:pPr>
              <w:jc w:val="center"/>
              <w:rPr>
                <w:rFonts w:ascii="Times New Roman" w:eastAsia="Times New Roman" w:hAnsi="Times New Roman" w:cs="Times New Roman"/>
                <w:b/>
                <w:sz w:val="18"/>
                <w:szCs w:val="18"/>
                <w:lang w:eastAsia="sq-AL"/>
              </w:rPr>
            </w:pPr>
            <w:r w:rsidRPr="009E7EA6">
              <w:rPr>
                <w:rFonts w:ascii="Times New Roman" w:eastAsia="Times New Roman" w:hAnsi="Times New Roman" w:cs="Times New Roman"/>
                <w:b/>
                <w:sz w:val="18"/>
                <w:szCs w:val="18"/>
                <w:lang w:eastAsia="sq-AL"/>
              </w:rPr>
              <w:t>Prior Notification of the Filing Entity and the Filing Jurisdiction</w:t>
            </w:r>
          </w:p>
          <w:p w14:paraId="6595F3F1" w14:textId="77777777" w:rsidR="001C7AC5" w:rsidRPr="009E7EA6" w:rsidRDefault="001C7AC5" w:rsidP="009E7EA6">
            <w:pPr>
              <w:jc w:val="center"/>
              <w:rPr>
                <w:rFonts w:ascii="Times New Roman" w:eastAsia="Times New Roman" w:hAnsi="Times New Roman" w:cs="Times New Roman"/>
                <w:sz w:val="18"/>
                <w:szCs w:val="18"/>
                <w:lang w:eastAsia="sq-AL"/>
              </w:rPr>
            </w:pPr>
          </w:p>
          <w:p w14:paraId="1485DD99" w14:textId="2C3727D6" w:rsidR="001C7AC5" w:rsidRPr="009E7EA6" w:rsidRDefault="00526C4D" w:rsidP="009E7EA6">
            <w:pPr>
              <w:tabs>
                <w:tab w:val="num" w:pos="450"/>
              </w:tabs>
              <w:jc w:val="both"/>
              <w:rPr>
                <w:rFonts w:ascii="Times New Roman" w:hAnsi="Times New Roman" w:cs="Times New Roman"/>
                <w:iCs/>
                <w:sz w:val="18"/>
                <w:szCs w:val="18"/>
              </w:rPr>
            </w:pPr>
            <w:r w:rsidRPr="009E7EA6">
              <w:rPr>
                <w:rFonts w:ascii="Times New Roman" w:eastAsia="Times New Roman" w:hAnsi="Times New Roman" w:cs="Times New Roman"/>
                <w:sz w:val="18"/>
                <w:szCs w:val="18"/>
                <w:lang w:eastAsia="sq-AL"/>
              </w:rPr>
              <w:t>3</w:t>
            </w:r>
            <w:r w:rsidR="001C7AC5" w:rsidRPr="009E7EA6">
              <w:rPr>
                <w:rFonts w:ascii="Times New Roman" w:eastAsia="Times New Roman" w:hAnsi="Times New Roman" w:cs="Times New Roman"/>
                <w:sz w:val="18"/>
                <w:szCs w:val="18"/>
                <w:lang w:eastAsia="sq-AL"/>
              </w:rPr>
              <w:t>.</w:t>
            </w:r>
            <w:r w:rsidR="001C7AC5" w:rsidRPr="009E7EA6">
              <w:rPr>
                <w:rFonts w:ascii="Times New Roman" w:hAnsi="Times New Roman" w:cs="Times New Roman"/>
                <w:iCs/>
                <w:sz w:val="18"/>
                <w:szCs w:val="18"/>
              </w:rPr>
              <w:t xml:space="preserve"> In the event of a failure to file, late filing, or the filing of an inaccurate notification, the General Directorate of Taxes may request its correction or completion within a specified time limit, and apply the administrative measures provided for in this law and in the legislation on tax procedures.</w:t>
            </w:r>
          </w:p>
          <w:p w14:paraId="672F3327" w14:textId="0789D115" w:rsidR="00526C4D" w:rsidRPr="009E7EA6" w:rsidRDefault="00526C4D" w:rsidP="009E7EA6">
            <w:pPr>
              <w:spacing w:line="276" w:lineRule="auto"/>
              <w:jc w:val="both"/>
              <w:rPr>
                <w:rFonts w:ascii="Times New Roman" w:eastAsia="Times New Roman" w:hAnsi="Times New Roman" w:cs="Times New Roman"/>
                <w:sz w:val="18"/>
                <w:szCs w:val="18"/>
                <w:lang w:eastAsia="sq-AL"/>
              </w:rPr>
            </w:pPr>
          </w:p>
          <w:p w14:paraId="6785E743" w14:textId="2829D077" w:rsidR="00D15CBC" w:rsidRPr="009E7EA6" w:rsidRDefault="00D15CBC" w:rsidP="009E7EA6">
            <w:pPr>
              <w:spacing w:line="276" w:lineRule="auto"/>
              <w:jc w:val="both"/>
              <w:rPr>
                <w:rFonts w:ascii="Times New Roman" w:eastAsia="Times New Roman" w:hAnsi="Times New Roman" w:cs="Times New Roman"/>
                <w:sz w:val="18"/>
                <w:szCs w:val="18"/>
                <w:lang w:eastAsia="sq-AL"/>
              </w:rPr>
            </w:pPr>
          </w:p>
        </w:tc>
        <w:tc>
          <w:tcPr>
            <w:tcW w:w="1156" w:type="dxa"/>
            <w:tcBorders>
              <w:top w:val="single" w:sz="4" w:space="0" w:color="auto"/>
              <w:bottom w:val="dashed" w:sz="4" w:space="0" w:color="auto"/>
            </w:tcBorders>
          </w:tcPr>
          <w:p w14:paraId="7D2C704A" w14:textId="77777777" w:rsidR="00526C4D" w:rsidRPr="009E7EA6" w:rsidRDefault="00526C4D" w:rsidP="009E7EA6">
            <w:pPr>
              <w:jc w:val="center"/>
              <w:rPr>
                <w:rFonts w:ascii="Times New Roman" w:eastAsia="Calibri" w:hAnsi="Times New Roman" w:cs="Times New Roman"/>
                <w:sz w:val="18"/>
                <w:szCs w:val="18"/>
              </w:rPr>
            </w:pPr>
          </w:p>
          <w:p w14:paraId="1705D8EC" w14:textId="0F43CAA8" w:rsidR="00526C4D" w:rsidRPr="009E7EA6" w:rsidRDefault="00FB1120"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F</w:t>
            </w:r>
          </w:p>
        </w:tc>
        <w:tc>
          <w:tcPr>
            <w:tcW w:w="2960" w:type="dxa"/>
            <w:tcBorders>
              <w:top w:val="single" w:sz="4" w:space="0" w:color="auto"/>
              <w:bottom w:val="dashed" w:sz="4" w:space="0" w:color="auto"/>
            </w:tcBorders>
          </w:tcPr>
          <w:p w14:paraId="565F9892" w14:textId="77777777" w:rsidR="00526C4D" w:rsidRPr="009E7EA6" w:rsidRDefault="00526C4D" w:rsidP="009E7EA6">
            <w:pPr>
              <w:rPr>
                <w:rFonts w:ascii="Times New Roman" w:eastAsia="Calibri" w:hAnsi="Times New Roman" w:cs="Times New Roman"/>
                <w:sz w:val="18"/>
                <w:szCs w:val="18"/>
              </w:rPr>
            </w:pPr>
          </w:p>
        </w:tc>
      </w:tr>
      <w:tr w:rsidR="00526C4D" w:rsidRPr="009E7EA6" w14:paraId="71F4D229" w14:textId="77777777" w:rsidTr="009E7EA6">
        <w:tc>
          <w:tcPr>
            <w:tcW w:w="805" w:type="dxa"/>
          </w:tcPr>
          <w:p w14:paraId="5E9580EC" w14:textId="38D2E61A" w:rsidR="00526C4D" w:rsidRPr="009E7EA6" w:rsidRDefault="00526C4D" w:rsidP="009E7EA6">
            <w:pPr>
              <w:jc w:val="both"/>
              <w:rPr>
                <w:rFonts w:ascii="Times New Roman" w:eastAsia="Calibri" w:hAnsi="Times New Roman" w:cs="Times New Roman"/>
                <w:sz w:val="18"/>
                <w:szCs w:val="18"/>
              </w:rPr>
            </w:pPr>
          </w:p>
        </w:tc>
        <w:tc>
          <w:tcPr>
            <w:tcW w:w="5140" w:type="dxa"/>
          </w:tcPr>
          <w:p w14:paraId="6E155E9C" w14:textId="052B9182" w:rsidR="00526C4D" w:rsidRPr="009E7EA6" w:rsidRDefault="00526C4D" w:rsidP="009E7EA6">
            <w:pPr>
              <w:pStyle w:val="Heading2"/>
              <w:spacing w:after="120" w:line="288" w:lineRule="atLeast"/>
              <w:jc w:val="both"/>
              <w:rPr>
                <w:rFonts w:ascii="Times New Roman" w:eastAsia="Calibri" w:hAnsi="Times New Roman" w:cs="Times New Roman"/>
                <w:iCs/>
                <w:color w:val="auto"/>
                <w:sz w:val="18"/>
                <w:szCs w:val="18"/>
              </w:rPr>
            </w:pPr>
            <w:r w:rsidRPr="009E7EA6">
              <w:rPr>
                <w:rFonts w:ascii="Times New Roman" w:eastAsia="Calibri" w:hAnsi="Times New Roman" w:cs="Times New Roman"/>
                <w:iCs/>
                <w:color w:val="auto"/>
                <w:sz w:val="18"/>
                <w:szCs w:val="18"/>
              </w:rPr>
              <w:t>(6)in Article 18, paragraph 4 is replaced by the following:</w:t>
            </w:r>
          </w:p>
          <w:p w14:paraId="426F32D0" w14:textId="44DB714B" w:rsidR="00526C4D" w:rsidRPr="009E7EA6" w:rsidRDefault="00526C4D" w:rsidP="009E7EA6">
            <w:pPr>
              <w:pStyle w:val="Heading2"/>
              <w:spacing w:after="120" w:line="288" w:lineRule="atLeast"/>
              <w:jc w:val="both"/>
              <w:rPr>
                <w:rFonts w:ascii="Times New Roman" w:eastAsia="Calibri" w:hAnsi="Times New Roman" w:cs="Times New Roman"/>
                <w:iCs/>
                <w:color w:val="auto"/>
                <w:sz w:val="18"/>
                <w:szCs w:val="18"/>
              </w:rPr>
            </w:pPr>
            <w:r w:rsidRPr="009E7EA6">
              <w:rPr>
                <w:rFonts w:ascii="Times New Roman" w:eastAsia="Calibri" w:hAnsi="Times New Roman" w:cs="Times New Roman"/>
                <w:iCs/>
                <w:color w:val="auto"/>
                <w:sz w:val="18"/>
                <w:szCs w:val="18"/>
              </w:rPr>
              <w:t>‘4.   The competent authority of each Member State shall put in place an effective mechanism to ensure the use of information acquired through the reporting or the exchange of information under Articles 8 to 8ae.’</w:t>
            </w:r>
          </w:p>
          <w:p w14:paraId="287FB5C7" w14:textId="0A41682C" w:rsidR="00526C4D" w:rsidRPr="009E7EA6" w:rsidRDefault="00526C4D" w:rsidP="009E7EA6">
            <w:pPr>
              <w:pStyle w:val="Heading2"/>
              <w:spacing w:after="120" w:line="288" w:lineRule="atLeast"/>
              <w:jc w:val="both"/>
              <w:rPr>
                <w:rFonts w:ascii="Times New Roman" w:eastAsia="Calibri" w:hAnsi="Times New Roman" w:cs="Times New Roman"/>
                <w:iCs/>
                <w:color w:val="auto"/>
                <w:sz w:val="18"/>
                <w:szCs w:val="18"/>
              </w:rPr>
            </w:pPr>
          </w:p>
        </w:tc>
        <w:tc>
          <w:tcPr>
            <w:tcW w:w="1070" w:type="dxa"/>
          </w:tcPr>
          <w:p w14:paraId="4801E7A0" w14:textId="1D4E9A6D" w:rsidR="00526C4D" w:rsidRPr="009E7EA6" w:rsidRDefault="00526C4D" w:rsidP="009E7EA6">
            <w:pPr>
              <w:jc w:val="center"/>
              <w:rPr>
                <w:rFonts w:ascii="Times New Roman" w:eastAsia="Calibri" w:hAnsi="Times New Roman" w:cs="Times New Roman"/>
                <w:sz w:val="18"/>
                <w:szCs w:val="18"/>
              </w:rPr>
            </w:pPr>
          </w:p>
        </w:tc>
        <w:tc>
          <w:tcPr>
            <w:tcW w:w="720" w:type="dxa"/>
          </w:tcPr>
          <w:p w14:paraId="640DC290" w14:textId="77777777" w:rsidR="00526C4D" w:rsidRPr="009E7EA6" w:rsidRDefault="00526C4D" w:rsidP="009E7EA6">
            <w:pPr>
              <w:jc w:val="center"/>
              <w:rPr>
                <w:rFonts w:ascii="Times New Roman" w:eastAsia="Calibri" w:hAnsi="Times New Roman" w:cs="Times New Roman"/>
                <w:sz w:val="18"/>
                <w:szCs w:val="18"/>
              </w:rPr>
            </w:pPr>
          </w:p>
          <w:p w14:paraId="6BB648EA" w14:textId="0E7DF4E7" w:rsidR="00526C4D" w:rsidRPr="009E7EA6" w:rsidRDefault="00526C4D" w:rsidP="009E7EA6">
            <w:pPr>
              <w:rPr>
                <w:rFonts w:ascii="Times New Roman" w:eastAsia="Calibri" w:hAnsi="Times New Roman" w:cs="Times New Roman"/>
                <w:sz w:val="18"/>
                <w:szCs w:val="18"/>
              </w:rPr>
            </w:pPr>
          </w:p>
        </w:tc>
        <w:tc>
          <w:tcPr>
            <w:tcW w:w="4344" w:type="dxa"/>
          </w:tcPr>
          <w:p w14:paraId="282CC45A" w14:textId="77777777" w:rsidR="00FE6522" w:rsidRPr="009E7EA6" w:rsidRDefault="00FE6522" w:rsidP="009E7EA6">
            <w:pPr>
              <w:spacing w:before="120" w:line="276" w:lineRule="auto"/>
              <w:jc w:val="center"/>
              <w:rPr>
                <w:rFonts w:ascii="Times New Roman" w:eastAsia="Times New Roman" w:hAnsi="Times New Roman" w:cs="Times New Roman"/>
                <w:b/>
                <w:sz w:val="18"/>
                <w:szCs w:val="18"/>
                <w:lang w:val="sq-AL" w:eastAsia="sq-AL"/>
              </w:rPr>
            </w:pPr>
            <w:r w:rsidRPr="009E7EA6">
              <w:rPr>
                <w:rFonts w:ascii="Times New Roman" w:eastAsia="Times New Roman" w:hAnsi="Times New Roman" w:cs="Times New Roman"/>
                <w:b/>
                <w:sz w:val="18"/>
                <w:szCs w:val="18"/>
                <w:lang w:val="sq-AL" w:eastAsia="sq-AL"/>
              </w:rPr>
              <w:t>Article 13</w:t>
            </w:r>
          </w:p>
          <w:p w14:paraId="1876CC1A" w14:textId="369F3915" w:rsidR="00FE6522" w:rsidRPr="009E7EA6" w:rsidRDefault="00FE6522" w:rsidP="009E7EA6">
            <w:pPr>
              <w:spacing w:before="120" w:line="276" w:lineRule="auto"/>
              <w:jc w:val="both"/>
              <w:rPr>
                <w:rFonts w:ascii="Times New Roman" w:eastAsia="Times New Roman" w:hAnsi="Times New Roman" w:cs="Times New Roman"/>
                <w:b/>
                <w:sz w:val="18"/>
                <w:szCs w:val="18"/>
                <w:lang w:val="sq-AL" w:eastAsia="sq-AL"/>
              </w:rPr>
            </w:pPr>
            <w:r w:rsidRPr="009E7EA6">
              <w:rPr>
                <w:rFonts w:ascii="Times New Roman" w:eastAsia="Times New Roman" w:hAnsi="Times New Roman" w:cs="Times New Roman"/>
                <w:b/>
                <w:sz w:val="18"/>
                <w:szCs w:val="18"/>
                <w:lang w:val="sq-AL" w:eastAsia="sq-AL"/>
              </w:rPr>
              <w:t>Permitted use, confidentiality and data protection</w:t>
            </w:r>
          </w:p>
          <w:p w14:paraId="41C30162" w14:textId="2D7CF76F" w:rsidR="00526C4D" w:rsidRPr="009E7EA6" w:rsidRDefault="00526C4D" w:rsidP="009E7EA6">
            <w:pPr>
              <w:spacing w:before="120" w:line="276" w:lineRule="auto"/>
              <w:jc w:val="both"/>
              <w:rPr>
                <w:rFonts w:ascii="Times New Roman" w:eastAsia="Times New Roman" w:hAnsi="Times New Roman" w:cs="Times New Roman"/>
                <w:sz w:val="18"/>
                <w:szCs w:val="18"/>
                <w:lang w:val="sq-AL" w:eastAsia="sq-AL"/>
              </w:rPr>
            </w:pPr>
            <w:r w:rsidRPr="009E7EA6">
              <w:rPr>
                <w:rFonts w:ascii="Times New Roman" w:eastAsia="Times New Roman" w:hAnsi="Times New Roman" w:cs="Times New Roman"/>
                <w:sz w:val="18"/>
                <w:szCs w:val="18"/>
                <w:lang w:val="sq-AL" w:eastAsia="sq-AL"/>
              </w:rPr>
              <w:t xml:space="preserve">4. </w:t>
            </w:r>
            <w:r w:rsidR="00FE6522" w:rsidRPr="009E7EA6">
              <w:rPr>
                <w:rFonts w:ascii="Times New Roman" w:eastAsia="Times New Roman" w:hAnsi="Times New Roman" w:cs="Times New Roman"/>
                <w:sz w:val="18"/>
                <w:szCs w:val="18"/>
                <w:lang w:val="sq-AL" w:eastAsia="sq-AL"/>
              </w:rPr>
              <w:tab/>
              <w:t>The tax administration shall ensure effective mechanisms for the use, analysis and monitoring of information received through the filing and automatic exchange of the TTIR.</w:t>
            </w:r>
          </w:p>
          <w:p w14:paraId="7118DC53" w14:textId="77777777" w:rsidR="00526C4D" w:rsidRPr="009E7EA6" w:rsidRDefault="00526C4D" w:rsidP="009E7EA6">
            <w:pPr>
              <w:spacing w:line="276" w:lineRule="auto"/>
              <w:ind w:left="720"/>
              <w:jc w:val="both"/>
              <w:rPr>
                <w:rFonts w:ascii="Times New Roman" w:eastAsia="Calibri" w:hAnsi="Times New Roman" w:cs="Times New Roman"/>
                <w:sz w:val="18"/>
                <w:szCs w:val="18"/>
              </w:rPr>
            </w:pPr>
          </w:p>
          <w:p w14:paraId="611E2320" w14:textId="06C7249F" w:rsidR="00526C4D" w:rsidRPr="009E7EA6" w:rsidRDefault="00526C4D" w:rsidP="009E7EA6">
            <w:pPr>
              <w:spacing w:line="276" w:lineRule="auto"/>
              <w:jc w:val="both"/>
              <w:rPr>
                <w:rFonts w:ascii="Times New Roman" w:eastAsia="Calibri" w:hAnsi="Times New Roman" w:cs="Times New Roman"/>
                <w:sz w:val="18"/>
                <w:szCs w:val="18"/>
              </w:rPr>
            </w:pPr>
          </w:p>
        </w:tc>
        <w:tc>
          <w:tcPr>
            <w:tcW w:w="1156" w:type="dxa"/>
          </w:tcPr>
          <w:p w14:paraId="7827BBA2" w14:textId="77777777" w:rsidR="00526C4D" w:rsidRPr="009E7EA6" w:rsidRDefault="00526C4D" w:rsidP="009E7EA6">
            <w:pPr>
              <w:jc w:val="center"/>
              <w:rPr>
                <w:rFonts w:ascii="Times New Roman" w:eastAsia="Calibri" w:hAnsi="Times New Roman" w:cs="Times New Roman"/>
                <w:sz w:val="18"/>
                <w:szCs w:val="18"/>
              </w:rPr>
            </w:pPr>
          </w:p>
          <w:p w14:paraId="5C366860" w14:textId="36C25B29" w:rsidR="00526C4D" w:rsidRPr="009E7EA6" w:rsidRDefault="00FB1120"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F</w:t>
            </w:r>
          </w:p>
        </w:tc>
        <w:tc>
          <w:tcPr>
            <w:tcW w:w="2960" w:type="dxa"/>
          </w:tcPr>
          <w:p w14:paraId="735C3D58" w14:textId="77777777" w:rsidR="00526C4D" w:rsidRPr="009E7EA6" w:rsidRDefault="00526C4D" w:rsidP="009E7EA6">
            <w:pPr>
              <w:rPr>
                <w:rFonts w:ascii="Times New Roman" w:eastAsia="Calibri" w:hAnsi="Times New Roman" w:cs="Times New Roman"/>
                <w:sz w:val="18"/>
                <w:szCs w:val="18"/>
              </w:rPr>
            </w:pPr>
          </w:p>
          <w:p w14:paraId="2C4BC5ED" w14:textId="2CF84113" w:rsidR="00526C4D" w:rsidRPr="009E7EA6" w:rsidRDefault="00526C4D" w:rsidP="009E7EA6">
            <w:pPr>
              <w:rPr>
                <w:rFonts w:ascii="Times New Roman" w:eastAsia="Calibri" w:hAnsi="Times New Roman" w:cs="Times New Roman"/>
                <w:sz w:val="18"/>
                <w:szCs w:val="18"/>
              </w:rPr>
            </w:pPr>
          </w:p>
        </w:tc>
      </w:tr>
      <w:tr w:rsidR="00526C4D" w:rsidRPr="009E7EA6" w14:paraId="4AFFC5F4" w14:textId="77777777" w:rsidTr="009E7EA6">
        <w:tc>
          <w:tcPr>
            <w:tcW w:w="805" w:type="dxa"/>
          </w:tcPr>
          <w:p w14:paraId="7986B8CE" w14:textId="77777777" w:rsidR="00526C4D" w:rsidRPr="009E7EA6" w:rsidRDefault="00526C4D" w:rsidP="009E7EA6">
            <w:pPr>
              <w:jc w:val="both"/>
              <w:rPr>
                <w:rFonts w:ascii="Times New Roman" w:eastAsia="Calibri" w:hAnsi="Times New Roman" w:cs="Times New Roman"/>
                <w:sz w:val="18"/>
                <w:szCs w:val="18"/>
              </w:rPr>
            </w:pPr>
          </w:p>
        </w:tc>
        <w:tc>
          <w:tcPr>
            <w:tcW w:w="5140" w:type="dxa"/>
          </w:tcPr>
          <w:p w14:paraId="3DF7650A" w14:textId="75563F1F" w:rsidR="00526C4D" w:rsidRPr="009E7EA6" w:rsidRDefault="00526C4D" w:rsidP="009E7EA6">
            <w:pPr>
              <w:pStyle w:val="Heading2"/>
              <w:spacing w:after="120" w:line="288" w:lineRule="atLeast"/>
              <w:rPr>
                <w:rStyle w:val="legamendingtext"/>
                <w:rFonts w:ascii="Times New Roman" w:hAnsi="Times New Roman" w:cs="Times New Roman"/>
                <w:color w:val="000000"/>
                <w:sz w:val="18"/>
                <w:szCs w:val="18"/>
              </w:rPr>
            </w:pPr>
            <w:r w:rsidRPr="009E7EA6">
              <w:rPr>
                <w:rStyle w:val="legamendingtext"/>
                <w:rFonts w:ascii="Times New Roman" w:hAnsi="Times New Roman" w:cs="Times New Roman"/>
                <w:color w:val="000000"/>
                <w:sz w:val="18"/>
                <w:szCs w:val="18"/>
              </w:rPr>
              <w:t>(7) in Article 20, paragraph 4 is replaced by the following:</w:t>
            </w:r>
          </w:p>
          <w:p w14:paraId="56EBFD0F" w14:textId="77777777" w:rsidR="00526C4D" w:rsidRPr="009E7EA6" w:rsidRDefault="00526C4D" w:rsidP="009E7EA6">
            <w:pPr>
              <w:pStyle w:val="Heading2"/>
              <w:spacing w:after="120" w:line="288" w:lineRule="atLeast"/>
              <w:rPr>
                <w:rStyle w:val="legamendingtext"/>
                <w:rFonts w:ascii="Times New Roman" w:hAnsi="Times New Roman" w:cs="Times New Roman"/>
                <w:color w:val="000000"/>
                <w:sz w:val="18"/>
                <w:szCs w:val="18"/>
              </w:rPr>
            </w:pPr>
            <w:r w:rsidRPr="009E7EA6">
              <w:rPr>
                <w:rStyle w:val="legamendingtext"/>
                <w:rFonts w:ascii="Times New Roman" w:hAnsi="Times New Roman" w:cs="Times New Roman"/>
                <w:color w:val="000000"/>
                <w:sz w:val="18"/>
                <w:szCs w:val="18"/>
              </w:rPr>
              <w:t>‘4.   The automatic exchange of information pursuant to Articles 8, 8ac and 8ae shall be carried out using a standard computerised format aimed at facilitating such automatic exchange, adopted by the Commission in accordance with the procedure referred to in Article 26(2).’</w:t>
            </w:r>
          </w:p>
          <w:p w14:paraId="752E4799" w14:textId="36580CC7" w:rsidR="00526C4D" w:rsidRPr="009E7EA6" w:rsidRDefault="00526C4D" w:rsidP="009E7EA6">
            <w:pPr>
              <w:pStyle w:val="Heading2"/>
              <w:spacing w:after="120" w:line="288" w:lineRule="atLeast"/>
              <w:rPr>
                <w:rStyle w:val="legamendingtext"/>
                <w:rFonts w:ascii="Times New Roman" w:hAnsi="Times New Roman" w:cs="Times New Roman"/>
                <w:color w:val="000000"/>
                <w:sz w:val="18"/>
                <w:szCs w:val="18"/>
              </w:rPr>
            </w:pPr>
            <w:r w:rsidRPr="009E7EA6">
              <w:rPr>
                <w:rStyle w:val="legamendingtext"/>
                <w:rFonts w:ascii="Times New Roman" w:hAnsi="Times New Roman" w:cs="Times New Roman"/>
                <w:color w:val="000000"/>
                <w:sz w:val="18"/>
                <w:szCs w:val="18"/>
              </w:rPr>
              <w:t>;</w:t>
            </w:r>
          </w:p>
          <w:p w14:paraId="7F9DFF49" w14:textId="5C5A7E30" w:rsidR="00526C4D" w:rsidRPr="009E7EA6" w:rsidRDefault="00526C4D" w:rsidP="009E7EA6">
            <w:pPr>
              <w:pStyle w:val="Heading2"/>
              <w:spacing w:after="120" w:line="288" w:lineRule="atLeast"/>
              <w:rPr>
                <w:rStyle w:val="legamendingtext"/>
                <w:rFonts w:ascii="Times New Roman" w:hAnsi="Times New Roman" w:cs="Times New Roman"/>
                <w:color w:val="000000"/>
                <w:sz w:val="18"/>
                <w:szCs w:val="18"/>
              </w:rPr>
            </w:pPr>
          </w:p>
          <w:p w14:paraId="406CB47E" w14:textId="7379E4B1" w:rsidR="00526C4D" w:rsidRPr="009E7EA6" w:rsidRDefault="00526C4D" w:rsidP="009E7EA6">
            <w:pPr>
              <w:pStyle w:val="Heading2"/>
              <w:spacing w:after="120" w:line="288" w:lineRule="atLeast"/>
              <w:rPr>
                <w:rStyle w:val="legamendingtext"/>
                <w:rFonts w:ascii="Times New Roman" w:hAnsi="Times New Roman" w:cs="Times New Roman"/>
                <w:color w:val="000000"/>
                <w:sz w:val="18"/>
                <w:szCs w:val="18"/>
              </w:rPr>
            </w:pPr>
          </w:p>
        </w:tc>
        <w:tc>
          <w:tcPr>
            <w:tcW w:w="1070" w:type="dxa"/>
          </w:tcPr>
          <w:p w14:paraId="255510C7" w14:textId="77777777" w:rsidR="00526C4D" w:rsidRPr="009E7EA6" w:rsidRDefault="00526C4D" w:rsidP="009E7EA6">
            <w:pPr>
              <w:jc w:val="center"/>
              <w:rPr>
                <w:rFonts w:ascii="Times New Roman" w:eastAsia="Calibri" w:hAnsi="Times New Roman" w:cs="Times New Roman"/>
                <w:sz w:val="18"/>
                <w:szCs w:val="18"/>
              </w:rPr>
            </w:pPr>
          </w:p>
        </w:tc>
        <w:tc>
          <w:tcPr>
            <w:tcW w:w="720" w:type="dxa"/>
          </w:tcPr>
          <w:p w14:paraId="4B717550" w14:textId="208CB83B" w:rsidR="00526C4D" w:rsidRPr="009E7EA6" w:rsidRDefault="00526C4D" w:rsidP="009E7EA6">
            <w:pPr>
              <w:jc w:val="center"/>
              <w:rPr>
                <w:rFonts w:ascii="Times New Roman" w:eastAsia="Calibri" w:hAnsi="Times New Roman" w:cs="Times New Roman"/>
                <w:sz w:val="18"/>
                <w:szCs w:val="18"/>
              </w:rPr>
            </w:pPr>
          </w:p>
        </w:tc>
        <w:tc>
          <w:tcPr>
            <w:tcW w:w="4344" w:type="dxa"/>
          </w:tcPr>
          <w:p w14:paraId="6405DDDF" w14:textId="77777777" w:rsidR="00FE6522" w:rsidRPr="009E7EA6" w:rsidRDefault="00FE6522" w:rsidP="009E7EA6">
            <w:pPr>
              <w:spacing w:before="120" w:line="276" w:lineRule="auto"/>
              <w:jc w:val="center"/>
              <w:rPr>
                <w:rFonts w:ascii="Times New Roman" w:eastAsia="Times New Roman" w:hAnsi="Times New Roman" w:cs="Times New Roman"/>
                <w:b/>
                <w:sz w:val="18"/>
                <w:szCs w:val="18"/>
                <w:lang w:val="sq-AL" w:eastAsia="sq-AL"/>
              </w:rPr>
            </w:pPr>
            <w:r w:rsidRPr="009E7EA6">
              <w:rPr>
                <w:rFonts w:ascii="Times New Roman" w:eastAsia="Times New Roman" w:hAnsi="Times New Roman" w:cs="Times New Roman"/>
                <w:b/>
                <w:sz w:val="18"/>
                <w:szCs w:val="18"/>
                <w:lang w:val="sq-AL" w:eastAsia="sq-AL"/>
              </w:rPr>
              <w:t>Article 8</w:t>
            </w:r>
          </w:p>
          <w:p w14:paraId="501D9485" w14:textId="77777777" w:rsidR="00FE6522" w:rsidRPr="009E7EA6" w:rsidRDefault="00FE6522" w:rsidP="009E7EA6">
            <w:pPr>
              <w:spacing w:before="120" w:line="276" w:lineRule="auto"/>
              <w:jc w:val="center"/>
              <w:rPr>
                <w:rFonts w:ascii="Times New Roman" w:eastAsia="Times New Roman" w:hAnsi="Times New Roman" w:cs="Times New Roman"/>
                <w:b/>
                <w:sz w:val="18"/>
                <w:szCs w:val="18"/>
                <w:lang w:val="sq-AL" w:eastAsia="sq-AL"/>
              </w:rPr>
            </w:pPr>
            <w:r w:rsidRPr="009E7EA6">
              <w:rPr>
                <w:rFonts w:ascii="Times New Roman" w:eastAsia="Times New Roman" w:hAnsi="Times New Roman" w:cs="Times New Roman"/>
                <w:b/>
                <w:sz w:val="18"/>
                <w:szCs w:val="18"/>
                <w:lang w:val="sq-AL" w:eastAsia="sq-AL"/>
              </w:rPr>
              <w:t>Form, language, currency and filing channel</w:t>
            </w:r>
          </w:p>
          <w:p w14:paraId="19D78A5C" w14:textId="77777777" w:rsidR="00FE6522" w:rsidRPr="009E7EA6" w:rsidRDefault="00FE6522" w:rsidP="009E7EA6">
            <w:pPr>
              <w:spacing w:before="120" w:line="276" w:lineRule="auto"/>
              <w:jc w:val="both"/>
              <w:rPr>
                <w:rFonts w:ascii="Times New Roman" w:eastAsia="Times New Roman" w:hAnsi="Times New Roman" w:cs="Times New Roman"/>
                <w:sz w:val="18"/>
                <w:szCs w:val="18"/>
                <w:lang w:val="sq-AL" w:eastAsia="sq-AL"/>
              </w:rPr>
            </w:pPr>
            <w:r w:rsidRPr="009E7EA6">
              <w:rPr>
                <w:rFonts w:ascii="Times New Roman" w:eastAsia="Times New Roman" w:hAnsi="Times New Roman" w:cs="Times New Roman"/>
                <w:sz w:val="18"/>
                <w:szCs w:val="18"/>
                <w:lang w:val="sq-AL" w:eastAsia="sq-AL"/>
              </w:rPr>
              <w:t>1.</w:t>
            </w:r>
            <w:r w:rsidRPr="009E7EA6">
              <w:rPr>
                <w:rFonts w:ascii="Times New Roman" w:eastAsia="Times New Roman" w:hAnsi="Times New Roman" w:cs="Times New Roman"/>
                <w:sz w:val="18"/>
                <w:szCs w:val="18"/>
                <w:lang w:val="sq-AL" w:eastAsia="sq-AL"/>
              </w:rPr>
              <w:tab/>
              <w:t xml:space="preserve">TTIR shall be filed exclusively in electronic form through the electronic system designated for this purpose by the General Directorate of Taxation. </w:t>
            </w:r>
          </w:p>
          <w:p w14:paraId="3D1F4728" w14:textId="0B63CA8C" w:rsidR="00F077F5" w:rsidRPr="009E7EA6" w:rsidRDefault="00FE6522" w:rsidP="009E7EA6">
            <w:pPr>
              <w:spacing w:line="276" w:lineRule="auto"/>
              <w:jc w:val="both"/>
              <w:rPr>
                <w:rFonts w:ascii="Times New Roman" w:eastAsia="Calibri" w:hAnsi="Times New Roman" w:cs="Times New Roman"/>
                <w:sz w:val="18"/>
                <w:szCs w:val="18"/>
              </w:rPr>
            </w:pPr>
            <w:r w:rsidRPr="009E7EA6">
              <w:rPr>
                <w:rFonts w:ascii="Times New Roman" w:eastAsia="Times New Roman" w:hAnsi="Times New Roman" w:cs="Times New Roman"/>
                <w:sz w:val="18"/>
                <w:szCs w:val="18"/>
                <w:lang w:val="sq-AL" w:eastAsia="sq-AL"/>
              </w:rPr>
              <w:t>2.</w:t>
            </w:r>
            <w:r w:rsidRPr="009E7EA6">
              <w:rPr>
                <w:rFonts w:ascii="Times New Roman" w:eastAsia="Times New Roman" w:hAnsi="Times New Roman" w:cs="Times New Roman"/>
                <w:sz w:val="18"/>
                <w:szCs w:val="18"/>
                <w:lang w:val="sq-AL" w:eastAsia="sq-AL"/>
              </w:rPr>
              <w:tab/>
            </w:r>
            <w:r w:rsidR="00F077F5" w:rsidRPr="009E7EA6">
              <w:rPr>
                <w:rFonts w:ascii="Times New Roman" w:eastAsia="Calibri" w:hAnsi="Times New Roman" w:cs="Times New Roman"/>
                <w:sz w:val="18"/>
                <w:szCs w:val="18"/>
              </w:rPr>
              <w:t xml:space="preserve"> TTIR shall be submitted in the Albanian language. The structural data elements, including technical labels, XML schemas, controlled values, field codes, attribute names and any other technical element required by the technical specifications and standards of the European Union, are presented in the English language to the extent determined by the decision of the Council of Ministers issued pursuant to this law and the relevant specifications of the European Commission. </w:t>
            </w:r>
          </w:p>
          <w:p w14:paraId="73F990DC" w14:textId="77777777" w:rsidR="00F077F5" w:rsidRPr="009E7EA6" w:rsidRDefault="00F077F5" w:rsidP="009E7EA6">
            <w:pPr>
              <w:spacing w:line="276" w:lineRule="auto"/>
              <w:jc w:val="both"/>
              <w:rPr>
                <w:rFonts w:ascii="Times New Roman" w:eastAsia="Calibri" w:hAnsi="Times New Roman" w:cs="Times New Roman"/>
                <w:sz w:val="18"/>
                <w:szCs w:val="18"/>
              </w:rPr>
            </w:pPr>
            <w:r w:rsidRPr="009E7EA6">
              <w:rPr>
                <w:rFonts w:ascii="Times New Roman" w:eastAsia="Calibri" w:hAnsi="Times New Roman" w:cs="Times New Roman"/>
                <w:sz w:val="18"/>
                <w:szCs w:val="18"/>
              </w:rPr>
              <w:t>3.</w:t>
            </w:r>
            <w:r w:rsidRPr="009E7EA6">
              <w:rPr>
                <w:rFonts w:ascii="Times New Roman" w:eastAsia="Calibri" w:hAnsi="Times New Roman" w:cs="Times New Roman"/>
                <w:sz w:val="18"/>
                <w:szCs w:val="18"/>
              </w:rPr>
              <w:tab/>
              <w:t xml:space="preserve">Monetary amounts shall be reported in the currency used in the consolidated financial statements for the preparation of the TTIR. In cases where currency </w:t>
            </w:r>
            <w:r w:rsidRPr="009E7EA6">
              <w:rPr>
                <w:rFonts w:ascii="Times New Roman" w:eastAsia="Calibri" w:hAnsi="Times New Roman" w:cs="Times New Roman"/>
                <w:sz w:val="18"/>
                <w:szCs w:val="18"/>
              </w:rPr>
              <w:lastRenderedPageBreak/>
              <w:t xml:space="preserve">conversion is required, it shall be carried out in accordance with the rules laid down in the implementing acts of the European Union and/or the international standards referred to therein. </w:t>
            </w:r>
          </w:p>
          <w:p w14:paraId="5AAE61CA" w14:textId="4C548601" w:rsidR="00526C4D" w:rsidRPr="009E7EA6" w:rsidRDefault="00F077F5" w:rsidP="009E7EA6">
            <w:pPr>
              <w:spacing w:before="120" w:line="276" w:lineRule="auto"/>
              <w:jc w:val="both"/>
              <w:rPr>
                <w:rFonts w:ascii="Times New Roman" w:eastAsia="Times New Roman" w:hAnsi="Times New Roman" w:cs="Times New Roman"/>
                <w:sz w:val="18"/>
                <w:szCs w:val="18"/>
                <w:lang w:val="sq-AL" w:eastAsia="sq-AL"/>
              </w:rPr>
            </w:pPr>
            <w:r w:rsidRPr="009E7EA6">
              <w:rPr>
                <w:rFonts w:ascii="Times New Roman" w:eastAsia="Calibri" w:hAnsi="Times New Roman" w:cs="Times New Roman"/>
                <w:sz w:val="18"/>
                <w:szCs w:val="18"/>
              </w:rPr>
              <w:t>4.</w:t>
            </w:r>
            <w:r w:rsidRPr="009E7EA6">
              <w:rPr>
                <w:rFonts w:ascii="Times New Roman" w:eastAsia="Calibri" w:hAnsi="Times New Roman" w:cs="Times New Roman"/>
                <w:sz w:val="18"/>
                <w:szCs w:val="18"/>
              </w:rPr>
              <w:tab/>
              <w:t>In the event of inconsistency between the provisions of this Law and the technical specifications of the electronic format approved at the level of the European Union, the technical specifications and the electronic format approved by the European Union shall prevail</w:t>
            </w:r>
            <w:r w:rsidR="00FE6522" w:rsidRPr="009E7EA6">
              <w:rPr>
                <w:rFonts w:ascii="Times New Roman" w:eastAsia="Times New Roman" w:hAnsi="Times New Roman" w:cs="Times New Roman"/>
                <w:sz w:val="18"/>
                <w:szCs w:val="18"/>
                <w:lang w:val="sq-AL" w:eastAsia="sq-AL"/>
              </w:rPr>
              <w:t>.</w:t>
            </w:r>
          </w:p>
        </w:tc>
        <w:tc>
          <w:tcPr>
            <w:tcW w:w="1156" w:type="dxa"/>
          </w:tcPr>
          <w:p w14:paraId="3DE86B35" w14:textId="77777777" w:rsidR="00526C4D" w:rsidRPr="009E7EA6" w:rsidRDefault="00526C4D" w:rsidP="009E7EA6">
            <w:pPr>
              <w:jc w:val="center"/>
              <w:rPr>
                <w:rFonts w:ascii="Times New Roman" w:eastAsia="Calibri" w:hAnsi="Times New Roman" w:cs="Times New Roman"/>
                <w:sz w:val="18"/>
                <w:szCs w:val="18"/>
              </w:rPr>
            </w:pPr>
          </w:p>
          <w:p w14:paraId="6EEA7984" w14:textId="592FFC59" w:rsidR="00526C4D" w:rsidRPr="009E7EA6" w:rsidRDefault="00FB1120"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F</w:t>
            </w:r>
          </w:p>
        </w:tc>
        <w:tc>
          <w:tcPr>
            <w:tcW w:w="2960" w:type="dxa"/>
          </w:tcPr>
          <w:p w14:paraId="3444B5D0" w14:textId="1F0ECE21" w:rsidR="00526C4D" w:rsidRPr="009E7EA6" w:rsidRDefault="00526C4D" w:rsidP="009E7EA6">
            <w:pPr>
              <w:rPr>
                <w:rFonts w:ascii="Times New Roman" w:eastAsia="Calibri" w:hAnsi="Times New Roman" w:cs="Times New Roman"/>
                <w:sz w:val="18"/>
                <w:szCs w:val="18"/>
              </w:rPr>
            </w:pPr>
          </w:p>
        </w:tc>
      </w:tr>
      <w:tr w:rsidR="00526C4D" w:rsidRPr="009E7EA6" w14:paraId="12DBA1A2" w14:textId="77777777" w:rsidTr="009E7EA6">
        <w:tc>
          <w:tcPr>
            <w:tcW w:w="805" w:type="dxa"/>
          </w:tcPr>
          <w:p w14:paraId="369979A3" w14:textId="79F430B9" w:rsidR="00526C4D" w:rsidRPr="009E7EA6" w:rsidRDefault="00526C4D" w:rsidP="009E7EA6">
            <w:pPr>
              <w:jc w:val="both"/>
              <w:rPr>
                <w:rFonts w:ascii="Times New Roman" w:eastAsia="Calibri" w:hAnsi="Times New Roman" w:cs="Times New Roman"/>
                <w:sz w:val="18"/>
                <w:szCs w:val="18"/>
              </w:rPr>
            </w:pPr>
          </w:p>
        </w:tc>
        <w:tc>
          <w:tcPr>
            <w:tcW w:w="5140" w:type="dxa"/>
          </w:tcPr>
          <w:p w14:paraId="3D27DD95" w14:textId="22D0386E" w:rsidR="00526C4D" w:rsidRPr="009E7EA6" w:rsidRDefault="00526C4D" w:rsidP="009E7EA6">
            <w:pPr>
              <w:jc w:val="both"/>
              <w:rPr>
                <w:rFonts w:ascii="Times New Roman" w:eastAsia="Calibri" w:hAnsi="Times New Roman" w:cs="Times New Roman"/>
                <w:iCs/>
                <w:sz w:val="18"/>
                <w:szCs w:val="18"/>
              </w:rPr>
            </w:pPr>
          </w:p>
          <w:p w14:paraId="47123154" w14:textId="7411646B"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(8) in Article 22, paragraphs 3 and 4 are replaced by the following:</w:t>
            </w:r>
          </w:p>
          <w:p w14:paraId="1FFB3138" w14:textId="77777777" w:rsidR="00526C4D" w:rsidRPr="009E7EA6" w:rsidRDefault="00526C4D" w:rsidP="009E7EA6">
            <w:pPr>
              <w:jc w:val="both"/>
              <w:rPr>
                <w:rFonts w:ascii="Times New Roman" w:eastAsia="Calibri" w:hAnsi="Times New Roman" w:cs="Times New Roman"/>
                <w:iCs/>
                <w:sz w:val="18"/>
                <w:szCs w:val="18"/>
              </w:rPr>
            </w:pPr>
          </w:p>
          <w:p w14:paraId="029BF2AF"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‘3.   Member States shall retain the records of the information received through the automatic exchange of information pursuant to Articles 8 to 8ae for no longer than necessary but in any event not less than five years from its date of receipt to achieve the purposes of this Directive.</w:t>
            </w:r>
          </w:p>
          <w:p w14:paraId="33B9E609" w14:textId="77777777" w:rsidR="00526C4D" w:rsidRPr="009E7EA6" w:rsidRDefault="00526C4D" w:rsidP="009E7EA6">
            <w:pPr>
              <w:jc w:val="both"/>
              <w:rPr>
                <w:rFonts w:ascii="Times New Roman" w:eastAsia="Calibri" w:hAnsi="Times New Roman" w:cs="Times New Roman"/>
                <w:iCs/>
                <w:sz w:val="18"/>
                <w:szCs w:val="18"/>
              </w:rPr>
            </w:pPr>
          </w:p>
          <w:p w14:paraId="7DBAC587"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4.   Member States shall endeavour to ensure that a reporting entity is allowed to obtain confirmation by electronic means of the validity of the information on the TIN of any taxpayer subject to the exchange of information under Articles 8 to 8ae. The confirmation of the information on the TIN may be requested only for the purposes of validation of the correctness of data referred to in Articles 8(1), 8(3a), 8a(6), 8aa(3), 8ab(14), 8ac(2), 8ad(3) and 8ae(2).’</w:t>
            </w:r>
          </w:p>
          <w:p w14:paraId="0138D038"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w:t>
            </w:r>
          </w:p>
          <w:p w14:paraId="7B98B7B3" w14:textId="77777777" w:rsidR="00526C4D" w:rsidRPr="009E7EA6" w:rsidRDefault="00526C4D" w:rsidP="009E7EA6">
            <w:pPr>
              <w:jc w:val="both"/>
              <w:rPr>
                <w:rFonts w:ascii="Times New Roman" w:eastAsia="Calibri" w:hAnsi="Times New Roman" w:cs="Times New Roman"/>
                <w:iCs/>
                <w:sz w:val="18"/>
                <w:szCs w:val="18"/>
              </w:rPr>
            </w:pPr>
          </w:p>
          <w:p w14:paraId="38DC41C0" w14:textId="208714BC"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(9) Article 25a is replaced by the following:</w:t>
            </w:r>
          </w:p>
        </w:tc>
        <w:tc>
          <w:tcPr>
            <w:tcW w:w="1070" w:type="dxa"/>
          </w:tcPr>
          <w:p w14:paraId="565A294E" w14:textId="77777777" w:rsidR="00526C4D" w:rsidRPr="009E7EA6" w:rsidRDefault="00526C4D" w:rsidP="009E7EA6">
            <w:pPr>
              <w:jc w:val="center"/>
              <w:rPr>
                <w:rFonts w:ascii="Times New Roman" w:eastAsia="Calibri" w:hAnsi="Times New Roman" w:cs="Times New Roman"/>
                <w:sz w:val="18"/>
                <w:szCs w:val="18"/>
              </w:rPr>
            </w:pPr>
          </w:p>
        </w:tc>
        <w:tc>
          <w:tcPr>
            <w:tcW w:w="720" w:type="dxa"/>
          </w:tcPr>
          <w:p w14:paraId="646F798E" w14:textId="16A09D85" w:rsidR="00526C4D" w:rsidRPr="009E7EA6" w:rsidRDefault="00526C4D" w:rsidP="009E7EA6">
            <w:pPr>
              <w:jc w:val="center"/>
              <w:rPr>
                <w:rFonts w:ascii="Times New Roman" w:eastAsia="Calibri" w:hAnsi="Times New Roman" w:cs="Times New Roman"/>
                <w:sz w:val="18"/>
                <w:szCs w:val="18"/>
              </w:rPr>
            </w:pPr>
          </w:p>
        </w:tc>
        <w:tc>
          <w:tcPr>
            <w:tcW w:w="4344" w:type="dxa"/>
          </w:tcPr>
          <w:p w14:paraId="48C768A0" w14:textId="77777777" w:rsidR="00AB435E" w:rsidRPr="009E7EA6" w:rsidRDefault="00FE6522" w:rsidP="009E7EA6">
            <w:pPr>
              <w:spacing w:line="276" w:lineRule="auto"/>
              <w:jc w:val="center"/>
              <w:rPr>
                <w:rFonts w:ascii="Times New Roman" w:hAnsi="Times New Roman" w:cs="Times New Roman"/>
                <w:b/>
                <w:sz w:val="18"/>
                <w:szCs w:val="18"/>
              </w:rPr>
            </w:pPr>
            <w:r w:rsidRPr="009E7EA6">
              <w:rPr>
                <w:rFonts w:ascii="Times New Roman" w:hAnsi="Times New Roman" w:cs="Times New Roman"/>
                <w:b/>
                <w:sz w:val="18"/>
                <w:szCs w:val="18"/>
              </w:rPr>
              <w:t>Article 10</w:t>
            </w:r>
          </w:p>
          <w:p w14:paraId="2B40EF7D" w14:textId="433AFB4C" w:rsidR="00FE6522" w:rsidRPr="009E7EA6" w:rsidRDefault="00FE6522" w:rsidP="009E7EA6">
            <w:pPr>
              <w:spacing w:line="276" w:lineRule="auto"/>
              <w:jc w:val="center"/>
              <w:rPr>
                <w:rFonts w:ascii="Times New Roman" w:hAnsi="Times New Roman" w:cs="Times New Roman"/>
                <w:b/>
                <w:sz w:val="18"/>
                <w:szCs w:val="18"/>
              </w:rPr>
            </w:pPr>
            <w:r w:rsidRPr="009E7EA6">
              <w:rPr>
                <w:rFonts w:ascii="Times New Roman" w:hAnsi="Times New Roman" w:cs="Times New Roman"/>
                <w:b/>
                <w:sz w:val="18"/>
                <w:szCs w:val="18"/>
              </w:rPr>
              <w:t>Automatic exchange of TTIR</w:t>
            </w:r>
          </w:p>
          <w:p w14:paraId="3DCC82C4" w14:textId="77777777" w:rsidR="00C332D0" w:rsidRPr="009E7EA6" w:rsidRDefault="00C332D0" w:rsidP="009E7EA6">
            <w:pPr>
              <w:spacing w:line="276" w:lineRule="auto"/>
              <w:jc w:val="center"/>
              <w:rPr>
                <w:rFonts w:ascii="Times New Roman" w:hAnsi="Times New Roman" w:cs="Times New Roman"/>
                <w:b/>
                <w:sz w:val="18"/>
                <w:szCs w:val="18"/>
              </w:rPr>
            </w:pPr>
          </w:p>
          <w:p w14:paraId="7EEEB21F" w14:textId="3E524E97" w:rsidR="00526C4D" w:rsidRPr="009E7EA6" w:rsidRDefault="00526C4D" w:rsidP="009E7EA6">
            <w:pPr>
              <w:spacing w:after="100" w:afterAutospacing="1"/>
              <w:rPr>
                <w:rFonts w:ascii="Times New Roman" w:hAnsi="Times New Roman" w:cs="Times New Roman"/>
                <w:sz w:val="18"/>
                <w:szCs w:val="18"/>
              </w:rPr>
            </w:pPr>
            <w:r w:rsidRPr="009E7EA6">
              <w:rPr>
                <w:rFonts w:ascii="Times New Roman" w:hAnsi="Times New Roman" w:cs="Times New Roman"/>
                <w:sz w:val="18"/>
                <w:szCs w:val="18"/>
              </w:rPr>
              <w:t>7</w:t>
            </w:r>
            <w:r w:rsidR="00FE6522" w:rsidRPr="009E7EA6">
              <w:rPr>
                <w:rFonts w:ascii="Times New Roman" w:hAnsi="Times New Roman" w:cs="Times New Roman"/>
                <w:sz w:val="18"/>
                <w:szCs w:val="18"/>
              </w:rPr>
              <w:t>. The General Directorate of Taxation shall retain information received through the filing and automatic exchange of the Top-up Tax Information Return (TTIR) for as long as necessary for the purposes of this Law and, in any event, for no less than five (5) years from the date of its receipt.</w:t>
            </w:r>
          </w:p>
          <w:p w14:paraId="7AE3C43C" w14:textId="77777777" w:rsidR="00FE6522" w:rsidRPr="009E7EA6" w:rsidRDefault="00FE6522" w:rsidP="009E7EA6">
            <w:pPr>
              <w:spacing w:after="100" w:afterAutospacing="1"/>
              <w:jc w:val="center"/>
              <w:rPr>
                <w:rFonts w:ascii="Times New Roman" w:hAnsi="Times New Roman" w:cs="Times New Roman"/>
                <w:b/>
                <w:sz w:val="18"/>
                <w:szCs w:val="18"/>
              </w:rPr>
            </w:pPr>
            <w:r w:rsidRPr="009E7EA6">
              <w:rPr>
                <w:rFonts w:ascii="Times New Roman" w:hAnsi="Times New Roman" w:cs="Times New Roman"/>
                <w:b/>
                <w:sz w:val="18"/>
                <w:szCs w:val="18"/>
              </w:rPr>
              <w:t>Article 15</w:t>
            </w:r>
          </w:p>
          <w:p w14:paraId="018E9A92" w14:textId="77777777" w:rsidR="00FE6522" w:rsidRPr="009E7EA6" w:rsidRDefault="00FE6522" w:rsidP="009E7EA6">
            <w:pPr>
              <w:spacing w:after="100" w:afterAutospacing="1"/>
              <w:jc w:val="both"/>
              <w:rPr>
                <w:rFonts w:ascii="Times New Roman" w:hAnsi="Times New Roman" w:cs="Times New Roman"/>
                <w:b/>
                <w:sz w:val="18"/>
                <w:szCs w:val="18"/>
              </w:rPr>
            </w:pPr>
            <w:r w:rsidRPr="009E7EA6">
              <w:rPr>
                <w:rFonts w:ascii="Times New Roman" w:hAnsi="Times New Roman" w:cs="Times New Roman"/>
                <w:b/>
                <w:sz w:val="18"/>
                <w:szCs w:val="18"/>
              </w:rPr>
              <w:t>Audits, Requests for Information and Verifications</w:t>
            </w:r>
          </w:p>
          <w:p w14:paraId="345B79EE" w14:textId="77777777" w:rsidR="00526C4D" w:rsidRPr="009E7EA6" w:rsidRDefault="00526C4D" w:rsidP="009E7EA6">
            <w:pPr>
              <w:spacing w:after="100" w:afterAutospacing="1"/>
              <w:jc w:val="both"/>
              <w:rPr>
                <w:rFonts w:ascii="Times New Roman" w:hAnsi="Times New Roman" w:cs="Times New Roman"/>
                <w:sz w:val="18"/>
                <w:szCs w:val="18"/>
              </w:rPr>
            </w:pPr>
            <w:r w:rsidRPr="009E7EA6">
              <w:rPr>
                <w:rFonts w:ascii="Times New Roman" w:hAnsi="Times New Roman" w:cs="Times New Roman"/>
                <w:sz w:val="18"/>
                <w:szCs w:val="18"/>
              </w:rPr>
              <w:t xml:space="preserve">3. </w:t>
            </w:r>
            <w:r w:rsidR="00FE6522" w:rsidRPr="009E7EA6">
              <w:rPr>
                <w:rFonts w:ascii="Times New Roman" w:hAnsi="Times New Roman" w:cs="Times New Roman"/>
                <w:sz w:val="18"/>
                <w:szCs w:val="18"/>
              </w:rPr>
              <w:tab/>
              <w:t>Reporting entities may, where possible, verify through electronic means the validity of taxpayers’ Tax Identification Numbers (TINs), solely for the purpose of ensuring the accuracy of the reported information.</w:t>
            </w:r>
          </w:p>
          <w:p w14:paraId="2397275C" w14:textId="4FF2E582" w:rsidR="00D15CBC" w:rsidRPr="009E7EA6" w:rsidRDefault="00D15CBC" w:rsidP="009E7EA6">
            <w:pPr>
              <w:spacing w:after="100" w:afterAutospacing="1"/>
              <w:jc w:val="both"/>
              <w:rPr>
                <w:rFonts w:ascii="Times New Roman" w:hAnsi="Times New Roman" w:cs="Times New Roman"/>
                <w:sz w:val="18"/>
                <w:szCs w:val="18"/>
              </w:rPr>
            </w:pPr>
          </w:p>
        </w:tc>
        <w:tc>
          <w:tcPr>
            <w:tcW w:w="1156" w:type="dxa"/>
          </w:tcPr>
          <w:p w14:paraId="43A3B13B" w14:textId="77777777" w:rsidR="00FB1120" w:rsidRPr="009E7EA6" w:rsidRDefault="00FB1120" w:rsidP="009E7EA6">
            <w:pPr>
              <w:jc w:val="center"/>
              <w:rPr>
                <w:rFonts w:ascii="Times New Roman" w:eastAsia="Calibri" w:hAnsi="Times New Roman" w:cs="Times New Roman"/>
                <w:sz w:val="18"/>
                <w:szCs w:val="18"/>
              </w:rPr>
            </w:pPr>
          </w:p>
          <w:p w14:paraId="78CDC80A" w14:textId="52272AD9" w:rsidR="00526C4D" w:rsidRPr="009E7EA6" w:rsidRDefault="00FB1120"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F</w:t>
            </w:r>
          </w:p>
        </w:tc>
        <w:tc>
          <w:tcPr>
            <w:tcW w:w="2960" w:type="dxa"/>
          </w:tcPr>
          <w:p w14:paraId="5D6C08E4" w14:textId="1EEF49BB" w:rsidR="00526C4D" w:rsidRPr="009E7EA6" w:rsidRDefault="00526C4D" w:rsidP="009E7EA6">
            <w:pPr>
              <w:rPr>
                <w:rFonts w:ascii="Times New Roman" w:eastAsia="Calibri" w:hAnsi="Times New Roman" w:cs="Times New Roman"/>
                <w:sz w:val="18"/>
                <w:szCs w:val="18"/>
              </w:rPr>
            </w:pPr>
          </w:p>
          <w:p w14:paraId="09801CC0" w14:textId="0C949902" w:rsidR="00526C4D" w:rsidRPr="009E7EA6" w:rsidRDefault="00526C4D" w:rsidP="009E7EA6">
            <w:pPr>
              <w:rPr>
                <w:rFonts w:ascii="Times New Roman" w:eastAsia="Calibri" w:hAnsi="Times New Roman" w:cs="Times New Roman"/>
                <w:sz w:val="18"/>
                <w:szCs w:val="18"/>
              </w:rPr>
            </w:pPr>
          </w:p>
        </w:tc>
      </w:tr>
      <w:tr w:rsidR="00526C4D" w:rsidRPr="009E7EA6" w14:paraId="0A280824" w14:textId="77777777" w:rsidTr="009E7EA6">
        <w:tc>
          <w:tcPr>
            <w:tcW w:w="805" w:type="dxa"/>
          </w:tcPr>
          <w:p w14:paraId="4CC1BC67" w14:textId="654A2C67" w:rsidR="00526C4D" w:rsidRPr="009E7EA6" w:rsidRDefault="00526C4D" w:rsidP="009E7EA6">
            <w:pPr>
              <w:jc w:val="both"/>
              <w:rPr>
                <w:rFonts w:ascii="Times New Roman" w:eastAsia="Calibri" w:hAnsi="Times New Roman" w:cs="Times New Roman"/>
                <w:sz w:val="18"/>
                <w:szCs w:val="18"/>
              </w:rPr>
            </w:pPr>
          </w:p>
        </w:tc>
        <w:tc>
          <w:tcPr>
            <w:tcW w:w="5140" w:type="dxa"/>
          </w:tcPr>
          <w:p w14:paraId="2393A92D" w14:textId="79332C9C" w:rsidR="00526C4D" w:rsidRPr="009E7EA6" w:rsidRDefault="00526C4D" w:rsidP="009E7EA6">
            <w:pPr>
              <w:jc w:val="both"/>
              <w:rPr>
                <w:rFonts w:ascii="Times New Roman" w:eastAsia="Calibri" w:hAnsi="Times New Roman" w:cs="Times New Roman"/>
                <w:iCs/>
                <w:sz w:val="18"/>
                <w:szCs w:val="18"/>
              </w:rPr>
            </w:pPr>
          </w:p>
          <w:p w14:paraId="2A2EEC6F" w14:textId="77777777" w:rsidR="00526C4D" w:rsidRPr="009E7EA6" w:rsidRDefault="00526C4D" w:rsidP="009E7EA6">
            <w:pPr>
              <w:jc w:val="center"/>
              <w:rPr>
                <w:rFonts w:ascii="Times New Roman" w:eastAsia="Calibri" w:hAnsi="Times New Roman" w:cs="Times New Roman"/>
                <w:b/>
                <w:iCs/>
                <w:sz w:val="18"/>
                <w:szCs w:val="18"/>
              </w:rPr>
            </w:pPr>
            <w:r w:rsidRPr="009E7EA6">
              <w:rPr>
                <w:rFonts w:ascii="Times New Roman" w:eastAsia="Calibri" w:hAnsi="Times New Roman" w:cs="Times New Roman"/>
                <w:b/>
                <w:iCs/>
                <w:sz w:val="18"/>
                <w:szCs w:val="18"/>
              </w:rPr>
              <w:t>Article 25a</w:t>
            </w:r>
          </w:p>
          <w:p w14:paraId="3B436557" w14:textId="27F4A698" w:rsidR="00526C4D" w:rsidRPr="009E7EA6" w:rsidRDefault="00526C4D" w:rsidP="009E7EA6">
            <w:pPr>
              <w:jc w:val="center"/>
              <w:rPr>
                <w:rFonts w:ascii="Times New Roman" w:eastAsia="Calibri" w:hAnsi="Times New Roman" w:cs="Times New Roman"/>
                <w:b/>
                <w:iCs/>
                <w:sz w:val="18"/>
                <w:szCs w:val="18"/>
              </w:rPr>
            </w:pPr>
            <w:r w:rsidRPr="009E7EA6">
              <w:rPr>
                <w:rFonts w:ascii="Times New Roman" w:eastAsia="Calibri" w:hAnsi="Times New Roman" w:cs="Times New Roman"/>
                <w:b/>
                <w:iCs/>
                <w:sz w:val="18"/>
                <w:szCs w:val="18"/>
              </w:rPr>
              <w:t>Penalties</w:t>
            </w:r>
          </w:p>
          <w:p w14:paraId="627F4ACB" w14:textId="77777777" w:rsidR="00526C4D" w:rsidRPr="009E7EA6" w:rsidRDefault="00526C4D" w:rsidP="009E7EA6">
            <w:pPr>
              <w:jc w:val="both"/>
              <w:rPr>
                <w:rFonts w:ascii="Times New Roman" w:eastAsia="Calibri" w:hAnsi="Times New Roman" w:cs="Times New Roman"/>
                <w:iCs/>
                <w:sz w:val="18"/>
                <w:szCs w:val="18"/>
              </w:rPr>
            </w:pPr>
          </w:p>
          <w:p w14:paraId="28EF2CAE" w14:textId="50798F6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 xml:space="preserve">Member States shall lay down the rules on penalties applicable to infringements of national provisions adopted pursuant to this Directive and concerning Articles 8aa to 8ae and shall take all </w:t>
            </w:r>
            <w:r w:rsidRPr="009E7EA6">
              <w:rPr>
                <w:rFonts w:ascii="Times New Roman" w:eastAsia="Calibri" w:hAnsi="Times New Roman" w:cs="Times New Roman"/>
                <w:iCs/>
                <w:sz w:val="18"/>
                <w:szCs w:val="18"/>
              </w:rPr>
              <w:lastRenderedPageBreak/>
              <w:t>measures necessary to ensure that they are implemented. The penalties provided for shall be effective, proportionate and dissuasive.’</w:t>
            </w:r>
          </w:p>
          <w:p w14:paraId="7A91CFCC"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w:t>
            </w:r>
          </w:p>
          <w:p w14:paraId="46DDB4FA" w14:textId="77777777" w:rsidR="00526C4D" w:rsidRPr="009E7EA6" w:rsidRDefault="00526C4D" w:rsidP="009E7EA6">
            <w:pPr>
              <w:jc w:val="both"/>
              <w:rPr>
                <w:rFonts w:ascii="Times New Roman" w:eastAsia="Calibri" w:hAnsi="Times New Roman" w:cs="Times New Roman"/>
                <w:iCs/>
                <w:sz w:val="18"/>
                <w:szCs w:val="18"/>
              </w:rPr>
            </w:pPr>
          </w:p>
          <w:p w14:paraId="3F658A9F" w14:textId="795BF923"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(10) the following article is inserted:</w:t>
            </w:r>
          </w:p>
        </w:tc>
        <w:tc>
          <w:tcPr>
            <w:tcW w:w="1070" w:type="dxa"/>
          </w:tcPr>
          <w:p w14:paraId="68B1A8F1" w14:textId="6488B5E5" w:rsidR="00526C4D" w:rsidRPr="009E7EA6" w:rsidRDefault="00526C4D" w:rsidP="009E7EA6">
            <w:pPr>
              <w:jc w:val="center"/>
              <w:rPr>
                <w:rFonts w:ascii="Times New Roman" w:eastAsia="Calibri" w:hAnsi="Times New Roman" w:cs="Times New Roman"/>
                <w:sz w:val="18"/>
                <w:szCs w:val="18"/>
              </w:rPr>
            </w:pPr>
          </w:p>
        </w:tc>
        <w:tc>
          <w:tcPr>
            <w:tcW w:w="720" w:type="dxa"/>
          </w:tcPr>
          <w:p w14:paraId="6A4DA5AE" w14:textId="77777777" w:rsidR="00526C4D" w:rsidRPr="009E7EA6" w:rsidRDefault="00526C4D" w:rsidP="009E7EA6">
            <w:pPr>
              <w:jc w:val="center"/>
              <w:rPr>
                <w:rFonts w:ascii="Times New Roman" w:eastAsia="Calibri" w:hAnsi="Times New Roman" w:cs="Times New Roman"/>
                <w:sz w:val="18"/>
                <w:szCs w:val="18"/>
              </w:rPr>
            </w:pPr>
          </w:p>
          <w:p w14:paraId="129A8AC4" w14:textId="32E5CA87" w:rsidR="00526C4D" w:rsidRPr="009E7EA6" w:rsidRDefault="00526C4D" w:rsidP="009E7EA6">
            <w:pPr>
              <w:jc w:val="center"/>
              <w:rPr>
                <w:rFonts w:ascii="Times New Roman" w:eastAsia="Calibri" w:hAnsi="Times New Roman" w:cs="Times New Roman"/>
                <w:sz w:val="18"/>
                <w:szCs w:val="18"/>
              </w:rPr>
            </w:pPr>
          </w:p>
        </w:tc>
        <w:tc>
          <w:tcPr>
            <w:tcW w:w="4344" w:type="dxa"/>
          </w:tcPr>
          <w:p w14:paraId="278FEF9E" w14:textId="77777777" w:rsidR="00FE6522" w:rsidRPr="009E7EA6" w:rsidRDefault="00FE6522" w:rsidP="009E7EA6">
            <w:pPr>
              <w:jc w:val="center"/>
              <w:rPr>
                <w:rFonts w:ascii="Times New Roman" w:eastAsia="Calibri" w:hAnsi="Times New Roman" w:cs="Times New Roman"/>
                <w:b/>
                <w:sz w:val="18"/>
                <w:szCs w:val="18"/>
                <w:lang w:val="sq-AL"/>
              </w:rPr>
            </w:pPr>
            <w:r w:rsidRPr="009E7EA6">
              <w:rPr>
                <w:rFonts w:ascii="Times New Roman" w:eastAsia="Calibri" w:hAnsi="Times New Roman" w:cs="Times New Roman"/>
                <w:b/>
                <w:sz w:val="18"/>
                <w:szCs w:val="18"/>
                <w:lang w:val="sq-AL"/>
              </w:rPr>
              <w:t>Article 16</w:t>
            </w:r>
          </w:p>
          <w:p w14:paraId="57E84089" w14:textId="77777777" w:rsidR="00FE6522" w:rsidRPr="009E7EA6" w:rsidRDefault="00FE6522" w:rsidP="009E7EA6">
            <w:pPr>
              <w:jc w:val="center"/>
              <w:rPr>
                <w:rFonts w:ascii="Times New Roman" w:eastAsia="Calibri" w:hAnsi="Times New Roman" w:cs="Times New Roman"/>
                <w:b/>
                <w:sz w:val="18"/>
                <w:szCs w:val="18"/>
                <w:lang w:val="sq-AL"/>
              </w:rPr>
            </w:pPr>
            <w:r w:rsidRPr="009E7EA6">
              <w:rPr>
                <w:rFonts w:ascii="Times New Roman" w:eastAsia="Calibri" w:hAnsi="Times New Roman" w:cs="Times New Roman"/>
                <w:b/>
                <w:sz w:val="18"/>
                <w:szCs w:val="18"/>
                <w:lang w:val="sq-AL"/>
              </w:rPr>
              <w:t>Administrative Penalties</w:t>
            </w:r>
          </w:p>
          <w:p w14:paraId="3B47F71C" w14:textId="77777777" w:rsidR="00C332D0" w:rsidRPr="009E7EA6" w:rsidRDefault="00C332D0" w:rsidP="009E7EA6">
            <w:pPr>
              <w:jc w:val="center"/>
              <w:rPr>
                <w:rFonts w:ascii="Times New Roman" w:eastAsia="Calibri" w:hAnsi="Times New Roman" w:cs="Times New Roman"/>
                <w:b/>
                <w:sz w:val="18"/>
                <w:szCs w:val="18"/>
                <w:lang w:val="sq-AL"/>
              </w:rPr>
            </w:pPr>
          </w:p>
          <w:p w14:paraId="0400B432" w14:textId="77777777" w:rsidR="00FE6522" w:rsidRPr="009E7EA6" w:rsidRDefault="00FE6522" w:rsidP="009E7EA6">
            <w:pPr>
              <w:ind w:left="166" w:hanging="90"/>
              <w:jc w:val="both"/>
              <w:rPr>
                <w:rFonts w:ascii="Times New Roman" w:eastAsia="Calibri" w:hAnsi="Times New Roman" w:cs="Times New Roman"/>
                <w:sz w:val="18"/>
                <w:szCs w:val="18"/>
                <w:lang w:val="sq-AL"/>
              </w:rPr>
            </w:pPr>
            <w:r w:rsidRPr="009E7EA6">
              <w:rPr>
                <w:rFonts w:ascii="Times New Roman" w:eastAsia="Calibri" w:hAnsi="Times New Roman" w:cs="Times New Roman"/>
                <w:sz w:val="18"/>
                <w:szCs w:val="18"/>
                <w:lang w:val="sq-AL"/>
              </w:rPr>
              <w:t xml:space="preserve">1.  Breaches of the obligations laid down in this Law shall constitute administrative offences and shall be subject to penalties in accordance with the legislation in force on tax procedures and the Law “On Ensuring a </w:t>
            </w:r>
            <w:r w:rsidRPr="009E7EA6">
              <w:rPr>
                <w:rFonts w:ascii="Times New Roman" w:eastAsia="Calibri" w:hAnsi="Times New Roman" w:cs="Times New Roman"/>
                <w:sz w:val="18"/>
                <w:szCs w:val="18"/>
                <w:lang w:val="sq-AL"/>
              </w:rPr>
              <w:lastRenderedPageBreak/>
              <w:t>Global Minimum Level of Taxation for Multinational Enterprise Groups and Large-Scale Domestic Groups”, insofar as applicable.</w:t>
            </w:r>
          </w:p>
          <w:p w14:paraId="2A0D8F46" w14:textId="77777777" w:rsidR="00FE6522" w:rsidRPr="009E7EA6" w:rsidRDefault="00FE6522" w:rsidP="009E7EA6">
            <w:pPr>
              <w:ind w:left="166" w:hanging="90"/>
              <w:jc w:val="both"/>
              <w:rPr>
                <w:rFonts w:ascii="Times New Roman" w:eastAsia="Calibri" w:hAnsi="Times New Roman" w:cs="Times New Roman"/>
                <w:sz w:val="18"/>
                <w:szCs w:val="18"/>
                <w:lang w:val="sq-AL"/>
              </w:rPr>
            </w:pPr>
            <w:r w:rsidRPr="009E7EA6">
              <w:rPr>
                <w:rFonts w:ascii="Times New Roman" w:eastAsia="Calibri" w:hAnsi="Times New Roman" w:cs="Times New Roman"/>
                <w:sz w:val="18"/>
                <w:szCs w:val="18"/>
                <w:lang w:val="sq-AL"/>
              </w:rPr>
              <w:t>2. The procedures for the detection, examination, imposition and enforcement of penalties shall be governed by the legislation on tax procedures.</w:t>
            </w:r>
          </w:p>
          <w:p w14:paraId="16CB5AF0" w14:textId="77777777" w:rsidR="00526C4D" w:rsidRPr="009E7EA6" w:rsidRDefault="00FE6522" w:rsidP="009E7EA6">
            <w:pPr>
              <w:ind w:left="166" w:hanging="90"/>
              <w:jc w:val="both"/>
              <w:rPr>
                <w:rFonts w:ascii="Times New Roman" w:eastAsia="Calibri" w:hAnsi="Times New Roman" w:cs="Times New Roman"/>
                <w:sz w:val="18"/>
                <w:szCs w:val="18"/>
                <w:lang w:val="sq-AL"/>
              </w:rPr>
            </w:pPr>
            <w:r w:rsidRPr="009E7EA6">
              <w:rPr>
                <w:rFonts w:ascii="Times New Roman" w:eastAsia="Calibri" w:hAnsi="Times New Roman" w:cs="Times New Roman"/>
                <w:sz w:val="18"/>
                <w:szCs w:val="18"/>
                <w:lang w:val="sq-AL"/>
              </w:rPr>
              <w:t>3. When the same non-compliance simultaneously constitutes a breach under this Law and under the Global Minimum Tax Law, no double administrative penalty shall be imposed for the same act; only the more specific provision shall apply or, where this is not clear, the provision that directly sanctions the principal obligation that has been infringed.</w:t>
            </w:r>
          </w:p>
          <w:p w14:paraId="62D54FCC" w14:textId="77777777" w:rsidR="00D15CBC" w:rsidRPr="009E7EA6" w:rsidRDefault="00D15CBC" w:rsidP="009E7EA6">
            <w:pPr>
              <w:ind w:left="166" w:hanging="90"/>
              <w:jc w:val="both"/>
              <w:rPr>
                <w:rFonts w:ascii="Times New Roman" w:eastAsia="Calibri" w:hAnsi="Times New Roman" w:cs="Times New Roman"/>
                <w:sz w:val="18"/>
                <w:szCs w:val="18"/>
                <w:lang w:val="sq-AL"/>
              </w:rPr>
            </w:pPr>
          </w:p>
          <w:p w14:paraId="756456E1" w14:textId="77777777" w:rsidR="00D15CBC" w:rsidRPr="009E7EA6" w:rsidRDefault="00D15CBC" w:rsidP="009E7EA6">
            <w:pPr>
              <w:ind w:left="166" w:hanging="90"/>
              <w:jc w:val="both"/>
              <w:rPr>
                <w:rFonts w:ascii="Times New Roman" w:eastAsia="Calibri" w:hAnsi="Times New Roman" w:cs="Times New Roman"/>
                <w:sz w:val="18"/>
                <w:szCs w:val="18"/>
                <w:lang w:val="sq-AL"/>
              </w:rPr>
            </w:pPr>
          </w:p>
          <w:p w14:paraId="54D80204" w14:textId="77777777" w:rsidR="00D15CBC" w:rsidRPr="009E7EA6" w:rsidRDefault="00D15CBC" w:rsidP="009E7EA6">
            <w:pPr>
              <w:ind w:left="166" w:hanging="90"/>
              <w:jc w:val="both"/>
              <w:rPr>
                <w:rFonts w:ascii="Times New Roman" w:eastAsia="Calibri" w:hAnsi="Times New Roman" w:cs="Times New Roman"/>
                <w:sz w:val="18"/>
                <w:szCs w:val="18"/>
                <w:lang w:val="sq-AL"/>
              </w:rPr>
            </w:pPr>
          </w:p>
          <w:p w14:paraId="5AA6CCE5" w14:textId="2565FE42" w:rsidR="00D15CBC" w:rsidRPr="009E7EA6" w:rsidRDefault="00D15CBC" w:rsidP="009E7EA6">
            <w:pPr>
              <w:ind w:left="166" w:hanging="90"/>
              <w:jc w:val="both"/>
              <w:rPr>
                <w:rFonts w:ascii="Times New Roman" w:eastAsia="Calibri" w:hAnsi="Times New Roman" w:cs="Times New Roman"/>
                <w:sz w:val="18"/>
                <w:szCs w:val="18"/>
                <w:lang w:val="sq-AL"/>
              </w:rPr>
            </w:pPr>
          </w:p>
        </w:tc>
        <w:tc>
          <w:tcPr>
            <w:tcW w:w="1156" w:type="dxa"/>
          </w:tcPr>
          <w:p w14:paraId="4C0F418F" w14:textId="2F92EEF4" w:rsidR="00526C4D" w:rsidRPr="009E7EA6" w:rsidRDefault="00526C4D" w:rsidP="009E7EA6">
            <w:pPr>
              <w:jc w:val="center"/>
              <w:rPr>
                <w:rFonts w:ascii="Times New Roman" w:eastAsia="Calibri" w:hAnsi="Times New Roman" w:cs="Times New Roman"/>
                <w:sz w:val="18"/>
                <w:szCs w:val="18"/>
              </w:rPr>
            </w:pPr>
          </w:p>
        </w:tc>
        <w:tc>
          <w:tcPr>
            <w:tcW w:w="2960" w:type="dxa"/>
          </w:tcPr>
          <w:p w14:paraId="7699D7EC" w14:textId="77777777" w:rsidR="00526C4D" w:rsidRPr="009E7EA6" w:rsidRDefault="00526C4D" w:rsidP="009E7EA6">
            <w:pPr>
              <w:rPr>
                <w:rFonts w:ascii="Times New Roman" w:eastAsia="Calibri" w:hAnsi="Times New Roman" w:cs="Times New Roman"/>
                <w:sz w:val="18"/>
                <w:szCs w:val="18"/>
              </w:rPr>
            </w:pPr>
          </w:p>
          <w:p w14:paraId="0052F906" w14:textId="04F93D2C" w:rsidR="00526C4D" w:rsidRPr="009E7EA6" w:rsidRDefault="00526C4D" w:rsidP="009E7EA6">
            <w:pPr>
              <w:rPr>
                <w:rFonts w:ascii="Times New Roman" w:eastAsia="Calibri" w:hAnsi="Times New Roman" w:cs="Times New Roman"/>
                <w:sz w:val="18"/>
                <w:szCs w:val="18"/>
              </w:rPr>
            </w:pPr>
          </w:p>
        </w:tc>
      </w:tr>
      <w:tr w:rsidR="00526C4D" w:rsidRPr="009E7EA6" w14:paraId="1E7B05E8" w14:textId="77777777" w:rsidTr="009E7EA6">
        <w:tc>
          <w:tcPr>
            <w:tcW w:w="805" w:type="dxa"/>
          </w:tcPr>
          <w:p w14:paraId="2F45229D" w14:textId="00C2B9F7" w:rsidR="00526C4D" w:rsidRPr="009E7EA6" w:rsidRDefault="00526C4D" w:rsidP="009E7EA6">
            <w:pPr>
              <w:jc w:val="both"/>
              <w:rPr>
                <w:rFonts w:ascii="Times New Roman" w:eastAsia="Calibri" w:hAnsi="Times New Roman" w:cs="Times New Roman"/>
                <w:sz w:val="18"/>
                <w:szCs w:val="18"/>
              </w:rPr>
            </w:pPr>
          </w:p>
        </w:tc>
        <w:tc>
          <w:tcPr>
            <w:tcW w:w="5140" w:type="dxa"/>
          </w:tcPr>
          <w:p w14:paraId="4D807F28" w14:textId="5871B8B6" w:rsidR="00526C4D" w:rsidRPr="009E7EA6" w:rsidRDefault="00526C4D" w:rsidP="009E7EA6">
            <w:pPr>
              <w:rPr>
                <w:rFonts w:ascii="Times New Roman" w:eastAsia="Calibri" w:hAnsi="Times New Roman" w:cs="Times New Roman"/>
                <w:b/>
                <w:iCs/>
                <w:sz w:val="18"/>
                <w:szCs w:val="18"/>
              </w:rPr>
            </w:pPr>
          </w:p>
          <w:p w14:paraId="52A89A3C" w14:textId="77777777" w:rsidR="00526C4D" w:rsidRPr="009E7EA6" w:rsidRDefault="00526C4D" w:rsidP="009E7EA6">
            <w:pPr>
              <w:jc w:val="center"/>
              <w:rPr>
                <w:rFonts w:ascii="Times New Roman" w:eastAsia="Calibri" w:hAnsi="Times New Roman" w:cs="Times New Roman"/>
                <w:b/>
                <w:iCs/>
                <w:sz w:val="18"/>
                <w:szCs w:val="18"/>
              </w:rPr>
            </w:pPr>
            <w:r w:rsidRPr="009E7EA6">
              <w:rPr>
                <w:rFonts w:ascii="Times New Roman" w:eastAsia="Calibri" w:hAnsi="Times New Roman" w:cs="Times New Roman"/>
                <w:b/>
                <w:iCs/>
                <w:sz w:val="18"/>
                <w:szCs w:val="18"/>
              </w:rPr>
              <w:t>Article 27d</w:t>
            </w:r>
          </w:p>
          <w:p w14:paraId="2931CC7C" w14:textId="77777777" w:rsidR="00526C4D" w:rsidRPr="009E7EA6" w:rsidRDefault="00526C4D" w:rsidP="009E7EA6">
            <w:pPr>
              <w:jc w:val="center"/>
              <w:rPr>
                <w:rFonts w:ascii="Times New Roman" w:eastAsia="Calibri" w:hAnsi="Times New Roman" w:cs="Times New Roman"/>
                <w:b/>
                <w:iCs/>
                <w:sz w:val="18"/>
                <w:szCs w:val="18"/>
              </w:rPr>
            </w:pPr>
          </w:p>
          <w:p w14:paraId="767E7EF8" w14:textId="77777777" w:rsidR="00526C4D" w:rsidRPr="009E7EA6" w:rsidRDefault="00526C4D" w:rsidP="009E7EA6">
            <w:pPr>
              <w:jc w:val="center"/>
              <w:rPr>
                <w:rFonts w:ascii="Times New Roman" w:eastAsia="Calibri" w:hAnsi="Times New Roman" w:cs="Times New Roman"/>
                <w:b/>
                <w:iCs/>
                <w:sz w:val="18"/>
                <w:szCs w:val="18"/>
              </w:rPr>
            </w:pPr>
            <w:r w:rsidRPr="009E7EA6">
              <w:rPr>
                <w:rFonts w:ascii="Times New Roman" w:eastAsia="Calibri" w:hAnsi="Times New Roman" w:cs="Times New Roman"/>
                <w:b/>
                <w:iCs/>
                <w:sz w:val="18"/>
                <w:szCs w:val="18"/>
              </w:rPr>
              <w:t>The first Reporting fiscal year and communication of the information under Article 8ae for the first time</w:t>
            </w:r>
          </w:p>
          <w:p w14:paraId="6DD9ECB2" w14:textId="77777777" w:rsidR="00526C4D" w:rsidRPr="009E7EA6" w:rsidRDefault="00526C4D" w:rsidP="009E7EA6">
            <w:pPr>
              <w:rPr>
                <w:rFonts w:ascii="Times New Roman" w:eastAsia="Calibri" w:hAnsi="Times New Roman" w:cs="Times New Roman"/>
                <w:iCs/>
                <w:sz w:val="18"/>
                <w:szCs w:val="18"/>
              </w:rPr>
            </w:pPr>
          </w:p>
          <w:p w14:paraId="5C5A6B90"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1.   The first Reporting fiscal year for which the information is to be communicated under Article 8ae is the first fiscal year beginning from 31 December 2023.</w:t>
            </w:r>
          </w:p>
          <w:p w14:paraId="13DD59BE" w14:textId="77777777" w:rsidR="00526C4D" w:rsidRPr="009E7EA6" w:rsidRDefault="00526C4D" w:rsidP="009E7EA6">
            <w:pPr>
              <w:jc w:val="both"/>
              <w:rPr>
                <w:rFonts w:ascii="Times New Roman" w:eastAsia="Calibri" w:hAnsi="Times New Roman" w:cs="Times New Roman"/>
                <w:iCs/>
                <w:sz w:val="18"/>
                <w:szCs w:val="18"/>
              </w:rPr>
            </w:pPr>
          </w:p>
          <w:p w14:paraId="2DC88D1D"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2.   For the Member States that have elected not to apply the IIR and the UTPR pursuant to Article 50(1) of Directive (EU) 2022/2523, the first Reporting fiscal year for which the information is to be communicated under Article 8ae shall be the first fiscal year following the end of such election.</w:t>
            </w:r>
          </w:p>
          <w:p w14:paraId="01DA6921" w14:textId="77777777" w:rsidR="00526C4D" w:rsidRPr="009E7EA6" w:rsidRDefault="00526C4D" w:rsidP="009E7EA6">
            <w:pPr>
              <w:jc w:val="both"/>
              <w:rPr>
                <w:rFonts w:ascii="Times New Roman" w:eastAsia="Calibri" w:hAnsi="Times New Roman" w:cs="Times New Roman"/>
                <w:iCs/>
                <w:sz w:val="18"/>
                <w:szCs w:val="18"/>
              </w:rPr>
            </w:pPr>
          </w:p>
          <w:p w14:paraId="32FFD76E"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Notwithstanding the first subparagraph of this paragraph, for the Member States that have elected not to apply the IIR and the UTPR pursuant to Article 50(1) of Directive (EU) 2022/2523 and have elected to apply a qualified domestic top-up tax pursuant to Article 11(1) of that Directive, the first Reporting fiscal year for which the information is to be communicated under Article 8ae shall be the first fiscal year during which the qualified domestic top-up tax applies.</w:t>
            </w:r>
          </w:p>
          <w:p w14:paraId="1BF85289" w14:textId="77777777" w:rsidR="00526C4D" w:rsidRPr="009E7EA6" w:rsidRDefault="00526C4D" w:rsidP="009E7EA6">
            <w:pPr>
              <w:jc w:val="both"/>
              <w:rPr>
                <w:rFonts w:ascii="Times New Roman" w:eastAsia="Calibri" w:hAnsi="Times New Roman" w:cs="Times New Roman"/>
                <w:iCs/>
                <w:sz w:val="18"/>
                <w:szCs w:val="18"/>
              </w:rPr>
            </w:pPr>
          </w:p>
          <w:p w14:paraId="20830566"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lastRenderedPageBreak/>
              <w:t>3.   The competent authority of the Member State shall communicate the information under Article 8ae with respect to the first Reporting fiscal year no later than 6 months after the filing deadline.</w:t>
            </w:r>
          </w:p>
          <w:p w14:paraId="5D72D34C" w14:textId="77777777" w:rsidR="00526C4D" w:rsidRPr="009E7EA6" w:rsidRDefault="00526C4D" w:rsidP="009E7EA6">
            <w:pPr>
              <w:jc w:val="both"/>
              <w:rPr>
                <w:rFonts w:ascii="Times New Roman" w:eastAsia="Calibri" w:hAnsi="Times New Roman" w:cs="Times New Roman"/>
                <w:iCs/>
                <w:sz w:val="18"/>
                <w:szCs w:val="18"/>
              </w:rPr>
            </w:pPr>
          </w:p>
          <w:p w14:paraId="1921021F"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4.   In any case, Member States shall communicate the information under Article 8ae for the first time no earlier than 1 December 2026.’</w:t>
            </w:r>
          </w:p>
          <w:p w14:paraId="225B2E3D" w14:textId="77777777" w:rsidR="00526C4D" w:rsidRPr="009E7EA6" w:rsidRDefault="00526C4D" w:rsidP="009E7EA6">
            <w:pPr>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w:t>
            </w:r>
          </w:p>
          <w:p w14:paraId="1F099EDF" w14:textId="77777777" w:rsidR="00526C4D" w:rsidRPr="009E7EA6" w:rsidRDefault="00526C4D" w:rsidP="009E7EA6">
            <w:pPr>
              <w:rPr>
                <w:rFonts w:ascii="Times New Roman" w:eastAsia="Calibri" w:hAnsi="Times New Roman" w:cs="Times New Roman"/>
                <w:iCs/>
                <w:sz w:val="18"/>
                <w:szCs w:val="18"/>
              </w:rPr>
            </w:pPr>
          </w:p>
          <w:p w14:paraId="20014515" w14:textId="1901985E"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(11)the text set out in the Annex to this Directive is added as Annex VII</w:t>
            </w:r>
          </w:p>
          <w:p w14:paraId="2C3B1CA6" w14:textId="77777777" w:rsidR="00526C4D" w:rsidRPr="009E7EA6" w:rsidRDefault="00526C4D" w:rsidP="009E7EA6">
            <w:pPr>
              <w:rPr>
                <w:rFonts w:ascii="Times New Roman" w:eastAsia="Calibri" w:hAnsi="Times New Roman" w:cs="Times New Roman"/>
                <w:iCs/>
                <w:sz w:val="18"/>
                <w:szCs w:val="18"/>
              </w:rPr>
            </w:pPr>
          </w:p>
          <w:p w14:paraId="0189068C" w14:textId="63929A58" w:rsidR="00526C4D" w:rsidRPr="009E7EA6" w:rsidRDefault="00526C4D" w:rsidP="009E7EA6">
            <w:pPr>
              <w:rPr>
                <w:rFonts w:ascii="Times New Roman" w:eastAsia="Calibri" w:hAnsi="Times New Roman" w:cs="Times New Roman"/>
                <w:iCs/>
                <w:sz w:val="18"/>
                <w:szCs w:val="18"/>
              </w:rPr>
            </w:pPr>
          </w:p>
          <w:p w14:paraId="0A37FBA9" w14:textId="20BE4622" w:rsidR="00FB1120" w:rsidRPr="009E7EA6" w:rsidRDefault="00FB1120" w:rsidP="009E7EA6">
            <w:pPr>
              <w:rPr>
                <w:rFonts w:ascii="Times New Roman" w:eastAsia="Calibri" w:hAnsi="Times New Roman" w:cs="Times New Roman"/>
                <w:iCs/>
                <w:sz w:val="18"/>
                <w:szCs w:val="18"/>
              </w:rPr>
            </w:pPr>
          </w:p>
          <w:p w14:paraId="3E95419F" w14:textId="7F033E3C" w:rsidR="00FB1120" w:rsidRPr="009E7EA6" w:rsidRDefault="00FB1120" w:rsidP="009E7EA6">
            <w:pPr>
              <w:rPr>
                <w:rFonts w:ascii="Times New Roman" w:eastAsia="Calibri" w:hAnsi="Times New Roman" w:cs="Times New Roman"/>
                <w:iCs/>
                <w:sz w:val="18"/>
                <w:szCs w:val="18"/>
              </w:rPr>
            </w:pPr>
          </w:p>
          <w:p w14:paraId="3A777CF5" w14:textId="150191E8" w:rsidR="00FB1120" w:rsidRPr="009E7EA6" w:rsidRDefault="00FB1120" w:rsidP="009E7EA6">
            <w:pPr>
              <w:rPr>
                <w:rFonts w:ascii="Times New Roman" w:eastAsia="Calibri" w:hAnsi="Times New Roman" w:cs="Times New Roman"/>
                <w:iCs/>
                <w:sz w:val="18"/>
                <w:szCs w:val="18"/>
              </w:rPr>
            </w:pPr>
          </w:p>
          <w:p w14:paraId="78472F05" w14:textId="5DE3C66E" w:rsidR="00FB1120" w:rsidRPr="009E7EA6" w:rsidRDefault="00FB1120" w:rsidP="009E7EA6">
            <w:pPr>
              <w:rPr>
                <w:rFonts w:ascii="Times New Roman" w:eastAsia="Calibri" w:hAnsi="Times New Roman" w:cs="Times New Roman"/>
                <w:iCs/>
                <w:sz w:val="18"/>
                <w:szCs w:val="18"/>
              </w:rPr>
            </w:pPr>
          </w:p>
          <w:p w14:paraId="06404E4B" w14:textId="6C084F09" w:rsidR="00FB1120" w:rsidRPr="009E7EA6" w:rsidRDefault="00FB1120" w:rsidP="009E7EA6">
            <w:pPr>
              <w:rPr>
                <w:rFonts w:ascii="Times New Roman" w:eastAsia="Calibri" w:hAnsi="Times New Roman" w:cs="Times New Roman"/>
                <w:iCs/>
                <w:sz w:val="18"/>
                <w:szCs w:val="18"/>
              </w:rPr>
            </w:pPr>
          </w:p>
          <w:p w14:paraId="15CD0A87" w14:textId="77777777" w:rsidR="00FB1120" w:rsidRPr="009E7EA6" w:rsidRDefault="00FB1120" w:rsidP="009E7EA6">
            <w:pPr>
              <w:rPr>
                <w:rFonts w:ascii="Times New Roman" w:eastAsia="Calibri" w:hAnsi="Times New Roman" w:cs="Times New Roman"/>
                <w:iCs/>
                <w:sz w:val="18"/>
                <w:szCs w:val="18"/>
              </w:rPr>
            </w:pPr>
          </w:p>
          <w:p w14:paraId="384A23BD" w14:textId="77777777" w:rsidR="00526C4D" w:rsidRPr="009E7EA6" w:rsidRDefault="00526C4D" w:rsidP="009E7EA6">
            <w:pPr>
              <w:jc w:val="center"/>
              <w:rPr>
                <w:rFonts w:ascii="Times New Roman" w:eastAsia="Calibri" w:hAnsi="Times New Roman" w:cs="Times New Roman"/>
                <w:b/>
                <w:iCs/>
                <w:sz w:val="18"/>
                <w:szCs w:val="18"/>
              </w:rPr>
            </w:pPr>
            <w:r w:rsidRPr="009E7EA6">
              <w:rPr>
                <w:rFonts w:ascii="Times New Roman" w:eastAsia="Calibri" w:hAnsi="Times New Roman" w:cs="Times New Roman"/>
                <w:b/>
                <w:iCs/>
                <w:sz w:val="18"/>
                <w:szCs w:val="18"/>
              </w:rPr>
              <w:t>Article 2</w:t>
            </w:r>
          </w:p>
          <w:p w14:paraId="0F49E8D3" w14:textId="77777777" w:rsidR="00526C4D" w:rsidRPr="009E7EA6" w:rsidRDefault="00526C4D" w:rsidP="009E7EA6">
            <w:pPr>
              <w:jc w:val="center"/>
              <w:rPr>
                <w:rFonts w:ascii="Times New Roman" w:eastAsia="Calibri" w:hAnsi="Times New Roman" w:cs="Times New Roman"/>
                <w:b/>
                <w:iCs/>
                <w:sz w:val="18"/>
                <w:szCs w:val="18"/>
              </w:rPr>
            </w:pPr>
          </w:p>
          <w:p w14:paraId="21758DFE" w14:textId="77777777" w:rsidR="00526C4D" w:rsidRPr="009E7EA6" w:rsidRDefault="00526C4D" w:rsidP="009E7EA6">
            <w:pPr>
              <w:jc w:val="center"/>
              <w:rPr>
                <w:rFonts w:ascii="Times New Roman" w:eastAsia="Calibri" w:hAnsi="Times New Roman" w:cs="Times New Roman"/>
                <w:b/>
                <w:iCs/>
                <w:sz w:val="18"/>
                <w:szCs w:val="18"/>
              </w:rPr>
            </w:pPr>
            <w:r w:rsidRPr="009E7EA6">
              <w:rPr>
                <w:rFonts w:ascii="Times New Roman" w:eastAsia="Calibri" w:hAnsi="Times New Roman" w:cs="Times New Roman"/>
                <w:b/>
                <w:iCs/>
                <w:sz w:val="18"/>
                <w:szCs w:val="18"/>
              </w:rPr>
              <w:t>Transposition</w:t>
            </w:r>
          </w:p>
          <w:p w14:paraId="35D50A9D" w14:textId="77777777" w:rsidR="00526C4D" w:rsidRPr="009E7EA6" w:rsidRDefault="00526C4D" w:rsidP="009E7EA6">
            <w:pPr>
              <w:rPr>
                <w:rFonts w:ascii="Times New Roman" w:eastAsia="Calibri" w:hAnsi="Times New Roman" w:cs="Times New Roman"/>
                <w:iCs/>
                <w:sz w:val="18"/>
                <w:szCs w:val="18"/>
              </w:rPr>
            </w:pPr>
          </w:p>
          <w:p w14:paraId="4904EB7F"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1.   Member States shall adopt and publish, by 31 December 2025, the laws, regulations and administrative provisions necessary to comply with this Directive. They shall immediately communicate the text of those measures to the Commission.</w:t>
            </w:r>
          </w:p>
          <w:p w14:paraId="5CCB4565" w14:textId="77777777" w:rsidR="00526C4D" w:rsidRPr="009E7EA6" w:rsidRDefault="00526C4D" w:rsidP="009E7EA6">
            <w:pPr>
              <w:jc w:val="both"/>
              <w:rPr>
                <w:rFonts w:ascii="Times New Roman" w:eastAsia="Calibri" w:hAnsi="Times New Roman" w:cs="Times New Roman"/>
                <w:iCs/>
                <w:sz w:val="18"/>
                <w:szCs w:val="18"/>
              </w:rPr>
            </w:pPr>
          </w:p>
          <w:p w14:paraId="7D3220DC"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They shall apply those measures from 1 January 2026.</w:t>
            </w:r>
          </w:p>
          <w:p w14:paraId="07238AB7" w14:textId="77777777" w:rsidR="00526C4D" w:rsidRPr="009E7EA6" w:rsidRDefault="00526C4D" w:rsidP="009E7EA6">
            <w:pPr>
              <w:jc w:val="both"/>
              <w:rPr>
                <w:rFonts w:ascii="Times New Roman" w:eastAsia="Calibri" w:hAnsi="Times New Roman" w:cs="Times New Roman"/>
                <w:iCs/>
                <w:sz w:val="18"/>
                <w:szCs w:val="18"/>
              </w:rPr>
            </w:pPr>
          </w:p>
          <w:p w14:paraId="798D4C71"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When Member States adopt those measures, they shall contain a reference to this Directive or be accompanied by such a reference on the occasion of their official publication. Member States shall determine how such reference is to be made.</w:t>
            </w:r>
          </w:p>
          <w:p w14:paraId="3CBA9392" w14:textId="77777777" w:rsidR="00526C4D" w:rsidRPr="009E7EA6" w:rsidRDefault="00526C4D" w:rsidP="009E7EA6">
            <w:pPr>
              <w:jc w:val="both"/>
              <w:rPr>
                <w:rFonts w:ascii="Times New Roman" w:eastAsia="Calibri" w:hAnsi="Times New Roman" w:cs="Times New Roman"/>
                <w:iCs/>
                <w:sz w:val="18"/>
                <w:szCs w:val="18"/>
              </w:rPr>
            </w:pPr>
          </w:p>
          <w:p w14:paraId="5CBC2014"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2.   Notwithstanding paragraph 1 of this Article, the Member States that have elected not to apply the IIR and the UTPR pursuant to Article 50(1) of Directive (EU) 2022/2523 shall adopt and publish the laws, regulations and administrative provisions necessary to comply with Article 1, point (1) and points (3) to (11), of this Directive by the day before the end of such election.</w:t>
            </w:r>
          </w:p>
          <w:p w14:paraId="38278984" w14:textId="77777777" w:rsidR="00526C4D" w:rsidRPr="009E7EA6" w:rsidRDefault="00526C4D" w:rsidP="009E7EA6">
            <w:pPr>
              <w:jc w:val="both"/>
              <w:rPr>
                <w:rFonts w:ascii="Times New Roman" w:eastAsia="Calibri" w:hAnsi="Times New Roman" w:cs="Times New Roman"/>
                <w:iCs/>
                <w:sz w:val="18"/>
                <w:szCs w:val="18"/>
              </w:rPr>
            </w:pPr>
          </w:p>
          <w:p w14:paraId="5FD35628"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lastRenderedPageBreak/>
              <w:t>They shall apply those measures from the day after the day such election ends.</w:t>
            </w:r>
          </w:p>
          <w:p w14:paraId="499D2821" w14:textId="77777777" w:rsidR="00526C4D" w:rsidRPr="009E7EA6" w:rsidRDefault="00526C4D" w:rsidP="009E7EA6">
            <w:pPr>
              <w:jc w:val="both"/>
              <w:rPr>
                <w:rFonts w:ascii="Times New Roman" w:eastAsia="Calibri" w:hAnsi="Times New Roman" w:cs="Times New Roman"/>
                <w:iCs/>
                <w:sz w:val="18"/>
                <w:szCs w:val="18"/>
              </w:rPr>
            </w:pPr>
          </w:p>
          <w:p w14:paraId="2D194D89"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Notwithstanding the first subparagraph of this paragraph, the Member States that have elected not to apply the IIR and the UTPR pursuant to Article 50(1) of Directive (EU) 2022/2523 and have elected to apply a qualified domestic top-up tax pursuant to Article 11(1) of that Directive shall adopt and publish the laws, regulations and administrative provisions necessary to comply with this Directive by the day before the first Reporting fiscal year under the election to apply a qualified domestic top-up tax starts. They shall immediately communicate the text of those measures to the Commission.</w:t>
            </w:r>
          </w:p>
          <w:p w14:paraId="3EC0488D" w14:textId="77777777" w:rsidR="00526C4D" w:rsidRPr="009E7EA6" w:rsidRDefault="00526C4D" w:rsidP="009E7EA6">
            <w:pPr>
              <w:rPr>
                <w:rFonts w:ascii="Times New Roman" w:eastAsia="Calibri" w:hAnsi="Times New Roman" w:cs="Times New Roman"/>
                <w:iCs/>
                <w:sz w:val="18"/>
                <w:szCs w:val="18"/>
              </w:rPr>
            </w:pPr>
          </w:p>
          <w:p w14:paraId="71AC2382"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They shall apply those measures from the beginning of the first Reporting fiscal year under the election to apply a qualified domestic top-up tax.</w:t>
            </w:r>
          </w:p>
          <w:p w14:paraId="73DB2DB5" w14:textId="77777777" w:rsidR="00526C4D" w:rsidRPr="009E7EA6" w:rsidRDefault="00526C4D" w:rsidP="009E7EA6">
            <w:pPr>
              <w:jc w:val="both"/>
              <w:rPr>
                <w:rFonts w:ascii="Times New Roman" w:eastAsia="Calibri" w:hAnsi="Times New Roman" w:cs="Times New Roman"/>
                <w:iCs/>
                <w:sz w:val="18"/>
                <w:szCs w:val="18"/>
              </w:rPr>
            </w:pPr>
          </w:p>
          <w:p w14:paraId="3A755FC8"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When the first Reporting fiscal year referred to in the third subparagraph of this paragraph begins before or on the day this Directive enters into force, the Member States that have elected not to apply the IIR and the UTPR pursuant to Article 50(1) of Directive (EU) 2022/2523 and have elected to apply a qualified domestic top-up tax pursuant to Article 11(1) of that Directive shall adopt and publish, by 31 December 2025, the laws, regulations and administrative provisions necessary to comply with this Directive. They shall immediately communicate the text of those measures to the Commission.</w:t>
            </w:r>
          </w:p>
          <w:p w14:paraId="43E84C34" w14:textId="77777777" w:rsidR="00526C4D" w:rsidRPr="009E7EA6" w:rsidRDefault="00526C4D" w:rsidP="009E7EA6">
            <w:pPr>
              <w:jc w:val="both"/>
              <w:rPr>
                <w:rFonts w:ascii="Times New Roman" w:eastAsia="Calibri" w:hAnsi="Times New Roman" w:cs="Times New Roman"/>
                <w:iCs/>
                <w:sz w:val="18"/>
                <w:szCs w:val="18"/>
              </w:rPr>
            </w:pPr>
          </w:p>
          <w:p w14:paraId="41C04AD8"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They shall apply those measures from 1 January 2026.</w:t>
            </w:r>
          </w:p>
          <w:p w14:paraId="09042626" w14:textId="77777777" w:rsidR="00526C4D" w:rsidRPr="009E7EA6" w:rsidRDefault="00526C4D" w:rsidP="009E7EA6">
            <w:pPr>
              <w:jc w:val="both"/>
              <w:rPr>
                <w:rFonts w:ascii="Times New Roman" w:eastAsia="Calibri" w:hAnsi="Times New Roman" w:cs="Times New Roman"/>
                <w:iCs/>
                <w:sz w:val="18"/>
                <w:szCs w:val="18"/>
              </w:rPr>
            </w:pPr>
          </w:p>
          <w:p w14:paraId="4F5B7356" w14:textId="7F3845EF"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When Member States adopt those measures, they shall contain a reference to this Directive or be accompanied by such a reference on the occasion of their official publication. Member States shall determine how such reference is to be made.</w:t>
            </w:r>
          </w:p>
          <w:p w14:paraId="6A1A18C3" w14:textId="77777777" w:rsidR="00526C4D" w:rsidRPr="009E7EA6" w:rsidRDefault="00526C4D" w:rsidP="009E7EA6">
            <w:pPr>
              <w:rPr>
                <w:rFonts w:ascii="Times New Roman" w:eastAsia="Calibri" w:hAnsi="Times New Roman" w:cs="Times New Roman"/>
                <w:iCs/>
                <w:sz w:val="18"/>
                <w:szCs w:val="18"/>
              </w:rPr>
            </w:pPr>
          </w:p>
          <w:p w14:paraId="0634D8D8" w14:textId="77777777" w:rsidR="00526C4D" w:rsidRPr="009E7EA6" w:rsidRDefault="00526C4D" w:rsidP="009E7EA6">
            <w:pPr>
              <w:rPr>
                <w:rFonts w:ascii="Times New Roman" w:eastAsia="Calibri" w:hAnsi="Times New Roman" w:cs="Times New Roman"/>
                <w:iCs/>
                <w:sz w:val="18"/>
                <w:szCs w:val="18"/>
              </w:rPr>
            </w:pPr>
          </w:p>
          <w:p w14:paraId="346F8E71"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 xml:space="preserve">3.   By way of derogation from paragraph 1 of this Article, Member States shall adopt and publish, by 31 December 2027, the laws, regulations and administrative provisions necessary to comply with </w:t>
            </w:r>
            <w:r w:rsidRPr="009E7EA6">
              <w:rPr>
                <w:rFonts w:ascii="Times New Roman" w:eastAsia="Calibri" w:hAnsi="Times New Roman" w:cs="Times New Roman"/>
                <w:iCs/>
                <w:sz w:val="18"/>
                <w:szCs w:val="18"/>
              </w:rPr>
              <w:lastRenderedPageBreak/>
              <w:t>Article 1, point (8), of this Directive. They shall immediately communicate the text of those measures to the Commission.</w:t>
            </w:r>
          </w:p>
          <w:p w14:paraId="36B852D4" w14:textId="77777777" w:rsidR="00526C4D" w:rsidRPr="009E7EA6" w:rsidRDefault="00526C4D" w:rsidP="009E7EA6">
            <w:pPr>
              <w:jc w:val="both"/>
              <w:rPr>
                <w:rFonts w:ascii="Times New Roman" w:eastAsia="Calibri" w:hAnsi="Times New Roman" w:cs="Times New Roman"/>
                <w:iCs/>
                <w:sz w:val="18"/>
                <w:szCs w:val="18"/>
              </w:rPr>
            </w:pPr>
          </w:p>
          <w:p w14:paraId="584E5752"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They shall apply those measures from 1 January 2028.</w:t>
            </w:r>
          </w:p>
          <w:p w14:paraId="5078C97E" w14:textId="77777777" w:rsidR="00526C4D" w:rsidRPr="009E7EA6" w:rsidRDefault="00526C4D" w:rsidP="009E7EA6">
            <w:pPr>
              <w:jc w:val="both"/>
              <w:rPr>
                <w:rFonts w:ascii="Times New Roman" w:eastAsia="Calibri" w:hAnsi="Times New Roman" w:cs="Times New Roman"/>
                <w:iCs/>
                <w:sz w:val="18"/>
                <w:szCs w:val="18"/>
              </w:rPr>
            </w:pPr>
          </w:p>
          <w:p w14:paraId="44D6C568" w14:textId="77777777"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When Member States adopt those measures, they shall contain a reference to this Directive or be accompanied by such a reference on the occasion of their official publication. Member States shall determine how such reference is to be made.</w:t>
            </w:r>
          </w:p>
          <w:p w14:paraId="7E60106D" w14:textId="77777777" w:rsidR="00526C4D" w:rsidRPr="009E7EA6" w:rsidRDefault="00526C4D" w:rsidP="009E7EA6">
            <w:pPr>
              <w:jc w:val="both"/>
              <w:rPr>
                <w:rFonts w:ascii="Times New Roman" w:eastAsia="Calibri" w:hAnsi="Times New Roman" w:cs="Times New Roman"/>
                <w:iCs/>
                <w:sz w:val="18"/>
                <w:szCs w:val="18"/>
              </w:rPr>
            </w:pPr>
          </w:p>
          <w:p w14:paraId="20C51F19" w14:textId="46632A25" w:rsidR="00526C4D" w:rsidRPr="009E7EA6" w:rsidRDefault="00526C4D"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4.   Member States shall communicate to the Commission, the text of the main measures of national law which they adopt in the field covered by this Directive.</w:t>
            </w:r>
          </w:p>
          <w:p w14:paraId="449901A8" w14:textId="77777777" w:rsidR="00526C4D" w:rsidRPr="009E7EA6" w:rsidRDefault="00526C4D" w:rsidP="009E7EA6">
            <w:pPr>
              <w:rPr>
                <w:rFonts w:ascii="Times New Roman" w:eastAsia="Calibri" w:hAnsi="Times New Roman" w:cs="Times New Roman"/>
                <w:iCs/>
                <w:sz w:val="18"/>
                <w:szCs w:val="18"/>
              </w:rPr>
            </w:pPr>
          </w:p>
          <w:p w14:paraId="16EBF9F3" w14:textId="75E097C5" w:rsidR="00367004" w:rsidRPr="009E7EA6" w:rsidRDefault="00367004" w:rsidP="009E7EA6">
            <w:pPr>
              <w:rPr>
                <w:rFonts w:ascii="Times New Roman" w:eastAsia="Calibri" w:hAnsi="Times New Roman" w:cs="Times New Roman"/>
                <w:b/>
                <w:iCs/>
                <w:sz w:val="18"/>
                <w:szCs w:val="18"/>
              </w:rPr>
            </w:pPr>
          </w:p>
          <w:p w14:paraId="442B5F1F" w14:textId="4EECFA28" w:rsidR="00367004" w:rsidRPr="009E7EA6" w:rsidRDefault="00367004" w:rsidP="009E7EA6">
            <w:pPr>
              <w:rPr>
                <w:rFonts w:ascii="Times New Roman" w:eastAsia="Calibri" w:hAnsi="Times New Roman" w:cs="Times New Roman"/>
                <w:b/>
                <w:iCs/>
                <w:sz w:val="18"/>
                <w:szCs w:val="18"/>
              </w:rPr>
            </w:pPr>
          </w:p>
          <w:p w14:paraId="7445BED3" w14:textId="77777777" w:rsidR="00367004" w:rsidRPr="009E7EA6" w:rsidRDefault="00367004" w:rsidP="009E7EA6">
            <w:pPr>
              <w:rPr>
                <w:rFonts w:ascii="Times New Roman" w:eastAsia="Calibri" w:hAnsi="Times New Roman" w:cs="Times New Roman"/>
                <w:b/>
                <w:iCs/>
                <w:sz w:val="18"/>
                <w:szCs w:val="18"/>
              </w:rPr>
            </w:pPr>
          </w:p>
          <w:p w14:paraId="62A25992" w14:textId="6554B3B7" w:rsidR="00526C4D" w:rsidRPr="009E7EA6" w:rsidRDefault="00526C4D" w:rsidP="009E7EA6">
            <w:pPr>
              <w:jc w:val="both"/>
              <w:rPr>
                <w:rFonts w:ascii="Times New Roman" w:eastAsia="Calibri" w:hAnsi="Times New Roman" w:cs="Times New Roman"/>
                <w:iCs/>
                <w:sz w:val="18"/>
                <w:szCs w:val="18"/>
              </w:rPr>
            </w:pPr>
          </w:p>
        </w:tc>
        <w:tc>
          <w:tcPr>
            <w:tcW w:w="1070" w:type="dxa"/>
          </w:tcPr>
          <w:p w14:paraId="696A29FD" w14:textId="61FB2EF3" w:rsidR="00526C4D" w:rsidRPr="009E7EA6" w:rsidRDefault="00526C4D" w:rsidP="009E7EA6">
            <w:pPr>
              <w:jc w:val="center"/>
              <w:rPr>
                <w:rFonts w:ascii="Times New Roman" w:eastAsia="Calibri" w:hAnsi="Times New Roman" w:cs="Times New Roman"/>
                <w:sz w:val="18"/>
                <w:szCs w:val="18"/>
              </w:rPr>
            </w:pPr>
          </w:p>
        </w:tc>
        <w:tc>
          <w:tcPr>
            <w:tcW w:w="720" w:type="dxa"/>
          </w:tcPr>
          <w:p w14:paraId="56E1EAE1" w14:textId="6F13EA97" w:rsidR="00526C4D" w:rsidRPr="009E7EA6" w:rsidRDefault="00526C4D" w:rsidP="009E7EA6">
            <w:pPr>
              <w:jc w:val="center"/>
              <w:rPr>
                <w:rFonts w:ascii="Times New Roman" w:eastAsia="Calibri" w:hAnsi="Times New Roman" w:cs="Times New Roman"/>
                <w:sz w:val="18"/>
                <w:szCs w:val="18"/>
                <w:highlight w:val="yellow"/>
              </w:rPr>
            </w:pPr>
          </w:p>
        </w:tc>
        <w:tc>
          <w:tcPr>
            <w:tcW w:w="4344" w:type="dxa"/>
          </w:tcPr>
          <w:p w14:paraId="4C5AA1BB" w14:textId="77777777" w:rsidR="00FE6522" w:rsidRPr="009E7EA6" w:rsidRDefault="00FE6522" w:rsidP="009E7EA6">
            <w:pPr>
              <w:jc w:val="center"/>
              <w:rPr>
                <w:rFonts w:ascii="Times New Roman" w:hAnsi="Times New Roman" w:cs="Times New Roman"/>
                <w:b/>
                <w:sz w:val="18"/>
                <w:szCs w:val="18"/>
              </w:rPr>
            </w:pPr>
            <w:r w:rsidRPr="009E7EA6">
              <w:rPr>
                <w:rFonts w:ascii="Times New Roman" w:hAnsi="Times New Roman" w:cs="Times New Roman"/>
                <w:b/>
                <w:sz w:val="18"/>
                <w:szCs w:val="18"/>
              </w:rPr>
              <w:t>Article 18</w:t>
            </w:r>
          </w:p>
          <w:p w14:paraId="4BFB561B" w14:textId="77777777" w:rsidR="00FE6522" w:rsidRPr="009E7EA6" w:rsidRDefault="00FE6522" w:rsidP="009E7EA6">
            <w:pPr>
              <w:jc w:val="center"/>
              <w:rPr>
                <w:rFonts w:ascii="Times New Roman" w:hAnsi="Times New Roman" w:cs="Times New Roman"/>
                <w:b/>
                <w:sz w:val="18"/>
                <w:szCs w:val="18"/>
              </w:rPr>
            </w:pPr>
            <w:r w:rsidRPr="009E7EA6">
              <w:rPr>
                <w:rFonts w:ascii="Times New Roman" w:hAnsi="Times New Roman" w:cs="Times New Roman"/>
                <w:b/>
                <w:sz w:val="18"/>
                <w:szCs w:val="18"/>
              </w:rPr>
              <w:t>Transitional provision for TTIR</w:t>
            </w:r>
          </w:p>
          <w:p w14:paraId="0423151E" w14:textId="77777777" w:rsidR="00FE6522" w:rsidRPr="009E7EA6" w:rsidRDefault="00FE6522" w:rsidP="009E7EA6">
            <w:pPr>
              <w:jc w:val="center"/>
              <w:rPr>
                <w:rFonts w:ascii="Times New Roman" w:hAnsi="Times New Roman" w:cs="Times New Roman"/>
                <w:b/>
                <w:sz w:val="18"/>
                <w:szCs w:val="18"/>
              </w:rPr>
            </w:pPr>
          </w:p>
          <w:p w14:paraId="50EDC211" w14:textId="77777777" w:rsidR="00FE6522" w:rsidRPr="009E7EA6" w:rsidRDefault="00FE6522" w:rsidP="009E7EA6">
            <w:pPr>
              <w:ind w:left="256"/>
              <w:jc w:val="both"/>
              <w:rPr>
                <w:rFonts w:ascii="Times New Roman" w:hAnsi="Times New Roman" w:cs="Times New Roman"/>
                <w:sz w:val="18"/>
                <w:szCs w:val="18"/>
              </w:rPr>
            </w:pPr>
            <w:r w:rsidRPr="009E7EA6">
              <w:rPr>
                <w:rFonts w:ascii="Times New Roman" w:hAnsi="Times New Roman" w:cs="Times New Roman"/>
                <w:b/>
                <w:sz w:val="18"/>
                <w:szCs w:val="18"/>
              </w:rPr>
              <w:t>1.</w:t>
            </w:r>
            <w:r w:rsidRPr="009E7EA6">
              <w:rPr>
                <w:rFonts w:ascii="Times New Roman" w:hAnsi="Times New Roman" w:cs="Times New Roman"/>
                <w:b/>
                <w:sz w:val="18"/>
                <w:szCs w:val="18"/>
              </w:rPr>
              <w:tab/>
            </w:r>
            <w:r w:rsidRPr="009E7EA6">
              <w:rPr>
                <w:rFonts w:ascii="Times New Roman" w:hAnsi="Times New Roman" w:cs="Times New Roman"/>
                <w:sz w:val="18"/>
                <w:szCs w:val="18"/>
              </w:rPr>
              <w:t>The first reporting fiscal year for the purposes of this law is the fiscal year that begins on or after the date of the accession of the Republic of Albania to the European Union.</w:t>
            </w:r>
          </w:p>
          <w:p w14:paraId="4C3AD96C" w14:textId="77777777" w:rsidR="00FE6522" w:rsidRPr="009E7EA6" w:rsidRDefault="00FE6522" w:rsidP="009E7EA6">
            <w:pPr>
              <w:ind w:left="256"/>
              <w:jc w:val="both"/>
              <w:rPr>
                <w:rFonts w:ascii="Times New Roman" w:hAnsi="Times New Roman" w:cs="Times New Roman"/>
                <w:sz w:val="18"/>
                <w:szCs w:val="18"/>
              </w:rPr>
            </w:pPr>
          </w:p>
          <w:p w14:paraId="08B3D682" w14:textId="77777777" w:rsidR="00FE6522" w:rsidRPr="009E7EA6" w:rsidRDefault="00FE6522" w:rsidP="009E7EA6">
            <w:pPr>
              <w:ind w:left="256"/>
              <w:jc w:val="both"/>
              <w:rPr>
                <w:rFonts w:ascii="Times New Roman" w:hAnsi="Times New Roman" w:cs="Times New Roman"/>
                <w:sz w:val="18"/>
                <w:szCs w:val="18"/>
              </w:rPr>
            </w:pPr>
            <w:r w:rsidRPr="009E7EA6">
              <w:rPr>
                <w:rFonts w:ascii="Times New Roman" w:hAnsi="Times New Roman" w:cs="Times New Roman"/>
                <w:sz w:val="18"/>
                <w:szCs w:val="18"/>
              </w:rPr>
              <w:t>2.</w:t>
            </w:r>
            <w:r w:rsidRPr="009E7EA6">
              <w:rPr>
                <w:rFonts w:ascii="Times New Roman" w:hAnsi="Times New Roman" w:cs="Times New Roman"/>
                <w:sz w:val="18"/>
                <w:szCs w:val="18"/>
              </w:rPr>
              <w:tab/>
              <w:t xml:space="preserve">The exchange of information relating to the Top-up Tax Information Return (TTIR) for the first Reporting Fiscal Year shall take place no later than six (6) months after the expiry of the filing deadline for that fiscal year. </w:t>
            </w:r>
          </w:p>
          <w:p w14:paraId="7638FDA2" w14:textId="77777777" w:rsidR="00FE6522" w:rsidRPr="009E7EA6" w:rsidRDefault="00FE6522" w:rsidP="009E7EA6">
            <w:pPr>
              <w:ind w:left="256"/>
              <w:jc w:val="both"/>
              <w:rPr>
                <w:rFonts w:ascii="Times New Roman" w:hAnsi="Times New Roman" w:cs="Times New Roman"/>
                <w:sz w:val="18"/>
                <w:szCs w:val="18"/>
              </w:rPr>
            </w:pPr>
          </w:p>
          <w:p w14:paraId="036729D7" w14:textId="77777777" w:rsidR="00FE6522" w:rsidRPr="009E7EA6" w:rsidRDefault="00FE6522" w:rsidP="009E7EA6">
            <w:pPr>
              <w:ind w:left="256"/>
              <w:jc w:val="both"/>
              <w:rPr>
                <w:rFonts w:ascii="Times New Roman" w:hAnsi="Times New Roman" w:cs="Times New Roman"/>
                <w:sz w:val="18"/>
                <w:szCs w:val="18"/>
              </w:rPr>
            </w:pPr>
          </w:p>
          <w:p w14:paraId="27BCC57E" w14:textId="77777777" w:rsidR="00FE6522" w:rsidRPr="009E7EA6" w:rsidRDefault="00FE6522" w:rsidP="009E7EA6">
            <w:pPr>
              <w:ind w:left="256"/>
              <w:jc w:val="both"/>
              <w:rPr>
                <w:rFonts w:ascii="Times New Roman" w:hAnsi="Times New Roman" w:cs="Times New Roman"/>
                <w:sz w:val="18"/>
                <w:szCs w:val="18"/>
              </w:rPr>
            </w:pPr>
            <w:r w:rsidRPr="009E7EA6">
              <w:rPr>
                <w:rFonts w:ascii="Times New Roman" w:hAnsi="Times New Roman" w:cs="Times New Roman"/>
                <w:sz w:val="18"/>
                <w:szCs w:val="18"/>
              </w:rPr>
              <w:t>3.</w:t>
            </w:r>
            <w:r w:rsidRPr="009E7EA6">
              <w:rPr>
                <w:rFonts w:ascii="Times New Roman" w:hAnsi="Times New Roman" w:cs="Times New Roman"/>
                <w:sz w:val="18"/>
                <w:szCs w:val="18"/>
              </w:rPr>
              <w:tab/>
              <w:t>In any case, the first exchange of information under this Law shall not take place before the date of the accession of the Republic of Albania to the European Union, in accordance with the Treaty of Accession.</w:t>
            </w:r>
          </w:p>
          <w:p w14:paraId="0FF148F2" w14:textId="77777777" w:rsidR="00FE6522" w:rsidRPr="009E7EA6" w:rsidRDefault="00FE6522" w:rsidP="009E7EA6">
            <w:pPr>
              <w:ind w:left="256"/>
              <w:jc w:val="both"/>
              <w:rPr>
                <w:rFonts w:ascii="Times New Roman" w:hAnsi="Times New Roman" w:cs="Times New Roman"/>
                <w:sz w:val="18"/>
                <w:szCs w:val="18"/>
              </w:rPr>
            </w:pPr>
          </w:p>
          <w:p w14:paraId="2BCD65D6" w14:textId="77777777" w:rsidR="00526C4D" w:rsidRPr="009E7EA6" w:rsidRDefault="00526C4D" w:rsidP="009E7EA6">
            <w:pPr>
              <w:jc w:val="both"/>
              <w:rPr>
                <w:rFonts w:ascii="Times New Roman" w:eastAsia="Calibri" w:hAnsi="Times New Roman" w:cs="Times New Roman"/>
                <w:sz w:val="18"/>
                <w:szCs w:val="18"/>
                <w:lang w:val="sq-AL"/>
              </w:rPr>
            </w:pPr>
          </w:p>
          <w:p w14:paraId="0596AF8D" w14:textId="77777777" w:rsidR="00FB1120" w:rsidRPr="009E7EA6" w:rsidRDefault="00FB1120" w:rsidP="009E7EA6">
            <w:pPr>
              <w:jc w:val="both"/>
              <w:rPr>
                <w:rFonts w:ascii="Times New Roman" w:eastAsia="Calibri" w:hAnsi="Times New Roman" w:cs="Times New Roman"/>
                <w:sz w:val="18"/>
                <w:szCs w:val="18"/>
                <w:lang w:val="sq-AL"/>
              </w:rPr>
            </w:pPr>
          </w:p>
          <w:p w14:paraId="2DABBADE" w14:textId="77777777" w:rsidR="00FB1120" w:rsidRPr="009E7EA6" w:rsidRDefault="00FB1120" w:rsidP="009E7EA6">
            <w:pPr>
              <w:jc w:val="both"/>
              <w:rPr>
                <w:rFonts w:ascii="Times New Roman" w:eastAsia="Calibri" w:hAnsi="Times New Roman" w:cs="Times New Roman"/>
                <w:sz w:val="18"/>
                <w:szCs w:val="18"/>
                <w:lang w:val="sq-AL"/>
              </w:rPr>
            </w:pPr>
          </w:p>
          <w:p w14:paraId="3E20752C" w14:textId="77777777" w:rsidR="00FB1120" w:rsidRPr="009E7EA6" w:rsidRDefault="00FB1120" w:rsidP="009E7EA6">
            <w:pPr>
              <w:jc w:val="both"/>
              <w:rPr>
                <w:rFonts w:ascii="Times New Roman" w:eastAsia="Calibri" w:hAnsi="Times New Roman" w:cs="Times New Roman"/>
                <w:sz w:val="18"/>
                <w:szCs w:val="18"/>
                <w:lang w:val="sq-AL"/>
              </w:rPr>
            </w:pPr>
          </w:p>
          <w:p w14:paraId="5E311B2A" w14:textId="77777777" w:rsidR="00FB1120" w:rsidRPr="009E7EA6" w:rsidRDefault="00FB1120" w:rsidP="009E7EA6">
            <w:pPr>
              <w:jc w:val="both"/>
              <w:rPr>
                <w:rFonts w:ascii="Times New Roman" w:eastAsia="Calibri" w:hAnsi="Times New Roman" w:cs="Times New Roman"/>
                <w:sz w:val="18"/>
                <w:szCs w:val="18"/>
                <w:lang w:val="sq-AL"/>
              </w:rPr>
            </w:pPr>
          </w:p>
          <w:p w14:paraId="25A6963C" w14:textId="77777777" w:rsidR="00FB1120" w:rsidRPr="009E7EA6" w:rsidRDefault="00FB1120" w:rsidP="009E7EA6">
            <w:pPr>
              <w:jc w:val="both"/>
              <w:rPr>
                <w:rFonts w:ascii="Times New Roman" w:eastAsia="Calibri" w:hAnsi="Times New Roman" w:cs="Times New Roman"/>
                <w:sz w:val="18"/>
                <w:szCs w:val="18"/>
                <w:lang w:val="sq-AL"/>
              </w:rPr>
            </w:pPr>
          </w:p>
          <w:p w14:paraId="247177F1" w14:textId="77777777" w:rsidR="00FB1120" w:rsidRPr="009E7EA6" w:rsidRDefault="00FB1120" w:rsidP="009E7EA6">
            <w:pPr>
              <w:jc w:val="both"/>
              <w:rPr>
                <w:rFonts w:ascii="Times New Roman" w:eastAsia="Calibri" w:hAnsi="Times New Roman" w:cs="Times New Roman"/>
                <w:sz w:val="18"/>
                <w:szCs w:val="18"/>
                <w:lang w:val="sq-AL"/>
              </w:rPr>
            </w:pPr>
          </w:p>
          <w:p w14:paraId="6B531112" w14:textId="77777777" w:rsidR="00FB1120" w:rsidRPr="009E7EA6" w:rsidRDefault="00FB1120" w:rsidP="009E7EA6">
            <w:pPr>
              <w:jc w:val="both"/>
              <w:rPr>
                <w:rFonts w:ascii="Times New Roman" w:eastAsia="Calibri" w:hAnsi="Times New Roman" w:cs="Times New Roman"/>
                <w:sz w:val="18"/>
                <w:szCs w:val="18"/>
                <w:lang w:val="sq-AL"/>
              </w:rPr>
            </w:pPr>
          </w:p>
          <w:p w14:paraId="080350BF" w14:textId="77777777" w:rsidR="00FB1120" w:rsidRPr="009E7EA6" w:rsidRDefault="00FB1120" w:rsidP="009E7EA6">
            <w:pPr>
              <w:jc w:val="both"/>
              <w:rPr>
                <w:rFonts w:ascii="Times New Roman" w:eastAsia="Calibri" w:hAnsi="Times New Roman" w:cs="Times New Roman"/>
                <w:sz w:val="18"/>
                <w:szCs w:val="18"/>
                <w:lang w:val="sq-AL"/>
              </w:rPr>
            </w:pPr>
          </w:p>
          <w:p w14:paraId="089C033C" w14:textId="77777777" w:rsidR="00FB1120" w:rsidRPr="009E7EA6" w:rsidRDefault="00FB1120" w:rsidP="009E7EA6">
            <w:pPr>
              <w:jc w:val="both"/>
              <w:rPr>
                <w:rFonts w:ascii="Times New Roman" w:eastAsia="Calibri" w:hAnsi="Times New Roman" w:cs="Times New Roman"/>
                <w:sz w:val="18"/>
                <w:szCs w:val="18"/>
                <w:lang w:val="sq-AL"/>
              </w:rPr>
            </w:pPr>
          </w:p>
          <w:p w14:paraId="5A443374" w14:textId="77777777" w:rsidR="00FB1120" w:rsidRPr="009E7EA6" w:rsidRDefault="00FB1120" w:rsidP="009E7EA6">
            <w:pPr>
              <w:jc w:val="both"/>
              <w:rPr>
                <w:rFonts w:ascii="Times New Roman" w:eastAsia="Calibri" w:hAnsi="Times New Roman" w:cs="Times New Roman"/>
                <w:sz w:val="18"/>
                <w:szCs w:val="18"/>
                <w:lang w:val="sq-AL"/>
              </w:rPr>
            </w:pPr>
          </w:p>
          <w:p w14:paraId="396D79FC" w14:textId="77777777" w:rsidR="00FB1120" w:rsidRPr="009E7EA6" w:rsidRDefault="00FB1120" w:rsidP="009E7EA6">
            <w:pPr>
              <w:jc w:val="both"/>
              <w:rPr>
                <w:rFonts w:ascii="Times New Roman" w:eastAsia="Calibri" w:hAnsi="Times New Roman" w:cs="Times New Roman"/>
                <w:sz w:val="18"/>
                <w:szCs w:val="18"/>
                <w:lang w:val="sq-AL"/>
              </w:rPr>
            </w:pPr>
          </w:p>
          <w:p w14:paraId="2DFC29D2" w14:textId="77777777" w:rsidR="00FB1120" w:rsidRPr="009E7EA6" w:rsidRDefault="00FB1120" w:rsidP="009E7EA6">
            <w:pPr>
              <w:jc w:val="both"/>
              <w:rPr>
                <w:rFonts w:ascii="Times New Roman" w:eastAsia="Calibri" w:hAnsi="Times New Roman" w:cs="Times New Roman"/>
                <w:sz w:val="18"/>
                <w:szCs w:val="18"/>
                <w:lang w:val="sq-AL"/>
              </w:rPr>
            </w:pPr>
          </w:p>
          <w:p w14:paraId="6B08D99D" w14:textId="77777777" w:rsidR="00FB1120" w:rsidRPr="009E7EA6" w:rsidRDefault="00FB1120" w:rsidP="009E7EA6">
            <w:pPr>
              <w:jc w:val="both"/>
              <w:rPr>
                <w:rFonts w:ascii="Times New Roman" w:eastAsia="Calibri" w:hAnsi="Times New Roman" w:cs="Times New Roman"/>
                <w:sz w:val="18"/>
                <w:szCs w:val="18"/>
                <w:lang w:val="sq-AL"/>
              </w:rPr>
            </w:pPr>
          </w:p>
          <w:p w14:paraId="5B644F27" w14:textId="77777777" w:rsidR="00FB1120" w:rsidRPr="009E7EA6" w:rsidRDefault="00FB1120" w:rsidP="009E7EA6">
            <w:pPr>
              <w:jc w:val="both"/>
              <w:rPr>
                <w:rFonts w:ascii="Times New Roman" w:eastAsia="Calibri" w:hAnsi="Times New Roman" w:cs="Times New Roman"/>
                <w:sz w:val="18"/>
                <w:szCs w:val="18"/>
                <w:lang w:val="sq-AL"/>
              </w:rPr>
            </w:pPr>
          </w:p>
          <w:p w14:paraId="78A66BE7" w14:textId="77777777" w:rsidR="00FB1120" w:rsidRPr="009E7EA6" w:rsidRDefault="00FB1120" w:rsidP="009E7EA6">
            <w:pPr>
              <w:jc w:val="both"/>
              <w:rPr>
                <w:rFonts w:ascii="Times New Roman" w:eastAsia="Calibri" w:hAnsi="Times New Roman" w:cs="Times New Roman"/>
                <w:sz w:val="18"/>
                <w:szCs w:val="18"/>
                <w:lang w:val="sq-AL"/>
              </w:rPr>
            </w:pPr>
          </w:p>
          <w:p w14:paraId="79FC3A1C" w14:textId="77777777" w:rsidR="00FB1120" w:rsidRPr="009E7EA6" w:rsidRDefault="00FB1120" w:rsidP="009E7EA6">
            <w:pPr>
              <w:jc w:val="both"/>
              <w:rPr>
                <w:rFonts w:ascii="Times New Roman" w:eastAsia="Calibri" w:hAnsi="Times New Roman" w:cs="Times New Roman"/>
                <w:sz w:val="18"/>
                <w:szCs w:val="18"/>
                <w:lang w:val="sq-AL"/>
              </w:rPr>
            </w:pPr>
          </w:p>
          <w:p w14:paraId="4284FE7B" w14:textId="38129322" w:rsidR="00FB1120" w:rsidRPr="009E7EA6" w:rsidRDefault="00FB1120" w:rsidP="009E7EA6">
            <w:pPr>
              <w:jc w:val="both"/>
              <w:rPr>
                <w:rFonts w:ascii="Times New Roman" w:eastAsia="Calibri" w:hAnsi="Times New Roman" w:cs="Times New Roman"/>
                <w:sz w:val="18"/>
                <w:szCs w:val="18"/>
                <w:lang w:val="sq-AL"/>
              </w:rPr>
            </w:pPr>
          </w:p>
          <w:p w14:paraId="3BA353DF" w14:textId="03D567A9" w:rsidR="00FB1120" w:rsidRPr="009E7EA6" w:rsidRDefault="00FB1120" w:rsidP="009E7EA6">
            <w:pPr>
              <w:jc w:val="both"/>
              <w:rPr>
                <w:rFonts w:ascii="Times New Roman" w:eastAsia="Calibri" w:hAnsi="Times New Roman" w:cs="Times New Roman"/>
                <w:sz w:val="18"/>
                <w:szCs w:val="18"/>
                <w:lang w:val="sq-AL"/>
              </w:rPr>
            </w:pPr>
          </w:p>
          <w:p w14:paraId="2CF6631C" w14:textId="0345032A" w:rsidR="00FB1120" w:rsidRPr="009E7EA6" w:rsidRDefault="00FB1120" w:rsidP="009E7EA6">
            <w:pPr>
              <w:jc w:val="both"/>
              <w:rPr>
                <w:rFonts w:ascii="Times New Roman" w:eastAsia="Calibri" w:hAnsi="Times New Roman" w:cs="Times New Roman"/>
                <w:sz w:val="18"/>
                <w:szCs w:val="18"/>
                <w:lang w:val="sq-AL"/>
              </w:rPr>
            </w:pPr>
          </w:p>
          <w:p w14:paraId="09971B82" w14:textId="0506F504" w:rsidR="00FB1120" w:rsidRPr="009E7EA6" w:rsidRDefault="00FB1120" w:rsidP="009E7EA6">
            <w:pPr>
              <w:jc w:val="both"/>
              <w:rPr>
                <w:rFonts w:ascii="Times New Roman" w:eastAsia="Calibri" w:hAnsi="Times New Roman" w:cs="Times New Roman"/>
                <w:sz w:val="18"/>
                <w:szCs w:val="18"/>
                <w:lang w:val="sq-AL"/>
              </w:rPr>
            </w:pPr>
          </w:p>
          <w:p w14:paraId="76F25A0E" w14:textId="4A75C433" w:rsidR="00FB1120" w:rsidRPr="009E7EA6" w:rsidRDefault="00FB1120" w:rsidP="009E7EA6">
            <w:pPr>
              <w:jc w:val="both"/>
              <w:rPr>
                <w:rFonts w:ascii="Times New Roman" w:eastAsia="Calibri" w:hAnsi="Times New Roman" w:cs="Times New Roman"/>
                <w:sz w:val="18"/>
                <w:szCs w:val="18"/>
                <w:lang w:val="sq-AL"/>
              </w:rPr>
            </w:pPr>
          </w:p>
          <w:p w14:paraId="22F4A7E1" w14:textId="1ED923EE" w:rsidR="00FB1120" w:rsidRPr="009E7EA6" w:rsidRDefault="00FB1120" w:rsidP="009E7EA6">
            <w:pPr>
              <w:jc w:val="both"/>
              <w:rPr>
                <w:rFonts w:ascii="Times New Roman" w:eastAsia="Calibri" w:hAnsi="Times New Roman" w:cs="Times New Roman"/>
                <w:sz w:val="18"/>
                <w:szCs w:val="18"/>
                <w:lang w:val="sq-AL"/>
              </w:rPr>
            </w:pPr>
          </w:p>
          <w:p w14:paraId="54843409" w14:textId="77777777" w:rsidR="00FB1120" w:rsidRPr="009E7EA6" w:rsidRDefault="00FB1120" w:rsidP="009E7EA6">
            <w:pPr>
              <w:jc w:val="center"/>
              <w:rPr>
                <w:rFonts w:ascii="Times New Roman" w:eastAsia="Calibri" w:hAnsi="Times New Roman" w:cs="Times New Roman"/>
                <w:b/>
                <w:sz w:val="18"/>
                <w:szCs w:val="18"/>
                <w:lang w:val="sq-AL"/>
              </w:rPr>
            </w:pPr>
            <w:r w:rsidRPr="009E7EA6">
              <w:rPr>
                <w:rFonts w:ascii="Times New Roman" w:eastAsia="Calibri" w:hAnsi="Times New Roman" w:cs="Times New Roman"/>
                <w:b/>
                <w:sz w:val="18"/>
                <w:szCs w:val="18"/>
                <w:lang w:val="sq-AL"/>
              </w:rPr>
              <w:t>Article 19</w:t>
            </w:r>
          </w:p>
          <w:p w14:paraId="6ECD3274" w14:textId="77777777" w:rsidR="00FB1120" w:rsidRPr="009E7EA6" w:rsidRDefault="00FB1120" w:rsidP="009E7EA6">
            <w:pPr>
              <w:jc w:val="center"/>
              <w:rPr>
                <w:rFonts w:ascii="Times New Roman" w:eastAsia="Calibri" w:hAnsi="Times New Roman" w:cs="Times New Roman"/>
                <w:b/>
                <w:sz w:val="18"/>
                <w:szCs w:val="18"/>
                <w:lang w:val="sq-AL"/>
              </w:rPr>
            </w:pPr>
            <w:r w:rsidRPr="009E7EA6">
              <w:rPr>
                <w:rFonts w:ascii="Times New Roman" w:eastAsia="Calibri" w:hAnsi="Times New Roman" w:cs="Times New Roman"/>
                <w:b/>
                <w:sz w:val="18"/>
                <w:szCs w:val="18"/>
                <w:lang w:val="sq-AL"/>
              </w:rPr>
              <w:t>Entry into force</w:t>
            </w:r>
          </w:p>
          <w:p w14:paraId="51158FA4" w14:textId="77777777" w:rsidR="00FB1120" w:rsidRPr="009E7EA6" w:rsidRDefault="00FB1120" w:rsidP="009E7EA6">
            <w:pPr>
              <w:jc w:val="center"/>
              <w:rPr>
                <w:rFonts w:ascii="Times New Roman" w:eastAsia="Calibri" w:hAnsi="Times New Roman" w:cs="Times New Roman"/>
                <w:b/>
                <w:sz w:val="18"/>
                <w:szCs w:val="18"/>
                <w:lang w:val="sq-AL"/>
              </w:rPr>
            </w:pPr>
          </w:p>
          <w:p w14:paraId="0B4415FD" w14:textId="5E547877" w:rsidR="00FB1120" w:rsidRPr="009E7EA6" w:rsidRDefault="00FB1120" w:rsidP="009E7EA6">
            <w:pPr>
              <w:jc w:val="both"/>
              <w:rPr>
                <w:rFonts w:ascii="Times New Roman" w:eastAsia="Calibri" w:hAnsi="Times New Roman" w:cs="Times New Roman"/>
                <w:sz w:val="18"/>
                <w:szCs w:val="18"/>
                <w:lang w:val="sq-AL"/>
              </w:rPr>
            </w:pPr>
            <w:r w:rsidRPr="009E7EA6">
              <w:rPr>
                <w:rFonts w:ascii="Times New Roman" w:eastAsia="Calibri" w:hAnsi="Times New Roman" w:cs="Times New Roman"/>
                <w:sz w:val="18"/>
                <w:szCs w:val="18"/>
                <w:lang w:val="sq-AL"/>
              </w:rPr>
              <w:t>This Law shall enter into force 15 days after its publication in the Official Gazette and its provisions shall apply from 1 January of the fiscal year beginning on or after the date of the accession of the Republic of Albania to the European Union.</w:t>
            </w:r>
          </w:p>
          <w:p w14:paraId="48A7F7C8" w14:textId="6ED98720" w:rsidR="00FB1120" w:rsidRPr="009E7EA6" w:rsidRDefault="00FB1120" w:rsidP="009E7EA6">
            <w:pPr>
              <w:jc w:val="both"/>
              <w:rPr>
                <w:rFonts w:ascii="Times New Roman" w:eastAsia="Calibri" w:hAnsi="Times New Roman" w:cs="Times New Roman"/>
                <w:sz w:val="18"/>
                <w:szCs w:val="18"/>
                <w:lang w:val="sq-AL"/>
              </w:rPr>
            </w:pPr>
          </w:p>
          <w:p w14:paraId="2A21BDCE" w14:textId="77777777" w:rsidR="00FB1120" w:rsidRPr="009E7EA6" w:rsidRDefault="00FB1120" w:rsidP="009E7EA6">
            <w:pPr>
              <w:jc w:val="both"/>
              <w:rPr>
                <w:rFonts w:ascii="Times New Roman" w:eastAsia="Calibri" w:hAnsi="Times New Roman" w:cs="Times New Roman"/>
                <w:sz w:val="18"/>
                <w:szCs w:val="18"/>
                <w:lang w:val="sq-AL"/>
              </w:rPr>
            </w:pPr>
          </w:p>
          <w:p w14:paraId="05592547" w14:textId="77777777" w:rsidR="00FB1120" w:rsidRPr="009E7EA6" w:rsidRDefault="00FB1120" w:rsidP="009E7EA6">
            <w:pPr>
              <w:jc w:val="both"/>
              <w:rPr>
                <w:rFonts w:ascii="Times New Roman" w:eastAsia="Calibri" w:hAnsi="Times New Roman" w:cs="Times New Roman"/>
                <w:sz w:val="18"/>
                <w:szCs w:val="18"/>
                <w:lang w:val="sq-AL"/>
              </w:rPr>
            </w:pPr>
          </w:p>
          <w:p w14:paraId="0A182D39" w14:textId="77777777" w:rsidR="00FB1120" w:rsidRPr="009E7EA6" w:rsidRDefault="00FB1120" w:rsidP="009E7EA6">
            <w:pPr>
              <w:jc w:val="both"/>
              <w:rPr>
                <w:rFonts w:ascii="Times New Roman" w:eastAsia="Calibri" w:hAnsi="Times New Roman" w:cs="Times New Roman"/>
                <w:sz w:val="18"/>
                <w:szCs w:val="18"/>
                <w:lang w:val="sq-AL"/>
              </w:rPr>
            </w:pPr>
          </w:p>
          <w:p w14:paraId="741C61C2" w14:textId="77777777" w:rsidR="00FB1120" w:rsidRPr="009E7EA6" w:rsidRDefault="00FB1120" w:rsidP="009E7EA6">
            <w:pPr>
              <w:jc w:val="both"/>
              <w:rPr>
                <w:rFonts w:ascii="Times New Roman" w:eastAsia="Calibri" w:hAnsi="Times New Roman" w:cs="Times New Roman"/>
                <w:sz w:val="18"/>
                <w:szCs w:val="18"/>
                <w:lang w:val="sq-AL"/>
              </w:rPr>
            </w:pPr>
          </w:p>
          <w:p w14:paraId="336E2A10" w14:textId="77777777" w:rsidR="00FB1120" w:rsidRPr="009E7EA6" w:rsidRDefault="00FB1120" w:rsidP="009E7EA6">
            <w:pPr>
              <w:jc w:val="both"/>
              <w:rPr>
                <w:rFonts w:ascii="Times New Roman" w:eastAsia="Calibri" w:hAnsi="Times New Roman" w:cs="Times New Roman"/>
                <w:sz w:val="18"/>
                <w:szCs w:val="18"/>
                <w:lang w:val="sq-AL"/>
              </w:rPr>
            </w:pPr>
          </w:p>
          <w:p w14:paraId="40C1275F" w14:textId="77777777" w:rsidR="00FB1120" w:rsidRPr="009E7EA6" w:rsidRDefault="00FB1120" w:rsidP="009E7EA6">
            <w:pPr>
              <w:jc w:val="both"/>
              <w:rPr>
                <w:rFonts w:ascii="Times New Roman" w:eastAsia="Calibri" w:hAnsi="Times New Roman" w:cs="Times New Roman"/>
                <w:sz w:val="18"/>
                <w:szCs w:val="18"/>
                <w:lang w:val="sq-AL"/>
              </w:rPr>
            </w:pPr>
          </w:p>
          <w:p w14:paraId="05E111C4" w14:textId="77777777" w:rsidR="00FB1120" w:rsidRPr="009E7EA6" w:rsidRDefault="00FB1120" w:rsidP="009E7EA6">
            <w:pPr>
              <w:jc w:val="both"/>
              <w:rPr>
                <w:rFonts w:ascii="Times New Roman" w:eastAsia="Calibri" w:hAnsi="Times New Roman" w:cs="Times New Roman"/>
                <w:sz w:val="18"/>
                <w:szCs w:val="18"/>
                <w:lang w:val="sq-AL"/>
              </w:rPr>
            </w:pPr>
          </w:p>
          <w:p w14:paraId="7AD350A7" w14:textId="4D105030" w:rsidR="00FB1120" w:rsidRPr="009E7EA6" w:rsidRDefault="00FB1120" w:rsidP="009E7EA6">
            <w:pPr>
              <w:jc w:val="both"/>
              <w:rPr>
                <w:rFonts w:ascii="Times New Roman" w:eastAsia="Calibri" w:hAnsi="Times New Roman" w:cs="Times New Roman"/>
                <w:sz w:val="18"/>
                <w:szCs w:val="18"/>
                <w:lang w:val="sq-AL"/>
              </w:rPr>
            </w:pPr>
          </w:p>
        </w:tc>
        <w:tc>
          <w:tcPr>
            <w:tcW w:w="1156" w:type="dxa"/>
          </w:tcPr>
          <w:p w14:paraId="140B14F0" w14:textId="77777777" w:rsidR="00526C4D" w:rsidRPr="009E7EA6" w:rsidRDefault="00526C4D" w:rsidP="009E7EA6">
            <w:pPr>
              <w:jc w:val="center"/>
              <w:rPr>
                <w:rFonts w:ascii="Times New Roman" w:eastAsia="Calibri" w:hAnsi="Times New Roman" w:cs="Times New Roman"/>
                <w:sz w:val="18"/>
                <w:szCs w:val="18"/>
              </w:rPr>
            </w:pPr>
          </w:p>
          <w:p w14:paraId="2E0A19C2" w14:textId="77777777" w:rsidR="00526C4D" w:rsidRPr="009E7EA6" w:rsidRDefault="00526C4D" w:rsidP="009E7EA6">
            <w:pPr>
              <w:jc w:val="center"/>
              <w:rPr>
                <w:rFonts w:ascii="Times New Roman" w:eastAsia="Calibri" w:hAnsi="Times New Roman" w:cs="Times New Roman"/>
                <w:sz w:val="18"/>
                <w:szCs w:val="18"/>
              </w:rPr>
            </w:pPr>
          </w:p>
          <w:p w14:paraId="0D29EC22" w14:textId="77777777" w:rsidR="00FB1120" w:rsidRPr="009E7EA6" w:rsidRDefault="00FB1120"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F</w:t>
            </w:r>
          </w:p>
          <w:p w14:paraId="7563D9B9" w14:textId="77777777" w:rsidR="00FB1120" w:rsidRPr="009E7EA6" w:rsidRDefault="00FB1120" w:rsidP="009E7EA6">
            <w:pPr>
              <w:jc w:val="center"/>
              <w:rPr>
                <w:rFonts w:ascii="Times New Roman" w:eastAsia="Calibri" w:hAnsi="Times New Roman" w:cs="Times New Roman"/>
                <w:sz w:val="18"/>
                <w:szCs w:val="18"/>
              </w:rPr>
            </w:pPr>
          </w:p>
          <w:p w14:paraId="4CCA518C" w14:textId="77777777" w:rsidR="00FB1120" w:rsidRPr="009E7EA6" w:rsidRDefault="00FB1120" w:rsidP="009E7EA6">
            <w:pPr>
              <w:jc w:val="center"/>
              <w:rPr>
                <w:rFonts w:ascii="Times New Roman" w:eastAsia="Calibri" w:hAnsi="Times New Roman" w:cs="Times New Roman"/>
                <w:sz w:val="18"/>
                <w:szCs w:val="18"/>
              </w:rPr>
            </w:pPr>
          </w:p>
          <w:p w14:paraId="1170FA25" w14:textId="77777777" w:rsidR="00FB1120" w:rsidRPr="009E7EA6" w:rsidRDefault="00FB1120" w:rsidP="009E7EA6">
            <w:pPr>
              <w:jc w:val="center"/>
              <w:rPr>
                <w:rFonts w:ascii="Times New Roman" w:eastAsia="Calibri" w:hAnsi="Times New Roman" w:cs="Times New Roman"/>
                <w:sz w:val="18"/>
                <w:szCs w:val="18"/>
              </w:rPr>
            </w:pPr>
          </w:p>
          <w:p w14:paraId="47F725C6" w14:textId="77777777" w:rsidR="00FB1120" w:rsidRPr="009E7EA6" w:rsidRDefault="00FB1120" w:rsidP="009E7EA6">
            <w:pPr>
              <w:jc w:val="center"/>
              <w:rPr>
                <w:rFonts w:ascii="Times New Roman" w:eastAsia="Calibri" w:hAnsi="Times New Roman" w:cs="Times New Roman"/>
                <w:sz w:val="18"/>
                <w:szCs w:val="18"/>
              </w:rPr>
            </w:pPr>
          </w:p>
          <w:p w14:paraId="5B9DD667" w14:textId="77777777" w:rsidR="00FB1120" w:rsidRPr="009E7EA6" w:rsidRDefault="00FB1120" w:rsidP="009E7EA6">
            <w:pPr>
              <w:jc w:val="center"/>
              <w:rPr>
                <w:rFonts w:ascii="Times New Roman" w:eastAsia="Calibri" w:hAnsi="Times New Roman" w:cs="Times New Roman"/>
                <w:sz w:val="18"/>
                <w:szCs w:val="18"/>
              </w:rPr>
            </w:pPr>
          </w:p>
          <w:p w14:paraId="46DF037E" w14:textId="77777777" w:rsidR="00FB1120" w:rsidRPr="009E7EA6" w:rsidRDefault="00FB1120" w:rsidP="009E7EA6">
            <w:pPr>
              <w:jc w:val="center"/>
              <w:rPr>
                <w:rFonts w:ascii="Times New Roman" w:eastAsia="Calibri" w:hAnsi="Times New Roman" w:cs="Times New Roman"/>
                <w:sz w:val="18"/>
                <w:szCs w:val="18"/>
              </w:rPr>
            </w:pPr>
          </w:p>
          <w:p w14:paraId="34C30B6E" w14:textId="77777777" w:rsidR="00FB1120" w:rsidRPr="009E7EA6" w:rsidRDefault="00FB1120" w:rsidP="009E7EA6">
            <w:pPr>
              <w:jc w:val="center"/>
              <w:rPr>
                <w:rFonts w:ascii="Times New Roman" w:eastAsia="Calibri" w:hAnsi="Times New Roman" w:cs="Times New Roman"/>
                <w:sz w:val="18"/>
                <w:szCs w:val="18"/>
              </w:rPr>
            </w:pPr>
          </w:p>
          <w:p w14:paraId="6EBA24E7" w14:textId="77777777" w:rsidR="00FB1120" w:rsidRPr="009E7EA6" w:rsidRDefault="00FB1120" w:rsidP="009E7EA6">
            <w:pPr>
              <w:jc w:val="center"/>
              <w:rPr>
                <w:rFonts w:ascii="Times New Roman" w:eastAsia="Calibri" w:hAnsi="Times New Roman" w:cs="Times New Roman"/>
                <w:sz w:val="18"/>
                <w:szCs w:val="18"/>
              </w:rPr>
            </w:pPr>
          </w:p>
          <w:p w14:paraId="44F0E7FE" w14:textId="77777777" w:rsidR="00FB1120" w:rsidRPr="009E7EA6" w:rsidRDefault="00FB1120" w:rsidP="009E7EA6">
            <w:pPr>
              <w:jc w:val="center"/>
              <w:rPr>
                <w:rFonts w:ascii="Times New Roman" w:eastAsia="Calibri" w:hAnsi="Times New Roman" w:cs="Times New Roman"/>
                <w:sz w:val="18"/>
                <w:szCs w:val="18"/>
              </w:rPr>
            </w:pPr>
          </w:p>
          <w:p w14:paraId="5FD44D04" w14:textId="77777777" w:rsidR="00FB1120" w:rsidRPr="009E7EA6" w:rsidRDefault="00FB1120" w:rsidP="009E7EA6">
            <w:pPr>
              <w:jc w:val="center"/>
              <w:rPr>
                <w:rFonts w:ascii="Times New Roman" w:eastAsia="Calibri" w:hAnsi="Times New Roman" w:cs="Times New Roman"/>
                <w:sz w:val="18"/>
                <w:szCs w:val="18"/>
              </w:rPr>
            </w:pPr>
          </w:p>
          <w:p w14:paraId="5E6AAA54" w14:textId="77777777" w:rsidR="00FB1120" w:rsidRPr="009E7EA6" w:rsidRDefault="00FB1120" w:rsidP="009E7EA6">
            <w:pPr>
              <w:jc w:val="center"/>
              <w:rPr>
                <w:rFonts w:ascii="Times New Roman" w:eastAsia="Calibri" w:hAnsi="Times New Roman" w:cs="Times New Roman"/>
                <w:sz w:val="18"/>
                <w:szCs w:val="18"/>
              </w:rPr>
            </w:pPr>
          </w:p>
          <w:p w14:paraId="70C6A3E7" w14:textId="77777777" w:rsidR="00FB1120" w:rsidRPr="009E7EA6" w:rsidRDefault="00FB1120" w:rsidP="009E7EA6">
            <w:pPr>
              <w:jc w:val="center"/>
              <w:rPr>
                <w:rFonts w:ascii="Times New Roman" w:eastAsia="Calibri" w:hAnsi="Times New Roman" w:cs="Times New Roman"/>
                <w:sz w:val="18"/>
                <w:szCs w:val="18"/>
              </w:rPr>
            </w:pPr>
          </w:p>
          <w:p w14:paraId="5802C757" w14:textId="77777777" w:rsidR="00FB1120" w:rsidRPr="009E7EA6" w:rsidRDefault="00FB1120" w:rsidP="009E7EA6">
            <w:pPr>
              <w:jc w:val="center"/>
              <w:rPr>
                <w:rFonts w:ascii="Times New Roman" w:eastAsia="Calibri" w:hAnsi="Times New Roman" w:cs="Times New Roman"/>
                <w:sz w:val="18"/>
                <w:szCs w:val="18"/>
              </w:rPr>
            </w:pPr>
          </w:p>
          <w:p w14:paraId="6E1C5CE2" w14:textId="77777777" w:rsidR="00FB1120" w:rsidRPr="009E7EA6" w:rsidRDefault="00FB1120" w:rsidP="009E7EA6">
            <w:pPr>
              <w:jc w:val="center"/>
              <w:rPr>
                <w:rFonts w:ascii="Times New Roman" w:eastAsia="Calibri" w:hAnsi="Times New Roman" w:cs="Times New Roman"/>
                <w:sz w:val="18"/>
                <w:szCs w:val="18"/>
              </w:rPr>
            </w:pPr>
          </w:p>
          <w:p w14:paraId="73E81642" w14:textId="77777777" w:rsidR="00FB1120" w:rsidRPr="009E7EA6" w:rsidRDefault="00FB1120" w:rsidP="009E7EA6">
            <w:pPr>
              <w:jc w:val="center"/>
              <w:rPr>
                <w:rFonts w:ascii="Times New Roman" w:eastAsia="Calibri" w:hAnsi="Times New Roman" w:cs="Times New Roman"/>
                <w:sz w:val="18"/>
                <w:szCs w:val="18"/>
              </w:rPr>
            </w:pPr>
          </w:p>
          <w:p w14:paraId="1AD67A7E" w14:textId="77777777" w:rsidR="00FB1120" w:rsidRPr="009E7EA6" w:rsidRDefault="00FB1120" w:rsidP="009E7EA6">
            <w:pPr>
              <w:jc w:val="center"/>
              <w:rPr>
                <w:rFonts w:ascii="Times New Roman" w:eastAsia="Calibri" w:hAnsi="Times New Roman" w:cs="Times New Roman"/>
                <w:sz w:val="18"/>
                <w:szCs w:val="18"/>
              </w:rPr>
            </w:pPr>
          </w:p>
          <w:p w14:paraId="19BA4AAB" w14:textId="77777777" w:rsidR="00FB1120" w:rsidRPr="009E7EA6" w:rsidRDefault="00FB1120" w:rsidP="009E7EA6">
            <w:pPr>
              <w:jc w:val="center"/>
              <w:rPr>
                <w:rFonts w:ascii="Times New Roman" w:eastAsia="Calibri" w:hAnsi="Times New Roman" w:cs="Times New Roman"/>
                <w:sz w:val="18"/>
                <w:szCs w:val="18"/>
              </w:rPr>
            </w:pPr>
          </w:p>
          <w:p w14:paraId="1E6CB089" w14:textId="77777777" w:rsidR="00FB1120" w:rsidRPr="009E7EA6" w:rsidRDefault="00FB1120" w:rsidP="009E7EA6">
            <w:pPr>
              <w:jc w:val="center"/>
              <w:rPr>
                <w:rFonts w:ascii="Times New Roman" w:eastAsia="Calibri" w:hAnsi="Times New Roman" w:cs="Times New Roman"/>
                <w:sz w:val="18"/>
                <w:szCs w:val="18"/>
              </w:rPr>
            </w:pPr>
          </w:p>
          <w:p w14:paraId="58336A68" w14:textId="77777777" w:rsidR="00FB1120" w:rsidRPr="009E7EA6" w:rsidRDefault="00FB1120" w:rsidP="009E7EA6">
            <w:pPr>
              <w:jc w:val="center"/>
              <w:rPr>
                <w:rFonts w:ascii="Times New Roman" w:eastAsia="Calibri" w:hAnsi="Times New Roman" w:cs="Times New Roman"/>
                <w:sz w:val="18"/>
                <w:szCs w:val="18"/>
              </w:rPr>
            </w:pPr>
          </w:p>
          <w:p w14:paraId="7CF1601F" w14:textId="77777777" w:rsidR="00FB1120" w:rsidRPr="009E7EA6" w:rsidRDefault="00FB1120" w:rsidP="009E7EA6">
            <w:pPr>
              <w:jc w:val="center"/>
              <w:rPr>
                <w:rFonts w:ascii="Times New Roman" w:eastAsia="Calibri" w:hAnsi="Times New Roman" w:cs="Times New Roman"/>
                <w:sz w:val="18"/>
                <w:szCs w:val="18"/>
              </w:rPr>
            </w:pPr>
          </w:p>
          <w:p w14:paraId="7D920ABA" w14:textId="77777777" w:rsidR="00FB1120" w:rsidRPr="009E7EA6" w:rsidRDefault="00FB1120" w:rsidP="009E7EA6">
            <w:pPr>
              <w:jc w:val="center"/>
              <w:rPr>
                <w:rFonts w:ascii="Times New Roman" w:eastAsia="Calibri" w:hAnsi="Times New Roman" w:cs="Times New Roman"/>
                <w:sz w:val="18"/>
                <w:szCs w:val="18"/>
              </w:rPr>
            </w:pPr>
          </w:p>
          <w:p w14:paraId="6ACFE7BD" w14:textId="77777777" w:rsidR="00FB1120" w:rsidRPr="009E7EA6" w:rsidRDefault="00FB1120" w:rsidP="009E7EA6">
            <w:pPr>
              <w:jc w:val="center"/>
              <w:rPr>
                <w:rFonts w:ascii="Times New Roman" w:eastAsia="Calibri" w:hAnsi="Times New Roman" w:cs="Times New Roman"/>
                <w:sz w:val="18"/>
                <w:szCs w:val="18"/>
              </w:rPr>
            </w:pPr>
          </w:p>
          <w:p w14:paraId="284A3BD0" w14:textId="77777777" w:rsidR="00FB1120" w:rsidRPr="009E7EA6" w:rsidRDefault="00FB1120" w:rsidP="009E7EA6">
            <w:pPr>
              <w:rPr>
                <w:rFonts w:ascii="Times New Roman" w:eastAsia="Calibri" w:hAnsi="Times New Roman" w:cs="Times New Roman"/>
                <w:sz w:val="18"/>
                <w:szCs w:val="18"/>
              </w:rPr>
            </w:pPr>
          </w:p>
          <w:p w14:paraId="7581BE2D" w14:textId="77777777" w:rsidR="00FB1120" w:rsidRPr="009E7EA6" w:rsidRDefault="00FB1120" w:rsidP="009E7EA6">
            <w:pPr>
              <w:jc w:val="center"/>
              <w:rPr>
                <w:rFonts w:ascii="Times New Roman" w:eastAsia="Calibri" w:hAnsi="Times New Roman" w:cs="Times New Roman"/>
                <w:sz w:val="18"/>
                <w:szCs w:val="18"/>
              </w:rPr>
            </w:pPr>
          </w:p>
          <w:p w14:paraId="2CA9325A" w14:textId="77777777" w:rsidR="00FB1120" w:rsidRPr="009E7EA6" w:rsidRDefault="00FB1120" w:rsidP="009E7EA6">
            <w:pPr>
              <w:jc w:val="center"/>
              <w:rPr>
                <w:rFonts w:ascii="Times New Roman" w:eastAsia="Calibri" w:hAnsi="Times New Roman" w:cs="Times New Roman"/>
                <w:sz w:val="18"/>
                <w:szCs w:val="18"/>
              </w:rPr>
            </w:pPr>
          </w:p>
          <w:p w14:paraId="230E1267" w14:textId="77777777" w:rsidR="00FB1120" w:rsidRPr="009E7EA6" w:rsidRDefault="00FB1120" w:rsidP="009E7EA6">
            <w:pPr>
              <w:jc w:val="center"/>
              <w:rPr>
                <w:rFonts w:ascii="Times New Roman" w:eastAsia="Calibri" w:hAnsi="Times New Roman" w:cs="Times New Roman"/>
                <w:sz w:val="18"/>
                <w:szCs w:val="18"/>
              </w:rPr>
            </w:pPr>
          </w:p>
          <w:p w14:paraId="7CF12F02" w14:textId="77777777" w:rsidR="00FB1120" w:rsidRPr="009E7EA6" w:rsidRDefault="00FB1120" w:rsidP="009E7EA6">
            <w:pPr>
              <w:jc w:val="center"/>
              <w:rPr>
                <w:rFonts w:ascii="Times New Roman" w:eastAsia="Calibri" w:hAnsi="Times New Roman" w:cs="Times New Roman"/>
                <w:sz w:val="18"/>
                <w:szCs w:val="18"/>
              </w:rPr>
            </w:pPr>
          </w:p>
          <w:p w14:paraId="23C26F2C" w14:textId="77777777" w:rsidR="00FB1120" w:rsidRPr="009E7EA6" w:rsidRDefault="00FB1120" w:rsidP="009E7EA6">
            <w:pPr>
              <w:jc w:val="center"/>
              <w:rPr>
                <w:rFonts w:ascii="Times New Roman" w:eastAsia="Calibri" w:hAnsi="Times New Roman" w:cs="Times New Roman"/>
                <w:sz w:val="18"/>
                <w:szCs w:val="18"/>
              </w:rPr>
            </w:pPr>
          </w:p>
          <w:p w14:paraId="43C14E48" w14:textId="77777777" w:rsidR="00FB1120" w:rsidRPr="009E7EA6" w:rsidRDefault="00FB1120" w:rsidP="009E7EA6">
            <w:pPr>
              <w:jc w:val="center"/>
              <w:rPr>
                <w:rFonts w:ascii="Times New Roman" w:eastAsia="Calibri" w:hAnsi="Times New Roman" w:cs="Times New Roman"/>
                <w:sz w:val="18"/>
                <w:szCs w:val="18"/>
              </w:rPr>
            </w:pPr>
          </w:p>
          <w:p w14:paraId="11D8ABFB" w14:textId="77777777" w:rsidR="00FB1120" w:rsidRPr="009E7EA6" w:rsidRDefault="00FB1120" w:rsidP="009E7EA6">
            <w:pPr>
              <w:jc w:val="center"/>
              <w:rPr>
                <w:rFonts w:ascii="Times New Roman" w:eastAsia="Calibri" w:hAnsi="Times New Roman" w:cs="Times New Roman"/>
                <w:sz w:val="18"/>
                <w:szCs w:val="18"/>
              </w:rPr>
            </w:pPr>
          </w:p>
          <w:p w14:paraId="52B16073" w14:textId="77777777" w:rsidR="00DE043C" w:rsidRDefault="00FB1120" w:rsidP="009E7EA6">
            <w:pPr>
              <w:jc w:val="center"/>
              <w:rPr>
                <w:rFonts w:ascii="Times New Roman" w:hAnsi="Times New Roman" w:cs="Times New Roman"/>
                <w:sz w:val="18"/>
                <w:szCs w:val="18"/>
              </w:rPr>
            </w:pPr>
            <w:r w:rsidRPr="009E7EA6">
              <w:rPr>
                <w:rFonts w:ascii="Times New Roman" w:eastAsia="Calibri" w:hAnsi="Times New Roman" w:cs="Times New Roman"/>
                <w:sz w:val="18"/>
                <w:szCs w:val="18"/>
              </w:rPr>
              <w:t>F</w:t>
            </w:r>
            <w:r w:rsidR="00F364F1" w:rsidRPr="009E7EA6">
              <w:rPr>
                <w:rFonts w:ascii="Times New Roman" w:hAnsi="Times New Roman" w:cs="Times New Roman"/>
                <w:sz w:val="18"/>
                <w:szCs w:val="18"/>
              </w:rPr>
              <w:t xml:space="preserve"> </w:t>
            </w:r>
          </w:p>
          <w:p w14:paraId="6BE7707E" w14:textId="77777777" w:rsidR="00DE043C" w:rsidRDefault="00DE043C" w:rsidP="009E7EA6">
            <w:pPr>
              <w:jc w:val="center"/>
              <w:rPr>
                <w:rFonts w:ascii="Times New Roman" w:hAnsi="Times New Roman" w:cs="Times New Roman"/>
                <w:sz w:val="18"/>
                <w:szCs w:val="18"/>
              </w:rPr>
            </w:pPr>
          </w:p>
          <w:p w14:paraId="17CA02B8" w14:textId="79CDEC19" w:rsidR="00FB1120" w:rsidRPr="009E7EA6" w:rsidRDefault="00F364F1" w:rsidP="009E7EA6">
            <w:pPr>
              <w:jc w:val="center"/>
              <w:rPr>
                <w:rFonts w:ascii="Times New Roman" w:eastAsia="Calibri" w:hAnsi="Times New Roman" w:cs="Times New Roman"/>
                <w:sz w:val="18"/>
                <w:szCs w:val="18"/>
              </w:rPr>
            </w:pPr>
            <w:r w:rsidRPr="009E7EA6">
              <w:rPr>
                <w:rFonts w:ascii="Times New Roman" w:hAnsi="Times New Roman" w:cs="Times New Roman"/>
                <w:sz w:val="18"/>
                <w:szCs w:val="18"/>
              </w:rPr>
              <w:t>Article 19 is in compliance with Council Directive (EU) 2025/872 of 14 April 2025 amending Directive 2011/16/EU on administrative cooperation in the field of taxation and domestic legal practices.</w:t>
            </w:r>
          </w:p>
        </w:tc>
        <w:tc>
          <w:tcPr>
            <w:tcW w:w="2960" w:type="dxa"/>
          </w:tcPr>
          <w:p w14:paraId="62277331" w14:textId="25163563" w:rsidR="00526C4D" w:rsidRPr="009E7EA6" w:rsidRDefault="00526C4D" w:rsidP="009E7EA6">
            <w:pPr>
              <w:rPr>
                <w:rFonts w:ascii="Times New Roman" w:eastAsia="Calibri" w:hAnsi="Times New Roman" w:cs="Times New Roman"/>
                <w:sz w:val="18"/>
                <w:szCs w:val="18"/>
              </w:rPr>
            </w:pPr>
            <w:r w:rsidRPr="009E7EA6">
              <w:rPr>
                <w:rFonts w:ascii="Times New Roman" w:eastAsia="Calibri" w:hAnsi="Times New Roman" w:cs="Times New Roman"/>
                <w:sz w:val="18"/>
                <w:szCs w:val="18"/>
              </w:rPr>
              <w:lastRenderedPageBreak/>
              <w:t>.</w:t>
            </w:r>
          </w:p>
        </w:tc>
      </w:tr>
      <w:tr w:rsidR="00367004" w:rsidRPr="009E7EA6" w14:paraId="66A5DA41" w14:textId="77777777" w:rsidTr="009E7EA6">
        <w:trPr>
          <w:trHeight w:val="1538"/>
        </w:trPr>
        <w:tc>
          <w:tcPr>
            <w:tcW w:w="805" w:type="dxa"/>
          </w:tcPr>
          <w:p w14:paraId="71D66C61" w14:textId="77777777" w:rsidR="00367004" w:rsidRPr="009E7EA6" w:rsidRDefault="00367004" w:rsidP="009E7EA6">
            <w:pPr>
              <w:jc w:val="both"/>
              <w:rPr>
                <w:rFonts w:ascii="Times New Roman" w:eastAsia="Calibri" w:hAnsi="Times New Roman" w:cs="Times New Roman"/>
                <w:sz w:val="18"/>
                <w:szCs w:val="18"/>
              </w:rPr>
            </w:pPr>
          </w:p>
        </w:tc>
        <w:tc>
          <w:tcPr>
            <w:tcW w:w="5140" w:type="dxa"/>
          </w:tcPr>
          <w:p w14:paraId="1647CBBC" w14:textId="77777777" w:rsidR="00367004" w:rsidRPr="009E7EA6" w:rsidRDefault="00367004" w:rsidP="009E7EA6">
            <w:pPr>
              <w:jc w:val="center"/>
              <w:rPr>
                <w:rFonts w:ascii="Times New Roman" w:eastAsia="Calibri" w:hAnsi="Times New Roman" w:cs="Times New Roman"/>
                <w:b/>
                <w:iCs/>
                <w:sz w:val="18"/>
                <w:szCs w:val="18"/>
              </w:rPr>
            </w:pPr>
            <w:r w:rsidRPr="009E7EA6">
              <w:rPr>
                <w:rFonts w:ascii="Times New Roman" w:eastAsia="Calibri" w:hAnsi="Times New Roman" w:cs="Times New Roman"/>
                <w:b/>
                <w:iCs/>
                <w:sz w:val="18"/>
                <w:szCs w:val="18"/>
              </w:rPr>
              <w:t>Article 3</w:t>
            </w:r>
          </w:p>
          <w:p w14:paraId="5B5FB8D9" w14:textId="77777777" w:rsidR="00367004" w:rsidRPr="009E7EA6" w:rsidRDefault="00367004" w:rsidP="009E7EA6">
            <w:pPr>
              <w:rPr>
                <w:rFonts w:ascii="Times New Roman" w:eastAsia="Calibri" w:hAnsi="Times New Roman" w:cs="Times New Roman"/>
                <w:iCs/>
                <w:sz w:val="18"/>
                <w:szCs w:val="18"/>
              </w:rPr>
            </w:pPr>
          </w:p>
          <w:p w14:paraId="0243369A" w14:textId="77777777" w:rsidR="00367004" w:rsidRPr="009E7EA6" w:rsidRDefault="00367004"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This Directive shall enter into force on the day following that of its publication in the Official Journal of the European Union.</w:t>
            </w:r>
          </w:p>
          <w:p w14:paraId="4A08C285" w14:textId="77777777" w:rsidR="00367004" w:rsidRPr="009E7EA6" w:rsidRDefault="00367004" w:rsidP="009E7EA6">
            <w:pPr>
              <w:rPr>
                <w:rFonts w:ascii="Times New Roman" w:eastAsia="Calibri" w:hAnsi="Times New Roman" w:cs="Times New Roman"/>
                <w:b/>
                <w:iCs/>
                <w:sz w:val="18"/>
                <w:szCs w:val="18"/>
              </w:rPr>
            </w:pPr>
          </w:p>
        </w:tc>
        <w:tc>
          <w:tcPr>
            <w:tcW w:w="1070" w:type="dxa"/>
          </w:tcPr>
          <w:p w14:paraId="4D1B36C4" w14:textId="77777777" w:rsidR="00367004" w:rsidRPr="009E7EA6" w:rsidRDefault="00367004" w:rsidP="009E7EA6">
            <w:pPr>
              <w:jc w:val="center"/>
              <w:rPr>
                <w:rFonts w:ascii="Times New Roman" w:eastAsia="Calibri" w:hAnsi="Times New Roman" w:cs="Times New Roman"/>
                <w:sz w:val="18"/>
                <w:szCs w:val="18"/>
              </w:rPr>
            </w:pPr>
          </w:p>
        </w:tc>
        <w:tc>
          <w:tcPr>
            <w:tcW w:w="720" w:type="dxa"/>
          </w:tcPr>
          <w:p w14:paraId="2810DDDD" w14:textId="77777777" w:rsidR="00367004" w:rsidRPr="009E7EA6" w:rsidRDefault="00367004" w:rsidP="009E7EA6">
            <w:pPr>
              <w:jc w:val="center"/>
              <w:rPr>
                <w:rFonts w:ascii="Times New Roman" w:eastAsia="Calibri" w:hAnsi="Times New Roman" w:cs="Times New Roman"/>
                <w:sz w:val="18"/>
                <w:szCs w:val="18"/>
                <w:highlight w:val="yellow"/>
              </w:rPr>
            </w:pPr>
          </w:p>
        </w:tc>
        <w:tc>
          <w:tcPr>
            <w:tcW w:w="4344" w:type="dxa"/>
          </w:tcPr>
          <w:p w14:paraId="2A1C26E7" w14:textId="77777777" w:rsidR="00367004" w:rsidRPr="009E7EA6" w:rsidRDefault="00367004" w:rsidP="009E7EA6">
            <w:pPr>
              <w:jc w:val="center"/>
              <w:rPr>
                <w:rFonts w:ascii="Times New Roman" w:hAnsi="Times New Roman" w:cs="Times New Roman"/>
                <w:b/>
                <w:sz w:val="18"/>
                <w:szCs w:val="18"/>
              </w:rPr>
            </w:pPr>
          </w:p>
        </w:tc>
        <w:tc>
          <w:tcPr>
            <w:tcW w:w="1156" w:type="dxa"/>
          </w:tcPr>
          <w:p w14:paraId="150D2790" w14:textId="77777777" w:rsidR="00367004" w:rsidRPr="009E7EA6" w:rsidRDefault="00367004" w:rsidP="009E7EA6">
            <w:pPr>
              <w:jc w:val="center"/>
              <w:rPr>
                <w:rFonts w:ascii="Times New Roman" w:eastAsia="Calibri" w:hAnsi="Times New Roman" w:cs="Times New Roman"/>
                <w:sz w:val="18"/>
                <w:szCs w:val="18"/>
              </w:rPr>
            </w:pPr>
          </w:p>
        </w:tc>
        <w:tc>
          <w:tcPr>
            <w:tcW w:w="2960" w:type="dxa"/>
          </w:tcPr>
          <w:p w14:paraId="34B38945" w14:textId="77777777" w:rsidR="00367004" w:rsidRPr="009E7EA6" w:rsidRDefault="00367004" w:rsidP="009E7EA6">
            <w:pPr>
              <w:rPr>
                <w:rFonts w:ascii="Times New Roman" w:eastAsia="Calibri" w:hAnsi="Times New Roman" w:cs="Times New Roman"/>
                <w:sz w:val="18"/>
                <w:szCs w:val="18"/>
              </w:rPr>
            </w:pPr>
          </w:p>
        </w:tc>
      </w:tr>
      <w:tr w:rsidR="00FB1120" w:rsidRPr="009E7EA6" w14:paraId="5B377569" w14:textId="77777777" w:rsidTr="009E7EA6">
        <w:trPr>
          <w:trHeight w:val="1484"/>
        </w:trPr>
        <w:tc>
          <w:tcPr>
            <w:tcW w:w="805" w:type="dxa"/>
          </w:tcPr>
          <w:p w14:paraId="316BEC04" w14:textId="77777777" w:rsidR="00FB1120" w:rsidRPr="009E7EA6" w:rsidRDefault="00FB1120" w:rsidP="009E7EA6">
            <w:pPr>
              <w:jc w:val="both"/>
              <w:rPr>
                <w:rFonts w:ascii="Times New Roman" w:eastAsia="Calibri" w:hAnsi="Times New Roman" w:cs="Times New Roman"/>
                <w:sz w:val="18"/>
                <w:szCs w:val="18"/>
              </w:rPr>
            </w:pPr>
          </w:p>
        </w:tc>
        <w:tc>
          <w:tcPr>
            <w:tcW w:w="5140" w:type="dxa"/>
          </w:tcPr>
          <w:p w14:paraId="748E3046" w14:textId="54B6CDBA" w:rsidR="00FB1120" w:rsidRPr="009E7EA6" w:rsidRDefault="00FB1120" w:rsidP="009E7EA6">
            <w:pPr>
              <w:jc w:val="both"/>
              <w:rPr>
                <w:rFonts w:ascii="Times New Roman" w:eastAsia="Calibri" w:hAnsi="Times New Roman" w:cs="Times New Roman"/>
                <w:b/>
                <w:iCs/>
                <w:sz w:val="18"/>
                <w:szCs w:val="18"/>
              </w:rPr>
            </w:pPr>
          </w:p>
          <w:p w14:paraId="4FF2AA74" w14:textId="77777777" w:rsidR="00FB1120" w:rsidRPr="009E7EA6" w:rsidRDefault="00FB1120" w:rsidP="009E7EA6">
            <w:pPr>
              <w:jc w:val="center"/>
              <w:rPr>
                <w:rFonts w:ascii="Times New Roman" w:eastAsia="Calibri" w:hAnsi="Times New Roman" w:cs="Times New Roman"/>
                <w:b/>
                <w:iCs/>
                <w:sz w:val="18"/>
                <w:szCs w:val="18"/>
              </w:rPr>
            </w:pPr>
            <w:r w:rsidRPr="009E7EA6">
              <w:rPr>
                <w:rFonts w:ascii="Times New Roman" w:eastAsia="Calibri" w:hAnsi="Times New Roman" w:cs="Times New Roman"/>
                <w:b/>
                <w:iCs/>
                <w:sz w:val="18"/>
                <w:szCs w:val="18"/>
              </w:rPr>
              <w:t>Article 4</w:t>
            </w:r>
          </w:p>
          <w:p w14:paraId="2B820CF8" w14:textId="77777777" w:rsidR="00FB1120" w:rsidRPr="009E7EA6" w:rsidRDefault="00FB1120" w:rsidP="009E7EA6">
            <w:pPr>
              <w:jc w:val="both"/>
              <w:rPr>
                <w:rFonts w:ascii="Times New Roman" w:eastAsia="Calibri" w:hAnsi="Times New Roman" w:cs="Times New Roman"/>
                <w:b/>
                <w:iCs/>
                <w:sz w:val="18"/>
                <w:szCs w:val="18"/>
              </w:rPr>
            </w:pPr>
          </w:p>
          <w:p w14:paraId="03FF40BA" w14:textId="37383DFE" w:rsidR="00FB1120" w:rsidRPr="009E7EA6" w:rsidRDefault="00FB1120"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This Directive is addressed to the Member States.</w:t>
            </w:r>
          </w:p>
          <w:p w14:paraId="514AA76E" w14:textId="38061661" w:rsidR="00FB1120" w:rsidRPr="009E7EA6" w:rsidRDefault="00FB1120" w:rsidP="009E7EA6">
            <w:pPr>
              <w:jc w:val="both"/>
              <w:rPr>
                <w:rFonts w:ascii="Times New Roman" w:eastAsia="Calibri" w:hAnsi="Times New Roman" w:cs="Times New Roman"/>
                <w:iCs/>
                <w:sz w:val="18"/>
                <w:szCs w:val="18"/>
              </w:rPr>
            </w:pPr>
          </w:p>
          <w:p w14:paraId="144A1F56" w14:textId="19D296E9" w:rsidR="00FB1120" w:rsidRPr="009E7EA6" w:rsidRDefault="00FB1120" w:rsidP="009E7EA6">
            <w:pPr>
              <w:jc w:val="both"/>
              <w:rPr>
                <w:rFonts w:ascii="Times New Roman" w:eastAsia="Calibri" w:hAnsi="Times New Roman" w:cs="Times New Roman"/>
                <w:iCs/>
                <w:sz w:val="18"/>
                <w:szCs w:val="18"/>
              </w:rPr>
            </w:pPr>
          </w:p>
        </w:tc>
        <w:tc>
          <w:tcPr>
            <w:tcW w:w="1070" w:type="dxa"/>
          </w:tcPr>
          <w:p w14:paraId="7AA0DD76" w14:textId="77777777" w:rsidR="00FB1120" w:rsidRPr="009E7EA6" w:rsidRDefault="00FB1120" w:rsidP="009E7EA6">
            <w:pPr>
              <w:jc w:val="center"/>
              <w:rPr>
                <w:rFonts w:ascii="Times New Roman" w:eastAsia="Calibri" w:hAnsi="Times New Roman" w:cs="Times New Roman"/>
                <w:sz w:val="18"/>
                <w:szCs w:val="18"/>
                <w:highlight w:val="cyan"/>
              </w:rPr>
            </w:pPr>
          </w:p>
        </w:tc>
        <w:tc>
          <w:tcPr>
            <w:tcW w:w="720" w:type="dxa"/>
          </w:tcPr>
          <w:p w14:paraId="5B97B87E" w14:textId="77777777" w:rsidR="00FB1120" w:rsidRPr="009E7EA6" w:rsidRDefault="00FB1120" w:rsidP="009E7EA6">
            <w:pPr>
              <w:jc w:val="center"/>
              <w:rPr>
                <w:rFonts w:ascii="Times New Roman" w:eastAsia="Calibri" w:hAnsi="Times New Roman" w:cs="Times New Roman"/>
                <w:sz w:val="18"/>
                <w:szCs w:val="18"/>
              </w:rPr>
            </w:pPr>
          </w:p>
          <w:p w14:paraId="085CF30E" w14:textId="5B2D75CE" w:rsidR="00FB1120" w:rsidRPr="009E7EA6" w:rsidRDefault="00FB1120" w:rsidP="009E7EA6">
            <w:pPr>
              <w:jc w:val="center"/>
              <w:rPr>
                <w:rFonts w:ascii="Times New Roman" w:eastAsia="Calibri" w:hAnsi="Times New Roman" w:cs="Times New Roman"/>
                <w:sz w:val="18"/>
                <w:szCs w:val="18"/>
                <w:highlight w:val="cyan"/>
              </w:rPr>
            </w:pPr>
          </w:p>
        </w:tc>
        <w:tc>
          <w:tcPr>
            <w:tcW w:w="4344" w:type="dxa"/>
          </w:tcPr>
          <w:p w14:paraId="4EB58CAD" w14:textId="77777777" w:rsidR="00FB1120" w:rsidRPr="009E7EA6" w:rsidRDefault="00FB1120" w:rsidP="009E7EA6">
            <w:pPr>
              <w:jc w:val="center"/>
              <w:rPr>
                <w:rFonts w:ascii="Times New Roman" w:hAnsi="Times New Roman" w:cs="Times New Roman"/>
                <w:sz w:val="18"/>
                <w:szCs w:val="18"/>
              </w:rPr>
            </w:pPr>
          </w:p>
          <w:p w14:paraId="70E504E0" w14:textId="1FB09656" w:rsidR="00FB1120" w:rsidRPr="009E7EA6" w:rsidRDefault="00FB1120" w:rsidP="009E7EA6">
            <w:pPr>
              <w:spacing w:line="276" w:lineRule="auto"/>
              <w:jc w:val="both"/>
              <w:rPr>
                <w:rFonts w:ascii="Times New Roman" w:hAnsi="Times New Roman" w:cs="Times New Roman"/>
                <w:sz w:val="18"/>
                <w:szCs w:val="18"/>
              </w:rPr>
            </w:pPr>
          </w:p>
        </w:tc>
        <w:tc>
          <w:tcPr>
            <w:tcW w:w="1156" w:type="dxa"/>
          </w:tcPr>
          <w:p w14:paraId="62D23EA5" w14:textId="77777777" w:rsidR="00FB1120" w:rsidRPr="009E7EA6" w:rsidRDefault="00FB1120" w:rsidP="009E7EA6">
            <w:pPr>
              <w:jc w:val="center"/>
              <w:rPr>
                <w:rFonts w:ascii="Times New Roman" w:eastAsia="Calibri" w:hAnsi="Times New Roman" w:cs="Times New Roman"/>
                <w:sz w:val="18"/>
                <w:szCs w:val="18"/>
              </w:rPr>
            </w:pPr>
          </w:p>
          <w:p w14:paraId="1CF8E656" w14:textId="546ABC53" w:rsidR="00FB1120" w:rsidRPr="009E7EA6" w:rsidRDefault="00FB1120"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 xml:space="preserve"> </w:t>
            </w:r>
          </w:p>
        </w:tc>
        <w:tc>
          <w:tcPr>
            <w:tcW w:w="2960" w:type="dxa"/>
          </w:tcPr>
          <w:p w14:paraId="5B465FA1" w14:textId="77777777" w:rsidR="00FB1120" w:rsidRPr="009E7EA6" w:rsidRDefault="00FB1120" w:rsidP="009E7EA6">
            <w:pPr>
              <w:rPr>
                <w:rFonts w:ascii="Times New Roman" w:eastAsia="Calibri" w:hAnsi="Times New Roman" w:cs="Times New Roman"/>
                <w:sz w:val="18"/>
                <w:szCs w:val="18"/>
              </w:rPr>
            </w:pPr>
          </w:p>
          <w:p w14:paraId="13A92685" w14:textId="11F65F09" w:rsidR="00FB1120" w:rsidRPr="009E7EA6" w:rsidRDefault="00FB1120" w:rsidP="009E7EA6">
            <w:pPr>
              <w:rPr>
                <w:rFonts w:ascii="Times New Roman" w:eastAsia="Calibri" w:hAnsi="Times New Roman" w:cs="Times New Roman"/>
                <w:sz w:val="18"/>
                <w:szCs w:val="18"/>
              </w:rPr>
            </w:pPr>
          </w:p>
        </w:tc>
      </w:tr>
      <w:tr w:rsidR="00FB1120" w:rsidRPr="009E7EA6" w14:paraId="59D7550E" w14:textId="77777777" w:rsidTr="009E7EA6">
        <w:trPr>
          <w:trHeight w:val="1349"/>
        </w:trPr>
        <w:tc>
          <w:tcPr>
            <w:tcW w:w="805" w:type="dxa"/>
          </w:tcPr>
          <w:p w14:paraId="5B91E6AC" w14:textId="77777777" w:rsidR="00FB1120" w:rsidRPr="009E7EA6" w:rsidRDefault="00FB1120" w:rsidP="009E7EA6">
            <w:pPr>
              <w:jc w:val="both"/>
              <w:rPr>
                <w:rFonts w:ascii="Times New Roman" w:eastAsia="Calibri" w:hAnsi="Times New Roman" w:cs="Times New Roman"/>
                <w:sz w:val="18"/>
                <w:szCs w:val="18"/>
              </w:rPr>
            </w:pPr>
          </w:p>
        </w:tc>
        <w:tc>
          <w:tcPr>
            <w:tcW w:w="5140" w:type="dxa"/>
          </w:tcPr>
          <w:p w14:paraId="00A4796A" w14:textId="77777777" w:rsidR="00FB1120" w:rsidRPr="009E7EA6" w:rsidRDefault="00FB1120" w:rsidP="009E7EA6">
            <w:pPr>
              <w:jc w:val="center"/>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‘ANNEX VII</w:t>
            </w:r>
          </w:p>
          <w:p w14:paraId="40D2903B" w14:textId="77777777" w:rsidR="00FB1120" w:rsidRPr="009E7EA6" w:rsidRDefault="00FB1120" w:rsidP="009E7EA6">
            <w:pPr>
              <w:rPr>
                <w:rFonts w:ascii="Times New Roman" w:eastAsia="Calibri" w:hAnsi="Times New Roman" w:cs="Times New Roman"/>
                <w:iCs/>
                <w:sz w:val="18"/>
                <w:szCs w:val="18"/>
              </w:rPr>
            </w:pPr>
          </w:p>
          <w:p w14:paraId="68F3EE2A" w14:textId="77777777" w:rsidR="00FB1120" w:rsidRPr="009E7EA6" w:rsidRDefault="00FB1120" w:rsidP="009E7EA6">
            <w:pPr>
              <w:rPr>
                <w:rFonts w:ascii="Times New Roman" w:eastAsia="Calibri" w:hAnsi="Times New Roman" w:cs="Times New Roman"/>
                <w:b/>
                <w:iCs/>
                <w:sz w:val="18"/>
                <w:szCs w:val="18"/>
              </w:rPr>
            </w:pPr>
            <w:r w:rsidRPr="009E7EA6">
              <w:rPr>
                <w:rFonts w:ascii="Times New Roman" w:eastAsia="Calibri" w:hAnsi="Times New Roman" w:cs="Times New Roman"/>
                <w:b/>
                <w:iCs/>
                <w:sz w:val="18"/>
                <w:szCs w:val="18"/>
              </w:rPr>
              <w:t>Filing rules and standard template for Top-up tax information return</w:t>
            </w:r>
          </w:p>
          <w:p w14:paraId="7104B88A" w14:textId="77777777" w:rsidR="00FB1120" w:rsidRPr="009E7EA6" w:rsidRDefault="00FB1120" w:rsidP="009E7EA6">
            <w:pPr>
              <w:rPr>
                <w:rFonts w:ascii="Times New Roman" w:eastAsia="Calibri" w:hAnsi="Times New Roman" w:cs="Times New Roman"/>
                <w:b/>
                <w:iCs/>
                <w:sz w:val="18"/>
                <w:szCs w:val="18"/>
              </w:rPr>
            </w:pPr>
          </w:p>
          <w:p w14:paraId="5D288CED" w14:textId="77777777" w:rsidR="00FB1120" w:rsidRPr="009E7EA6" w:rsidRDefault="00FB1120" w:rsidP="009E7EA6">
            <w:pPr>
              <w:rPr>
                <w:rFonts w:ascii="Times New Roman" w:eastAsia="Calibri" w:hAnsi="Times New Roman" w:cs="Times New Roman"/>
                <w:b/>
                <w:iCs/>
                <w:sz w:val="18"/>
                <w:szCs w:val="18"/>
              </w:rPr>
            </w:pPr>
            <w:r w:rsidRPr="009E7EA6">
              <w:rPr>
                <w:rFonts w:ascii="Times New Roman" w:eastAsia="Calibri" w:hAnsi="Times New Roman" w:cs="Times New Roman"/>
                <w:b/>
                <w:iCs/>
                <w:sz w:val="18"/>
                <w:szCs w:val="18"/>
              </w:rPr>
              <w:t>SECTION I</w:t>
            </w:r>
          </w:p>
          <w:p w14:paraId="77B3579B" w14:textId="77777777" w:rsidR="00FB1120" w:rsidRPr="009E7EA6" w:rsidRDefault="00FB1120" w:rsidP="009E7EA6">
            <w:pPr>
              <w:rPr>
                <w:rFonts w:ascii="Times New Roman" w:eastAsia="Calibri" w:hAnsi="Times New Roman" w:cs="Times New Roman"/>
                <w:b/>
                <w:iCs/>
                <w:sz w:val="18"/>
                <w:szCs w:val="18"/>
              </w:rPr>
            </w:pPr>
          </w:p>
          <w:p w14:paraId="3634CAA6" w14:textId="77777777" w:rsidR="00FB1120" w:rsidRPr="009E7EA6" w:rsidRDefault="00FB1120" w:rsidP="009E7EA6">
            <w:pPr>
              <w:rPr>
                <w:rFonts w:ascii="Times New Roman" w:eastAsia="Calibri" w:hAnsi="Times New Roman" w:cs="Times New Roman"/>
                <w:b/>
                <w:iCs/>
                <w:sz w:val="18"/>
                <w:szCs w:val="18"/>
              </w:rPr>
            </w:pPr>
            <w:r w:rsidRPr="009E7EA6">
              <w:rPr>
                <w:rFonts w:ascii="Times New Roman" w:eastAsia="Calibri" w:hAnsi="Times New Roman" w:cs="Times New Roman"/>
                <w:b/>
                <w:iCs/>
                <w:sz w:val="18"/>
                <w:szCs w:val="18"/>
              </w:rPr>
              <w:t>DEFINITIONS</w:t>
            </w:r>
          </w:p>
          <w:p w14:paraId="224F072A" w14:textId="77777777" w:rsidR="00FB1120" w:rsidRPr="009E7EA6" w:rsidRDefault="00FB1120" w:rsidP="009E7EA6">
            <w:pPr>
              <w:rPr>
                <w:rFonts w:ascii="Times New Roman" w:eastAsia="Calibri" w:hAnsi="Times New Roman" w:cs="Times New Roman"/>
                <w:iCs/>
                <w:sz w:val="18"/>
                <w:szCs w:val="18"/>
              </w:rPr>
            </w:pPr>
          </w:p>
          <w:p w14:paraId="4CD2AD53" w14:textId="77777777" w:rsidR="00FB1120" w:rsidRPr="009E7EA6" w:rsidRDefault="00FB1120" w:rsidP="009E7EA6">
            <w:pPr>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For the purposes of this Annex, the following definitions apply:</w:t>
            </w:r>
          </w:p>
          <w:p w14:paraId="4950258A" w14:textId="77777777" w:rsidR="00FB1120" w:rsidRPr="009E7EA6" w:rsidRDefault="00FB1120" w:rsidP="009E7EA6">
            <w:pPr>
              <w:rPr>
                <w:rFonts w:ascii="Times New Roman" w:eastAsia="Calibri" w:hAnsi="Times New Roman" w:cs="Times New Roman"/>
                <w:iCs/>
                <w:sz w:val="18"/>
                <w:szCs w:val="18"/>
              </w:rPr>
            </w:pPr>
          </w:p>
          <w:p w14:paraId="48F1AC9C" w14:textId="405FB229" w:rsidR="00FB1120" w:rsidRPr="009E7EA6" w:rsidRDefault="00FB1120" w:rsidP="009E7EA6">
            <w:pPr>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(1) “Implementing Member State” means a Member State that has implemented either a qualified income inclusion rule (IIR) or a qualified undertaxed profit rule (UTPR), as defined in Article 3, points (18) and (43), respectively, of Directive (EU) 2022/2523, or both, for the given Reporting fiscal year;</w:t>
            </w:r>
          </w:p>
          <w:p w14:paraId="7A77C4F8" w14:textId="77777777" w:rsidR="00FB1120" w:rsidRPr="009E7EA6" w:rsidRDefault="00FB1120" w:rsidP="009E7EA6">
            <w:pPr>
              <w:rPr>
                <w:rFonts w:ascii="Times New Roman" w:eastAsia="Calibri" w:hAnsi="Times New Roman" w:cs="Times New Roman"/>
                <w:iCs/>
                <w:sz w:val="18"/>
                <w:szCs w:val="18"/>
              </w:rPr>
            </w:pPr>
          </w:p>
          <w:p w14:paraId="0DE7CCC2" w14:textId="0F3D0D6F" w:rsidR="00FB1120" w:rsidRPr="009E7EA6" w:rsidRDefault="00FB1120" w:rsidP="009E7EA6">
            <w:pPr>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(2)“Qualified domestic top-up tax (QDTT)-only Member State” means a Member State that has only implemented a qualified domestic top-up tax, as defined in Article 3, point (28), of Directive (EU) 2022/2523 for the given Reporting fiscal year;</w:t>
            </w:r>
          </w:p>
          <w:p w14:paraId="10A6E16E" w14:textId="77777777" w:rsidR="00FB1120" w:rsidRPr="009E7EA6" w:rsidRDefault="00FB1120" w:rsidP="009E7EA6">
            <w:pPr>
              <w:rPr>
                <w:rFonts w:ascii="Times New Roman" w:eastAsia="Calibri" w:hAnsi="Times New Roman" w:cs="Times New Roman"/>
                <w:iCs/>
                <w:sz w:val="18"/>
                <w:szCs w:val="18"/>
              </w:rPr>
            </w:pPr>
          </w:p>
          <w:p w14:paraId="479BCF22" w14:textId="590CE766" w:rsidR="00FB1120" w:rsidRPr="009E7EA6" w:rsidRDefault="00FB1120" w:rsidP="009E7EA6">
            <w:pPr>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(3)“Top-up tax information return” means the information return filed by an ultimate parent entity, designated filing entity, designated local entity or constituent entity for which a standard template is set out in Section IV of this Annex;</w:t>
            </w:r>
          </w:p>
          <w:p w14:paraId="3F663334" w14:textId="77777777" w:rsidR="00FB1120" w:rsidRPr="009E7EA6" w:rsidRDefault="00FB1120" w:rsidP="009E7EA6">
            <w:pPr>
              <w:rPr>
                <w:rFonts w:ascii="Times New Roman" w:eastAsia="Calibri" w:hAnsi="Times New Roman" w:cs="Times New Roman"/>
                <w:iCs/>
                <w:sz w:val="18"/>
                <w:szCs w:val="18"/>
              </w:rPr>
            </w:pPr>
          </w:p>
          <w:p w14:paraId="29CCB4B5" w14:textId="6C13A811" w:rsidR="00FB1120" w:rsidRPr="009E7EA6" w:rsidRDefault="00FB1120" w:rsidP="009E7EA6">
            <w:pPr>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(4)“General section” means the section of the Top-up tax information return that contains general information on the MNE group as a whole, including its corporate structure and a high-level summary of the application of Directive (EU) 2022/2523, such section being consistent with Section 1 of the standard template for the Top-up tax information return;</w:t>
            </w:r>
          </w:p>
          <w:p w14:paraId="2D3D3EE0" w14:textId="77777777" w:rsidR="00FB1120" w:rsidRPr="009E7EA6" w:rsidRDefault="00FB1120" w:rsidP="009E7EA6">
            <w:pPr>
              <w:rPr>
                <w:rFonts w:ascii="Times New Roman" w:eastAsia="Calibri" w:hAnsi="Times New Roman" w:cs="Times New Roman"/>
                <w:iCs/>
                <w:sz w:val="18"/>
                <w:szCs w:val="18"/>
              </w:rPr>
            </w:pPr>
          </w:p>
          <w:p w14:paraId="617CF280" w14:textId="423DD20F" w:rsidR="00FB1120" w:rsidRPr="009E7EA6" w:rsidRDefault="00FB1120" w:rsidP="009E7EA6">
            <w:pPr>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(5)“Jurisdictional sections” means the sections of the Top-up tax information return that contain information on the detailed application of the qualified IIR, qualified UTPR and qualified domestic top-up tax in respect of each jurisdiction where the MNE group is operating, such sections being consistent with Sections 2 and 3 of the standard template for the Top-up tax information return;</w:t>
            </w:r>
          </w:p>
          <w:p w14:paraId="11701316" w14:textId="77777777" w:rsidR="00FB1120" w:rsidRPr="009E7EA6" w:rsidRDefault="00FB1120" w:rsidP="009E7EA6">
            <w:pPr>
              <w:rPr>
                <w:rFonts w:ascii="Times New Roman" w:eastAsia="Calibri" w:hAnsi="Times New Roman" w:cs="Times New Roman"/>
                <w:iCs/>
                <w:sz w:val="18"/>
                <w:szCs w:val="18"/>
              </w:rPr>
            </w:pPr>
          </w:p>
          <w:p w14:paraId="074B3957" w14:textId="65549DF3" w:rsidR="00FB1120" w:rsidRPr="009E7EA6" w:rsidRDefault="00FB1120" w:rsidP="009E7EA6">
            <w:pPr>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(6)“Reporting fiscal year” means the fiscal year to which the Top-up tax information return relates.</w:t>
            </w:r>
          </w:p>
        </w:tc>
        <w:tc>
          <w:tcPr>
            <w:tcW w:w="1070" w:type="dxa"/>
          </w:tcPr>
          <w:p w14:paraId="6BE384D0" w14:textId="77777777" w:rsidR="00FB1120" w:rsidRPr="009E7EA6" w:rsidRDefault="00FB1120" w:rsidP="009E7EA6">
            <w:pPr>
              <w:jc w:val="center"/>
              <w:rPr>
                <w:rFonts w:ascii="Times New Roman" w:eastAsia="Calibri" w:hAnsi="Times New Roman" w:cs="Times New Roman"/>
                <w:sz w:val="18"/>
                <w:szCs w:val="18"/>
                <w:highlight w:val="cyan"/>
              </w:rPr>
            </w:pPr>
          </w:p>
        </w:tc>
        <w:tc>
          <w:tcPr>
            <w:tcW w:w="720" w:type="dxa"/>
          </w:tcPr>
          <w:p w14:paraId="33FC7151" w14:textId="77777777" w:rsidR="00FB1120" w:rsidRPr="009E7EA6" w:rsidRDefault="00FB1120" w:rsidP="009E7EA6">
            <w:pPr>
              <w:jc w:val="center"/>
              <w:rPr>
                <w:rFonts w:ascii="Times New Roman" w:eastAsia="Calibri" w:hAnsi="Times New Roman" w:cs="Times New Roman"/>
                <w:sz w:val="18"/>
                <w:szCs w:val="18"/>
                <w:highlight w:val="cyan"/>
              </w:rPr>
            </w:pPr>
          </w:p>
          <w:p w14:paraId="7693EF36" w14:textId="77777777" w:rsidR="00FB1120" w:rsidRPr="009E7EA6" w:rsidRDefault="00FB1120" w:rsidP="009E7EA6">
            <w:pPr>
              <w:jc w:val="center"/>
              <w:rPr>
                <w:rFonts w:ascii="Times New Roman" w:eastAsia="Calibri" w:hAnsi="Times New Roman" w:cs="Times New Roman"/>
                <w:sz w:val="18"/>
                <w:szCs w:val="18"/>
                <w:highlight w:val="cyan"/>
              </w:rPr>
            </w:pPr>
          </w:p>
          <w:p w14:paraId="126B00F9" w14:textId="19DFE136" w:rsidR="00FB1120" w:rsidRPr="009E7EA6" w:rsidRDefault="00FB1120" w:rsidP="009E7EA6">
            <w:pPr>
              <w:jc w:val="center"/>
              <w:rPr>
                <w:rFonts w:ascii="Times New Roman" w:eastAsia="Calibri" w:hAnsi="Times New Roman" w:cs="Times New Roman"/>
                <w:sz w:val="18"/>
                <w:szCs w:val="18"/>
                <w:highlight w:val="cyan"/>
              </w:rPr>
            </w:pPr>
          </w:p>
        </w:tc>
        <w:tc>
          <w:tcPr>
            <w:tcW w:w="4344" w:type="dxa"/>
          </w:tcPr>
          <w:p w14:paraId="244CF310" w14:textId="77777777" w:rsidR="00FB1120" w:rsidRPr="009E7EA6" w:rsidRDefault="00FB1120" w:rsidP="009E7EA6">
            <w:pPr>
              <w:jc w:val="center"/>
              <w:rPr>
                <w:rFonts w:ascii="Times New Roman" w:hAnsi="Times New Roman" w:cs="Times New Roman"/>
                <w:sz w:val="18"/>
                <w:szCs w:val="18"/>
              </w:rPr>
            </w:pPr>
          </w:p>
          <w:p w14:paraId="04512880" w14:textId="77B82F8C" w:rsidR="00FB1120" w:rsidRPr="009E7EA6" w:rsidRDefault="004152C7" w:rsidP="009E7EA6">
            <w:pPr>
              <w:spacing w:line="276" w:lineRule="auto"/>
              <w:jc w:val="center"/>
              <w:rPr>
                <w:rFonts w:ascii="Times New Roman" w:hAnsi="Times New Roman" w:cs="Times New Roman"/>
                <w:b/>
                <w:bCs/>
                <w:sz w:val="18"/>
                <w:szCs w:val="18"/>
              </w:rPr>
            </w:pPr>
            <w:r w:rsidRPr="009E7EA6">
              <w:rPr>
                <w:rFonts w:ascii="Times New Roman" w:hAnsi="Times New Roman" w:cs="Times New Roman"/>
                <w:b/>
                <w:bCs/>
                <w:sz w:val="18"/>
                <w:szCs w:val="18"/>
              </w:rPr>
              <w:t>Article 4</w:t>
            </w:r>
          </w:p>
          <w:p w14:paraId="0A196EAC" w14:textId="11D02390" w:rsidR="004152C7" w:rsidRPr="009E7EA6" w:rsidRDefault="004152C7" w:rsidP="009E7EA6">
            <w:pPr>
              <w:spacing w:line="276" w:lineRule="auto"/>
              <w:jc w:val="center"/>
              <w:rPr>
                <w:rFonts w:ascii="Times New Roman" w:hAnsi="Times New Roman" w:cs="Times New Roman"/>
                <w:b/>
                <w:bCs/>
                <w:sz w:val="18"/>
                <w:szCs w:val="18"/>
              </w:rPr>
            </w:pPr>
            <w:r w:rsidRPr="009E7EA6">
              <w:rPr>
                <w:rFonts w:ascii="Times New Roman" w:hAnsi="Times New Roman" w:cs="Times New Roman"/>
                <w:b/>
                <w:bCs/>
                <w:sz w:val="18"/>
                <w:szCs w:val="18"/>
              </w:rPr>
              <w:t>Definitions</w:t>
            </w:r>
          </w:p>
          <w:p w14:paraId="388B6AA7" w14:textId="77777777" w:rsidR="00FB1120" w:rsidRPr="009E7EA6" w:rsidRDefault="00FB1120" w:rsidP="009E7EA6">
            <w:pPr>
              <w:spacing w:line="276" w:lineRule="auto"/>
              <w:jc w:val="both"/>
              <w:rPr>
                <w:rFonts w:ascii="Times New Roman" w:hAnsi="Times New Roman" w:cs="Times New Roman"/>
                <w:sz w:val="18"/>
                <w:szCs w:val="18"/>
              </w:rPr>
            </w:pPr>
          </w:p>
          <w:p w14:paraId="209DD5E5" w14:textId="77777777" w:rsidR="00FB1120" w:rsidRPr="009E7EA6" w:rsidRDefault="00FB1120" w:rsidP="009E7EA6">
            <w:pPr>
              <w:spacing w:line="276" w:lineRule="auto"/>
              <w:rPr>
                <w:rFonts w:ascii="Times New Roman" w:hAnsi="Times New Roman" w:cs="Times New Roman"/>
                <w:sz w:val="18"/>
                <w:szCs w:val="18"/>
              </w:rPr>
            </w:pPr>
            <w:r w:rsidRPr="009E7EA6">
              <w:rPr>
                <w:rFonts w:ascii="Times New Roman" w:hAnsi="Times New Roman" w:cs="Times New Roman"/>
                <w:sz w:val="18"/>
                <w:szCs w:val="18"/>
              </w:rPr>
              <w:t xml:space="preserve">10. “Implementing Member State” means a Member State that, for the relevant reporting fiscal year, has </w:t>
            </w:r>
            <w:r w:rsidRPr="009E7EA6">
              <w:rPr>
                <w:rFonts w:ascii="Times New Roman" w:hAnsi="Times New Roman" w:cs="Times New Roman"/>
                <w:sz w:val="18"/>
                <w:szCs w:val="18"/>
              </w:rPr>
              <w:lastRenderedPageBreak/>
              <w:t>implemented the Income Inclusion Rule (IIR), the Undertaxed Profits Rule (UTPR), or both.</w:t>
            </w:r>
          </w:p>
          <w:p w14:paraId="05C902B9" w14:textId="77777777" w:rsidR="00FB1120" w:rsidRPr="009E7EA6" w:rsidRDefault="00FB1120" w:rsidP="009E7EA6">
            <w:pPr>
              <w:spacing w:line="276" w:lineRule="auto"/>
              <w:rPr>
                <w:rFonts w:ascii="Times New Roman" w:hAnsi="Times New Roman" w:cs="Times New Roman"/>
                <w:sz w:val="18"/>
                <w:szCs w:val="18"/>
              </w:rPr>
            </w:pPr>
          </w:p>
          <w:p w14:paraId="6A2A8239" w14:textId="77777777" w:rsidR="00FB1120" w:rsidRPr="009E7EA6" w:rsidRDefault="00FB1120" w:rsidP="009E7EA6">
            <w:pPr>
              <w:spacing w:line="276" w:lineRule="auto"/>
              <w:rPr>
                <w:rFonts w:ascii="Times New Roman" w:hAnsi="Times New Roman" w:cs="Times New Roman"/>
                <w:sz w:val="18"/>
                <w:szCs w:val="18"/>
              </w:rPr>
            </w:pPr>
          </w:p>
          <w:p w14:paraId="1C5813C8" w14:textId="77777777" w:rsidR="00FB1120" w:rsidRPr="009E7EA6" w:rsidRDefault="00FB1120" w:rsidP="009E7EA6">
            <w:pPr>
              <w:spacing w:line="276" w:lineRule="auto"/>
              <w:jc w:val="both"/>
              <w:rPr>
                <w:rFonts w:ascii="Times New Roman" w:hAnsi="Times New Roman" w:cs="Times New Roman"/>
                <w:sz w:val="18"/>
                <w:szCs w:val="18"/>
              </w:rPr>
            </w:pPr>
            <w:r w:rsidRPr="009E7EA6">
              <w:rPr>
                <w:rFonts w:ascii="Times New Roman" w:hAnsi="Times New Roman" w:cs="Times New Roman"/>
                <w:sz w:val="18"/>
                <w:szCs w:val="18"/>
              </w:rPr>
              <w:t xml:space="preserve">9. “QDMTT-only Member State” means a Member State that, for the relevant reporting fiscal year, has applied only the Qualified Domestic Top-Up Tax (QDMTT). </w:t>
            </w:r>
          </w:p>
          <w:p w14:paraId="448A428A" w14:textId="77777777" w:rsidR="00FB1120" w:rsidRPr="009E7EA6" w:rsidRDefault="00FB1120" w:rsidP="009E7EA6">
            <w:pPr>
              <w:spacing w:line="276" w:lineRule="auto"/>
              <w:jc w:val="both"/>
              <w:rPr>
                <w:rFonts w:ascii="Times New Roman" w:hAnsi="Times New Roman" w:cs="Times New Roman"/>
                <w:sz w:val="18"/>
                <w:szCs w:val="18"/>
              </w:rPr>
            </w:pPr>
          </w:p>
          <w:p w14:paraId="204D1959" w14:textId="5D4104A4" w:rsidR="00FB1120" w:rsidRPr="009E7EA6" w:rsidRDefault="00FB1120" w:rsidP="009E7EA6">
            <w:pPr>
              <w:jc w:val="both"/>
              <w:rPr>
                <w:rFonts w:ascii="Times New Roman" w:hAnsi="Times New Roman" w:cs="Times New Roman"/>
                <w:sz w:val="18"/>
                <w:szCs w:val="18"/>
              </w:rPr>
            </w:pPr>
            <w:r w:rsidRPr="009E7EA6">
              <w:rPr>
                <w:rFonts w:ascii="Times New Roman" w:hAnsi="Times New Roman" w:cs="Times New Roman"/>
                <w:sz w:val="18"/>
                <w:szCs w:val="18"/>
              </w:rPr>
              <w:t>1. “Top-up Tax Information Return (TTIR)” means the Top-up Tax information return for the filed according to the standard model designated for this purpose by the Ultimate Parent Entity, the Designated Filing Entity, the Local Designated Entity or, as the case may be, by a Constituent Entity, in accordance with this law and the Law on the Global Minimum Tax.</w:t>
            </w:r>
          </w:p>
          <w:p w14:paraId="7A7EE8AC" w14:textId="77777777" w:rsidR="00FB1120" w:rsidRPr="009E7EA6" w:rsidRDefault="00FB1120" w:rsidP="009E7EA6">
            <w:pPr>
              <w:rPr>
                <w:rFonts w:ascii="Times New Roman" w:hAnsi="Times New Roman" w:cs="Times New Roman"/>
                <w:sz w:val="18"/>
                <w:szCs w:val="18"/>
              </w:rPr>
            </w:pPr>
          </w:p>
          <w:p w14:paraId="61403072" w14:textId="27C000C3" w:rsidR="00FB1120" w:rsidRPr="009E7EA6" w:rsidRDefault="00FB1120" w:rsidP="009E7EA6">
            <w:pPr>
              <w:spacing w:line="276" w:lineRule="auto"/>
              <w:rPr>
                <w:rFonts w:ascii="Times New Roman" w:hAnsi="Times New Roman" w:cs="Times New Roman"/>
                <w:sz w:val="18"/>
                <w:szCs w:val="18"/>
              </w:rPr>
            </w:pPr>
            <w:r w:rsidRPr="009E7EA6">
              <w:rPr>
                <w:rFonts w:ascii="Times New Roman" w:hAnsi="Times New Roman" w:cs="Times New Roman"/>
                <w:sz w:val="18"/>
                <w:szCs w:val="18"/>
              </w:rPr>
              <w:t>4. “General Section” means the part of the TTIR that contains general information for the group as a whole, including its corporate structure and an overall summary of the application of the minimum effective taxation rules.</w:t>
            </w:r>
          </w:p>
          <w:p w14:paraId="0BE9F144" w14:textId="28D96890" w:rsidR="00FB1120" w:rsidRPr="009E7EA6" w:rsidRDefault="00FB1120" w:rsidP="009E7EA6">
            <w:pPr>
              <w:spacing w:line="276" w:lineRule="auto"/>
              <w:rPr>
                <w:rFonts w:ascii="Times New Roman" w:hAnsi="Times New Roman" w:cs="Times New Roman"/>
                <w:sz w:val="18"/>
                <w:szCs w:val="18"/>
              </w:rPr>
            </w:pPr>
          </w:p>
          <w:p w14:paraId="378D3242" w14:textId="04B08C35" w:rsidR="00FB1120" w:rsidRPr="009E7EA6" w:rsidRDefault="00FB1120" w:rsidP="009E7EA6">
            <w:pPr>
              <w:spacing w:line="276" w:lineRule="auto"/>
              <w:rPr>
                <w:rFonts w:ascii="Times New Roman" w:hAnsi="Times New Roman" w:cs="Times New Roman"/>
                <w:sz w:val="18"/>
                <w:szCs w:val="18"/>
              </w:rPr>
            </w:pPr>
            <w:r w:rsidRPr="009E7EA6">
              <w:rPr>
                <w:rFonts w:ascii="Times New Roman" w:hAnsi="Times New Roman" w:cs="Times New Roman"/>
                <w:sz w:val="18"/>
                <w:szCs w:val="18"/>
              </w:rPr>
              <w:t>5. “Jurisdictional Sections” are the parts of the TTIR that contain detailed information on the application of the Income Inclusion Rule (IIR), the Undertaxed Profits Rule (UTPR) and the Qualified Domestic Minimum Top-up Tax (QDMTT) for each jurisdiction in which the group operates.</w:t>
            </w:r>
          </w:p>
          <w:p w14:paraId="783CF024" w14:textId="77777777" w:rsidR="00FB1120" w:rsidRPr="009E7EA6" w:rsidRDefault="00FB1120" w:rsidP="009E7EA6">
            <w:pPr>
              <w:spacing w:line="276" w:lineRule="auto"/>
              <w:rPr>
                <w:rFonts w:ascii="Times New Roman" w:hAnsi="Times New Roman" w:cs="Times New Roman"/>
                <w:sz w:val="18"/>
                <w:szCs w:val="18"/>
              </w:rPr>
            </w:pPr>
          </w:p>
          <w:p w14:paraId="2E110908" w14:textId="54D58731" w:rsidR="00FB1120" w:rsidRPr="009E7EA6" w:rsidRDefault="00FB1120" w:rsidP="009E7EA6">
            <w:pPr>
              <w:spacing w:line="276" w:lineRule="auto"/>
              <w:rPr>
                <w:rFonts w:ascii="Times New Roman" w:hAnsi="Times New Roman" w:cs="Times New Roman"/>
                <w:sz w:val="18"/>
                <w:szCs w:val="18"/>
              </w:rPr>
            </w:pPr>
            <w:r w:rsidRPr="009E7EA6">
              <w:rPr>
                <w:rFonts w:ascii="Times New Roman" w:hAnsi="Times New Roman" w:cs="Times New Roman"/>
                <w:sz w:val="18"/>
                <w:szCs w:val="18"/>
              </w:rPr>
              <w:t>6. “Reporting fiscal year” means the fiscal year to which the TTIR relates.</w:t>
            </w:r>
          </w:p>
        </w:tc>
        <w:tc>
          <w:tcPr>
            <w:tcW w:w="1156" w:type="dxa"/>
          </w:tcPr>
          <w:p w14:paraId="5E9430B3" w14:textId="4E4545AD" w:rsidR="00FB1120" w:rsidRPr="009E7EA6" w:rsidRDefault="00D85216" w:rsidP="009E7EA6">
            <w:pPr>
              <w:rPr>
                <w:rFonts w:ascii="Times New Roman" w:eastAsia="Calibri" w:hAnsi="Times New Roman" w:cs="Times New Roman"/>
                <w:sz w:val="18"/>
                <w:szCs w:val="18"/>
              </w:rPr>
            </w:pPr>
            <w:r w:rsidRPr="009E7EA6">
              <w:rPr>
                <w:rFonts w:ascii="Times New Roman" w:eastAsia="Calibri" w:hAnsi="Times New Roman" w:cs="Times New Roman"/>
                <w:sz w:val="18"/>
                <w:szCs w:val="18"/>
              </w:rPr>
              <w:lastRenderedPageBreak/>
              <w:t>F</w:t>
            </w:r>
          </w:p>
        </w:tc>
        <w:tc>
          <w:tcPr>
            <w:tcW w:w="2960" w:type="dxa"/>
          </w:tcPr>
          <w:p w14:paraId="761D3717" w14:textId="68D9D251" w:rsidR="00FB1120" w:rsidRPr="009E7EA6" w:rsidRDefault="00FB1120" w:rsidP="009E7EA6">
            <w:pPr>
              <w:jc w:val="both"/>
              <w:rPr>
                <w:rFonts w:ascii="Times New Roman" w:eastAsia="Calibri" w:hAnsi="Times New Roman" w:cs="Times New Roman"/>
                <w:sz w:val="18"/>
                <w:szCs w:val="18"/>
              </w:rPr>
            </w:pPr>
            <w:r w:rsidRPr="009E7EA6">
              <w:rPr>
                <w:rFonts w:ascii="Times New Roman" w:eastAsia="Calibri" w:hAnsi="Times New Roman" w:cs="Times New Roman"/>
                <w:sz w:val="18"/>
                <w:szCs w:val="18"/>
              </w:rPr>
              <w:t>.</w:t>
            </w:r>
          </w:p>
        </w:tc>
      </w:tr>
      <w:tr w:rsidR="00FB1120" w:rsidRPr="009E7EA6" w14:paraId="17E5AF2A" w14:textId="77777777" w:rsidTr="009E7EA6">
        <w:trPr>
          <w:trHeight w:val="2204"/>
        </w:trPr>
        <w:tc>
          <w:tcPr>
            <w:tcW w:w="805" w:type="dxa"/>
          </w:tcPr>
          <w:p w14:paraId="25097CAA" w14:textId="77777777" w:rsidR="00FB1120" w:rsidRPr="009E7EA6" w:rsidRDefault="00FB1120" w:rsidP="009E7EA6">
            <w:pPr>
              <w:jc w:val="both"/>
              <w:rPr>
                <w:rFonts w:ascii="Times New Roman" w:eastAsia="Calibri" w:hAnsi="Times New Roman" w:cs="Times New Roman"/>
                <w:sz w:val="18"/>
                <w:szCs w:val="18"/>
              </w:rPr>
            </w:pPr>
          </w:p>
        </w:tc>
        <w:tc>
          <w:tcPr>
            <w:tcW w:w="5140" w:type="dxa"/>
          </w:tcPr>
          <w:p w14:paraId="08C8778C" w14:textId="77777777" w:rsidR="00FB1120" w:rsidRPr="009E7EA6" w:rsidRDefault="00FB1120" w:rsidP="009E7EA6">
            <w:pPr>
              <w:jc w:val="both"/>
              <w:rPr>
                <w:rFonts w:ascii="Times New Roman" w:eastAsia="Calibri" w:hAnsi="Times New Roman" w:cs="Times New Roman"/>
                <w:iCs/>
                <w:sz w:val="18"/>
                <w:szCs w:val="18"/>
              </w:rPr>
            </w:pPr>
          </w:p>
          <w:p w14:paraId="0D80769A" w14:textId="77777777" w:rsidR="00FB1120" w:rsidRPr="009E7EA6" w:rsidRDefault="00FB1120"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SECTION II</w:t>
            </w:r>
          </w:p>
          <w:p w14:paraId="1452B203" w14:textId="77777777" w:rsidR="00FB1120" w:rsidRPr="009E7EA6" w:rsidRDefault="00FB1120" w:rsidP="009E7EA6">
            <w:pPr>
              <w:jc w:val="both"/>
              <w:rPr>
                <w:rFonts w:ascii="Times New Roman" w:eastAsia="Calibri" w:hAnsi="Times New Roman" w:cs="Times New Roman"/>
                <w:iCs/>
                <w:sz w:val="18"/>
                <w:szCs w:val="18"/>
              </w:rPr>
            </w:pPr>
          </w:p>
          <w:p w14:paraId="4383DC2E" w14:textId="77777777" w:rsidR="00FB1120" w:rsidRPr="009E7EA6" w:rsidRDefault="00FB1120"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FILING REQUIREMENTS</w:t>
            </w:r>
          </w:p>
          <w:p w14:paraId="34A2A84E" w14:textId="77777777" w:rsidR="00FB1120" w:rsidRPr="009E7EA6" w:rsidRDefault="00FB1120" w:rsidP="009E7EA6">
            <w:pPr>
              <w:jc w:val="both"/>
              <w:rPr>
                <w:rFonts w:ascii="Times New Roman" w:eastAsia="Calibri" w:hAnsi="Times New Roman" w:cs="Times New Roman"/>
                <w:iCs/>
                <w:sz w:val="18"/>
                <w:szCs w:val="18"/>
              </w:rPr>
            </w:pPr>
          </w:p>
          <w:p w14:paraId="780054BB" w14:textId="5F1F78C6" w:rsidR="00FB1120" w:rsidRPr="009E7EA6" w:rsidRDefault="00FB1120"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The constituent entity filing the Top-up tax information return shall identify the relevant sections and the relevant Member States that the information shall be distributed to pursuant to the dissemination approach set out in Article 8ae.</w:t>
            </w:r>
          </w:p>
        </w:tc>
        <w:tc>
          <w:tcPr>
            <w:tcW w:w="1070" w:type="dxa"/>
          </w:tcPr>
          <w:p w14:paraId="3FBF7502" w14:textId="77777777" w:rsidR="00FB1120" w:rsidRPr="009E7EA6" w:rsidRDefault="00FB1120" w:rsidP="009E7EA6">
            <w:pPr>
              <w:jc w:val="center"/>
              <w:rPr>
                <w:rFonts w:ascii="Times New Roman" w:eastAsia="Calibri" w:hAnsi="Times New Roman" w:cs="Times New Roman"/>
                <w:sz w:val="18"/>
                <w:szCs w:val="18"/>
                <w:highlight w:val="cyan"/>
              </w:rPr>
            </w:pPr>
          </w:p>
        </w:tc>
        <w:tc>
          <w:tcPr>
            <w:tcW w:w="720" w:type="dxa"/>
          </w:tcPr>
          <w:p w14:paraId="2EF896EF" w14:textId="60F938C7" w:rsidR="00FB1120" w:rsidRPr="009E7EA6" w:rsidRDefault="00FB1120" w:rsidP="009E7EA6">
            <w:pPr>
              <w:jc w:val="center"/>
              <w:rPr>
                <w:rFonts w:ascii="Times New Roman" w:eastAsia="Calibri" w:hAnsi="Times New Roman" w:cs="Times New Roman"/>
                <w:sz w:val="18"/>
                <w:szCs w:val="18"/>
              </w:rPr>
            </w:pPr>
          </w:p>
        </w:tc>
        <w:tc>
          <w:tcPr>
            <w:tcW w:w="4344" w:type="dxa"/>
          </w:tcPr>
          <w:p w14:paraId="54EC0CD8" w14:textId="77777777" w:rsidR="00FB1120" w:rsidRPr="009E7EA6" w:rsidRDefault="00FB1120" w:rsidP="009E7EA6">
            <w:pPr>
              <w:jc w:val="center"/>
              <w:rPr>
                <w:rFonts w:ascii="Times New Roman" w:hAnsi="Times New Roman" w:cs="Times New Roman"/>
                <w:b/>
                <w:sz w:val="18"/>
                <w:szCs w:val="18"/>
              </w:rPr>
            </w:pPr>
            <w:r w:rsidRPr="009E7EA6">
              <w:rPr>
                <w:rFonts w:ascii="Times New Roman" w:hAnsi="Times New Roman" w:cs="Times New Roman"/>
                <w:b/>
                <w:sz w:val="18"/>
                <w:szCs w:val="18"/>
              </w:rPr>
              <w:t>Article 11</w:t>
            </w:r>
          </w:p>
          <w:p w14:paraId="7EB58D09" w14:textId="575B76B9" w:rsidR="00FB1120" w:rsidRPr="009E7EA6" w:rsidRDefault="00FB1120" w:rsidP="00DE043C">
            <w:pPr>
              <w:jc w:val="center"/>
              <w:rPr>
                <w:rFonts w:ascii="Times New Roman" w:hAnsi="Times New Roman" w:cs="Times New Roman"/>
                <w:b/>
                <w:sz w:val="18"/>
                <w:szCs w:val="18"/>
              </w:rPr>
            </w:pPr>
            <w:r w:rsidRPr="009E7EA6">
              <w:rPr>
                <w:rFonts w:ascii="Times New Roman" w:hAnsi="Times New Roman" w:cs="Times New Roman"/>
                <w:b/>
                <w:sz w:val="18"/>
                <w:szCs w:val="18"/>
              </w:rPr>
              <w:t xml:space="preserve">TTIR Dissemination </w:t>
            </w:r>
            <w:r w:rsidR="00454A50" w:rsidRPr="009E7EA6">
              <w:rPr>
                <w:rFonts w:ascii="Times New Roman" w:hAnsi="Times New Roman" w:cs="Times New Roman"/>
                <w:b/>
                <w:sz w:val="18"/>
                <w:szCs w:val="18"/>
              </w:rPr>
              <w:t>Rules</w:t>
            </w:r>
          </w:p>
          <w:p w14:paraId="15F098EB" w14:textId="77777777" w:rsidR="00FB1120" w:rsidRPr="009E7EA6" w:rsidRDefault="00FB1120" w:rsidP="009E7EA6">
            <w:pPr>
              <w:jc w:val="both"/>
              <w:rPr>
                <w:rFonts w:ascii="Times New Roman" w:hAnsi="Times New Roman" w:cs="Times New Roman"/>
                <w:sz w:val="18"/>
                <w:szCs w:val="18"/>
              </w:rPr>
            </w:pPr>
          </w:p>
          <w:p w14:paraId="4A273295" w14:textId="77777777" w:rsidR="00FB1120" w:rsidRPr="009E7EA6" w:rsidRDefault="00FB1120" w:rsidP="009E7EA6">
            <w:pPr>
              <w:jc w:val="both"/>
              <w:rPr>
                <w:rFonts w:ascii="Times New Roman" w:hAnsi="Times New Roman" w:cs="Times New Roman"/>
                <w:sz w:val="18"/>
                <w:szCs w:val="18"/>
              </w:rPr>
            </w:pPr>
            <w:r w:rsidRPr="009E7EA6">
              <w:rPr>
                <w:rFonts w:ascii="Times New Roman" w:hAnsi="Times New Roman" w:cs="Times New Roman"/>
                <w:sz w:val="18"/>
                <w:szCs w:val="18"/>
              </w:rPr>
              <w:t>1.</w:t>
            </w:r>
            <w:r w:rsidRPr="009E7EA6">
              <w:rPr>
                <w:rFonts w:ascii="Times New Roman" w:hAnsi="Times New Roman" w:cs="Times New Roman"/>
                <w:sz w:val="18"/>
                <w:szCs w:val="18"/>
              </w:rPr>
              <w:tab/>
              <w:t>Where the General Directorate of Taxation receives a TTIR filed by the Ultimate Parent Entity or by the Designated Filing Entity, it shall communicate, through the automatic exchange of information, the General Section of the TTIR to the Implementing Member States in which the Ultimate Parent Entity or the Constituent Entities of the group are located.</w:t>
            </w:r>
          </w:p>
          <w:p w14:paraId="5CCC5558" w14:textId="77777777" w:rsidR="00FB1120" w:rsidRPr="009E7EA6" w:rsidRDefault="00FB1120" w:rsidP="009E7EA6">
            <w:pPr>
              <w:jc w:val="both"/>
              <w:rPr>
                <w:rFonts w:ascii="Times New Roman" w:hAnsi="Times New Roman" w:cs="Times New Roman"/>
                <w:sz w:val="18"/>
                <w:szCs w:val="18"/>
              </w:rPr>
            </w:pPr>
            <w:r w:rsidRPr="009E7EA6">
              <w:rPr>
                <w:rFonts w:ascii="Times New Roman" w:hAnsi="Times New Roman" w:cs="Times New Roman"/>
                <w:sz w:val="18"/>
                <w:szCs w:val="18"/>
              </w:rPr>
              <w:t>2.</w:t>
            </w:r>
            <w:r w:rsidRPr="009E7EA6">
              <w:rPr>
                <w:rFonts w:ascii="Times New Roman" w:hAnsi="Times New Roman" w:cs="Times New Roman"/>
                <w:sz w:val="18"/>
                <w:szCs w:val="18"/>
              </w:rPr>
              <w:tab/>
              <w:t>The General Directorate of Taxation shall communicate the General Section of the TTIR, excluding the high-level summary information contained in the standard template, to Member States that apply only the Qualified Domestic Top-up Tax (QDMTT).</w:t>
            </w:r>
          </w:p>
          <w:p w14:paraId="25F2FB4B" w14:textId="77777777" w:rsidR="00FB1120" w:rsidRPr="009E7EA6" w:rsidRDefault="00FB1120" w:rsidP="009E7EA6">
            <w:pPr>
              <w:jc w:val="both"/>
              <w:rPr>
                <w:rFonts w:ascii="Times New Roman" w:hAnsi="Times New Roman" w:cs="Times New Roman"/>
                <w:sz w:val="18"/>
                <w:szCs w:val="18"/>
              </w:rPr>
            </w:pPr>
            <w:r w:rsidRPr="009E7EA6">
              <w:rPr>
                <w:rFonts w:ascii="Times New Roman" w:hAnsi="Times New Roman" w:cs="Times New Roman"/>
                <w:sz w:val="18"/>
                <w:szCs w:val="18"/>
              </w:rPr>
              <w:t>3.</w:t>
            </w:r>
            <w:r w:rsidRPr="009E7EA6">
              <w:rPr>
                <w:rFonts w:ascii="Times New Roman" w:hAnsi="Times New Roman" w:cs="Times New Roman"/>
                <w:sz w:val="18"/>
                <w:szCs w:val="18"/>
              </w:rPr>
              <w:tab/>
              <w:t>The General Directorate of Taxation shall communicate one or more Jurisdictional Sections to Member States that have taxing rights, including rights relating to the Qualified Domestic Top-up Tax (QDMTT), with respect to the relevant jurisdictions.</w:t>
            </w:r>
          </w:p>
          <w:p w14:paraId="759F3C6B" w14:textId="77777777" w:rsidR="00FB1120" w:rsidRPr="009E7EA6" w:rsidRDefault="00FB1120" w:rsidP="009E7EA6">
            <w:pPr>
              <w:jc w:val="both"/>
              <w:rPr>
                <w:rFonts w:ascii="Times New Roman" w:hAnsi="Times New Roman" w:cs="Times New Roman"/>
                <w:sz w:val="18"/>
                <w:szCs w:val="18"/>
              </w:rPr>
            </w:pPr>
            <w:r w:rsidRPr="009E7EA6">
              <w:rPr>
                <w:rFonts w:ascii="Times New Roman" w:hAnsi="Times New Roman" w:cs="Times New Roman"/>
                <w:sz w:val="18"/>
                <w:szCs w:val="18"/>
              </w:rPr>
              <w:t>4.</w:t>
            </w:r>
            <w:r w:rsidRPr="009E7EA6">
              <w:rPr>
                <w:rFonts w:ascii="Times New Roman" w:hAnsi="Times New Roman" w:cs="Times New Roman"/>
                <w:sz w:val="18"/>
                <w:szCs w:val="18"/>
              </w:rPr>
              <w:tab/>
              <w:t>Jurisdictions applying the Undertaxed Profits Rule (UTPR) at a zero percentage shall receive only the portion of the TTIR containing information relating to the allocation of top-up tax under the UTPR rules for that jurisdiction.</w:t>
            </w:r>
          </w:p>
          <w:p w14:paraId="11C31410" w14:textId="441D6957" w:rsidR="00FB1120" w:rsidRPr="009E7EA6" w:rsidRDefault="00FB1120" w:rsidP="009E7EA6">
            <w:pPr>
              <w:spacing w:before="100" w:beforeAutospacing="1" w:after="100" w:afterAutospacing="1" w:line="276" w:lineRule="auto"/>
              <w:jc w:val="both"/>
              <w:rPr>
                <w:rFonts w:ascii="Times New Roman" w:hAnsi="Times New Roman" w:cs="Times New Roman"/>
                <w:sz w:val="18"/>
                <w:szCs w:val="18"/>
              </w:rPr>
            </w:pPr>
            <w:r w:rsidRPr="009E7EA6">
              <w:rPr>
                <w:rFonts w:ascii="Times New Roman" w:hAnsi="Times New Roman" w:cs="Times New Roman"/>
                <w:sz w:val="18"/>
                <w:szCs w:val="18"/>
              </w:rPr>
              <w:t>5.</w:t>
            </w:r>
            <w:r w:rsidRPr="009E7EA6">
              <w:rPr>
                <w:rFonts w:ascii="Times New Roman" w:hAnsi="Times New Roman" w:cs="Times New Roman"/>
                <w:sz w:val="18"/>
                <w:szCs w:val="18"/>
              </w:rPr>
              <w:tab/>
              <w:t>The Decision of the Council of Ministers</w:t>
            </w:r>
            <w:r w:rsidR="00454A50" w:rsidRPr="009E7EA6">
              <w:rPr>
                <w:rFonts w:ascii="Times New Roman" w:hAnsi="Times New Roman" w:cs="Times New Roman"/>
                <w:sz w:val="18"/>
                <w:szCs w:val="18"/>
              </w:rPr>
              <w:t>, issued pursuant to this law,</w:t>
            </w:r>
            <w:r w:rsidRPr="009E7EA6">
              <w:rPr>
                <w:rFonts w:ascii="Times New Roman" w:hAnsi="Times New Roman" w:cs="Times New Roman"/>
                <w:sz w:val="18"/>
                <w:szCs w:val="18"/>
              </w:rPr>
              <w:t xml:space="preserve"> shall lay down in detail the national dissemination matrix, the rules for determining recipient jurisdictions and the compliance controls applicable to the dissemination process, in accordance with the specifications and implementing acts of the European Union.</w:t>
            </w:r>
          </w:p>
        </w:tc>
        <w:tc>
          <w:tcPr>
            <w:tcW w:w="1156" w:type="dxa"/>
          </w:tcPr>
          <w:p w14:paraId="03E55700" w14:textId="1F67D33B" w:rsidR="00FB1120" w:rsidRPr="009E7EA6" w:rsidRDefault="008D76F5"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F</w:t>
            </w:r>
          </w:p>
        </w:tc>
        <w:tc>
          <w:tcPr>
            <w:tcW w:w="2960" w:type="dxa"/>
          </w:tcPr>
          <w:p w14:paraId="10473C6C" w14:textId="7ED476B1" w:rsidR="00FB1120" w:rsidRPr="009E7EA6" w:rsidRDefault="00FB1120" w:rsidP="009E7EA6">
            <w:pPr>
              <w:rPr>
                <w:rFonts w:ascii="Times New Roman" w:eastAsia="Calibri" w:hAnsi="Times New Roman" w:cs="Times New Roman"/>
                <w:sz w:val="18"/>
                <w:szCs w:val="18"/>
              </w:rPr>
            </w:pPr>
          </w:p>
        </w:tc>
      </w:tr>
      <w:tr w:rsidR="00FB1120" w:rsidRPr="009E7EA6" w14:paraId="380D92EC" w14:textId="77777777" w:rsidTr="009E7EA6">
        <w:trPr>
          <w:trHeight w:val="1844"/>
        </w:trPr>
        <w:tc>
          <w:tcPr>
            <w:tcW w:w="805" w:type="dxa"/>
          </w:tcPr>
          <w:p w14:paraId="758B545D" w14:textId="77777777" w:rsidR="00FB1120" w:rsidRPr="009E7EA6" w:rsidRDefault="00FB1120" w:rsidP="009E7EA6">
            <w:pPr>
              <w:jc w:val="both"/>
              <w:rPr>
                <w:rFonts w:ascii="Times New Roman" w:eastAsia="Calibri" w:hAnsi="Times New Roman" w:cs="Times New Roman"/>
                <w:sz w:val="18"/>
                <w:szCs w:val="18"/>
              </w:rPr>
            </w:pPr>
          </w:p>
        </w:tc>
        <w:tc>
          <w:tcPr>
            <w:tcW w:w="5140" w:type="dxa"/>
          </w:tcPr>
          <w:p w14:paraId="2733D3C2" w14:textId="55E78700" w:rsidR="00FB1120" w:rsidRPr="009E7EA6" w:rsidRDefault="00FB1120" w:rsidP="009E7EA6">
            <w:pPr>
              <w:rPr>
                <w:rFonts w:ascii="Times New Roman" w:eastAsia="Calibri" w:hAnsi="Times New Roman" w:cs="Times New Roman"/>
                <w:iCs/>
                <w:sz w:val="18"/>
                <w:szCs w:val="18"/>
              </w:rPr>
            </w:pPr>
          </w:p>
          <w:p w14:paraId="690E1231" w14:textId="77777777" w:rsidR="00FB1120" w:rsidRPr="009E7EA6" w:rsidRDefault="00FB1120"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SECTION III</w:t>
            </w:r>
          </w:p>
          <w:p w14:paraId="5BDCD903" w14:textId="77777777" w:rsidR="00FB1120" w:rsidRPr="009E7EA6" w:rsidRDefault="00FB1120" w:rsidP="009E7EA6">
            <w:pPr>
              <w:jc w:val="both"/>
              <w:rPr>
                <w:rFonts w:ascii="Times New Roman" w:eastAsia="Calibri" w:hAnsi="Times New Roman" w:cs="Times New Roman"/>
                <w:iCs/>
                <w:sz w:val="18"/>
                <w:szCs w:val="18"/>
              </w:rPr>
            </w:pPr>
          </w:p>
          <w:p w14:paraId="427E218E" w14:textId="77777777" w:rsidR="00FB1120" w:rsidRPr="009E7EA6" w:rsidRDefault="00FB1120"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FILING FORMAT AND EXCHANGE OF INFORMATION FOR LARGE-SCALE DOMESTIC GROUPS WITH JOINT VENTURES</w:t>
            </w:r>
          </w:p>
          <w:p w14:paraId="7BDA19C7" w14:textId="77777777" w:rsidR="00FB1120" w:rsidRPr="009E7EA6" w:rsidRDefault="00FB1120" w:rsidP="009E7EA6">
            <w:pPr>
              <w:jc w:val="both"/>
              <w:rPr>
                <w:rFonts w:ascii="Times New Roman" w:eastAsia="Calibri" w:hAnsi="Times New Roman" w:cs="Times New Roman"/>
                <w:iCs/>
                <w:sz w:val="18"/>
                <w:szCs w:val="18"/>
              </w:rPr>
            </w:pPr>
          </w:p>
          <w:p w14:paraId="791BD549" w14:textId="77777777" w:rsidR="00FB1120" w:rsidRPr="009E7EA6" w:rsidRDefault="00FB1120"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When a parent entity of a large-scale domestic group holds a direct or indirect ownership interest in a joint venture or joint venture affiliate that is subject to a qualified domestic top-up tax in a Member State other than the Member State where the large-scale domestic group is located, such large-scale domestic group shall use the standard template for the Top-up tax information return set out in Section IV of this Annex.</w:t>
            </w:r>
          </w:p>
          <w:p w14:paraId="3BD2443C" w14:textId="77777777" w:rsidR="00FB1120" w:rsidRPr="009E7EA6" w:rsidRDefault="00FB1120" w:rsidP="009E7EA6">
            <w:pPr>
              <w:jc w:val="both"/>
              <w:rPr>
                <w:rFonts w:ascii="Times New Roman" w:eastAsia="Calibri" w:hAnsi="Times New Roman" w:cs="Times New Roman"/>
                <w:iCs/>
                <w:sz w:val="18"/>
                <w:szCs w:val="18"/>
              </w:rPr>
            </w:pPr>
          </w:p>
          <w:p w14:paraId="7D307B8D" w14:textId="0C908F3C" w:rsidR="00FB1120" w:rsidRPr="009E7EA6" w:rsidRDefault="00FB1120" w:rsidP="009E7EA6">
            <w:pPr>
              <w:jc w:val="both"/>
              <w:rPr>
                <w:rFonts w:ascii="Times New Roman" w:eastAsia="Calibri" w:hAnsi="Times New Roman" w:cs="Times New Roman"/>
                <w:iCs/>
                <w:sz w:val="18"/>
                <w:szCs w:val="18"/>
              </w:rPr>
            </w:pPr>
            <w:r w:rsidRPr="009E7EA6">
              <w:rPr>
                <w:rFonts w:ascii="Times New Roman" w:eastAsia="Calibri" w:hAnsi="Times New Roman" w:cs="Times New Roman"/>
                <w:iCs/>
                <w:sz w:val="18"/>
                <w:szCs w:val="18"/>
              </w:rPr>
              <w:t>In cases covered by the first subparagraph, Member States shall take the necessary measures to ensure that Article 8ae(2) and Article 9a apply.</w:t>
            </w:r>
          </w:p>
        </w:tc>
        <w:tc>
          <w:tcPr>
            <w:tcW w:w="1070" w:type="dxa"/>
          </w:tcPr>
          <w:p w14:paraId="4800D585" w14:textId="77777777" w:rsidR="00FB1120" w:rsidRPr="009E7EA6" w:rsidRDefault="00FB1120" w:rsidP="009E7EA6">
            <w:pPr>
              <w:jc w:val="center"/>
              <w:rPr>
                <w:rFonts w:ascii="Times New Roman" w:eastAsia="Calibri" w:hAnsi="Times New Roman" w:cs="Times New Roman"/>
                <w:sz w:val="18"/>
                <w:szCs w:val="18"/>
                <w:highlight w:val="cyan"/>
              </w:rPr>
            </w:pPr>
          </w:p>
        </w:tc>
        <w:tc>
          <w:tcPr>
            <w:tcW w:w="720" w:type="dxa"/>
          </w:tcPr>
          <w:p w14:paraId="630C2E8C" w14:textId="12F7221B" w:rsidR="00FB1120" w:rsidRPr="009E7EA6" w:rsidRDefault="00FB1120" w:rsidP="009E7EA6">
            <w:pPr>
              <w:jc w:val="center"/>
              <w:rPr>
                <w:rFonts w:ascii="Times New Roman" w:eastAsia="Calibri" w:hAnsi="Times New Roman" w:cs="Times New Roman"/>
                <w:sz w:val="18"/>
                <w:szCs w:val="18"/>
                <w:highlight w:val="cyan"/>
              </w:rPr>
            </w:pPr>
          </w:p>
        </w:tc>
        <w:tc>
          <w:tcPr>
            <w:tcW w:w="4344" w:type="dxa"/>
          </w:tcPr>
          <w:p w14:paraId="609656D3" w14:textId="77777777" w:rsidR="00FB1120" w:rsidRPr="009E7EA6" w:rsidRDefault="00FB1120" w:rsidP="009E7EA6">
            <w:pPr>
              <w:jc w:val="center"/>
              <w:rPr>
                <w:rFonts w:ascii="Times New Roman" w:hAnsi="Times New Roman" w:cs="Times New Roman"/>
                <w:b/>
                <w:sz w:val="18"/>
                <w:szCs w:val="18"/>
              </w:rPr>
            </w:pPr>
            <w:r w:rsidRPr="009E7EA6">
              <w:rPr>
                <w:rFonts w:ascii="Times New Roman" w:eastAsia="Times New Roman" w:hAnsi="Times New Roman" w:cs="Times New Roman"/>
                <w:sz w:val="18"/>
                <w:szCs w:val="18"/>
              </w:rPr>
              <w:br/>
            </w:r>
            <w:r w:rsidRPr="009E7EA6">
              <w:rPr>
                <w:rFonts w:ascii="Times New Roman" w:hAnsi="Times New Roman" w:cs="Times New Roman"/>
                <w:b/>
                <w:sz w:val="18"/>
                <w:szCs w:val="18"/>
              </w:rPr>
              <w:t>Article 3</w:t>
            </w:r>
          </w:p>
          <w:p w14:paraId="028DC09C" w14:textId="77777777" w:rsidR="00FB1120" w:rsidRPr="009E7EA6" w:rsidRDefault="00FB1120" w:rsidP="009E7EA6">
            <w:pPr>
              <w:jc w:val="center"/>
              <w:rPr>
                <w:rFonts w:ascii="Times New Roman" w:hAnsi="Times New Roman" w:cs="Times New Roman"/>
                <w:b/>
                <w:sz w:val="18"/>
                <w:szCs w:val="18"/>
              </w:rPr>
            </w:pPr>
            <w:r w:rsidRPr="009E7EA6">
              <w:rPr>
                <w:rFonts w:ascii="Times New Roman" w:hAnsi="Times New Roman" w:cs="Times New Roman"/>
                <w:b/>
                <w:sz w:val="18"/>
                <w:szCs w:val="18"/>
              </w:rPr>
              <w:t>Relationship with the Global Minimum Tax Law and other Legislation</w:t>
            </w:r>
          </w:p>
          <w:p w14:paraId="1322DFFD" w14:textId="77777777" w:rsidR="00FB1120" w:rsidRPr="009E7EA6" w:rsidRDefault="00FB1120" w:rsidP="009E7EA6">
            <w:pPr>
              <w:jc w:val="center"/>
              <w:rPr>
                <w:rFonts w:ascii="Times New Roman" w:hAnsi="Times New Roman" w:cs="Times New Roman"/>
                <w:b/>
                <w:sz w:val="18"/>
                <w:szCs w:val="18"/>
              </w:rPr>
            </w:pPr>
          </w:p>
          <w:p w14:paraId="0324D11B" w14:textId="3951160B" w:rsidR="009D5612" w:rsidRPr="009E7EA6" w:rsidRDefault="00FB1120" w:rsidP="009E7EA6">
            <w:pPr>
              <w:rPr>
                <w:rFonts w:ascii="Times New Roman" w:hAnsi="Times New Roman" w:cs="Times New Roman"/>
                <w:sz w:val="18"/>
                <w:szCs w:val="18"/>
                <w:lang w:val="en-US"/>
              </w:rPr>
            </w:pPr>
            <w:r w:rsidRPr="00DE043C">
              <w:rPr>
                <w:rFonts w:ascii="Times New Roman" w:hAnsi="Times New Roman" w:cs="Times New Roman"/>
                <w:bCs/>
                <w:sz w:val="18"/>
                <w:szCs w:val="18"/>
              </w:rPr>
              <w:t>1.</w:t>
            </w:r>
            <w:r w:rsidRPr="00DE043C">
              <w:rPr>
                <w:rFonts w:ascii="Times New Roman" w:hAnsi="Times New Roman" w:cs="Times New Roman"/>
                <w:bCs/>
                <w:sz w:val="18"/>
                <w:szCs w:val="18"/>
              </w:rPr>
              <w:tab/>
            </w:r>
            <w:r w:rsidR="009D5612" w:rsidRPr="009E7EA6">
              <w:rPr>
                <w:rFonts w:ascii="Times New Roman" w:eastAsia="Times New Roman" w:hAnsi="Times New Roman" w:cs="Times New Roman"/>
                <w:sz w:val="18"/>
                <w:szCs w:val="18"/>
                <w:lang w:val="en-US"/>
              </w:rPr>
              <w:t xml:space="preserve"> </w:t>
            </w:r>
            <w:r w:rsidR="009D5612" w:rsidRPr="009E7EA6">
              <w:rPr>
                <w:rFonts w:ascii="Times New Roman" w:hAnsi="Times New Roman" w:cs="Times New Roman"/>
                <w:sz w:val="18"/>
                <w:szCs w:val="18"/>
                <w:lang w:val="en-US"/>
              </w:rPr>
              <w:t>The obligation to file the Top-up Tax Information Return (TTIR), its content, and the elections reflected therein are governed by the Law on the Global Minimum Tax.</w:t>
            </w:r>
          </w:p>
          <w:p w14:paraId="6562ABE4" w14:textId="3676BBB8" w:rsidR="00FB1120" w:rsidRPr="009E7EA6" w:rsidRDefault="00FB1120" w:rsidP="009E7EA6">
            <w:pPr>
              <w:jc w:val="both"/>
              <w:rPr>
                <w:rFonts w:ascii="Times New Roman" w:hAnsi="Times New Roman" w:cs="Times New Roman"/>
                <w:sz w:val="18"/>
                <w:szCs w:val="18"/>
              </w:rPr>
            </w:pPr>
          </w:p>
        </w:tc>
        <w:tc>
          <w:tcPr>
            <w:tcW w:w="1156" w:type="dxa"/>
          </w:tcPr>
          <w:p w14:paraId="15692D69" w14:textId="6D1F4A69" w:rsidR="00FB1120" w:rsidRPr="009E7EA6" w:rsidRDefault="008D76F5"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t>F</w:t>
            </w:r>
          </w:p>
        </w:tc>
        <w:tc>
          <w:tcPr>
            <w:tcW w:w="2960" w:type="dxa"/>
          </w:tcPr>
          <w:p w14:paraId="7EFFD7FA" w14:textId="1FD426DE" w:rsidR="00FB1120" w:rsidRPr="009E7EA6" w:rsidRDefault="00FB1120" w:rsidP="009E7EA6">
            <w:pPr>
              <w:rPr>
                <w:rFonts w:ascii="Times New Roman" w:eastAsia="Calibri" w:hAnsi="Times New Roman" w:cs="Times New Roman"/>
                <w:sz w:val="18"/>
                <w:szCs w:val="18"/>
              </w:rPr>
            </w:pPr>
          </w:p>
        </w:tc>
      </w:tr>
      <w:tr w:rsidR="00FB1120" w:rsidRPr="009E7EA6" w14:paraId="457A9E2C" w14:textId="77777777" w:rsidTr="009E7EA6">
        <w:trPr>
          <w:trHeight w:val="1844"/>
        </w:trPr>
        <w:tc>
          <w:tcPr>
            <w:tcW w:w="805" w:type="dxa"/>
          </w:tcPr>
          <w:p w14:paraId="7907FD15" w14:textId="77777777" w:rsidR="00FB1120" w:rsidRPr="009E7EA6" w:rsidRDefault="00FB1120" w:rsidP="009E7EA6">
            <w:pPr>
              <w:jc w:val="both"/>
              <w:rPr>
                <w:rFonts w:ascii="Times New Roman" w:eastAsia="Calibri" w:hAnsi="Times New Roman" w:cs="Times New Roman"/>
                <w:sz w:val="18"/>
                <w:szCs w:val="18"/>
              </w:rPr>
            </w:pPr>
          </w:p>
        </w:tc>
        <w:tc>
          <w:tcPr>
            <w:tcW w:w="5140" w:type="dxa"/>
          </w:tcPr>
          <w:p w14:paraId="4285108E" w14:textId="125452F3" w:rsidR="00FB1120" w:rsidRPr="009E7EA6" w:rsidRDefault="00FB1120" w:rsidP="009E7EA6">
            <w:pPr>
              <w:spacing w:before="100" w:beforeAutospacing="1" w:after="100" w:afterAutospacing="1"/>
              <w:rPr>
                <w:rFonts w:ascii="Times New Roman" w:eastAsia="Calibri" w:hAnsi="Times New Roman" w:cs="Times New Roman"/>
                <w:iCs/>
                <w:sz w:val="18"/>
                <w:szCs w:val="18"/>
              </w:rPr>
            </w:pPr>
          </w:p>
        </w:tc>
        <w:tc>
          <w:tcPr>
            <w:tcW w:w="1070" w:type="dxa"/>
          </w:tcPr>
          <w:p w14:paraId="05D8F03B" w14:textId="77777777" w:rsidR="00FB1120" w:rsidRPr="009E7EA6" w:rsidRDefault="00FB1120" w:rsidP="009E7EA6">
            <w:pPr>
              <w:jc w:val="center"/>
              <w:rPr>
                <w:rFonts w:ascii="Times New Roman" w:eastAsia="Calibri" w:hAnsi="Times New Roman" w:cs="Times New Roman"/>
                <w:sz w:val="18"/>
                <w:szCs w:val="18"/>
                <w:highlight w:val="cyan"/>
              </w:rPr>
            </w:pPr>
          </w:p>
        </w:tc>
        <w:tc>
          <w:tcPr>
            <w:tcW w:w="720" w:type="dxa"/>
          </w:tcPr>
          <w:p w14:paraId="6E84B656" w14:textId="77777777" w:rsidR="00FB1120" w:rsidRPr="009E7EA6" w:rsidRDefault="00FB1120" w:rsidP="009E7EA6">
            <w:pPr>
              <w:jc w:val="center"/>
              <w:rPr>
                <w:rFonts w:ascii="Times New Roman" w:eastAsia="Calibri" w:hAnsi="Times New Roman" w:cs="Times New Roman"/>
                <w:sz w:val="18"/>
                <w:szCs w:val="18"/>
                <w:highlight w:val="cyan"/>
              </w:rPr>
            </w:pPr>
          </w:p>
        </w:tc>
        <w:tc>
          <w:tcPr>
            <w:tcW w:w="4344" w:type="dxa"/>
          </w:tcPr>
          <w:p w14:paraId="5110A9EA" w14:textId="77777777" w:rsidR="007536E6" w:rsidRPr="009E7EA6" w:rsidRDefault="00612E0E" w:rsidP="009E7EA6">
            <w:pPr>
              <w:pStyle w:val="Heading2"/>
              <w:jc w:val="center"/>
              <w:rPr>
                <w:rFonts w:ascii="Times New Roman" w:eastAsia="Times New Roman" w:hAnsi="Times New Roman" w:cs="Times New Roman"/>
                <w:b/>
                <w:color w:val="000000"/>
                <w:sz w:val="18"/>
                <w:szCs w:val="18"/>
              </w:rPr>
            </w:pPr>
            <w:r w:rsidRPr="009E7EA6">
              <w:rPr>
                <w:rFonts w:ascii="Times New Roman" w:eastAsia="Times New Roman" w:hAnsi="Times New Roman" w:cs="Times New Roman"/>
                <w:b/>
                <w:color w:val="000000"/>
                <w:sz w:val="18"/>
                <w:szCs w:val="18"/>
              </w:rPr>
              <w:t>Article 17</w:t>
            </w:r>
          </w:p>
          <w:p w14:paraId="3BEE7DE1" w14:textId="466CA55D" w:rsidR="00612E0E" w:rsidRPr="009E7EA6" w:rsidRDefault="00612E0E" w:rsidP="009E7EA6">
            <w:pPr>
              <w:pStyle w:val="Heading2"/>
              <w:jc w:val="center"/>
              <w:rPr>
                <w:rFonts w:ascii="Times New Roman" w:hAnsi="Times New Roman" w:cs="Times New Roman"/>
                <w:b/>
                <w:bCs/>
                <w:color w:val="auto"/>
                <w:sz w:val="18"/>
                <w:szCs w:val="18"/>
              </w:rPr>
            </w:pPr>
            <w:r w:rsidRPr="009E7EA6">
              <w:rPr>
                <w:rFonts w:ascii="Times New Roman" w:hAnsi="Times New Roman" w:cs="Times New Roman"/>
                <w:b/>
                <w:bCs/>
                <w:color w:val="000000"/>
                <w:sz w:val="18"/>
                <w:szCs w:val="18"/>
              </w:rPr>
              <w:t>The bylaws and Implementing Rules</w:t>
            </w:r>
          </w:p>
          <w:p w14:paraId="23C8F6E2" w14:textId="77777777" w:rsidR="007536E6" w:rsidRPr="009E7EA6" w:rsidRDefault="007536E6" w:rsidP="009E7EA6">
            <w:pPr>
              <w:spacing w:after="120"/>
              <w:jc w:val="both"/>
              <w:rPr>
                <w:rFonts w:ascii="Times New Roman" w:hAnsi="Times New Roman" w:cs="Times New Roman"/>
                <w:color w:val="000000"/>
                <w:sz w:val="18"/>
                <w:szCs w:val="18"/>
              </w:rPr>
            </w:pPr>
          </w:p>
          <w:p w14:paraId="47600092" w14:textId="07535AA4" w:rsidR="00612E0E" w:rsidRPr="009E7EA6" w:rsidRDefault="00612E0E" w:rsidP="009E7EA6">
            <w:pPr>
              <w:spacing w:after="120"/>
              <w:jc w:val="both"/>
              <w:rPr>
                <w:rFonts w:ascii="Times New Roman" w:hAnsi="Times New Roman" w:cs="Times New Roman"/>
                <w:color w:val="EE0000"/>
                <w:sz w:val="18"/>
                <w:szCs w:val="18"/>
              </w:rPr>
            </w:pPr>
            <w:r w:rsidRPr="009E7EA6">
              <w:rPr>
                <w:rFonts w:ascii="Times New Roman" w:hAnsi="Times New Roman" w:cs="Times New Roman"/>
                <w:color w:val="000000"/>
                <w:sz w:val="18"/>
                <w:szCs w:val="18"/>
              </w:rPr>
              <w:t>The Council of Ministers is charged with issuing the bylaws for the implementation of this law within two years from its entry into force.</w:t>
            </w:r>
          </w:p>
          <w:p w14:paraId="7453F634" w14:textId="5DA6A981" w:rsidR="00FB1120" w:rsidRPr="009E7EA6" w:rsidRDefault="00FB1120" w:rsidP="009E7EA6">
            <w:pPr>
              <w:jc w:val="both"/>
              <w:rPr>
                <w:rFonts w:ascii="Times New Roman" w:eastAsia="Times New Roman" w:hAnsi="Times New Roman" w:cs="Times New Roman"/>
                <w:sz w:val="18"/>
                <w:szCs w:val="18"/>
              </w:rPr>
            </w:pPr>
          </w:p>
        </w:tc>
        <w:tc>
          <w:tcPr>
            <w:tcW w:w="1156" w:type="dxa"/>
          </w:tcPr>
          <w:p w14:paraId="5419178F" w14:textId="77777777" w:rsidR="00FB1120" w:rsidRPr="009E7EA6" w:rsidRDefault="00FB1120" w:rsidP="009E7EA6">
            <w:pPr>
              <w:jc w:val="center"/>
              <w:rPr>
                <w:rFonts w:ascii="Times New Roman" w:eastAsia="Calibri" w:hAnsi="Times New Roman" w:cs="Times New Roman"/>
                <w:sz w:val="18"/>
                <w:szCs w:val="18"/>
              </w:rPr>
            </w:pPr>
          </w:p>
        </w:tc>
        <w:tc>
          <w:tcPr>
            <w:tcW w:w="2960" w:type="dxa"/>
          </w:tcPr>
          <w:p w14:paraId="61A9ADBA" w14:textId="11051AA2" w:rsidR="00FB1120" w:rsidRPr="009E7EA6" w:rsidRDefault="00452957" w:rsidP="009E7EA6">
            <w:pPr>
              <w:rPr>
                <w:rFonts w:ascii="Times New Roman" w:eastAsia="Calibri" w:hAnsi="Times New Roman" w:cs="Times New Roman"/>
                <w:sz w:val="18"/>
                <w:szCs w:val="18"/>
              </w:rPr>
            </w:pPr>
            <w:r w:rsidRPr="009E7EA6">
              <w:rPr>
                <w:rFonts w:ascii="Times New Roman" w:hAnsi="Times New Roman" w:cs="Times New Roman"/>
                <w:sz w:val="18"/>
                <w:szCs w:val="18"/>
              </w:rPr>
              <w:t>National provision</w:t>
            </w:r>
          </w:p>
        </w:tc>
      </w:tr>
      <w:tr w:rsidR="00630198" w:rsidRPr="009E7EA6" w14:paraId="1913B2A9" w14:textId="77777777" w:rsidTr="009E7EA6">
        <w:trPr>
          <w:trHeight w:val="1844"/>
        </w:trPr>
        <w:tc>
          <w:tcPr>
            <w:tcW w:w="805" w:type="dxa"/>
          </w:tcPr>
          <w:p w14:paraId="0B1DD31F" w14:textId="77777777" w:rsidR="00630198" w:rsidRPr="009E7EA6" w:rsidRDefault="00630198" w:rsidP="009E7EA6">
            <w:pPr>
              <w:jc w:val="both"/>
              <w:rPr>
                <w:rFonts w:ascii="Times New Roman" w:eastAsia="Calibri" w:hAnsi="Times New Roman" w:cs="Times New Roman"/>
                <w:sz w:val="18"/>
                <w:szCs w:val="18"/>
              </w:rPr>
            </w:pPr>
          </w:p>
        </w:tc>
        <w:tc>
          <w:tcPr>
            <w:tcW w:w="5140" w:type="dxa"/>
          </w:tcPr>
          <w:p w14:paraId="4AC649EF" w14:textId="77777777" w:rsidR="00630198" w:rsidRPr="009E7EA6" w:rsidRDefault="00630198" w:rsidP="009E7EA6">
            <w:pPr>
              <w:shd w:val="clear" w:color="auto" w:fill="FFFFFF"/>
              <w:spacing w:before="360" w:after="120" w:line="312" w:lineRule="atLeast"/>
              <w:jc w:val="center"/>
              <w:rPr>
                <w:rFonts w:ascii="Times New Roman" w:eastAsia="Times New Roman" w:hAnsi="Times New Roman" w:cs="Times New Roman"/>
                <w:i/>
                <w:iCs/>
                <w:color w:val="333333"/>
                <w:sz w:val="18"/>
                <w:szCs w:val="18"/>
              </w:rPr>
            </w:pPr>
            <w:r w:rsidRPr="009E7EA6">
              <w:rPr>
                <w:rFonts w:ascii="Times New Roman" w:eastAsia="Times New Roman" w:hAnsi="Times New Roman" w:cs="Times New Roman"/>
                <w:i/>
                <w:iCs/>
                <w:color w:val="333333"/>
                <w:sz w:val="18"/>
                <w:szCs w:val="18"/>
              </w:rPr>
              <w:t>Article 44</w:t>
            </w:r>
          </w:p>
          <w:p w14:paraId="340F2A32" w14:textId="77777777" w:rsidR="00630198" w:rsidRPr="009E7EA6" w:rsidRDefault="00630198" w:rsidP="009E7EA6">
            <w:pPr>
              <w:shd w:val="clear" w:color="auto" w:fill="FFFFFF"/>
              <w:spacing w:before="60" w:after="120" w:line="312" w:lineRule="atLeast"/>
              <w:jc w:val="center"/>
              <w:rPr>
                <w:rFonts w:ascii="Times New Roman" w:eastAsia="Times New Roman" w:hAnsi="Times New Roman" w:cs="Times New Roman"/>
                <w:b/>
                <w:bCs/>
                <w:color w:val="333333"/>
                <w:sz w:val="18"/>
                <w:szCs w:val="18"/>
              </w:rPr>
            </w:pPr>
            <w:r w:rsidRPr="009E7EA6">
              <w:rPr>
                <w:rFonts w:ascii="Times New Roman" w:eastAsia="Times New Roman" w:hAnsi="Times New Roman" w:cs="Times New Roman"/>
                <w:b/>
                <w:bCs/>
                <w:color w:val="333333"/>
                <w:sz w:val="18"/>
                <w:szCs w:val="18"/>
              </w:rPr>
              <w:t>Filing obligations</w:t>
            </w:r>
          </w:p>
          <w:p w14:paraId="44D29356" w14:textId="77777777" w:rsidR="00630198" w:rsidRPr="009E7EA6" w:rsidRDefault="00630198" w:rsidP="009E7EA6">
            <w:pPr>
              <w:shd w:val="clear" w:color="auto" w:fill="FFFFFF"/>
              <w:rPr>
                <w:rFonts w:ascii="Times New Roman" w:eastAsia="Times New Roman" w:hAnsi="Times New Roman" w:cs="Times New Roman"/>
                <w:vanish/>
                <w:color w:val="333333"/>
                <w:sz w:val="18"/>
                <w:szCs w:val="18"/>
              </w:rPr>
            </w:pPr>
          </w:p>
          <w:p w14:paraId="5D6B158B" w14:textId="77777777" w:rsidR="00630198" w:rsidRPr="009E7EA6" w:rsidRDefault="00630198" w:rsidP="009E7EA6">
            <w:pPr>
              <w:shd w:val="clear" w:color="auto" w:fill="FFFFFF"/>
              <w:spacing w:before="120" w:line="312" w:lineRule="atLeast"/>
              <w:jc w:val="both"/>
              <w:rPr>
                <w:rFonts w:ascii="Times New Roman" w:eastAsia="Times New Roman" w:hAnsi="Times New Roman" w:cs="Times New Roman"/>
                <w:color w:val="333333"/>
                <w:sz w:val="18"/>
                <w:szCs w:val="18"/>
              </w:rPr>
            </w:pPr>
            <w:r w:rsidRPr="009E7EA6">
              <w:rPr>
                <w:rFonts w:ascii="Times New Roman" w:eastAsia="Times New Roman" w:hAnsi="Times New Roman" w:cs="Times New Roman"/>
                <w:color w:val="333333"/>
                <w:sz w:val="18"/>
                <w:szCs w:val="18"/>
              </w:rPr>
              <w:t>2.   A constituent entity located in a Member State shall file a top-up tax information return with its tax administration in accordance with paragraph 5.</w:t>
            </w:r>
          </w:p>
          <w:p w14:paraId="70266463" w14:textId="77777777" w:rsidR="00630198" w:rsidRPr="009E7EA6" w:rsidRDefault="00630198" w:rsidP="009E7EA6">
            <w:pPr>
              <w:shd w:val="clear" w:color="auto" w:fill="FFFFFF"/>
              <w:spacing w:before="120" w:line="312" w:lineRule="atLeast"/>
              <w:jc w:val="both"/>
              <w:rPr>
                <w:rFonts w:ascii="Times New Roman" w:eastAsia="Times New Roman" w:hAnsi="Times New Roman" w:cs="Times New Roman"/>
                <w:color w:val="333333"/>
                <w:sz w:val="18"/>
                <w:szCs w:val="18"/>
              </w:rPr>
            </w:pPr>
            <w:r w:rsidRPr="009E7EA6">
              <w:rPr>
                <w:rFonts w:ascii="Times New Roman" w:eastAsia="Times New Roman" w:hAnsi="Times New Roman" w:cs="Times New Roman"/>
                <w:color w:val="333333"/>
                <w:sz w:val="18"/>
                <w:szCs w:val="18"/>
              </w:rPr>
              <w:t xml:space="preserve">3.   By way of derogation from paragraph 2, a constituent entity shall not have the obligation to file a top-up tax information return with its </w:t>
            </w:r>
            <w:r w:rsidRPr="009E7EA6">
              <w:rPr>
                <w:rFonts w:ascii="Times New Roman" w:eastAsia="Times New Roman" w:hAnsi="Times New Roman" w:cs="Times New Roman"/>
                <w:color w:val="333333"/>
                <w:sz w:val="18"/>
                <w:szCs w:val="18"/>
              </w:rPr>
              <w:lastRenderedPageBreak/>
              <w:t>tax administration if such return has been filed, in accordance with the requirements set out in paragraph 5, by:</w:t>
            </w:r>
          </w:p>
          <w:tbl>
            <w:tblPr>
              <w:tblW w:w="5000" w:type="pct"/>
              <w:tblLayout w:type="fixed"/>
              <w:tblCellMar>
                <w:left w:w="0" w:type="dxa"/>
                <w:right w:w="0" w:type="dxa"/>
              </w:tblCellMar>
              <w:tblLook w:val="04A0" w:firstRow="1" w:lastRow="0" w:firstColumn="1" w:lastColumn="0" w:noHBand="0" w:noVBand="1"/>
            </w:tblPr>
            <w:tblGrid>
              <w:gridCol w:w="2462"/>
              <w:gridCol w:w="2462"/>
            </w:tblGrid>
            <w:tr w:rsidR="00630198" w:rsidRPr="009E7EA6" w14:paraId="7F90E120" w14:textId="77777777" w:rsidTr="00630198">
              <w:tc>
                <w:tcPr>
                  <w:tcW w:w="2592" w:type="dxa"/>
                  <w:hideMark/>
                </w:tcPr>
                <w:p w14:paraId="0BE62394" w14:textId="77777777" w:rsidR="00630198" w:rsidRPr="009E7EA6" w:rsidRDefault="00630198" w:rsidP="009E7EA6">
                  <w:pPr>
                    <w:framePr w:hSpace="180" w:wrap="around" w:vAnchor="text" w:hAnchor="text" w:x="-1090" w:y="1"/>
                    <w:spacing w:before="120" w:after="0" w:line="312" w:lineRule="atLeast"/>
                    <w:suppressOverlap/>
                    <w:jc w:val="both"/>
                    <w:rPr>
                      <w:rFonts w:ascii="Times New Roman" w:eastAsia="Times New Roman" w:hAnsi="Times New Roman" w:cs="Times New Roman"/>
                      <w:kern w:val="0"/>
                      <w:sz w:val="18"/>
                      <w:szCs w:val="18"/>
                      <w14:ligatures w14:val="none"/>
                    </w:rPr>
                  </w:pPr>
                  <w:r w:rsidRPr="009E7EA6">
                    <w:rPr>
                      <w:rFonts w:ascii="Times New Roman" w:eastAsia="Times New Roman" w:hAnsi="Times New Roman" w:cs="Times New Roman"/>
                      <w:kern w:val="0"/>
                      <w:sz w:val="18"/>
                      <w:szCs w:val="18"/>
                      <w14:ligatures w14:val="none"/>
                    </w:rPr>
                    <w:t>(a)</w:t>
                  </w:r>
                </w:p>
              </w:tc>
              <w:tc>
                <w:tcPr>
                  <w:tcW w:w="2592" w:type="dxa"/>
                  <w:hideMark/>
                </w:tcPr>
                <w:p w14:paraId="16EF90C0" w14:textId="77777777" w:rsidR="00630198" w:rsidRPr="009E7EA6" w:rsidRDefault="00630198" w:rsidP="009E7EA6">
                  <w:pPr>
                    <w:framePr w:hSpace="180" w:wrap="around" w:vAnchor="text" w:hAnchor="text" w:x="-1090" w:y="1"/>
                    <w:spacing w:before="120" w:after="0" w:line="312" w:lineRule="atLeast"/>
                    <w:suppressOverlap/>
                    <w:jc w:val="both"/>
                    <w:rPr>
                      <w:rFonts w:ascii="Times New Roman" w:eastAsia="Times New Roman" w:hAnsi="Times New Roman" w:cs="Times New Roman"/>
                      <w:kern w:val="0"/>
                      <w:sz w:val="18"/>
                      <w:szCs w:val="18"/>
                      <w14:ligatures w14:val="none"/>
                    </w:rPr>
                  </w:pPr>
                  <w:r w:rsidRPr="009E7EA6">
                    <w:rPr>
                      <w:rFonts w:ascii="Times New Roman" w:eastAsia="Times New Roman" w:hAnsi="Times New Roman" w:cs="Times New Roman"/>
                      <w:kern w:val="0"/>
                      <w:sz w:val="18"/>
                      <w:szCs w:val="18"/>
                      <w14:ligatures w14:val="none"/>
                    </w:rPr>
                    <w:t>the ultimate parent entity located in a jurisdiction that has, for the reporting fiscal year, a qualifying competent authority agreement in effect with the Member State in which the constituent entity is located; or</w:t>
                  </w:r>
                </w:p>
              </w:tc>
            </w:tr>
          </w:tbl>
          <w:p w14:paraId="74197E7C" w14:textId="77777777" w:rsidR="00630198" w:rsidRPr="009E7EA6" w:rsidRDefault="00630198" w:rsidP="009E7EA6">
            <w:pPr>
              <w:shd w:val="clear" w:color="auto" w:fill="FFFFFF"/>
              <w:rPr>
                <w:rFonts w:ascii="Times New Roman" w:eastAsia="Times New Roman" w:hAnsi="Times New Roman" w:cs="Times New Roman"/>
                <w:vanish/>
                <w:color w:val="333333"/>
                <w:sz w:val="18"/>
                <w:szCs w:val="18"/>
              </w:rPr>
            </w:pPr>
          </w:p>
          <w:tbl>
            <w:tblPr>
              <w:tblW w:w="5000" w:type="pct"/>
              <w:tblLayout w:type="fixed"/>
              <w:tblCellMar>
                <w:left w:w="0" w:type="dxa"/>
                <w:right w:w="0" w:type="dxa"/>
              </w:tblCellMar>
              <w:tblLook w:val="04A0" w:firstRow="1" w:lastRow="0" w:firstColumn="1" w:lastColumn="0" w:noHBand="0" w:noVBand="1"/>
            </w:tblPr>
            <w:tblGrid>
              <w:gridCol w:w="2462"/>
              <w:gridCol w:w="2462"/>
            </w:tblGrid>
            <w:tr w:rsidR="00630198" w:rsidRPr="009E7EA6" w14:paraId="6B749585" w14:textId="77777777" w:rsidTr="00630198">
              <w:tc>
                <w:tcPr>
                  <w:tcW w:w="2592" w:type="dxa"/>
                  <w:hideMark/>
                </w:tcPr>
                <w:p w14:paraId="1116509D" w14:textId="77777777" w:rsidR="00630198" w:rsidRPr="009E7EA6" w:rsidRDefault="00630198" w:rsidP="009E7EA6">
                  <w:pPr>
                    <w:framePr w:hSpace="180" w:wrap="around" w:vAnchor="text" w:hAnchor="text" w:x="-1090" w:y="1"/>
                    <w:spacing w:before="120" w:after="0" w:line="312" w:lineRule="atLeast"/>
                    <w:suppressOverlap/>
                    <w:jc w:val="both"/>
                    <w:rPr>
                      <w:rFonts w:ascii="Times New Roman" w:eastAsia="Times New Roman" w:hAnsi="Times New Roman" w:cs="Times New Roman"/>
                      <w:kern w:val="0"/>
                      <w:sz w:val="18"/>
                      <w:szCs w:val="18"/>
                      <w14:ligatures w14:val="none"/>
                    </w:rPr>
                  </w:pPr>
                  <w:r w:rsidRPr="009E7EA6">
                    <w:rPr>
                      <w:rFonts w:ascii="Times New Roman" w:eastAsia="Times New Roman" w:hAnsi="Times New Roman" w:cs="Times New Roman"/>
                      <w:kern w:val="0"/>
                      <w:sz w:val="18"/>
                      <w:szCs w:val="18"/>
                      <w14:ligatures w14:val="none"/>
                    </w:rPr>
                    <w:t>(b)</w:t>
                  </w:r>
                </w:p>
              </w:tc>
              <w:tc>
                <w:tcPr>
                  <w:tcW w:w="2592" w:type="dxa"/>
                  <w:hideMark/>
                </w:tcPr>
                <w:p w14:paraId="201F4A5D" w14:textId="77777777" w:rsidR="00630198" w:rsidRPr="009E7EA6" w:rsidRDefault="00630198" w:rsidP="009E7EA6">
                  <w:pPr>
                    <w:framePr w:hSpace="180" w:wrap="around" w:vAnchor="text" w:hAnchor="text" w:x="-1090" w:y="1"/>
                    <w:spacing w:before="120" w:after="0" w:line="312" w:lineRule="atLeast"/>
                    <w:suppressOverlap/>
                    <w:jc w:val="both"/>
                    <w:rPr>
                      <w:rFonts w:ascii="Times New Roman" w:eastAsia="Times New Roman" w:hAnsi="Times New Roman" w:cs="Times New Roman"/>
                      <w:kern w:val="0"/>
                      <w:sz w:val="18"/>
                      <w:szCs w:val="18"/>
                      <w14:ligatures w14:val="none"/>
                    </w:rPr>
                  </w:pPr>
                  <w:r w:rsidRPr="009E7EA6">
                    <w:rPr>
                      <w:rFonts w:ascii="Times New Roman" w:eastAsia="Times New Roman" w:hAnsi="Times New Roman" w:cs="Times New Roman"/>
                      <w:kern w:val="0"/>
                      <w:sz w:val="18"/>
                      <w:szCs w:val="18"/>
                      <w14:ligatures w14:val="none"/>
                    </w:rPr>
                    <w:t>the designated filing entity located in a jurisdiction that has, for the reporting fiscal year, a qualifying competent authority agreement in effect with the Member State in which the constituent entity is located.</w:t>
                  </w:r>
                </w:p>
              </w:tc>
            </w:tr>
          </w:tbl>
          <w:p w14:paraId="7298F0F2" w14:textId="77777777" w:rsidR="00630198" w:rsidRPr="009E7EA6" w:rsidRDefault="00630198" w:rsidP="009E7EA6">
            <w:pPr>
              <w:shd w:val="clear" w:color="auto" w:fill="FFFFFF"/>
              <w:spacing w:before="120" w:line="312" w:lineRule="atLeast"/>
              <w:jc w:val="both"/>
              <w:rPr>
                <w:rFonts w:ascii="Times New Roman" w:eastAsia="Times New Roman" w:hAnsi="Times New Roman" w:cs="Times New Roman"/>
                <w:color w:val="333333"/>
                <w:sz w:val="18"/>
                <w:szCs w:val="18"/>
              </w:rPr>
            </w:pPr>
            <w:r w:rsidRPr="009E7EA6">
              <w:rPr>
                <w:rFonts w:ascii="Times New Roman" w:eastAsia="Times New Roman" w:hAnsi="Times New Roman" w:cs="Times New Roman"/>
                <w:color w:val="333333"/>
                <w:sz w:val="18"/>
                <w:szCs w:val="18"/>
              </w:rPr>
              <w:t>4.   Where paragraph 3 applies, the constituent entity located in a Member State, or the designated local entity on its behalf, shall notify its tax administration of the identity of the entity that is filing the top-up tax information return as well as the jurisdiction in which it is located.</w:t>
            </w:r>
          </w:p>
          <w:p w14:paraId="1238F0AE" w14:textId="77777777" w:rsidR="00630198" w:rsidRPr="009E7EA6" w:rsidRDefault="00630198" w:rsidP="009E7EA6">
            <w:pPr>
              <w:spacing w:before="100" w:beforeAutospacing="1" w:after="100" w:afterAutospacing="1"/>
              <w:rPr>
                <w:rFonts w:ascii="Times New Roman" w:eastAsia="Calibri" w:hAnsi="Times New Roman" w:cs="Times New Roman"/>
                <w:iCs/>
                <w:sz w:val="18"/>
                <w:szCs w:val="18"/>
              </w:rPr>
            </w:pPr>
          </w:p>
        </w:tc>
        <w:tc>
          <w:tcPr>
            <w:tcW w:w="1070" w:type="dxa"/>
          </w:tcPr>
          <w:p w14:paraId="2D760154" w14:textId="77777777" w:rsidR="00630198" w:rsidRPr="009E7EA6" w:rsidRDefault="00630198" w:rsidP="009E7EA6">
            <w:pPr>
              <w:jc w:val="center"/>
              <w:rPr>
                <w:rFonts w:ascii="Times New Roman" w:eastAsia="Calibri" w:hAnsi="Times New Roman" w:cs="Times New Roman"/>
                <w:sz w:val="18"/>
                <w:szCs w:val="18"/>
                <w:highlight w:val="cyan"/>
              </w:rPr>
            </w:pPr>
          </w:p>
        </w:tc>
        <w:tc>
          <w:tcPr>
            <w:tcW w:w="720" w:type="dxa"/>
          </w:tcPr>
          <w:p w14:paraId="231DBD3F" w14:textId="77777777" w:rsidR="00630198" w:rsidRPr="009E7EA6" w:rsidRDefault="00630198" w:rsidP="009E7EA6">
            <w:pPr>
              <w:jc w:val="center"/>
              <w:rPr>
                <w:rFonts w:ascii="Times New Roman" w:eastAsia="Calibri" w:hAnsi="Times New Roman" w:cs="Times New Roman"/>
                <w:sz w:val="18"/>
                <w:szCs w:val="18"/>
                <w:highlight w:val="cyan"/>
              </w:rPr>
            </w:pPr>
          </w:p>
        </w:tc>
        <w:tc>
          <w:tcPr>
            <w:tcW w:w="4344" w:type="dxa"/>
          </w:tcPr>
          <w:p w14:paraId="0F05E64A" w14:textId="77777777" w:rsidR="008C179B" w:rsidRPr="009E7EA6" w:rsidRDefault="008C179B" w:rsidP="009E7EA6">
            <w:pPr>
              <w:pStyle w:val="Heading2"/>
              <w:jc w:val="center"/>
              <w:rPr>
                <w:rFonts w:ascii="Times New Roman" w:hAnsi="Times New Roman" w:cs="Times New Roman"/>
                <w:b/>
                <w:bCs/>
                <w:color w:val="auto"/>
                <w:sz w:val="18"/>
                <w:szCs w:val="18"/>
              </w:rPr>
            </w:pPr>
            <w:r w:rsidRPr="009E7EA6">
              <w:rPr>
                <w:rFonts w:ascii="Times New Roman" w:eastAsia="Times New Roman" w:hAnsi="Times New Roman" w:cs="Times New Roman"/>
                <w:b/>
                <w:bCs/>
                <w:color w:val="000000"/>
                <w:sz w:val="18"/>
                <w:szCs w:val="18"/>
              </w:rPr>
              <w:t>Article 12</w:t>
            </w:r>
          </w:p>
          <w:p w14:paraId="70606B17" w14:textId="77777777" w:rsidR="008C179B" w:rsidRPr="009E7EA6" w:rsidRDefault="008C179B" w:rsidP="009E7EA6">
            <w:pPr>
              <w:ind w:left="720"/>
              <w:jc w:val="center"/>
              <w:rPr>
                <w:rFonts w:ascii="Times New Roman" w:hAnsi="Times New Roman" w:cs="Times New Roman"/>
                <w:b/>
                <w:bCs/>
                <w:color w:val="000000"/>
                <w:sz w:val="18"/>
                <w:szCs w:val="18"/>
              </w:rPr>
            </w:pPr>
            <w:r w:rsidRPr="009E7EA6">
              <w:rPr>
                <w:rFonts w:ascii="Times New Roman" w:hAnsi="Times New Roman" w:cs="Times New Roman"/>
                <w:b/>
                <w:bCs/>
                <w:color w:val="000000"/>
                <w:sz w:val="18"/>
                <w:szCs w:val="18"/>
              </w:rPr>
              <w:t>Avoidance of Duplicate Filing and Qualifying Agreements</w:t>
            </w:r>
          </w:p>
          <w:p w14:paraId="3DF932C3" w14:textId="77777777" w:rsidR="008C179B" w:rsidRPr="009E7EA6" w:rsidRDefault="008C179B" w:rsidP="009E7EA6">
            <w:pPr>
              <w:ind w:left="720"/>
              <w:jc w:val="center"/>
              <w:rPr>
                <w:rFonts w:ascii="Times New Roman" w:hAnsi="Times New Roman" w:cs="Times New Roman"/>
                <w:sz w:val="18"/>
                <w:szCs w:val="18"/>
              </w:rPr>
            </w:pPr>
          </w:p>
          <w:p w14:paraId="1C1D41C7" w14:textId="68785538" w:rsidR="008C179B" w:rsidRPr="009E7EA6" w:rsidRDefault="008C179B" w:rsidP="009E7EA6">
            <w:pPr>
              <w:numPr>
                <w:ilvl w:val="0"/>
                <w:numId w:val="2"/>
              </w:numPr>
              <w:spacing w:after="120" w:line="276" w:lineRule="auto"/>
              <w:jc w:val="both"/>
              <w:rPr>
                <w:rFonts w:ascii="Times New Roman" w:hAnsi="Times New Roman" w:cs="Times New Roman"/>
                <w:sz w:val="18"/>
                <w:szCs w:val="18"/>
              </w:rPr>
            </w:pPr>
            <w:r w:rsidRPr="009E7EA6">
              <w:rPr>
                <w:rFonts w:ascii="Times New Roman" w:hAnsi="Times New Roman" w:cs="Times New Roman"/>
                <w:sz w:val="18"/>
                <w:szCs w:val="18"/>
              </w:rPr>
              <w:t>Where the Republic of Albania receives the TTIR through automatic exchange from the filing jurisdiction, on the basis of a Qualifying Competent Authority Agreement, local filing shall not be required.</w:t>
            </w:r>
          </w:p>
          <w:p w14:paraId="29712817" w14:textId="77777777" w:rsidR="008C179B" w:rsidRPr="009E7EA6" w:rsidRDefault="008C179B" w:rsidP="009E7EA6">
            <w:pPr>
              <w:numPr>
                <w:ilvl w:val="0"/>
                <w:numId w:val="2"/>
              </w:numPr>
              <w:spacing w:after="120" w:line="276" w:lineRule="auto"/>
              <w:jc w:val="both"/>
              <w:rPr>
                <w:rFonts w:ascii="Times New Roman" w:hAnsi="Times New Roman" w:cs="Times New Roman"/>
                <w:sz w:val="18"/>
                <w:szCs w:val="18"/>
              </w:rPr>
            </w:pPr>
            <w:r w:rsidRPr="009E7EA6">
              <w:rPr>
                <w:rFonts w:ascii="Times New Roman" w:hAnsi="Times New Roman" w:cs="Times New Roman"/>
                <w:sz w:val="18"/>
                <w:szCs w:val="18"/>
              </w:rPr>
              <w:t xml:space="preserve">The General Directorate of Taxation shall maintain and publish a list of Filing Jurisdictions for which a valid legal basis exists </w:t>
            </w:r>
            <w:r w:rsidRPr="009E7EA6">
              <w:rPr>
                <w:rFonts w:ascii="Times New Roman" w:hAnsi="Times New Roman" w:cs="Times New Roman"/>
                <w:sz w:val="18"/>
                <w:szCs w:val="18"/>
              </w:rPr>
              <w:lastRenderedPageBreak/>
              <w:t xml:space="preserve">for the automatic exchange of TTIRs with the Republic of Albania, in accordance with Qualifying Competent Authority Agreements. </w:t>
            </w:r>
          </w:p>
          <w:p w14:paraId="751BC80E" w14:textId="77777777" w:rsidR="008C179B" w:rsidRPr="009E7EA6" w:rsidRDefault="008C179B" w:rsidP="009E7EA6">
            <w:pPr>
              <w:numPr>
                <w:ilvl w:val="0"/>
                <w:numId w:val="2"/>
              </w:numPr>
              <w:spacing w:after="120" w:line="276" w:lineRule="auto"/>
              <w:jc w:val="both"/>
              <w:rPr>
                <w:rFonts w:ascii="Times New Roman" w:hAnsi="Times New Roman" w:cs="Times New Roman"/>
                <w:sz w:val="18"/>
                <w:szCs w:val="18"/>
              </w:rPr>
            </w:pPr>
            <w:r w:rsidRPr="009E7EA6">
              <w:rPr>
                <w:rFonts w:ascii="Times New Roman" w:hAnsi="Times New Roman" w:cs="Times New Roman"/>
                <w:sz w:val="18"/>
                <w:szCs w:val="18"/>
              </w:rPr>
              <w:t xml:space="preserve">The General Directorate of Taxation may require evidence that the central filing has been completed, that the TTIR has been technically accepted or is considered valid under the rules of the Filing Jurisdiction, and that the Filing Jurisdiction will automatically transmit it in accordance with the Qualifying Competent Authority Agreement. </w:t>
            </w:r>
          </w:p>
          <w:p w14:paraId="45D6A8C9" w14:textId="2505B886" w:rsidR="008C179B" w:rsidRPr="009E7EA6" w:rsidRDefault="008C179B" w:rsidP="009E7EA6">
            <w:pPr>
              <w:numPr>
                <w:ilvl w:val="0"/>
                <w:numId w:val="2"/>
              </w:numPr>
              <w:spacing w:after="120" w:line="276" w:lineRule="auto"/>
              <w:jc w:val="both"/>
              <w:rPr>
                <w:rFonts w:ascii="Times New Roman" w:hAnsi="Times New Roman" w:cs="Times New Roman"/>
                <w:sz w:val="18"/>
                <w:szCs w:val="18"/>
              </w:rPr>
            </w:pPr>
            <w:r w:rsidRPr="009E7EA6">
              <w:rPr>
                <w:rFonts w:ascii="Times New Roman" w:hAnsi="Times New Roman" w:cs="Times New Roman"/>
                <w:sz w:val="18"/>
                <w:szCs w:val="18"/>
              </w:rPr>
              <w:t>In the event of reasonable suspicion regarding the absence of automatic exchange or the validity of the Qualifying Competent Authority Agreement, the General Directorate of Taxation may activate the local filing obligation in accordance with the procedure laid down by a Decision of the Council of Ministers</w:t>
            </w:r>
            <w:r w:rsidR="00504689" w:rsidRPr="009E7EA6">
              <w:rPr>
                <w:rFonts w:ascii="Times New Roman" w:hAnsi="Times New Roman" w:cs="Times New Roman"/>
                <w:sz w:val="18"/>
                <w:szCs w:val="18"/>
              </w:rPr>
              <w:t xml:space="preserve"> issued pursuant to this law</w:t>
            </w:r>
            <w:r w:rsidRPr="009E7EA6">
              <w:rPr>
                <w:rFonts w:ascii="Times New Roman" w:hAnsi="Times New Roman" w:cs="Times New Roman"/>
                <w:sz w:val="18"/>
                <w:szCs w:val="18"/>
              </w:rPr>
              <w:t>.</w:t>
            </w:r>
          </w:p>
          <w:p w14:paraId="46F1E989" w14:textId="77777777" w:rsidR="00630198" w:rsidRPr="009E7EA6" w:rsidRDefault="00630198" w:rsidP="009E7EA6">
            <w:pPr>
              <w:pStyle w:val="Heading2"/>
              <w:jc w:val="center"/>
              <w:rPr>
                <w:rFonts w:ascii="Times New Roman" w:eastAsia="Times New Roman" w:hAnsi="Times New Roman" w:cs="Times New Roman"/>
                <w:b/>
                <w:color w:val="000000"/>
                <w:sz w:val="18"/>
                <w:szCs w:val="18"/>
              </w:rPr>
            </w:pPr>
          </w:p>
        </w:tc>
        <w:tc>
          <w:tcPr>
            <w:tcW w:w="1156" w:type="dxa"/>
          </w:tcPr>
          <w:p w14:paraId="499909D5" w14:textId="57160FD8" w:rsidR="00630198" w:rsidRPr="009E7EA6" w:rsidRDefault="008C179B" w:rsidP="009E7EA6">
            <w:pPr>
              <w:jc w:val="center"/>
              <w:rPr>
                <w:rFonts w:ascii="Times New Roman" w:eastAsia="Calibri" w:hAnsi="Times New Roman" w:cs="Times New Roman"/>
                <w:sz w:val="18"/>
                <w:szCs w:val="18"/>
              </w:rPr>
            </w:pPr>
            <w:r w:rsidRPr="009E7EA6">
              <w:rPr>
                <w:rFonts w:ascii="Times New Roman" w:eastAsia="Calibri" w:hAnsi="Times New Roman" w:cs="Times New Roman"/>
                <w:sz w:val="18"/>
                <w:szCs w:val="18"/>
              </w:rPr>
              <w:lastRenderedPageBreak/>
              <w:t>F</w:t>
            </w:r>
          </w:p>
        </w:tc>
        <w:tc>
          <w:tcPr>
            <w:tcW w:w="2960" w:type="dxa"/>
          </w:tcPr>
          <w:p w14:paraId="0F1AFAC9" w14:textId="77777777" w:rsidR="00630198" w:rsidRPr="009E7EA6" w:rsidRDefault="00630198" w:rsidP="009E7EA6">
            <w:pPr>
              <w:rPr>
                <w:rFonts w:ascii="Times New Roman" w:hAnsi="Times New Roman" w:cs="Times New Roman"/>
                <w:sz w:val="18"/>
                <w:szCs w:val="18"/>
              </w:rPr>
            </w:pPr>
          </w:p>
        </w:tc>
      </w:tr>
    </w:tbl>
    <w:p w14:paraId="4E2D4073" w14:textId="6425F125" w:rsidR="009A20F7" w:rsidRPr="009E7EA6" w:rsidRDefault="00F364F1" w:rsidP="00E172D2">
      <w:pPr>
        <w:spacing w:line="240" w:lineRule="auto"/>
        <w:rPr>
          <w:rFonts w:ascii="Times New Roman" w:hAnsi="Times New Roman" w:cs="Times New Roman"/>
          <w:sz w:val="18"/>
          <w:szCs w:val="18"/>
        </w:rPr>
      </w:pPr>
      <w:r w:rsidRPr="009E7EA6">
        <w:rPr>
          <w:rFonts w:ascii="Times New Roman" w:hAnsi="Times New Roman" w:cs="Times New Roman"/>
          <w:sz w:val="18"/>
          <w:szCs w:val="18"/>
        </w:rPr>
        <w:br w:type="textWrapping" w:clear="all"/>
      </w:r>
    </w:p>
    <w:sectPr w:rsidR="009A20F7" w:rsidRPr="009E7EA6" w:rsidSect="003F6C69">
      <w:footerReference w:type="default" r:id="rId11"/>
      <w:pgSz w:w="16838" w:h="11906" w:orient="landscape"/>
      <w:pgMar w:top="170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75EE" w14:textId="77777777" w:rsidR="009D52E7" w:rsidRDefault="009D52E7" w:rsidP="00922FEB">
      <w:pPr>
        <w:spacing w:after="0" w:line="240" w:lineRule="auto"/>
      </w:pPr>
      <w:r>
        <w:separator/>
      </w:r>
    </w:p>
  </w:endnote>
  <w:endnote w:type="continuationSeparator" w:id="0">
    <w:p w14:paraId="45CEB36D" w14:textId="77777777" w:rsidR="009D52E7" w:rsidRDefault="009D52E7"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3ED34257" w:rsidR="00765071" w:rsidRDefault="00765071">
    <w:pPr>
      <w:pStyle w:val="Footer"/>
    </w:pPr>
    <w:r>
      <w:fldChar w:fldCharType="begin"/>
    </w:r>
    <w:r>
      <w:instrText>PAGE   \* MERGEFORMAT</w:instrText>
    </w:r>
    <w:r>
      <w:fldChar w:fldCharType="separate"/>
    </w:r>
    <w:r w:rsidR="00FC060A" w:rsidRPr="00FC060A">
      <w:rPr>
        <w:noProof/>
        <w:lang w:val="sq-AL"/>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A38E" w14:textId="77777777" w:rsidR="009D52E7" w:rsidRDefault="009D52E7" w:rsidP="00922FEB">
      <w:pPr>
        <w:spacing w:after="0" w:line="240" w:lineRule="auto"/>
      </w:pPr>
      <w:r>
        <w:separator/>
      </w:r>
    </w:p>
  </w:footnote>
  <w:footnote w:type="continuationSeparator" w:id="0">
    <w:p w14:paraId="1DE27745" w14:textId="77777777" w:rsidR="009D52E7" w:rsidRDefault="009D52E7" w:rsidP="009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34E4C"/>
    <w:multiLevelType w:val="multilevel"/>
    <w:tmpl w:val="ECBA29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D1C2BE7"/>
    <w:multiLevelType w:val="multilevel"/>
    <w:tmpl w:val="C964BB1A"/>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0293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99888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FB"/>
    <w:rsid w:val="0000140B"/>
    <w:rsid w:val="000144FB"/>
    <w:rsid w:val="00015086"/>
    <w:rsid w:val="00016C4D"/>
    <w:rsid w:val="00017CC1"/>
    <w:rsid w:val="00020AE3"/>
    <w:rsid w:val="00026CC0"/>
    <w:rsid w:val="000339C8"/>
    <w:rsid w:val="00034129"/>
    <w:rsid w:val="00036F88"/>
    <w:rsid w:val="000437DD"/>
    <w:rsid w:val="00052607"/>
    <w:rsid w:val="00052664"/>
    <w:rsid w:val="00053923"/>
    <w:rsid w:val="0005500A"/>
    <w:rsid w:val="00061FFB"/>
    <w:rsid w:val="00062524"/>
    <w:rsid w:val="00065705"/>
    <w:rsid w:val="00075318"/>
    <w:rsid w:val="00075E79"/>
    <w:rsid w:val="00076B31"/>
    <w:rsid w:val="00077A9A"/>
    <w:rsid w:val="00080E02"/>
    <w:rsid w:val="00081BC1"/>
    <w:rsid w:val="00082EBC"/>
    <w:rsid w:val="000916B6"/>
    <w:rsid w:val="00092CAE"/>
    <w:rsid w:val="00093110"/>
    <w:rsid w:val="00095ECC"/>
    <w:rsid w:val="000A1939"/>
    <w:rsid w:val="000A26EF"/>
    <w:rsid w:val="000A38FB"/>
    <w:rsid w:val="000A7EA3"/>
    <w:rsid w:val="000B014A"/>
    <w:rsid w:val="000B05B4"/>
    <w:rsid w:val="000B1124"/>
    <w:rsid w:val="000B162F"/>
    <w:rsid w:val="000B190A"/>
    <w:rsid w:val="000B19FC"/>
    <w:rsid w:val="000B4CF9"/>
    <w:rsid w:val="000B5E85"/>
    <w:rsid w:val="000C019E"/>
    <w:rsid w:val="000C09CF"/>
    <w:rsid w:val="000C227B"/>
    <w:rsid w:val="000C4C00"/>
    <w:rsid w:val="000D0E76"/>
    <w:rsid w:val="000D4CD0"/>
    <w:rsid w:val="000D6E38"/>
    <w:rsid w:val="000D77FB"/>
    <w:rsid w:val="000D7CA4"/>
    <w:rsid w:val="000D7DCD"/>
    <w:rsid w:val="000E0147"/>
    <w:rsid w:val="000E09F3"/>
    <w:rsid w:val="000E1010"/>
    <w:rsid w:val="000E2BC3"/>
    <w:rsid w:val="000E4DE0"/>
    <w:rsid w:val="000E5AC4"/>
    <w:rsid w:val="000E668E"/>
    <w:rsid w:val="001024E6"/>
    <w:rsid w:val="00103497"/>
    <w:rsid w:val="00106912"/>
    <w:rsid w:val="0010722F"/>
    <w:rsid w:val="0010735E"/>
    <w:rsid w:val="001123ED"/>
    <w:rsid w:val="001207DE"/>
    <w:rsid w:val="00121010"/>
    <w:rsid w:val="00125EE3"/>
    <w:rsid w:val="0012611C"/>
    <w:rsid w:val="00126634"/>
    <w:rsid w:val="00140D96"/>
    <w:rsid w:val="00142D73"/>
    <w:rsid w:val="00147A54"/>
    <w:rsid w:val="001520C0"/>
    <w:rsid w:val="0015399E"/>
    <w:rsid w:val="00153CCC"/>
    <w:rsid w:val="00154981"/>
    <w:rsid w:val="001552C4"/>
    <w:rsid w:val="0015599D"/>
    <w:rsid w:val="00160121"/>
    <w:rsid w:val="001619E7"/>
    <w:rsid w:val="00164114"/>
    <w:rsid w:val="00164173"/>
    <w:rsid w:val="00170836"/>
    <w:rsid w:val="00171AE3"/>
    <w:rsid w:val="001775D3"/>
    <w:rsid w:val="00185FF3"/>
    <w:rsid w:val="00190654"/>
    <w:rsid w:val="00191477"/>
    <w:rsid w:val="0019465F"/>
    <w:rsid w:val="00194A4B"/>
    <w:rsid w:val="001A054E"/>
    <w:rsid w:val="001A1CC0"/>
    <w:rsid w:val="001A223E"/>
    <w:rsid w:val="001A240D"/>
    <w:rsid w:val="001B46A8"/>
    <w:rsid w:val="001B4AFB"/>
    <w:rsid w:val="001B4F3F"/>
    <w:rsid w:val="001C2405"/>
    <w:rsid w:val="001C7741"/>
    <w:rsid w:val="001C7AC5"/>
    <w:rsid w:val="001D180F"/>
    <w:rsid w:val="001D413A"/>
    <w:rsid w:val="001D652C"/>
    <w:rsid w:val="001D75F8"/>
    <w:rsid w:val="001E074F"/>
    <w:rsid w:val="001E2141"/>
    <w:rsid w:val="001E566F"/>
    <w:rsid w:val="001E71E0"/>
    <w:rsid w:val="001F0349"/>
    <w:rsid w:val="001F2CB3"/>
    <w:rsid w:val="001F3413"/>
    <w:rsid w:val="001F3E2D"/>
    <w:rsid w:val="001F6E50"/>
    <w:rsid w:val="001F7BBC"/>
    <w:rsid w:val="00200996"/>
    <w:rsid w:val="00200AA9"/>
    <w:rsid w:val="00206532"/>
    <w:rsid w:val="00206694"/>
    <w:rsid w:val="00207E2E"/>
    <w:rsid w:val="00212234"/>
    <w:rsid w:val="00216CB5"/>
    <w:rsid w:val="00217B98"/>
    <w:rsid w:val="00217FFD"/>
    <w:rsid w:val="002234E1"/>
    <w:rsid w:val="0022418D"/>
    <w:rsid w:val="00226B07"/>
    <w:rsid w:val="002351EE"/>
    <w:rsid w:val="00236C1E"/>
    <w:rsid w:val="00237085"/>
    <w:rsid w:val="00241058"/>
    <w:rsid w:val="00241DAE"/>
    <w:rsid w:val="00242D3A"/>
    <w:rsid w:val="00243A1A"/>
    <w:rsid w:val="0024728F"/>
    <w:rsid w:val="00247573"/>
    <w:rsid w:val="00250974"/>
    <w:rsid w:val="00250B34"/>
    <w:rsid w:val="002511E0"/>
    <w:rsid w:val="00255245"/>
    <w:rsid w:val="00256570"/>
    <w:rsid w:val="002604F5"/>
    <w:rsid w:val="00260632"/>
    <w:rsid w:val="00261EE3"/>
    <w:rsid w:val="00262E99"/>
    <w:rsid w:val="002652D5"/>
    <w:rsid w:val="00265C53"/>
    <w:rsid w:val="00266B43"/>
    <w:rsid w:val="002675D8"/>
    <w:rsid w:val="00271F5B"/>
    <w:rsid w:val="00273323"/>
    <w:rsid w:val="0027774B"/>
    <w:rsid w:val="002826E4"/>
    <w:rsid w:val="00282FA2"/>
    <w:rsid w:val="00287B86"/>
    <w:rsid w:val="002973DE"/>
    <w:rsid w:val="002A2DF8"/>
    <w:rsid w:val="002A580A"/>
    <w:rsid w:val="002A59EF"/>
    <w:rsid w:val="002B02E4"/>
    <w:rsid w:val="002B3094"/>
    <w:rsid w:val="002B3D21"/>
    <w:rsid w:val="002B44A1"/>
    <w:rsid w:val="002B731D"/>
    <w:rsid w:val="002C1FF8"/>
    <w:rsid w:val="002C6E4F"/>
    <w:rsid w:val="002C733F"/>
    <w:rsid w:val="002C7F03"/>
    <w:rsid w:val="002D0742"/>
    <w:rsid w:val="002D2221"/>
    <w:rsid w:val="002D529D"/>
    <w:rsid w:val="002D574D"/>
    <w:rsid w:val="002D7485"/>
    <w:rsid w:val="002E6526"/>
    <w:rsid w:val="002F0182"/>
    <w:rsid w:val="002F76DE"/>
    <w:rsid w:val="00301958"/>
    <w:rsid w:val="0030526E"/>
    <w:rsid w:val="00310B3D"/>
    <w:rsid w:val="00310CA4"/>
    <w:rsid w:val="00310D63"/>
    <w:rsid w:val="0031114B"/>
    <w:rsid w:val="003116B5"/>
    <w:rsid w:val="0031566F"/>
    <w:rsid w:val="00317005"/>
    <w:rsid w:val="00322C4F"/>
    <w:rsid w:val="00332366"/>
    <w:rsid w:val="00335C48"/>
    <w:rsid w:val="00344587"/>
    <w:rsid w:val="00345085"/>
    <w:rsid w:val="0035145A"/>
    <w:rsid w:val="003518E4"/>
    <w:rsid w:val="00352442"/>
    <w:rsid w:val="003541B4"/>
    <w:rsid w:val="00357D61"/>
    <w:rsid w:val="00361C42"/>
    <w:rsid w:val="00364559"/>
    <w:rsid w:val="00367004"/>
    <w:rsid w:val="0037327C"/>
    <w:rsid w:val="00374572"/>
    <w:rsid w:val="00381019"/>
    <w:rsid w:val="003850BB"/>
    <w:rsid w:val="00391383"/>
    <w:rsid w:val="00395E2E"/>
    <w:rsid w:val="003966B5"/>
    <w:rsid w:val="003A4D2E"/>
    <w:rsid w:val="003A75B8"/>
    <w:rsid w:val="003B191B"/>
    <w:rsid w:val="003B1CE7"/>
    <w:rsid w:val="003B7C4A"/>
    <w:rsid w:val="003C045B"/>
    <w:rsid w:val="003C1E87"/>
    <w:rsid w:val="003C2EAB"/>
    <w:rsid w:val="003C496C"/>
    <w:rsid w:val="003C4AC6"/>
    <w:rsid w:val="003C63BE"/>
    <w:rsid w:val="003C79E1"/>
    <w:rsid w:val="003D4694"/>
    <w:rsid w:val="003D4F83"/>
    <w:rsid w:val="003E2711"/>
    <w:rsid w:val="003F12A2"/>
    <w:rsid w:val="003F6A79"/>
    <w:rsid w:val="003F6C69"/>
    <w:rsid w:val="004003B3"/>
    <w:rsid w:val="00400C6E"/>
    <w:rsid w:val="004020E6"/>
    <w:rsid w:val="0040246D"/>
    <w:rsid w:val="004024D0"/>
    <w:rsid w:val="00405A74"/>
    <w:rsid w:val="00410A88"/>
    <w:rsid w:val="004152C7"/>
    <w:rsid w:val="00415BDC"/>
    <w:rsid w:val="004164B2"/>
    <w:rsid w:val="00416E2E"/>
    <w:rsid w:val="004224EA"/>
    <w:rsid w:val="00424D4A"/>
    <w:rsid w:val="0042577F"/>
    <w:rsid w:val="00427624"/>
    <w:rsid w:val="0042786A"/>
    <w:rsid w:val="00427E4C"/>
    <w:rsid w:val="00427EE2"/>
    <w:rsid w:val="0043228D"/>
    <w:rsid w:val="00433DB0"/>
    <w:rsid w:val="00444554"/>
    <w:rsid w:val="004457A1"/>
    <w:rsid w:val="00450C23"/>
    <w:rsid w:val="00451218"/>
    <w:rsid w:val="00451313"/>
    <w:rsid w:val="00452957"/>
    <w:rsid w:val="00454A50"/>
    <w:rsid w:val="00456EFB"/>
    <w:rsid w:val="004570E7"/>
    <w:rsid w:val="00462F38"/>
    <w:rsid w:val="00463860"/>
    <w:rsid w:val="00463D26"/>
    <w:rsid w:val="0047211B"/>
    <w:rsid w:val="00472C5C"/>
    <w:rsid w:val="004738EE"/>
    <w:rsid w:val="004745E6"/>
    <w:rsid w:val="00476A5C"/>
    <w:rsid w:val="004812F5"/>
    <w:rsid w:val="004816E5"/>
    <w:rsid w:val="004833A3"/>
    <w:rsid w:val="004857FB"/>
    <w:rsid w:val="00493D44"/>
    <w:rsid w:val="00497724"/>
    <w:rsid w:val="004A1713"/>
    <w:rsid w:val="004A3603"/>
    <w:rsid w:val="004A36CD"/>
    <w:rsid w:val="004A4B29"/>
    <w:rsid w:val="004B49BC"/>
    <w:rsid w:val="004B7E97"/>
    <w:rsid w:val="004B7F04"/>
    <w:rsid w:val="004C2EE7"/>
    <w:rsid w:val="004D0576"/>
    <w:rsid w:val="004D2AD5"/>
    <w:rsid w:val="004D36D7"/>
    <w:rsid w:val="004D3792"/>
    <w:rsid w:val="004D4A5A"/>
    <w:rsid w:val="004E0D2B"/>
    <w:rsid w:val="004E2956"/>
    <w:rsid w:val="004E30E5"/>
    <w:rsid w:val="004E3897"/>
    <w:rsid w:val="004E4138"/>
    <w:rsid w:val="004E7716"/>
    <w:rsid w:val="004F0084"/>
    <w:rsid w:val="004F0109"/>
    <w:rsid w:val="004F2266"/>
    <w:rsid w:val="004F27D1"/>
    <w:rsid w:val="004F5B78"/>
    <w:rsid w:val="004F619A"/>
    <w:rsid w:val="004F637B"/>
    <w:rsid w:val="004F7895"/>
    <w:rsid w:val="005002A2"/>
    <w:rsid w:val="005007CA"/>
    <w:rsid w:val="0050266C"/>
    <w:rsid w:val="00502F25"/>
    <w:rsid w:val="00504689"/>
    <w:rsid w:val="00504FD2"/>
    <w:rsid w:val="0050578D"/>
    <w:rsid w:val="00510FD6"/>
    <w:rsid w:val="005222ED"/>
    <w:rsid w:val="00523BD5"/>
    <w:rsid w:val="00526C4D"/>
    <w:rsid w:val="00532F36"/>
    <w:rsid w:val="00534507"/>
    <w:rsid w:val="00534722"/>
    <w:rsid w:val="00536BD1"/>
    <w:rsid w:val="00536F48"/>
    <w:rsid w:val="005373C7"/>
    <w:rsid w:val="00542046"/>
    <w:rsid w:val="00542B90"/>
    <w:rsid w:val="00544726"/>
    <w:rsid w:val="00545293"/>
    <w:rsid w:val="0054653E"/>
    <w:rsid w:val="00546900"/>
    <w:rsid w:val="00555B0E"/>
    <w:rsid w:val="00561970"/>
    <w:rsid w:val="00562EF5"/>
    <w:rsid w:val="0056390B"/>
    <w:rsid w:val="005721F0"/>
    <w:rsid w:val="005739CF"/>
    <w:rsid w:val="005740C8"/>
    <w:rsid w:val="0058092D"/>
    <w:rsid w:val="00581189"/>
    <w:rsid w:val="005828C1"/>
    <w:rsid w:val="00591261"/>
    <w:rsid w:val="00591577"/>
    <w:rsid w:val="0059538D"/>
    <w:rsid w:val="005A2933"/>
    <w:rsid w:val="005A3A0B"/>
    <w:rsid w:val="005A7288"/>
    <w:rsid w:val="005B3B67"/>
    <w:rsid w:val="005B425E"/>
    <w:rsid w:val="005B76CF"/>
    <w:rsid w:val="005C2C12"/>
    <w:rsid w:val="005C5778"/>
    <w:rsid w:val="005D1762"/>
    <w:rsid w:val="005D2CA7"/>
    <w:rsid w:val="005D6115"/>
    <w:rsid w:val="005D7747"/>
    <w:rsid w:val="005E10BC"/>
    <w:rsid w:val="005E5DCC"/>
    <w:rsid w:val="005E65A8"/>
    <w:rsid w:val="005E6AA8"/>
    <w:rsid w:val="005F1B9C"/>
    <w:rsid w:val="005F434C"/>
    <w:rsid w:val="005F57EB"/>
    <w:rsid w:val="0060204E"/>
    <w:rsid w:val="00612E0E"/>
    <w:rsid w:val="00613D48"/>
    <w:rsid w:val="0061684B"/>
    <w:rsid w:val="00617362"/>
    <w:rsid w:val="00623590"/>
    <w:rsid w:val="00627580"/>
    <w:rsid w:val="00630198"/>
    <w:rsid w:val="0063030D"/>
    <w:rsid w:val="006310DD"/>
    <w:rsid w:val="00632923"/>
    <w:rsid w:val="006340E5"/>
    <w:rsid w:val="00635147"/>
    <w:rsid w:val="0064231D"/>
    <w:rsid w:val="006444CD"/>
    <w:rsid w:val="00651851"/>
    <w:rsid w:val="00654FB9"/>
    <w:rsid w:val="006566CD"/>
    <w:rsid w:val="00657867"/>
    <w:rsid w:val="0066027E"/>
    <w:rsid w:val="006618BF"/>
    <w:rsid w:val="0066667D"/>
    <w:rsid w:val="00666B47"/>
    <w:rsid w:val="0067247A"/>
    <w:rsid w:val="006726C3"/>
    <w:rsid w:val="00672C4E"/>
    <w:rsid w:val="0067483B"/>
    <w:rsid w:val="00676111"/>
    <w:rsid w:val="0067730A"/>
    <w:rsid w:val="006774B8"/>
    <w:rsid w:val="00695317"/>
    <w:rsid w:val="006953D8"/>
    <w:rsid w:val="006A09C7"/>
    <w:rsid w:val="006A2D4D"/>
    <w:rsid w:val="006A69E9"/>
    <w:rsid w:val="006B0D0A"/>
    <w:rsid w:val="006B323C"/>
    <w:rsid w:val="006B7ABD"/>
    <w:rsid w:val="006C1477"/>
    <w:rsid w:val="006C1526"/>
    <w:rsid w:val="006C1BCA"/>
    <w:rsid w:val="006C4222"/>
    <w:rsid w:val="006C7B60"/>
    <w:rsid w:val="006D6109"/>
    <w:rsid w:val="006D648E"/>
    <w:rsid w:val="006E3A8B"/>
    <w:rsid w:val="006E3CA8"/>
    <w:rsid w:val="006E7F7A"/>
    <w:rsid w:val="006E7FA1"/>
    <w:rsid w:val="006F2527"/>
    <w:rsid w:val="006F2F12"/>
    <w:rsid w:val="006F5295"/>
    <w:rsid w:val="007006CF"/>
    <w:rsid w:val="00700F75"/>
    <w:rsid w:val="00703F01"/>
    <w:rsid w:val="007045CF"/>
    <w:rsid w:val="00705280"/>
    <w:rsid w:val="00706107"/>
    <w:rsid w:val="0071079D"/>
    <w:rsid w:val="00710999"/>
    <w:rsid w:val="00714B51"/>
    <w:rsid w:val="007155A5"/>
    <w:rsid w:val="00717DF3"/>
    <w:rsid w:val="00720B64"/>
    <w:rsid w:val="0072295D"/>
    <w:rsid w:val="00723BB2"/>
    <w:rsid w:val="00724305"/>
    <w:rsid w:val="007251FA"/>
    <w:rsid w:val="007277B4"/>
    <w:rsid w:val="00732339"/>
    <w:rsid w:val="007335F5"/>
    <w:rsid w:val="00736441"/>
    <w:rsid w:val="007432DD"/>
    <w:rsid w:val="00745147"/>
    <w:rsid w:val="007462E6"/>
    <w:rsid w:val="00746656"/>
    <w:rsid w:val="0074682E"/>
    <w:rsid w:val="00746F5E"/>
    <w:rsid w:val="007477A7"/>
    <w:rsid w:val="007536E6"/>
    <w:rsid w:val="007556BD"/>
    <w:rsid w:val="00757BFC"/>
    <w:rsid w:val="00760919"/>
    <w:rsid w:val="00760A37"/>
    <w:rsid w:val="00765071"/>
    <w:rsid w:val="0076650E"/>
    <w:rsid w:val="00766567"/>
    <w:rsid w:val="007668CC"/>
    <w:rsid w:val="00766BAF"/>
    <w:rsid w:val="0076782F"/>
    <w:rsid w:val="007731D9"/>
    <w:rsid w:val="007743FD"/>
    <w:rsid w:val="00775A2D"/>
    <w:rsid w:val="0077636B"/>
    <w:rsid w:val="00780F53"/>
    <w:rsid w:val="00783079"/>
    <w:rsid w:val="00786B1B"/>
    <w:rsid w:val="00794E58"/>
    <w:rsid w:val="007A1CE1"/>
    <w:rsid w:val="007A24BB"/>
    <w:rsid w:val="007A64BB"/>
    <w:rsid w:val="007B00C7"/>
    <w:rsid w:val="007B1822"/>
    <w:rsid w:val="007B312A"/>
    <w:rsid w:val="007C025E"/>
    <w:rsid w:val="007C217F"/>
    <w:rsid w:val="007C23D6"/>
    <w:rsid w:val="007C3F0C"/>
    <w:rsid w:val="007C5223"/>
    <w:rsid w:val="007D6215"/>
    <w:rsid w:val="007D6CB1"/>
    <w:rsid w:val="007E346B"/>
    <w:rsid w:val="007E431F"/>
    <w:rsid w:val="007E488D"/>
    <w:rsid w:val="007E7719"/>
    <w:rsid w:val="007F0768"/>
    <w:rsid w:val="007F323E"/>
    <w:rsid w:val="007F3CF1"/>
    <w:rsid w:val="007F5D33"/>
    <w:rsid w:val="007F6D0C"/>
    <w:rsid w:val="008018C3"/>
    <w:rsid w:val="008036D5"/>
    <w:rsid w:val="0080541B"/>
    <w:rsid w:val="00810F77"/>
    <w:rsid w:val="00823714"/>
    <w:rsid w:val="00830C7D"/>
    <w:rsid w:val="00835CD6"/>
    <w:rsid w:val="008363D3"/>
    <w:rsid w:val="00840BC8"/>
    <w:rsid w:val="00844881"/>
    <w:rsid w:val="0084519E"/>
    <w:rsid w:val="008465B0"/>
    <w:rsid w:val="0085013E"/>
    <w:rsid w:val="00854007"/>
    <w:rsid w:val="0085501A"/>
    <w:rsid w:val="00857138"/>
    <w:rsid w:val="00861003"/>
    <w:rsid w:val="00865C4F"/>
    <w:rsid w:val="008723DD"/>
    <w:rsid w:val="00873538"/>
    <w:rsid w:val="00873B84"/>
    <w:rsid w:val="00874BD7"/>
    <w:rsid w:val="00876F48"/>
    <w:rsid w:val="00877039"/>
    <w:rsid w:val="00880C14"/>
    <w:rsid w:val="008829C8"/>
    <w:rsid w:val="00883E0C"/>
    <w:rsid w:val="00886049"/>
    <w:rsid w:val="00886459"/>
    <w:rsid w:val="0088678D"/>
    <w:rsid w:val="008876A4"/>
    <w:rsid w:val="0089224E"/>
    <w:rsid w:val="008A3696"/>
    <w:rsid w:val="008A5926"/>
    <w:rsid w:val="008B055C"/>
    <w:rsid w:val="008B39B5"/>
    <w:rsid w:val="008B5730"/>
    <w:rsid w:val="008B6E7F"/>
    <w:rsid w:val="008C06D1"/>
    <w:rsid w:val="008C179B"/>
    <w:rsid w:val="008C6992"/>
    <w:rsid w:val="008C7CE9"/>
    <w:rsid w:val="008D5CE4"/>
    <w:rsid w:val="008D5DD4"/>
    <w:rsid w:val="008D76F5"/>
    <w:rsid w:val="008E267F"/>
    <w:rsid w:val="008E382D"/>
    <w:rsid w:val="008E4B3C"/>
    <w:rsid w:val="008E4DCF"/>
    <w:rsid w:val="008E5E6C"/>
    <w:rsid w:val="008F0B14"/>
    <w:rsid w:val="008F7A0F"/>
    <w:rsid w:val="00900733"/>
    <w:rsid w:val="00900CDD"/>
    <w:rsid w:val="0090345E"/>
    <w:rsid w:val="00903483"/>
    <w:rsid w:val="00905100"/>
    <w:rsid w:val="009116FC"/>
    <w:rsid w:val="00912A81"/>
    <w:rsid w:val="00914927"/>
    <w:rsid w:val="00916618"/>
    <w:rsid w:val="00922214"/>
    <w:rsid w:val="00922CBA"/>
    <w:rsid w:val="00922FEB"/>
    <w:rsid w:val="0093106A"/>
    <w:rsid w:val="00937073"/>
    <w:rsid w:val="0093777F"/>
    <w:rsid w:val="00937900"/>
    <w:rsid w:val="0094134A"/>
    <w:rsid w:val="009432E4"/>
    <w:rsid w:val="00943DF9"/>
    <w:rsid w:val="00946891"/>
    <w:rsid w:val="00947346"/>
    <w:rsid w:val="00950BE7"/>
    <w:rsid w:val="0095143E"/>
    <w:rsid w:val="00954EFF"/>
    <w:rsid w:val="00956D2D"/>
    <w:rsid w:val="00960EA3"/>
    <w:rsid w:val="00961CE2"/>
    <w:rsid w:val="009669F8"/>
    <w:rsid w:val="00973DF3"/>
    <w:rsid w:val="009740A1"/>
    <w:rsid w:val="009770D2"/>
    <w:rsid w:val="00981BFF"/>
    <w:rsid w:val="009822C7"/>
    <w:rsid w:val="009837C8"/>
    <w:rsid w:val="00984729"/>
    <w:rsid w:val="00986E09"/>
    <w:rsid w:val="00990A3C"/>
    <w:rsid w:val="00991E9A"/>
    <w:rsid w:val="009930BD"/>
    <w:rsid w:val="0099499F"/>
    <w:rsid w:val="00996667"/>
    <w:rsid w:val="009A05BF"/>
    <w:rsid w:val="009A0775"/>
    <w:rsid w:val="009A20F7"/>
    <w:rsid w:val="009A46CF"/>
    <w:rsid w:val="009A5F58"/>
    <w:rsid w:val="009B2315"/>
    <w:rsid w:val="009C4544"/>
    <w:rsid w:val="009C4AB8"/>
    <w:rsid w:val="009C6155"/>
    <w:rsid w:val="009C71E4"/>
    <w:rsid w:val="009D0B38"/>
    <w:rsid w:val="009D14DE"/>
    <w:rsid w:val="009D26C0"/>
    <w:rsid w:val="009D3F82"/>
    <w:rsid w:val="009D52E7"/>
    <w:rsid w:val="009D5612"/>
    <w:rsid w:val="009D64A3"/>
    <w:rsid w:val="009E06AE"/>
    <w:rsid w:val="009E08DD"/>
    <w:rsid w:val="009E0C89"/>
    <w:rsid w:val="009E22EF"/>
    <w:rsid w:val="009E29DA"/>
    <w:rsid w:val="009E4A2F"/>
    <w:rsid w:val="009E6BD3"/>
    <w:rsid w:val="009E7EA6"/>
    <w:rsid w:val="009F0018"/>
    <w:rsid w:val="009F018B"/>
    <w:rsid w:val="009F0E45"/>
    <w:rsid w:val="009F2891"/>
    <w:rsid w:val="009F4771"/>
    <w:rsid w:val="00A106AB"/>
    <w:rsid w:val="00A10ABB"/>
    <w:rsid w:val="00A11922"/>
    <w:rsid w:val="00A12F75"/>
    <w:rsid w:val="00A22CD6"/>
    <w:rsid w:val="00A231BF"/>
    <w:rsid w:val="00A235BE"/>
    <w:rsid w:val="00A23CE3"/>
    <w:rsid w:val="00A25B73"/>
    <w:rsid w:val="00A25D4A"/>
    <w:rsid w:val="00A26FC2"/>
    <w:rsid w:val="00A34557"/>
    <w:rsid w:val="00A345DE"/>
    <w:rsid w:val="00A40F57"/>
    <w:rsid w:val="00A42124"/>
    <w:rsid w:val="00A43694"/>
    <w:rsid w:val="00A43EA9"/>
    <w:rsid w:val="00A45944"/>
    <w:rsid w:val="00A57D3C"/>
    <w:rsid w:val="00A61AEB"/>
    <w:rsid w:val="00A625F8"/>
    <w:rsid w:val="00A64D34"/>
    <w:rsid w:val="00A67CB1"/>
    <w:rsid w:val="00A7637A"/>
    <w:rsid w:val="00A7784E"/>
    <w:rsid w:val="00A8172F"/>
    <w:rsid w:val="00A835CB"/>
    <w:rsid w:val="00A8449D"/>
    <w:rsid w:val="00A9181F"/>
    <w:rsid w:val="00A93747"/>
    <w:rsid w:val="00A96A0F"/>
    <w:rsid w:val="00A96B7A"/>
    <w:rsid w:val="00A96FAA"/>
    <w:rsid w:val="00A97512"/>
    <w:rsid w:val="00AA1B31"/>
    <w:rsid w:val="00AA2A3A"/>
    <w:rsid w:val="00AA68CF"/>
    <w:rsid w:val="00AB0BE6"/>
    <w:rsid w:val="00AB296B"/>
    <w:rsid w:val="00AB435E"/>
    <w:rsid w:val="00AB4788"/>
    <w:rsid w:val="00AB517D"/>
    <w:rsid w:val="00AB6BA4"/>
    <w:rsid w:val="00AC3A97"/>
    <w:rsid w:val="00AC3DAE"/>
    <w:rsid w:val="00AC4CF3"/>
    <w:rsid w:val="00AC5123"/>
    <w:rsid w:val="00AC59BE"/>
    <w:rsid w:val="00AD0ED0"/>
    <w:rsid w:val="00AD0F34"/>
    <w:rsid w:val="00AD5C20"/>
    <w:rsid w:val="00AD6055"/>
    <w:rsid w:val="00AD61E7"/>
    <w:rsid w:val="00AD7342"/>
    <w:rsid w:val="00AD7C53"/>
    <w:rsid w:val="00AE3E8F"/>
    <w:rsid w:val="00AE5216"/>
    <w:rsid w:val="00AF0520"/>
    <w:rsid w:val="00AF1AA4"/>
    <w:rsid w:val="00AF1DCF"/>
    <w:rsid w:val="00AF2598"/>
    <w:rsid w:val="00AF3271"/>
    <w:rsid w:val="00AF6187"/>
    <w:rsid w:val="00AF6E05"/>
    <w:rsid w:val="00AF7139"/>
    <w:rsid w:val="00B02FF5"/>
    <w:rsid w:val="00B03A2F"/>
    <w:rsid w:val="00B058FC"/>
    <w:rsid w:val="00B06D2C"/>
    <w:rsid w:val="00B114DB"/>
    <w:rsid w:val="00B12B57"/>
    <w:rsid w:val="00B13469"/>
    <w:rsid w:val="00B15547"/>
    <w:rsid w:val="00B1652A"/>
    <w:rsid w:val="00B167C6"/>
    <w:rsid w:val="00B16F37"/>
    <w:rsid w:val="00B17414"/>
    <w:rsid w:val="00B21860"/>
    <w:rsid w:val="00B25191"/>
    <w:rsid w:val="00B255FB"/>
    <w:rsid w:val="00B259CE"/>
    <w:rsid w:val="00B306D3"/>
    <w:rsid w:val="00B353DE"/>
    <w:rsid w:val="00B37AA1"/>
    <w:rsid w:val="00B46145"/>
    <w:rsid w:val="00B503DF"/>
    <w:rsid w:val="00B5370F"/>
    <w:rsid w:val="00B63161"/>
    <w:rsid w:val="00B6607B"/>
    <w:rsid w:val="00B6709E"/>
    <w:rsid w:val="00B70DBE"/>
    <w:rsid w:val="00B72C75"/>
    <w:rsid w:val="00B76DBB"/>
    <w:rsid w:val="00B812B2"/>
    <w:rsid w:val="00B84C5E"/>
    <w:rsid w:val="00B909DA"/>
    <w:rsid w:val="00B9571F"/>
    <w:rsid w:val="00B96DD0"/>
    <w:rsid w:val="00BA5747"/>
    <w:rsid w:val="00BA7CDB"/>
    <w:rsid w:val="00BA7D26"/>
    <w:rsid w:val="00BB2ED5"/>
    <w:rsid w:val="00BB6DD9"/>
    <w:rsid w:val="00BC3517"/>
    <w:rsid w:val="00BC4268"/>
    <w:rsid w:val="00BC5DCD"/>
    <w:rsid w:val="00BD02F2"/>
    <w:rsid w:val="00BD1B8F"/>
    <w:rsid w:val="00BD3625"/>
    <w:rsid w:val="00BD7236"/>
    <w:rsid w:val="00BE2ADC"/>
    <w:rsid w:val="00BE44C9"/>
    <w:rsid w:val="00BE6AC7"/>
    <w:rsid w:val="00BE7055"/>
    <w:rsid w:val="00BF099B"/>
    <w:rsid w:val="00BF173E"/>
    <w:rsid w:val="00BF18F7"/>
    <w:rsid w:val="00BF5500"/>
    <w:rsid w:val="00BF76F8"/>
    <w:rsid w:val="00C0015B"/>
    <w:rsid w:val="00C04EE6"/>
    <w:rsid w:val="00C04FDF"/>
    <w:rsid w:val="00C0516B"/>
    <w:rsid w:val="00C11ACA"/>
    <w:rsid w:val="00C155F2"/>
    <w:rsid w:val="00C23FE6"/>
    <w:rsid w:val="00C32352"/>
    <w:rsid w:val="00C327BA"/>
    <w:rsid w:val="00C332D0"/>
    <w:rsid w:val="00C34A80"/>
    <w:rsid w:val="00C355B7"/>
    <w:rsid w:val="00C378C4"/>
    <w:rsid w:val="00C428C9"/>
    <w:rsid w:val="00C45CE8"/>
    <w:rsid w:val="00C46499"/>
    <w:rsid w:val="00C52639"/>
    <w:rsid w:val="00C52BF2"/>
    <w:rsid w:val="00C54DF6"/>
    <w:rsid w:val="00C569B0"/>
    <w:rsid w:val="00C60A86"/>
    <w:rsid w:val="00C63F93"/>
    <w:rsid w:val="00C64C7A"/>
    <w:rsid w:val="00C66519"/>
    <w:rsid w:val="00C714C9"/>
    <w:rsid w:val="00C71B16"/>
    <w:rsid w:val="00C7263F"/>
    <w:rsid w:val="00C733C8"/>
    <w:rsid w:val="00C815F0"/>
    <w:rsid w:val="00C82DD3"/>
    <w:rsid w:val="00C85409"/>
    <w:rsid w:val="00C85E90"/>
    <w:rsid w:val="00C86A4A"/>
    <w:rsid w:val="00C90DD5"/>
    <w:rsid w:val="00C913FB"/>
    <w:rsid w:val="00C917BB"/>
    <w:rsid w:val="00C92686"/>
    <w:rsid w:val="00C93E05"/>
    <w:rsid w:val="00C9465F"/>
    <w:rsid w:val="00C947F4"/>
    <w:rsid w:val="00CA00ED"/>
    <w:rsid w:val="00CA04A6"/>
    <w:rsid w:val="00CA069C"/>
    <w:rsid w:val="00CA1C4C"/>
    <w:rsid w:val="00CA76DC"/>
    <w:rsid w:val="00CB0400"/>
    <w:rsid w:val="00CB4834"/>
    <w:rsid w:val="00CB6827"/>
    <w:rsid w:val="00CB7E55"/>
    <w:rsid w:val="00CC0BDE"/>
    <w:rsid w:val="00CC146E"/>
    <w:rsid w:val="00CC3FA6"/>
    <w:rsid w:val="00CC583E"/>
    <w:rsid w:val="00CD074A"/>
    <w:rsid w:val="00CD0902"/>
    <w:rsid w:val="00CD260C"/>
    <w:rsid w:val="00CD3FEC"/>
    <w:rsid w:val="00CD42B9"/>
    <w:rsid w:val="00CD6E0B"/>
    <w:rsid w:val="00CE37E5"/>
    <w:rsid w:val="00CE58C1"/>
    <w:rsid w:val="00CE6B7A"/>
    <w:rsid w:val="00CE707E"/>
    <w:rsid w:val="00D00AE0"/>
    <w:rsid w:val="00D026D5"/>
    <w:rsid w:val="00D0274A"/>
    <w:rsid w:val="00D1104B"/>
    <w:rsid w:val="00D14FD8"/>
    <w:rsid w:val="00D15CBC"/>
    <w:rsid w:val="00D15D65"/>
    <w:rsid w:val="00D17890"/>
    <w:rsid w:val="00D23DA5"/>
    <w:rsid w:val="00D24852"/>
    <w:rsid w:val="00D27C06"/>
    <w:rsid w:val="00D35B3D"/>
    <w:rsid w:val="00D40364"/>
    <w:rsid w:val="00D41BE4"/>
    <w:rsid w:val="00D429B0"/>
    <w:rsid w:val="00D43E43"/>
    <w:rsid w:val="00D44638"/>
    <w:rsid w:val="00D47DA4"/>
    <w:rsid w:val="00D47FB4"/>
    <w:rsid w:val="00D50C6D"/>
    <w:rsid w:val="00D5103B"/>
    <w:rsid w:val="00D5354C"/>
    <w:rsid w:val="00D567C3"/>
    <w:rsid w:val="00D61709"/>
    <w:rsid w:val="00D622C1"/>
    <w:rsid w:val="00D62947"/>
    <w:rsid w:val="00D63898"/>
    <w:rsid w:val="00D64B2B"/>
    <w:rsid w:val="00D6605E"/>
    <w:rsid w:val="00D732B4"/>
    <w:rsid w:val="00D751DD"/>
    <w:rsid w:val="00D759D9"/>
    <w:rsid w:val="00D76C5B"/>
    <w:rsid w:val="00D779F7"/>
    <w:rsid w:val="00D827AD"/>
    <w:rsid w:val="00D82EC3"/>
    <w:rsid w:val="00D838DF"/>
    <w:rsid w:val="00D83F54"/>
    <w:rsid w:val="00D85216"/>
    <w:rsid w:val="00D87421"/>
    <w:rsid w:val="00D94863"/>
    <w:rsid w:val="00DA047A"/>
    <w:rsid w:val="00DA2762"/>
    <w:rsid w:val="00DA36BF"/>
    <w:rsid w:val="00DA6234"/>
    <w:rsid w:val="00DA690D"/>
    <w:rsid w:val="00DB0BB8"/>
    <w:rsid w:val="00DB377A"/>
    <w:rsid w:val="00DB7D40"/>
    <w:rsid w:val="00DC032B"/>
    <w:rsid w:val="00DC1794"/>
    <w:rsid w:val="00DC1EF3"/>
    <w:rsid w:val="00DC43ED"/>
    <w:rsid w:val="00DD0E9B"/>
    <w:rsid w:val="00DD2588"/>
    <w:rsid w:val="00DD36A7"/>
    <w:rsid w:val="00DD3DDA"/>
    <w:rsid w:val="00DD48A5"/>
    <w:rsid w:val="00DD54E0"/>
    <w:rsid w:val="00DE0020"/>
    <w:rsid w:val="00DE043C"/>
    <w:rsid w:val="00DE4307"/>
    <w:rsid w:val="00DE4DCE"/>
    <w:rsid w:val="00DE4F10"/>
    <w:rsid w:val="00DE6956"/>
    <w:rsid w:val="00DF3533"/>
    <w:rsid w:val="00DF3B01"/>
    <w:rsid w:val="00DF42C2"/>
    <w:rsid w:val="00DF520A"/>
    <w:rsid w:val="00DF55CE"/>
    <w:rsid w:val="00DF70C7"/>
    <w:rsid w:val="00E00180"/>
    <w:rsid w:val="00E0142F"/>
    <w:rsid w:val="00E0229B"/>
    <w:rsid w:val="00E0351F"/>
    <w:rsid w:val="00E036DD"/>
    <w:rsid w:val="00E04699"/>
    <w:rsid w:val="00E06DEA"/>
    <w:rsid w:val="00E12826"/>
    <w:rsid w:val="00E15B73"/>
    <w:rsid w:val="00E16BA5"/>
    <w:rsid w:val="00E17299"/>
    <w:rsid w:val="00E172D2"/>
    <w:rsid w:val="00E17D54"/>
    <w:rsid w:val="00E17EDB"/>
    <w:rsid w:val="00E17F5A"/>
    <w:rsid w:val="00E24383"/>
    <w:rsid w:val="00E260AB"/>
    <w:rsid w:val="00E27D40"/>
    <w:rsid w:val="00E316B8"/>
    <w:rsid w:val="00E336AC"/>
    <w:rsid w:val="00E37B3A"/>
    <w:rsid w:val="00E4179D"/>
    <w:rsid w:val="00E43433"/>
    <w:rsid w:val="00E43EC9"/>
    <w:rsid w:val="00E44329"/>
    <w:rsid w:val="00E50051"/>
    <w:rsid w:val="00E519B9"/>
    <w:rsid w:val="00E540A1"/>
    <w:rsid w:val="00E55097"/>
    <w:rsid w:val="00E55E51"/>
    <w:rsid w:val="00E571EA"/>
    <w:rsid w:val="00E6089F"/>
    <w:rsid w:val="00E609B5"/>
    <w:rsid w:val="00E60B27"/>
    <w:rsid w:val="00E65DD8"/>
    <w:rsid w:val="00E669C9"/>
    <w:rsid w:val="00E67446"/>
    <w:rsid w:val="00E70208"/>
    <w:rsid w:val="00E706E1"/>
    <w:rsid w:val="00E7462C"/>
    <w:rsid w:val="00E80D7B"/>
    <w:rsid w:val="00E83899"/>
    <w:rsid w:val="00E8462D"/>
    <w:rsid w:val="00E847A2"/>
    <w:rsid w:val="00E87546"/>
    <w:rsid w:val="00E87B78"/>
    <w:rsid w:val="00E9084B"/>
    <w:rsid w:val="00E95C28"/>
    <w:rsid w:val="00E960C8"/>
    <w:rsid w:val="00E96B23"/>
    <w:rsid w:val="00EA5226"/>
    <w:rsid w:val="00EB212D"/>
    <w:rsid w:val="00EB2C6A"/>
    <w:rsid w:val="00EB57B7"/>
    <w:rsid w:val="00EB64E9"/>
    <w:rsid w:val="00EB7E72"/>
    <w:rsid w:val="00EC3FD8"/>
    <w:rsid w:val="00EC4617"/>
    <w:rsid w:val="00EC4D26"/>
    <w:rsid w:val="00EC5EDE"/>
    <w:rsid w:val="00EC6441"/>
    <w:rsid w:val="00ED0068"/>
    <w:rsid w:val="00ED4F81"/>
    <w:rsid w:val="00EE0155"/>
    <w:rsid w:val="00EE46E6"/>
    <w:rsid w:val="00EE66CC"/>
    <w:rsid w:val="00EF06F3"/>
    <w:rsid w:val="00EF287B"/>
    <w:rsid w:val="00EF4510"/>
    <w:rsid w:val="00EF5C3B"/>
    <w:rsid w:val="00F024B2"/>
    <w:rsid w:val="00F04225"/>
    <w:rsid w:val="00F04D6F"/>
    <w:rsid w:val="00F077F5"/>
    <w:rsid w:val="00F103E1"/>
    <w:rsid w:val="00F11DDC"/>
    <w:rsid w:val="00F1494A"/>
    <w:rsid w:val="00F20FBB"/>
    <w:rsid w:val="00F24589"/>
    <w:rsid w:val="00F248C7"/>
    <w:rsid w:val="00F25125"/>
    <w:rsid w:val="00F320F0"/>
    <w:rsid w:val="00F3378D"/>
    <w:rsid w:val="00F33B15"/>
    <w:rsid w:val="00F364F1"/>
    <w:rsid w:val="00F4007B"/>
    <w:rsid w:val="00F45D2D"/>
    <w:rsid w:val="00F52149"/>
    <w:rsid w:val="00F52F64"/>
    <w:rsid w:val="00F56840"/>
    <w:rsid w:val="00F60585"/>
    <w:rsid w:val="00F7015C"/>
    <w:rsid w:val="00F714DD"/>
    <w:rsid w:val="00F72A00"/>
    <w:rsid w:val="00F74957"/>
    <w:rsid w:val="00F763F5"/>
    <w:rsid w:val="00F82F30"/>
    <w:rsid w:val="00F83FEC"/>
    <w:rsid w:val="00F85F25"/>
    <w:rsid w:val="00F91685"/>
    <w:rsid w:val="00F9184B"/>
    <w:rsid w:val="00F9523D"/>
    <w:rsid w:val="00FA31E6"/>
    <w:rsid w:val="00FA34C6"/>
    <w:rsid w:val="00FA7216"/>
    <w:rsid w:val="00FB1120"/>
    <w:rsid w:val="00FB1F82"/>
    <w:rsid w:val="00FB42CE"/>
    <w:rsid w:val="00FB71AF"/>
    <w:rsid w:val="00FB7673"/>
    <w:rsid w:val="00FC060A"/>
    <w:rsid w:val="00FC0B94"/>
    <w:rsid w:val="00FC2BF7"/>
    <w:rsid w:val="00FC5AE0"/>
    <w:rsid w:val="00FC5D1C"/>
    <w:rsid w:val="00FC5DB9"/>
    <w:rsid w:val="00FC6541"/>
    <w:rsid w:val="00FC68D3"/>
    <w:rsid w:val="00FD0C7B"/>
    <w:rsid w:val="00FD4A8D"/>
    <w:rsid w:val="00FD6B7D"/>
    <w:rsid w:val="00FD7583"/>
    <w:rsid w:val="00FE067A"/>
    <w:rsid w:val="00FE09EE"/>
    <w:rsid w:val="00FE4A52"/>
    <w:rsid w:val="00FE6522"/>
    <w:rsid w:val="00FE6EDB"/>
    <w:rsid w:val="00FE74CD"/>
    <w:rsid w:val="00FE7A0A"/>
    <w:rsid w:val="00F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docId w15:val="{8AD7CE8F-7977-487B-A9E6-F06E1525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q"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22FEB"/>
    <w:rPr>
      <w:kern w:val="0"/>
      <w:sz w:val="20"/>
      <w:szCs w:val="20"/>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34"/>
    <w:qFormat/>
    <w:rsid w:val="00922FEB"/>
    <w:pPr>
      <w:spacing w:after="200" w:line="276" w:lineRule="auto"/>
      <w:ind w:left="720"/>
      <w:contextualSpacing/>
    </w:pPr>
    <w:rPr>
      <w:kern w:val="0"/>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unhideWhenUsed/>
    <w:rsid w:val="00922FE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22FE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customStyle="1" w:styleId="UnresolvedMention1">
    <w:name w:val="Unresolved Mention1"/>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customStyle="1" w:styleId="oj-normal">
    <w:name w:val="oj-normal"/>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j-ti-grseq-1">
    <w:name w:val="oj-ti-grseq-1"/>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expanded">
    <w:name w:val="oj-expanded"/>
    <w:basedOn w:val="DefaultParagraphFont"/>
    <w:rsid w:val="0077636B"/>
  </w:style>
  <w:style w:type="paragraph" w:customStyle="1" w:styleId="oj-ti-art">
    <w:name w:val="oj-ti-art"/>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super">
    <w:name w:val="oj-super"/>
    <w:basedOn w:val="DefaultParagraphFont"/>
    <w:rsid w:val="0077636B"/>
  </w:style>
  <w:style w:type="paragraph" w:styleId="NoSpacing">
    <w:name w:val="No Spacing"/>
    <w:uiPriority w:val="1"/>
    <w:qFormat/>
    <w:rsid w:val="0071079D"/>
    <w:pPr>
      <w:spacing w:after="0" w:line="240" w:lineRule="auto"/>
    </w:pPr>
    <w:rPr>
      <w:rFonts w:eastAsiaTheme="minorEastAsia"/>
      <w:kern w:val="0"/>
      <w14:ligatures w14:val="none"/>
    </w:rPr>
  </w:style>
  <w:style w:type="character" w:customStyle="1" w:styleId="legamendingtext">
    <w:name w:val="legamendingtext"/>
    <w:basedOn w:val="DefaultParagraphFont"/>
    <w:rsid w:val="0042577F"/>
  </w:style>
  <w:style w:type="paragraph" w:customStyle="1" w:styleId="legclearfix">
    <w:name w:val="legclearfix"/>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rhs">
    <w:name w:val="legrhs"/>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25B73"/>
    <w:pPr>
      <w:spacing w:after="0" w:line="240" w:lineRule="auto"/>
    </w:pPr>
  </w:style>
  <w:style w:type="paragraph" w:customStyle="1" w:styleId="oj-doc-ti">
    <w:name w:val="oj-doc-ti"/>
    <w:basedOn w:val="Normal"/>
    <w:rsid w:val="005469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726">
      <w:bodyDiv w:val="1"/>
      <w:marLeft w:val="0"/>
      <w:marRight w:val="0"/>
      <w:marTop w:val="0"/>
      <w:marBottom w:val="0"/>
      <w:divBdr>
        <w:top w:val="none" w:sz="0" w:space="0" w:color="auto"/>
        <w:left w:val="none" w:sz="0" w:space="0" w:color="auto"/>
        <w:bottom w:val="none" w:sz="0" w:space="0" w:color="auto"/>
        <w:right w:val="none" w:sz="0" w:space="0" w:color="auto"/>
      </w:divBdr>
    </w:div>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6853641">
      <w:bodyDiv w:val="1"/>
      <w:marLeft w:val="0"/>
      <w:marRight w:val="0"/>
      <w:marTop w:val="0"/>
      <w:marBottom w:val="0"/>
      <w:divBdr>
        <w:top w:val="none" w:sz="0" w:space="0" w:color="auto"/>
        <w:left w:val="none" w:sz="0" w:space="0" w:color="auto"/>
        <w:bottom w:val="none" w:sz="0" w:space="0" w:color="auto"/>
        <w:right w:val="none" w:sz="0" w:space="0" w:color="auto"/>
      </w:divBdr>
      <w:divsChild>
        <w:div w:id="80807730">
          <w:marLeft w:val="0"/>
          <w:marRight w:val="0"/>
          <w:marTop w:val="0"/>
          <w:marBottom w:val="0"/>
          <w:divBdr>
            <w:top w:val="none" w:sz="0" w:space="0" w:color="auto"/>
            <w:left w:val="none" w:sz="0" w:space="0" w:color="auto"/>
            <w:bottom w:val="none" w:sz="0" w:space="0" w:color="auto"/>
            <w:right w:val="none" w:sz="0" w:space="0" w:color="auto"/>
          </w:divBdr>
        </w:div>
        <w:div w:id="388841559">
          <w:marLeft w:val="0"/>
          <w:marRight w:val="0"/>
          <w:marTop w:val="0"/>
          <w:marBottom w:val="0"/>
          <w:divBdr>
            <w:top w:val="none" w:sz="0" w:space="0" w:color="auto"/>
            <w:left w:val="none" w:sz="0" w:space="0" w:color="auto"/>
            <w:bottom w:val="none" w:sz="0" w:space="0" w:color="auto"/>
            <w:right w:val="none" w:sz="0" w:space="0" w:color="auto"/>
          </w:divBdr>
        </w:div>
        <w:div w:id="1896507503">
          <w:marLeft w:val="0"/>
          <w:marRight w:val="0"/>
          <w:marTop w:val="0"/>
          <w:marBottom w:val="0"/>
          <w:divBdr>
            <w:top w:val="none" w:sz="0" w:space="0" w:color="auto"/>
            <w:left w:val="none" w:sz="0" w:space="0" w:color="auto"/>
            <w:bottom w:val="none" w:sz="0" w:space="0" w:color="auto"/>
            <w:right w:val="none" w:sz="0" w:space="0" w:color="auto"/>
          </w:divBdr>
        </w:div>
        <w:div w:id="1199705502">
          <w:marLeft w:val="0"/>
          <w:marRight w:val="0"/>
          <w:marTop w:val="0"/>
          <w:marBottom w:val="0"/>
          <w:divBdr>
            <w:top w:val="none" w:sz="0" w:space="0" w:color="auto"/>
            <w:left w:val="none" w:sz="0" w:space="0" w:color="auto"/>
            <w:bottom w:val="none" w:sz="0" w:space="0" w:color="auto"/>
            <w:right w:val="none" w:sz="0" w:space="0" w:color="auto"/>
          </w:divBdr>
        </w:div>
      </w:divsChild>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83576491">
      <w:bodyDiv w:val="1"/>
      <w:marLeft w:val="0"/>
      <w:marRight w:val="0"/>
      <w:marTop w:val="0"/>
      <w:marBottom w:val="0"/>
      <w:divBdr>
        <w:top w:val="none" w:sz="0" w:space="0" w:color="auto"/>
        <w:left w:val="none" w:sz="0" w:space="0" w:color="auto"/>
        <w:bottom w:val="none" w:sz="0" w:space="0" w:color="auto"/>
        <w:right w:val="none" w:sz="0" w:space="0" w:color="auto"/>
      </w:divBdr>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20274339">
      <w:bodyDiv w:val="1"/>
      <w:marLeft w:val="0"/>
      <w:marRight w:val="0"/>
      <w:marTop w:val="0"/>
      <w:marBottom w:val="0"/>
      <w:divBdr>
        <w:top w:val="none" w:sz="0" w:space="0" w:color="auto"/>
        <w:left w:val="none" w:sz="0" w:space="0" w:color="auto"/>
        <w:bottom w:val="none" w:sz="0" w:space="0" w:color="auto"/>
        <w:right w:val="none" w:sz="0" w:space="0" w:color="auto"/>
      </w:divBdr>
      <w:divsChild>
        <w:div w:id="2108915140">
          <w:marLeft w:val="0"/>
          <w:marRight w:val="0"/>
          <w:marTop w:val="0"/>
          <w:marBottom w:val="0"/>
          <w:divBdr>
            <w:top w:val="none" w:sz="0" w:space="0" w:color="auto"/>
            <w:left w:val="none" w:sz="0" w:space="0" w:color="auto"/>
            <w:bottom w:val="none" w:sz="0" w:space="0" w:color="auto"/>
            <w:right w:val="none" w:sz="0" w:space="0" w:color="auto"/>
          </w:divBdr>
          <w:divsChild>
            <w:div w:id="591741086">
              <w:marLeft w:val="0"/>
              <w:marRight w:val="0"/>
              <w:marTop w:val="0"/>
              <w:marBottom w:val="0"/>
              <w:divBdr>
                <w:top w:val="none" w:sz="0" w:space="0" w:color="auto"/>
                <w:left w:val="none" w:sz="0" w:space="0" w:color="auto"/>
                <w:bottom w:val="none" w:sz="0" w:space="0" w:color="auto"/>
                <w:right w:val="none" w:sz="0" w:space="0" w:color="auto"/>
              </w:divBdr>
              <w:divsChild>
                <w:div w:id="1939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67059550">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2012678">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266696042">
      <w:bodyDiv w:val="1"/>
      <w:marLeft w:val="0"/>
      <w:marRight w:val="0"/>
      <w:marTop w:val="0"/>
      <w:marBottom w:val="0"/>
      <w:divBdr>
        <w:top w:val="none" w:sz="0" w:space="0" w:color="auto"/>
        <w:left w:val="none" w:sz="0" w:space="0" w:color="auto"/>
        <w:bottom w:val="none" w:sz="0" w:space="0" w:color="auto"/>
        <w:right w:val="none" w:sz="0" w:space="0" w:color="auto"/>
      </w:divBdr>
    </w:div>
    <w:div w:id="310064033">
      <w:bodyDiv w:val="1"/>
      <w:marLeft w:val="0"/>
      <w:marRight w:val="0"/>
      <w:marTop w:val="0"/>
      <w:marBottom w:val="0"/>
      <w:divBdr>
        <w:top w:val="none" w:sz="0" w:space="0" w:color="auto"/>
        <w:left w:val="none" w:sz="0" w:space="0" w:color="auto"/>
        <w:bottom w:val="none" w:sz="0" w:space="0" w:color="auto"/>
        <w:right w:val="none" w:sz="0" w:space="0" w:color="auto"/>
      </w:divBdr>
    </w:div>
    <w:div w:id="329646590">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5601155">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389815015">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667114">
      <w:bodyDiv w:val="1"/>
      <w:marLeft w:val="0"/>
      <w:marRight w:val="0"/>
      <w:marTop w:val="0"/>
      <w:marBottom w:val="0"/>
      <w:divBdr>
        <w:top w:val="none" w:sz="0" w:space="0" w:color="auto"/>
        <w:left w:val="none" w:sz="0" w:space="0" w:color="auto"/>
        <w:bottom w:val="none" w:sz="0" w:space="0" w:color="auto"/>
        <w:right w:val="none" w:sz="0" w:space="0" w:color="auto"/>
      </w:divBdr>
    </w:div>
    <w:div w:id="418453714">
      <w:bodyDiv w:val="1"/>
      <w:marLeft w:val="0"/>
      <w:marRight w:val="0"/>
      <w:marTop w:val="0"/>
      <w:marBottom w:val="0"/>
      <w:divBdr>
        <w:top w:val="none" w:sz="0" w:space="0" w:color="auto"/>
        <w:left w:val="none" w:sz="0" w:space="0" w:color="auto"/>
        <w:bottom w:val="none" w:sz="0" w:space="0" w:color="auto"/>
        <w:right w:val="none" w:sz="0" w:space="0" w:color="auto"/>
      </w:divBdr>
      <w:divsChild>
        <w:div w:id="255674626">
          <w:marLeft w:val="0"/>
          <w:marRight w:val="0"/>
          <w:marTop w:val="0"/>
          <w:marBottom w:val="0"/>
          <w:divBdr>
            <w:top w:val="none" w:sz="0" w:space="0" w:color="auto"/>
            <w:left w:val="none" w:sz="0" w:space="0" w:color="auto"/>
            <w:bottom w:val="none" w:sz="0" w:space="0" w:color="auto"/>
            <w:right w:val="none" w:sz="0" w:space="0" w:color="auto"/>
          </w:divBdr>
        </w:div>
        <w:div w:id="908464086">
          <w:marLeft w:val="0"/>
          <w:marRight w:val="0"/>
          <w:marTop w:val="0"/>
          <w:marBottom w:val="0"/>
          <w:divBdr>
            <w:top w:val="none" w:sz="0" w:space="0" w:color="auto"/>
            <w:left w:val="none" w:sz="0" w:space="0" w:color="auto"/>
            <w:bottom w:val="none" w:sz="0" w:space="0" w:color="auto"/>
            <w:right w:val="none" w:sz="0" w:space="0" w:color="auto"/>
          </w:divBdr>
        </w:div>
      </w:divsChild>
    </w:div>
    <w:div w:id="447050906">
      <w:bodyDiv w:val="1"/>
      <w:marLeft w:val="0"/>
      <w:marRight w:val="0"/>
      <w:marTop w:val="0"/>
      <w:marBottom w:val="0"/>
      <w:divBdr>
        <w:top w:val="none" w:sz="0" w:space="0" w:color="auto"/>
        <w:left w:val="none" w:sz="0" w:space="0" w:color="auto"/>
        <w:bottom w:val="none" w:sz="0" w:space="0" w:color="auto"/>
        <w:right w:val="none" w:sz="0" w:space="0" w:color="auto"/>
      </w:divBdr>
      <w:divsChild>
        <w:div w:id="13003924">
          <w:marLeft w:val="0"/>
          <w:marRight w:val="0"/>
          <w:marTop w:val="0"/>
          <w:marBottom w:val="0"/>
          <w:divBdr>
            <w:top w:val="none" w:sz="0" w:space="0" w:color="auto"/>
            <w:left w:val="none" w:sz="0" w:space="0" w:color="auto"/>
            <w:bottom w:val="none" w:sz="0" w:space="0" w:color="auto"/>
            <w:right w:val="none" w:sz="0" w:space="0" w:color="auto"/>
          </w:divBdr>
        </w:div>
        <w:div w:id="416171366">
          <w:marLeft w:val="0"/>
          <w:marRight w:val="0"/>
          <w:marTop w:val="0"/>
          <w:marBottom w:val="0"/>
          <w:divBdr>
            <w:top w:val="none" w:sz="0" w:space="0" w:color="auto"/>
            <w:left w:val="none" w:sz="0" w:space="0" w:color="auto"/>
            <w:bottom w:val="none" w:sz="0" w:space="0" w:color="auto"/>
            <w:right w:val="none" w:sz="0" w:space="0" w:color="auto"/>
          </w:divBdr>
        </w:div>
        <w:div w:id="1956326091">
          <w:marLeft w:val="0"/>
          <w:marRight w:val="0"/>
          <w:marTop w:val="0"/>
          <w:marBottom w:val="0"/>
          <w:divBdr>
            <w:top w:val="none" w:sz="0" w:space="0" w:color="auto"/>
            <w:left w:val="none" w:sz="0" w:space="0" w:color="auto"/>
            <w:bottom w:val="none" w:sz="0" w:space="0" w:color="auto"/>
            <w:right w:val="none" w:sz="0" w:space="0" w:color="auto"/>
          </w:divBdr>
        </w:div>
        <w:div w:id="1482966685">
          <w:marLeft w:val="0"/>
          <w:marRight w:val="0"/>
          <w:marTop w:val="0"/>
          <w:marBottom w:val="0"/>
          <w:divBdr>
            <w:top w:val="none" w:sz="0" w:space="0" w:color="auto"/>
            <w:left w:val="none" w:sz="0" w:space="0" w:color="auto"/>
            <w:bottom w:val="none" w:sz="0" w:space="0" w:color="auto"/>
            <w:right w:val="none" w:sz="0" w:space="0" w:color="auto"/>
          </w:divBdr>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192425">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8547958">
      <w:bodyDiv w:val="1"/>
      <w:marLeft w:val="0"/>
      <w:marRight w:val="0"/>
      <w:marTop w:val="0"/>
      <w:marBottom w:val="0"/>
      <w:divBdr>
        <w:top w:val="none" w:sz="0" w:space="0" w:color="auto"/>
        <w:left w:val="none" w:sz="0" w:space="0" w:color="auto"/>
        <w:bottom w:val="none" w:sz="0" w:space="0" w:color="auto"/>
        <w:right w:val="none" w:sz="0" w:space="0" w:color="auto"/>
      </w:divBdr>
      <w:divsChild>
        <w:div w:id="440565309">
          <w:marLeft w:val="0"/>
          <w:marRight w:val="0"/>
          <w:marTop w:val="0"/>
          <w:marBottom w:val="0"/>
          <w:divBdr>
            <w:top w:val="none" w:sz="0" w:space="0" w:color="auto"/>
            <w:left w:val="none" w:sz="0" w:space="0" w:color="auto"/>
            <w:bottom w:val="none" w:sz="0" w:space="0" w:color="auto"/>
            <w:right w:val="none" w:sz="0" w:space="0" w:color="auto"/>
          </w:divBdr>
        </w:div>
        <w:div w:id="1471702461">
          <w:marLeft w:val="0"/>
          <w:marRight w:val="0"/>
          <w:marTop w:val="0"/>
          <w:marBottom w:val="0"/>
          <w:divBdr>
            <w:top w:val="none" w:sz="0" w:space="0" w:color="auto"/>
            <w:left w:val="none" w:sz="0" w:space="0" w:color="auto"/>
            <w:bottom w:val="none" w:sz="0" w:space="0" w:color="auto"/>
            <w:right w:val="none" w:sz="0" w:space="0" w:color="auto"/>
          </w:divBdr>
        </w:div>
      </w:divsChild>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5023269">
      <w:bodyDiv w:val="1"/>
      <w:marLeft w:val="0"/>
      <w:marRight w:val="0"/>
      <w:marTop w:val="0"/>
      <w:marBottom w:val="0"/>
      <w:divBdr>
        <w:top w:val="none" w:sz="0" w:space="0" w:color="auto"/>
        <w:left w:val="none" w:sz="0" w:space="0" w:color="auto"/>
        <w:bottom w:val="none" w:sz="0" w:space="0" w:color="auto"/>
        <w:right w:val="none" w:sz="0" w:space="0" w:color="auto"/>
      </w:divBdr>
      <w:divsChild>
        <w:div w:id="606696313">
          <w:marLeft w:val="0"/>
          <w:marRight w:val="0"/>
          <w:marTop w:val="0"/>
          <w:marBottom w:val="0"/>
          <w:divBdr>
            <w:top w:val="none" w:sz="0" w:space="0" w:color="auto"/>
            <w:left w:val="none" w:sz="0" w:space="0" w:color="auto"/>
            <w:bottom w:val="none" w:sz="0" w:space="0" w:color="auto"/>
            <w:right w:val="none" w:sz="0" w:space="0" w:color="auto"/>
          </w:divBdr>
        </w:div>
      </w:divsChild>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0629444">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578174161">
      <w:bodyDiv w:val="1"/>
      <w:marLeft w:val="0"/>
      <w:marRight w:val="0"/>
      <w:marTop w:val="0"/>
      <w:marBottom w:val="0"/>
      <w:divBdr>
        <w:top w:val="none" w:sz="0" w:space="0" w:color="auto"/>
        <w:left w:val="none" w:sz="0" w:space="0" w:color="auto"/>
        <w:bottom w:val="none" w:sz="0" w:space="0" w:color="auto"/>
        <w:right w:val="none" w:sz="0" w:space="0" w:color="auto"/>
      </w:divBdr>
    </w:div>
    <w:div w:id="594751791">
      <w:bodyDiv w:val="1"/>
      <w:marLeft w:val="0"/>
      <w:marRight w:val="0"/>
      <w:marTop w:val="0"/>
      <w:marBottom w:val="0"/>
      <w:divBdr>
        <w:top w:val="none" w:sz="0" w:space="0" w:color="auto"/>
        <w:left w:val="none" w:sz="0" w:space="0" w:color="auto"/>
        <w:bottom w:val="none" w:sz="0" w:space="0" w:color="auto"/>
        <w:right w:val="none" w:sz="0" w:space="0" w:color="auto"/>
      </w:divBdr>
    </w:div>
    <w:div w:id="641614807">
      <w:bodyDiv w:val="1"/>
      <w:marLeft w:val="0"/>
      <w:marRight w:val="0"/>
      <w:marTop w:val="0"/>
      <w:marBottom w:val="0"/>
      <w:divBdr>
        <w:top w:val="none" w:sz="0" w:space="0" w:color="auto"/>
        <w:left w:val="none" w:sz="0" w:space="0" w:color="auto"/>
        <w:bottom w:val="none" w:sz="0" w:space="0" w:color="auto"/>
        <w:right w:val="none" w:sz="0" w:space="0" w:color="auto"/>
      </w:divBdr>
      <w:divsChild>
        <w:div w:id="1061976384">
          <w:marLeft w:val="0"/>
          <w:marRight w:val="0"/>
          <w:marTop w:val="0"/>
          <w:marBottom w:val="0"/>
          <w:divBdr>
            <w:top w:val="none" w:sz="0" w:space="0" w:color="auto"/>
            <w:left w:val="none" w:sz="0" w:space="0" w:color="auto"/>
            <w:bottom w:val="none" w:sz="0" w:space="0" w:color="auto"/>
            <w:right w:val="none" w:sz="0" w:space="0" w:color="auto"/>
          </w:divBdr>
        </w:div>
      </w:divsChild>
    </w:div>
    <w:div w:id="648365778">
      <w:bodyDiv w:val="1"/>
      <w:marLeft w:val="0"/>
      <w:marRight w:val="0"/>
      <w:marTop w:val="0"/>
      <w:marBottom w:val="0"/>
      <w:divBdr>
        <w:top w:val="none" w:sz="0" w:space="0" w:color="auto"/>
        <w:left w:val="none" w:sz="0" w:space="0" w:color="auto"/>
        <w:bottom w:val="none" w:sz="0" w:space="0" w:color="auto"/>
        <w:right w:val="none" w:sz="0" w:space="0" w:color="auto"/>
      </w:divBdr>
    </w:div>
    <w:div w:id="699739501">
      <w:bodyDiv w:val="1"/>
      <w:marLeft w:val="0"/>
      <w:marRight w:val="0"/>
      <w:marTop w:val="0"/>
      <w:marBottom w:val="0"/>
      <w:divBdr>
        <w:top w:val="none" w:sz="0" w:space="0" w:color="auto"/>
        <w:left w:val="none" w:sz="0" w:space="0" w:color="auto"/>
        <w:bottom w:val="none" w:sz="0" w:space="0" w:color="auto"/>
        <w:right w:val="none" w:sz="0" w:space="0" w:color="auto"/>
      </w:divBdr>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1755538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802188502">
      <w:bodyDiv w:val="1"/>
      <w:marLeft w:val="0"/>
      <w:marRight w:val="0"/>
      <w:marTop w:val="0"/>
      <w:marBottom w:val="0"/>
      <w:divBdr>
        <w:top w:val="none" w:sz="0" w:space="0" w:color="auto"/>
        <w:left w:val="none" w:sz="0" w:space="0" w:color="auto"/>
        <w:bottom w:val="none" w:sz="0" w:space="0" w:color="auto"/>
        <w:right w:val="none" w:sz="0" w:space="0" w:color="auto"/>
      </w:divBdr>
      <w:divsChild>
        <w:div w:id="1208641197">
          <w:marLeft w:val="0"/>
          <w:marRight w:val="0"/>
          <w:marTop w:val="0"/>
          <w:marBottom w:val="0"/>
          <w:divBdr>
            <w:top w:val="none" w:sz="0" w:space="0" w:color="auto"/>
            <w:left w:val="none" w:sz="0" w:space="0" w:color="auto"/>
            <w:bottom w:val="none" w:sz="0" w:space="0" w:color="auto"/>
            <w:right w:val="none" w:sz="0" w:space="0" w:color="auto"/>
          </w:divBdr>
        </w:div>
      </w:divsChild>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3161377">
      <w:bodyDiv w:val="1"/>
      <w:marLeft w:val="0"/>
      <w:marRight w:val="0"/>
      <w:marTop w:val="0"/>
      <w:marBottom w:val="0"/>
      <w:divBdr>
        <w:top w:val="none" w:sz="0" w:space="0" w:color="auto"/>
        <w:left w:val="none" w:sz="0" w:space="0" w:color="auto"/>
        <w:bottom w:val="none" w:sz="0" w:space="0" w:color="auto"/>
        <w:right w:val="none" w:sz="0" w:space="0" w:color="auto"/>
      </w:divBdr>
      <w:divsChild>
        <w:div w:id="386344547">
          <w:marLeft w:val="0"/>
          <w:marRight w:val="0"/>
          <w:marTop w:val="0"/>
          <w:marBottom w:val="0"/>
          <w:divBdr>
            <w:top w:val="none" w:sz="0" w:space="0" w:color="auto"/>
            <w:left w:val="none" w:sz="0" w:space="0" w:color="auto"/>
            <w:bottom w:val="none" w:sz="0" w:space="0" w:color="auto"/>
            <w:right w:val="none" w:sz="0" w:space="0" w:color="auto"/>
          </w:divBdr>
          <w:divsChild>
            <w:div w:id="269246615">
              <w:marLeft w:val="0"/>
              <w:marRight w:val="0"/>
              <w:marTop w:val="0"/>
              <w:marBottom w:val="0"/>
              <w:divBdr>
                <w:top w:val="none" w:sz="0" w:space="0" w:color="auto"/>
                <w:left w:val="none" w:sz="0" w:space="0" w:color="auto"/>
                <w:bottom w:val="none" w:sz="0" w:space="0" w:color="auto"/>
                <w:right w:val="none" w:sz="0" w:space="0" w:color="auto"/>
              </w:divBdr>
            </w:div>
            <w:div w:id="8716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45827710">
      <w:bodyDiv w:val="1"/>
      <w:marLeft w:val="0"/>
      <w:marRight w:val="0"/>
      <w:marTop w:val="0"/>
      <w:marBottom w:val="0"/>
      <w:divBdr>
        <w:top w:val="none" w:sz="0" w:space="0" w:color="auto"/>
        <w:left w:val="none" w:sz="0" w:space="0" w:color="auto"/>
        <w:bottom w:val="none" w:sz="0" w:space="0" w:color="auto"/>
        <w:right w:val="none" w:sz="0" w:space="0" w:color="auto"/>
      </w:divBdr>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01257174">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31668483">
      <w:bodyDiv w:val="1"/>
      <w:marLeft w:val="0"/>
      <w:marRight w:val="0"/>
      <w:marTop w:val="0"/>
      <w:marBottom w:val="0"/>
      <w:divBdr>
        <w:top w:val="none" w:sz="0" w:space="0" w:color="auto"/>
        <w:left w:val="none" w:sz="0" w:space="0" w:color="auto"/>
        <w:bottom w:val="none" w:sz="0" w:space="0" w:color="auto"/>
        <w:right w:val="none" w:sz="0" w:space="0" w:color="auto"/>
      </w:divBdr>
    </w:div>
    <w:div w:id="934897949">
      <w:bodyDiv w:val="1"/>
      <w:marLeft w:val="0"/>
      <w:marRight w:val="0"/>
      <w:marTop w:val="0"/>
      <w:marBottom w:val="0"/>
      <w:divBdr>
        <w:top w:val="none" w:sz="0" w:space="0" w:color="auto"/>
        <w:left w:val="none" w:sz="0" w:space="0" w:color="auto"/>
        <w:bottom w:val="none" w:sz="0" w:space="0" w:color="auto"/>
        <w:right w:val="none" w:sz="0" w:space="0" w:color="auto"/>
      </w:divBdr>
    </w:div>
    <w:div w:id="99295526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23476176">
      <w:bodyDiv w:val="1"/>
      <w:marLeft w:val="0"/>
      <w:marRight w:val="0"/>
      <w:marTop w:val="0"/>
      <w:marBottom w:val="0"/>
      <w:divBdr>
        <w:top w:val="none" w:sz="0" w:space="0" w:color="auto"/>
        <w:left w:val="none" w:sz="0" w:space="0" w:color="auto"/>
        <w:bottom w:val="none" w:sz="0" w:space="0" w:color="auto"/>
        <w:right w:val="none" w:sz="0" w:space="0" w:color="auto"/>
      </w:divBdr>
    </w:div>
    <w:div w:id="1043361073">
      <w:bodyDiv w:val="1"/>
      <w:marLeft w:val="0"/>
      <w:marRight w:val="0"/>
      <w:marTop w:val="0"/>
      <w:marBottom w:val="0"/>
      <w:divBdr>
        <w:top w:val="none" w:sz="0" w:space="0" w:color="auto"/>
        <w:left w:val="none" w:sz="0" w:space="0" w:color="auto"/>
        <w:bottom w:val="none" w:sz="0" w:space="0" w:color="auto"/>
        <w:right w:val="none" w:sz="0" w:space="0" w:color="auto"/>
      </w:divBdr>
    </w:div>
    <w:div w:id="1052195861">
      <w:bodyDiv w:val="1"/>
      <w:marLeft w:val="0"/>
      <w:marRight w:val="0"/>
      <w:marTop w:val="0"/>
      <w:marBottom w:val="0"/>
      <w:divBdr>
        <w:top w:val="none" w:sz="0" w:space="0" w:color="auto"/>
        <w:left w:val="none" w:sz="0" w:space="0" w:color="auto"/>
        <w:bottom w:val="none" w:sz="0" w:space="0" w:color="auto"/>
        <w:right w:val="none" w:sz="0" w:space="0" w:color="auto"/>
      </w:divBdr>
    </w:div>
    <w:div w:id="1062675586">
      <w:bodyDiv w:val="1"/>
      <w:marLeft w:val="0"/>
      <w:marRight w:val="0"/>
      <w:marTop w:val="0"/>
      <w:marBottom w:val="0"/>
      <w:divBdr>
        <w:top w:val="none" w:sz="0" w:space="0" w:color="auto"/>
        <w:left w:val="none" w:sz="0" w:space="0" w:color="auto"/>
        <w:bottom w:val="none" w:sz="0" w:space="0" w:color="auto"/>
        <w:right w:val="none" w:sz="0" w:space="0" w:color="auto"/>
      </w:divBdr>
    </w:div>
    <w:div w:id="1085036353">
      <w:bodyDiv w:val="1"/>
      <w:marLeft w:val="0"/>
      <w:marRight w:val="0"/>
      <w:marTop w:val="0"/>
      <w:marBottom w:val="0"/>
      <w:divBdr>
        <w:top w:val="none" w:sz="0" w:space="0" w:color="auto"/>
        <w:left w:val="none" w:sz="0" w:space="0" w:color="auto"/>
        <w:bottom w:val="none" w:sz="0" w:space="0" w:color="auto"/>
        <w:right w:val="none" w:sz="0" w:space="0" w:color="auto"/>
      </w:divBdr>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17023986">
      <w:bodyDiv w:val="1"/>
      <w:marLeft w:val="0"/>
      <w:marRight w:val="0"/>
      <w:marTop w:val="0"/>
      <w:marBottom w:val="0"/>
      <w:divBdr>
        <w:top w:val="none" w:sz="0" w:space="0" w:color="auto"/>
        <w:left w:val="none" w:sz="0" w:space="0" w:color="auto"/>
        <w:bottom w:val="none" w:sz="0" w:space="0" w:color="auto"/>
        <w:right w:val="none" w:sz="0" w:space="0" w:color="auto"/>
      </w:divBdr>
    </w:div>
    <w:div w:id="1128354367">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43428929">
      <w:bodyDiv w:val="1"/>
      <w:marLeft w:val="0"/>
      <w:marRight w:val="0"/>
      <w:marTop w:val="0"/>
      <w:marBottom w:val="0"/>
      <w:divBdr>
        <w:top w:val="none" w:sz="0" w:space="0" w:color="auto"/>
        <w:left w:val="none" w:sz="0" w:space="0" w:color="auto"/>
        <w:bottom w:val="none" w:sz="0" w:space="0" w:color="auto"/>
        <w:right w:val="none" w:sz="0" w:space="0" w:color="auto"/>
      </w:divBdr>
      <w:divsChild>
        <w:div w:id="1379939966">
          <w:marLeft w:val="0"/>
          <w:marRight w:val="0"/>
          <w:marTop w:val="0"/>
          <w:marBottom w:val="0"/>
          <w:divBdr>
            <w:top w:val="none" w:sz="0" w:space="0" w:color="auto"/>
            <w:left w:val="none" w:sz="0" w:space="0" w:color="auto"/>
            <w:bottom w:val="none" w:sz="0" w:space="0" w:color="auto"/>
            <w:right w:val="none" w:sz="0" w:space="0" w:color="auto"/>
          </w:divBdr>
        </w:div>
        <w:div w:id="1393117421">
          <w:marLeft w:val="0"/>
          <w:marRight w:val="0"/>
          <w:marTop w:val="0"/>
          <w:marBottom w:val="0"/>
          <w:divBdr>
            <w:top w:val="none" w:sz="0" w:space="0" w:color="auto"/>
            <w:left w:val="none" w:sz="0" w:space="0" w:color="auto"/>
            <w:bottom w:val="none" w:sz="0" w:space="0" w:color="auto"/>
            <w:right w:val="none" w:sz="0" w:space="0" w:color="auto"/>
          </w:divBdr>
        </w:div>
      </w:divsChild>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02748485">
      <w:bodyDiv w:val="1"/>
      <w:marLeft w:val="0"/>
      <w:marRight w:val="0"/>
      <w:marTop w:val="0"/>
      <w:marBottom w:val="0"/>
      <w:divBdr>
        <w:top w:val="none" w:sz="0" w:space="0" w:color="auto"/>
        <w:left w:val="none" w:sz="0" w:space="0" w:color="auto"/>
        <w:bottom w:val="none" w:sz="0" w:space="0" w:color="auto"/>
        <w:right w:val="none" w:sz="0" w:space="0" w:color="auto"/>
      </w:divBdr>
    </w:div>
    <w:div w:id="1204369706">
      <w:bodyDiv w:val="1"/>
      <w:marLeft w:val="0"/>
      <w:marRight w:val="0"/>
      <w:marTop w:val="0"/>
      <w:marBottom w:val="0"/>
      <w:divBdr>
        <w:top w:val="none" w:sz="0" w:space="0" w:color="auto"/>
        <w:left w:val="none" w:sz="0" w:space="0" w:color="auto"/>
        <w:bottom w:val="none" w:sz="0" w:space="0" w:color="auto"/>
        <w:right w:val="none" w:sz="0" w:space="0" w:color="auto"/>
      </w:divBdr>
      <w:divsChild>
        <w:div w:id="1108238942">
          <w:marLeft w:val="0"/>
          <w:marRight w:val="0"/>
          <w:marTop w:val="0"/>
          <w:marBottom w:val="0"/>
          <w:divBdr>
            <w:top w:val="none" w:sz="0" w:space="0" w:color="auto"/>
            <w:left w:val="none" w:sz="0" w:space="0" w:color="auto"/>
            <w:bottom w:val="none" w:sz="0" w:space="0" w:color="auto"/>
            <w:right w:val="none" w:sz="0" w:space="0" w:color="auto"/>
          </w:divBdr>
        </w:div>
      </w:divsChild>
    </w:div>
    <w:div w:id="1206675337">
      <w:bodyDiv w:val="1"/>
      <w:marLeft w:val="0"/>
      <w:marRight w:val="0"/>
      <w:marTop w:val="0"/>
      <w:marBottom w:val="0"/>
      <w:divBdr>
        <w:top w:val="none" w:sz="0" w:space="0" w:color="auto"/>
        <w:left w:val="none" w:sz="0" w:space="0" w:color="auto"/>
        <w:bottom w:val="none" w:sz="0" w:space="0" w:color="auto"/>
        <w:right w:val="none" w:sz="0" w:space="0" w:color="auto"/>
      </w:divBdr>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81491337">
      <w:bodyDiv w:val="1"/>
      <w:marLeft w:val="0"/>
      <w:marRight w:val="0"/>
      <w:marTop w:val="0"/>
      <w:marBottom w:val="0"/>
      <w:divBdr>
        <w:top w:val="none" w:sz="0" w:space="0" w:color="auto"/>
        <w:left w:val="none" w:sz="0" w:space="0" w:color="auto"/>
        <w:bottom w:val="none" w:sz="0" w:space="0" w:color="auto"/>
        <w:right w:val="none" w:sz="0" w:space="0" w:color="auto"/>
      </w:divBdr>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17688136">
      <w:bodyDiv w:val="1"/>
      <w:marLeft w:val="0"/>
      <w:marRight w:val="0"/>
      <w:marTop w:val="0"/>
      <w:marBottom w:val="0"/>
      <w:divBdr>
        <w:top w:val="none" w:sz="0" w:space="0" w:color="auto"/>
        <w:left w:val="none" w:sz="0" w:space="0" w:color="auto"/>
        <w:bottom w:val="none" w:sz="0" w:space="0" w:color="auto"/>
        <w:right w:val="none" w:sz="0" w:space="0" w:color="auto"/>
      </w:divBdr>
    </w:div>
    <w:div w:id="1329017688">
      <w:bodyDiv w:val="1"/>
      <w:marLeft w:val="0"/>
      <w:marRight w:val="0"/>
      <w:marTop w:val="0"/>
      <w:marBottom w:val="0"/>
      <w:divBdr>
        <w:top w:val="none" w:sz="0" w:space="0" w:color="auto"/>
        <w:left w:val="none" w:sz="0" w:space="0" w:color="auto"/>
        <w:bottom w:val="none" w:sz="0" w:space="0" w:color="auto"/>
        <w:right w:val="none" w:sz="0" w:space="0" w:color="auto"/>
      </w:divBdr>
      <w:divsChild>
        <w:div w:id="1106728845">
          <w:marLeft w:val="0"/>
          <w:marRight w:val="0"/>
          <w:marTop w:val="0"/>
          <w:marBottom w:val="0"/>
          <w:divBdr>
            <w:top w:val="none" w:sz="0" w:space="0" w:color="auto"/>
            <w:left w:val="none" w:sz="0" w:space="0" w:color="auto"/>
            <w:bottom w:val="none" w:sz="0" w:space="0" w:color="auto"/>
            <w:right w:val="none" w:sz="0" w:space="0" w:color="auto"/>
          </w:divBdr>
        </w:div>
        <w:div w:id="2039818381">
          <w:marLeft w:val="0"/>
          <w:marRight w:val="0"/>
          <w:marTop w:val="0"/>
          <w:marBottom w:val="0"/>
          <w:divBdr>
            <w:top w:val="none" w:sz="0" w:space="0" w:color="auto"/>
            <w:left w:val="none" w:sz="0" w:space="0" w:color="auto"/>
            <w:bottom w:val="none" w:sz="0" w:space="0" w:color="auto"/>
            <w:right w:val="none" w:sz="0" w:space="0" w:color="auto"/>
          </w:divBdr>
        </w:div>
      </w:divsChild>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362778122">
      <w:bodyDiv w:val="1"/>
      <w:marLeft w:val="0"/>
      <w:marRight w:val="0"/>
      <w:marTop w:val="0"/>
      <w:marBottom w:val="0"/>
      <w:divBdr>
        <w:top w:val="none" w:sz="0" w:space="0" w:color="auto"/>
        <w:left w:val="none" w:sz="0" w:space="0" w:color="auto"/>
        <w:bottom w:val="none" w:sz="0" w:space="0" w:color="auto"/>
        <w:right w:val="none" w:sz="0" w:space="0" w:color="auto"/>
      </w:divBdr>
    </w:div>
    <w:div w:id="1389450120">
      <w:bodyDiv w:val="1"/>
      <w:marLeft w:val="0"/>
      <w:marRight w:val="0"/>
      <w:marTop w:val="0"/>
      <w:marBottom w:val="0"/>
      <w:divBdr>
        <w:top w:val="none" w:sz="0" w:space="0" w:color="auto"/>
        <w:left w:val="none" w:sz="0" w:space="0" w:color="auto"/>
        <w:bottom w:val="none" w:sz="0" w:space="0" w:color="auto"/>
        <w:right w:val="none" w:sz="0" w:space="0" w:color="auto"/>
      </w:divBdr>
    </w:div>
    <w:div w:id="1404063093">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15937206">
      <w:bodyDiv w:val="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 w:id="1438598790">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53940462">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53691541">
      <w:bodyDiv w:val="1"/>
      <w:marLeft w:val="0"/>
      <w:marRight w:val="0"/>
      <w:marTop w:val="0"/>
      <w:marBottom w:val="0"/>
      <w:divBdr>
        <w:top w:val="none" w:sz="0" w:space="0" w:color="auto"/>
        <w:left w:val="none" w:sz="0" w:space="0" w:color="auto"/>
        <w:bottom w:val="none" w:sz="0" w:space="0" w:color="auto"/>
        <w:right w:val="none" w:sz="0" w:space="0" w:color="auto"/>
      </w:divBdr>
      <w:divsChild>
        <w:div w:id="1504469557">
          <w:marLeft w:val="0"/>
          <w:marRight w:val="0"/>
          <w:marTop w:val="0"/>
          <w:marBottom w:val="0"/>
          <w:divBdr>
            <w:top w:val="none" w:sz="0" w:space="0" w:color="auto"/>
            <w:left w:val="none" w:sz="0" w:space="0" w:color="auto"/>
            <w:bottom w:val="none" w:sz="0" w:space="0" w:color="auto"/>
            <w:right w:val="none" w:sz="0" w:space="0" w:color="auto"/>
          </w:divBdr>
        </w:div>
        <w:div w:id="674066632">
          <w:marLeft w:val="0"/>
          <w:marRight w:val="0"/>
          <w:marTop w:val="0"/>
          <w:marBottom w:val="0"/>
          <w:divBdr>
            <w:top w:val="none" w:sz="0" w:space="0" w:color="auto"/>
            <w:left w:val="none" w:sz="0" w:space="0" w:color="auto"/>
            <w:bottom w:val="none" w:sz="0" w:space="0" w:color="auto"/>
            <w:right w:val="none" w:sz="0" w:space="0" w:color="auto"/>
          </w:divBdr>
        </w:div>
        <w:div w:id="1325089639">
          <w:marLeft w:val="0"/>
          <w:marRight w:val="0"/>
          <w:marTop w:val="0"/>
          <w:marBottom w:val="0"/>
          <w:divBdr>
            <w:top w:val="none" w:sz="0" w:space="0" w:color="auto"/>
            <w:left w:val="none" w:sz="0" w:space="0" w:color="auto"/>
            <w:bottom w:val="none" w:sz="0" w:space="0" w:color="auto"/>
            <w:right w:val="none" w:sz="0" w:space="0" w:color="auto"/>
          </w:divBdr>
        </w:div>
      </w:divsChild>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57491284">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790051727">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1927379066">
      <w:bodyDiv w:val="1"/>
      <w:marLeft w:val="0"/>
      <w:marRight w:val="0"/>
      <w:marTop w:val="0"/>
      <w:marBottom w:val="0"/>
      <w:divBdr>
        <w:top w:val="none" w:sz="0" w:space="0" w:color="auto"/>
        <w:left w:val="none" w:sz="0" w:space="0" w:color="auto"/>
        <w:bottom w:val="none" w:sz="0" w:space="0" w:color="auto"/>
        <w:right w:val="none" w:sz="0" w:space="0" w:color="auto"/>
      </w:divBdr>
    </w:div>
    <w:div w:id="1952317700">
      <w:bodyDiv w:val="1"/>
      <w:marLeft w:val="0"/>
      <w:marRight w:val="0"/>
      <w:marTop w:val="0"/>
      <w:marBottom w:val="0"/>
      <w:divBdr>
        <w:top w:val="none" w:sz="0" w:space="0" w:color="auto"/>
        <w:left w:val="none" w:sz="0" w:space="0" w:color="auto"/>
        <w:bottom w:val="none" w:sz="0" w:space="0" w:color="auto"/>
        <w:right w:val="none" w:sz="0" w:space="0" w:color="auto"/>
      </w:divBdr>
      <w:divsChild>
        <w:div w:id="422186471">
          <w:marLeft w:val="0"/>
          <w:marRight w:val="0"/>
          <w:marTop w:val="0"/>
          <w:marBottom w:val="0"/>
          <w:divBdr>
            <w:top w:val="none" w:sz="0" w:space="0" w:color="auto"/>
            <w:left w:val="none" w:sz="0" w:space="0" w:color="auto"/>
            <w:bottom w:val="none" w:sz="0" w:space="0" w:color="auto"/>
            <w:right w:val="none" w:sz="0" w:space="0" w:color="auto"/>
          </w:divBdr>
        </w:div>
      </w:divsChild>
    </w:div>
    <w:div w:id="1954439616">
      <w:bodyDiv w:val="1"/>
      <w:marLeft w:val="0"/>
      <w:marRight w:val="0"/>
      <w:marTop w:val="0"/>
      <w:marBottom w:val="0"/>
      <w:divBdr>
        <w:top w:val="none" w:sz="0" w:space="0" w:color="auto"/>
        <w:left w:val="none" w:sz="0" w:space="0" w:color="auto"/>
        <w:bottom w:val="none" w:sz="0" w:space="0" w:color="auto"/>
        <w:right w:val="none" w:sz="0" w:space="0" w:color="auto"/>
      </w:divBdr>
    </w:div>
    <w:div w:id="1958172853">
      <w:bodyDiv w:val="1"/>
      <w:marLeft w:val="0"/>
      <w:marRight w:val="0"/>
      <w:marTop w:val="0"/>
      <w:marBottom w:val="0"/>
      <w:divBdr>
        <w:top w:val="none" w:sz="0" w:space="0" w:color="auto"/>
        <w:left w:val="none" w:sz="0" w:space="0" w:color="auto"/>
        <w:bottom w:val="none" w:sz="0" w:space="0" w:color="auto"/>
        <w:right w:val="none" w:sz="0" w:space="0" w:color="auto"/>
      </w:divBdr>
    </w:div>
    <w:div w:id="1963876896">
      <w:bodyDiv w:val="1"/>
      <w:marLeft w:val="0"/>
      <w:marRight w:val="0"/>
      <w:marTop w:val="0"/>
      <w:marBottom w:val="0"/>
      <w:divBdr>
        <w:top w:val="none" w:sz="0" w:space="0" w:color="auto"/>
        <w:left w:val="none" w:sz="0" w:space="0" w:color="auto"/>
        <w:bottom w:val="none" w:sz="0" w:space="0" w:color="auto"/>
        <w:right w:val="none" w:sz="0" w:space="0" w:color="auto"/>
      </w:divBdr>
    </w:div>
    <w:div w:id="1967151435">
      <w:bodyDiv w:val="1"/>
      <w:marLeft w:val="0"/>
      <w:marRight w:val="0"/>
      <w:marTop w:val="0"/>
      <w:marBottom w:val="0"/>
      <w:divBdr>
        <w:top w:val="none" w:sz="0" w:space="0" w:color="auto"/>
        <w:left w:val="none" w:sz="0" w:space="0" w:color="auto"/>
        <w:bottom w:val="none" w:sz="0" w:space="0" w:color="auto"/>
        <w:right w:val="none" w:sz="0" w:space="0" w:color="auto"/>
      </w:divBdr>
    </w:div>
    <w:div w:id="2036421613">
      <w:bodyDiv w:val="1"/>
      <w:marLeft w:val="0"/>
      <w:marRight w:val="0"/>
      <w:marTop w:val="0"/>
      <w:marBottom w:val="0"/>
      <w:divBdr>
        <w:top w:val="none" w:sz="0" w:space="0" w:color="auto"/>
        <w:left w:val="none" w:sz="0" w:space="0" w:color="auto"/>
        <w:bottom w:val="none" w:sz="0" w:space="0" w:color="auto"/>
        <w:right w:val="none" w:sz="0" w:space="0" w:color="auto"/>
      </w:divBdr>
    </w:div>
    <w:div w:id="2044594590">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83209127">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21680670">
      <w:bodyDiv w:val="1"/>
      <w:marLeft w:val="0"/>
      <w:marRight w:val="0"/>
      <w:marTop w:val="0"/>
      <w:marBottom w:val="0"/>
      <w:divBdr>
        <w:top w:val="none" w:sz="0" w:space="0" w:color="auto"/>
        <w:left w:val="none" w:sz="0" w:space="0" w:color="auto"/>
        <w:bottom w:val="none" w:sz="0" w:space="0" w:color="auto"/>
        <w:right w:val="none" w:sz="0" w:space="0" w:color="auto"/>
      </w:divBdr>
    </w:div>
    <w:div w:id="2125884620">
      <w:bodyDiv w:val="1"/>
      <w:marLeft w:val="0"/>
      <w:marRight w:val="0"/>
      <w:marTop w:val="0"/>
      <w:marBottom w:val="0"/>
      <w:divBdr>
        <w:top w:val="none" w:sz="0" w:space="0" w:color="auto"/>
        <w:left w:val="none" w:sz="0" w:space="0" w:color="auto"/>
        <w:bottom w:val="none" w:sz="0" w:space="0" w:color="auto"/>
        <w:right w:val="none" w:sz="0" w:space="0" w:color="auto"/>
      </w:divBdr>
      <w:divsChild>
        <w:div w:id="320736016">
          <w:marLeft w:val="0"/>
          <w:marRight w:val="0"/>
          <w:marTop w:val="0"/>
          <w:marBottom w:val="0"/>
          <w:divBdr>
            <w:top w:val="none" w:sz="0" w:space="0" w:color="auto"/>
            <w:left w:val="none" w:sz="0" w:space="0" w:color="auto"/>
            <w:bottom w:val="none" w:sz="0" w:space="0" w:color="auto"/>
            <w:right w:val="none" w:sz="0" w:space="0" w:color="auto"/>
          </w:divBdr>
        </w:div>
        <w:div w:id="1152137667">
          <w:marLeft w:val="0"/>
          <w:marRight w:val="0"/>
          <w:marTop w:val="0"/>
          <w:marBottom w:val="0"/>
          <w:divBdr>
            <w:top w:val="none" w:sz="0" w:space="0" w:color="auto"/>
            <w:left w:val="none" w:sz="0" w:space="0" w:color="auto"/>
            <w:bottom w:val="none" w:sz="0" w:space="0" w:color="auto"/>
            <w:right w:val="none" w:sz="0" w:space="0" w:color="auto"/>
          </w:divBdr>
        </w:div>
      </w:divsChild>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 w:id="21431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3" ma:contentTypeDescription="Create a new document." ma:contentTypeScope="" ma:versionID="c3d19ebebc2992bab255171358259a31">
  <xsd:schema xmlns:xsd="http://www.w3.org/2001/XMLSchema" xmlns:xs="http://www.w3.org/2001/XMLSchema" xmlns:p="http://schemas.microsoft.com/office/2006/metadata/properties" xmlns:ns3="240d9007-a1fb-482a-96da-a02b62c04690" targetNamespace="http://schemas.microsoft.com/office/2006/metadata/properties" ma:root="true" ma:fieldsID="f539a5008bc6e821f4d34d4f9d77e990" ns3:_="">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_activity"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C7308-B6BD-4BBA-8377-DE70EF76F367}">
  <ds:schemaRefs>
    <ds:schemaRef ds:uri="http://schemas.microsoft.com/office/2006/metadata/properties"/>
    <ds:schemaRef ds:uri="http://schemas.microsoft.com/office/infopath/2007/PartnerControls"/>
    <ds:schemaRef ds:uri="240d9007-a1fb-482a-96da-a02b62c04690"/>
  </ds:schemaRefs>
</ds:datastoreItem>
</file>

<file path=customXml/itemProps2.xml><?xml version="1.0" encoding="utf-8"?>
<ds:datastoreItem xmlns:ds="http://schemas.openxmlformats.org/officeDocument/2006/customXml" ds:itemID="{C5EA9D05-736E-4640-A230-B82B493A710C}">
  <ds:schemaRefs>
    <ds:schemaRef ds:uri="http://schemas.microsoft.com/sharepoint/v3/contenttype/forms"/>
  </ds:schemaRefs>
</ds:datastoreItem>
</file>

<file path=customXml/itemProps3.xml><?xml version="1.0" encoding="utf-8"?>
<ds:datastoreItem xmlns:ds="http://schemas.openxmlformats.org/officeDocument/2006/customXml" ds:itemID="{B2FEED44-A682-48E6-BA7F-4C2132162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D18FA-7BBF-48EA-98DA-4193CAB88A6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21</Pages>
  <Words>6701</Words>
  <Characters>38200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44812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Author</cp:lastModifiedBy>
  <cp:revision>69</cp:revision>
  <cp:lastPrinted>2025-12-13T13:46:00Z</cp:lastPrinted>
  <dcterms:created xsi:type="dcterms:W3CDTF">2026-06-25T15:30:00Z</dcterms:created>
  <dcterms:modified xsi:type="dcterms:W3CDTF">2026-07-01T13:39:00Z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y fmtid="{D5CDD505-2E9C-101B-9397-08002B2CF9AE}" pid="3" name="GrammarlyDocumentId">
    <vt:lpwstr>fbddeea0-d978-4e5f-ad09-9710c07d27e4</vt:lpwstr>
  </property>
</Properties>
</file>