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D1780" w14:textId="77777777" w:rsidR="00F9548F" w:rsidRPr="00FD0B8D" w:rsidRDefault="00F9548F" w:rsidP="004C2853">
      <w:pPr>
        <w:spacing w:after="0"/>
        <w:jc w:val="center"/>
        <w:rPr>
          <w:rFonts w:ascii="Times New Roman" w:hAnsi="Times New Roman"/>
          <w:b/>
          <w:color w:val="000000"/>
          <w:sz w:val="28"/>
          <w:szCs w:val="28"/>
        </w:rPr>
      </w:pPr>
      <w:bookmarkStart w:id="0" w:name="_Hlk160459674"/>
      <w:r w:rsidRPr="00FD0B8D">
        <w:rPr>
          <w:rFonts w:ascii="Times New Roman" w:hAnsi="Times New Roman"/>
          <w:b/>
          <w:color w:val="000000"/>
          <w:sz w:val="28"/>
          <w:szCs w:val="28"/>
        </w:rPr>
        <w:t>RELACION</w:t>
      </w:r>
    </w:p>
    <w:p w14:paraId="7B0B850E" w14:textId="77777777" w:rsidR="00F9548F" w:rsidRPr="00FD0B8D" w:rsidRDefault="00F9548F" w:rsidP="004C2853">
      <w:pPr>
        <w:spacing w:after="0"/>
        <w:jc w:val="center"/>
        <w:rPr>
          <w:rFonts w:ascii="Times New Roman" w:hAnsi="Times New Roman"/>
          <w:b/>
          <w:color w:val="000000"/>
          <w:sz w:val="28"/>
          <w:szCs w:val="28"/>
        </w:rPr>
      </w:pPr>
    </w:p>
    <w:p w14:paraId="03FC5829" w14:textId="77777777" w:rsidR="00F9548F" w:rsidRPr="00FD0B8D" w:rsidRDefault="00F9548F" w:rsidP="004C2853">
      <w:pPr>
        <w:spacing w:after="0"/>
        <w:jc w:val="center"/>
        <w:rPr>
          <w:rFonts w:ascii="Times New Roman" w:hAnsi="Times New Roman"/>
          <w:b/>
          <w:color w:val="000000"/>
          <w:sz w:val="28"/>
          <w:szCs w:val="28"/>
        </w:rPr>
      </w:pPr>
      <w:r w:rsidRPr="00FD0B8D">
        <w:rPr>
          <w:rFonts w:ascii="Times New Roman" w:hAnsi="Times New Roman"/>
          <w:b/>
          <w:color w:val="000000"/>
          <w:sz w:val="28"/>
          <w:szCs w:val="28"/>
        </w:rPr>
        <w:t>PËR PROJEKTLIGJIN</w:t>
      </w:r>
    </w:p>
    <w:p w14:paraId="02CEC9EE" w14:textId="77777777" w:rsidR="00F9548F" w:rsidRPr="00FD0B8D" w:rsidRDefault="00F9548F" w:rsidP="004C2853">
      <w:pPr>
        <w:spacing w:after="0"/>
        <w:jc w:val="center"/>
        <w:rPr>
          <w:rFonts w:ascii="Times New Roman" w:hAnsi="Times New Roman"/>
          <w:b/>
          <w:color w:val="000000"/>
          <w:sz w:val="28"/>
          <w:szCs w:val="28"/>
        </w:rPr>
      </w:pPr>
    </w:p>
    <w:p w14:paraId="5225694E" w14:textId="1E01F61E" w:rsidR="00F9548F" w:rsidRPr="00BA1F32" w:rsidRDefault="0085183B" w:rsidP="004C2853">
      <w:pPr>
        <w:jc w:val="center"/>
        <w:rPr>
          <w:rFonts w:ascii="Times New Roman" w:hAnsi="Times New Roman"/>
          <w:b/>
          <w:sz w:val="28"/>
          <w:szCs w:val="28"/>
        </w:rPr>
      </w:pPr>
      <w:r>
        <w:rPr>
          <w:rFonts w:ascii="Times New Roman" w:hAnsi="Times New Roman"/>
          <w:b/>
          <w:sz w:val="28"/>
          <w:szCs w:val="28"/>
        </w:rPr>
        <w:t>“</w:t>
      </w:r>
      <w:r w:rsidR="00F9548F" w:rsidRPr="00BA1F32">
        <w:rPr>
          <w:rFonts w:ascii="Times New Roman" w:hAnsi="Times New Roman"/>
          <w:b/>
          <w:sz w:val="28"/>
          <w:szCs w:val="28"/>
        </w:rPr>
        <w:t xml:space="preserve">PËR </w:t>
      </w:r>
    </w:p>
    <w:p w14:paraId="0045B7E0" w14:textId="77B9FB8A" w:rsidR="007749B8" w:rsidRPr="00BA1F32" w:rsidRDefault="00BA1F32" w:rsidP="004C2853">
      <w:pPr>
        <w:jc w:val="center"/>
        <w:rPr>
          <w:rFonts w:ascii="Times New Roman" w:hAnsi="Times New Roman"/>
          <w:b/>
          <w:sz w:val="28"/>
          <w:szCs w:val="28"/>
        </w:rPr>
      </w:pPr>
      <w:r w:rsidRPr="00BA1F32">
        <w:rPr>
          <w:rFonts w:ascii="Times New Roman" w:hAnsi="Times New Roman"/>
          <w:b/>
          <w:sz w:val="28"/>
          <w:szCs w:val="28"/>
        </w:rPr>
        <w:t xml:space="preserve">DISA SHTESA DHE NDRYSHIME NË LIGJIN NR. </w:t>
      </w:r>
      <w:r w:rsidR="00794017">
        <w:rPr>
          <w:rFonts w:ascii="Times New Roman" w:hAnsi="Times New Roman"/>
          <w:b/>
          <w:sz w:val="28"/>
          <w:szCs w:val="28"/>
        </w:rPr>
        <w:t>111</w:t>
      </w:r>
      <w:r w:rsidRPr="00BA1F32">
        <w:rPr>
          <w:rFonts w:ascii="Times New Roman" w:hAnsi="Times New Roman"/>
          <w:b/>
          <w:sz w:val="28"/>
          <w:szCs w:val="28"/>
        </w:rPr>
        <w:t>/201</w:t>
      </w:r>
      <w:r w:rsidR="00794017">
        <w:rPr>
          <w:rFonts w:ascii="Times New Roman" w:hAnsi="Times New Roman"/>
          <w:b/>
          <w:sz w:val="28"/>
          <w:szCs w:val="28"/>
        </w:rPr>
        <w:t>7</w:t>
      </w:r>
      <w:r w:rsidRPr="00BA1F32">
        <w:rPr>
          <w:rFonts w:ascii="Times New Roman" w:hAnsi="Times New Roman"/>
          <w:b/>
          <w:sz w:val="28"/>
          <w:szCs w:val="28"/>
        </w:rPr>
        <w:t xml:space="preserve"> “PËR </w:t>
      </w:r>
      <w:r w:rsidR="00794017">
        <w:rPr>
          <w:rFonts w:ascii="Times New Roman" w:hAnsi="Times New Roman"/>
          <w:b/>
          <w:sz w:val="28"/>
          <w:szCs w:val="28"/>
        </w:rPr>
        <w:t>NDIHMËN JURIDIKE TË GARANTUAR NGA SHTETI</w:t>
      </w:r>
      <w:r w:rsidRPr="00BA1F32">
        <w:rPr>
          <w:rFonts w:ascii="Times New Roman" w:hAnsi="Times New Roman"/>
          <w:b/>
          <w:sz w:val="28"/>
          <w:szCs w:val="28"/>
        </w:rPr>
        <w:t>”</w:t>
      </w:r>
    </w:p>
    <w:p w14:paraId="0DABAB06" w14:textId="77777777" w:rsidR="00F9548F" w:rsidRPr="00FD0B8D" w:rsidRDefault="00F9548F" w:rsidP="004C2853">
      <w:pPr>
        <w:jc w:val="both"/>
        <w:rPr>
          <w:rFonts w:ascii="Times New Roman" w:hAnsi="Times New Roman"/>
          <w:sz w:val="28"/>
          <w:szCs w:val="28"/>
        </w:rPr>
      </w:pPr>
      <w:r w:rsidRPr="00FD0B8D">
        <w:rPr>
          <w:rFonts w:ascii="Times New Roman" w:hAnsi="Times New Roman"/>
          <w:b/>
          <w:color w:val="000000"/>
          <w:sz w:val="28"/>
          <w:szCs w:val="28"/>
        </w:rPr>
        <w:t>I.</w:t>
      </w:r>
      <w:r w:rsidRPr="00FD0B8D">
        <w:rPr>
          <w:rFonts w:ascii="Times New Roman" w:hAnsi="Times New Roman"/>
          <w:b/>
          <w:color w:val="000000"/>
          <w:sz w:val="28"/>
          <w:szCs w:val="28"/>
        </w:rPr>
        <w:tab/>
        <w:t>QËLLIMI I PROJEKTAKTIT DHE OBJEKTIVAT QË SYNOHEN TË ARRIHEN</w:t>
      </w:r>
    </w:p>
    <w:p w14:paraId="3AF39E99" w14:textId="48050B51" w:rsidR="0085183B" w:rsidRDefault="0085183B" w:rsidP="004C2853">
      <w:pPr>
        <w:jc w:val="both"/>
        <w:rPr>
          <w:rFonts w:ascii="Times New Roman" w:hAnsi="Times New Roman"/>
          <w:sz w:val="28"/>
          <w:szCs w:val="28"/>
        </w:rPr>
      </w:pPr>
      <w:r w:rsidRPr="0085183B">
        <w:rPr>
          <w:rFonts w:ascii="Times New Roman" w:hAnsi="Times New Roman"/>
          <w:sz w:val="28"/>
          <w:szCs w:val="28"/>
        </w:rPr>
        <w:t>Projektligji “Për disa shtesa dhe ndryshime në ligjin nr. 111/2017 ‘Për ndihmën juridike të garantuar nga shteti’”</w:t>
      </w:r>
      <w:r w:rsidR="007424ED">
        <w:rPr>
          <w:rFonts w:ascii="Times New Roman" w:hAnsi="Times New Roman"/>
          <w:sz w:val="28"/>
          <w:szCs w:val="28"/>
        </w:rPr>
        <w:t>,</w:t>
      </w:r>
      <w:r w:rsidRPr="0085183B">
        <w:rPr>
          <w:rFonts w:ascii="Times New Roman" w:hAnsi="Times New Roman"/>
          <w:sz w:val="28"/>
          <w:szCs w:val="28"/>
        </w:rPr>
        <w:t xml:space="preserve"> synon forcimin e sistemit të ndihmës juridike të garantuar nga shteti, rritjen e aksesit real, efektiv dhe të barabartë të individëve në drejtësi, veçanërisht të personave në kushte të pafavorshme ekonomike, sociale ose juridike.</w:t>
      </w:r>
    </w:p>
    <w:p w14:paraId="078A6B61" w14:textId="388E021B" w:rsidR="00085F09" w:rsidRDefault="00085F09" w:rsidP="004C2853">
      <w:pPr>
        <w:jc w:val="both"/>
        <w:rPr>
          <w:rFonts w:ascii="Times New Roman" w:hAnsi="Times New Roman"/>
          <w:sz w:val="28"/>
          <w:szCs w:val="28"/>
        </w:rPr>
      </w:pPr>
      <w:r w:rsidRPr="00085F09">
        <w:rPr>
          <w:rFonts w:ascii="Times New Roman" w:hAnsi="Times New Roman"/>
          <w:sz w:val="28"/>
          <w:szCs w:val="28"/>
        </w:rPr>
        <w:t>Ligji nr. 111/2017 “Për ndihmën juridike të garantuar nga shteti” ka krijuar bazën ligjore për organizimin, administrimin dhe financimin e ndihmës juridike parësore, ndihmës juridike dytësore, si dhe përjashtimit nga tarifat dhe shpenzimet gjyqësore. Nëpërmjet këtij ligji është synuar garantimi i mbrojtjes së të drejtave themelore të individit dhe i interesave të tij të ligjshëm, duke përcaktuar format, kushtet, procedurat dhe institucionet përgjegjëse për funksionimin e sistemit të ndihmës juridike.</w:t>
      </w:r>
    </w:p>
    <w:p w14:paraId="460E64EA" w14:textId="6517FDA2" w:rsidR="00085F09" w:rsidRDefault="00085F09" w:rsidP="004C2853">
      <w:pPr>
        <w:jc w:val="both"/>
        <w:rPr>
          <w:rFonts w:ascii="Times New Roman" w:hAnsi="Times New Roman"/>
          <w:sz w:val="28"/>
          <w:szCs w:val="28"/>
        </w:rPr>
      </w:pPr>
      <w:r w:rsidRPr="007F3ED9">
        <w:rPr>
          <w:rFonts w:ascii="Times New Roman" w:hAnsi="Times New Roman"/>
          <w:sz w:val="28"/>
          <w:szCs w:val="28"/>
        </w:rPr>
        <w:t xml:space="preserve">Pavarësisht arritjeve të deritanishme në ngritjen dhe konsolidimin e sistemit të ndihmës juridike, praktika e zbatimit të ligjit, raportimet institucionale dhe analizat e kryera kanë evidentuar nevojën për rishikimin e disa dispozitave, me qëllim rritjen e efektivitetit të shërbimit dhe adresimin e pengesave që kufizojnë aksesin real në drejtësi. Këto pengesa lidhen, ndër të tjera, me mungesën e informacionit të qytetarëve për shërbimet e ndihmës juridike, kufizimet në kategoritë përfituese, barrën administrative në procedurën e përfitimit të ndihmës juridike parësore, nevojën për </w:t>
      </w:r>
      <w:r w:rsidR="007424ED" w:rsidRPr="007F3ED9">
        <w:rPr>
          <w:rFonts w:ascii="Times New Roman" w:hAnsi="Times New Roman"/>
          <w:sz w:val="28"/>
          <w:szCs w:val="28"/>
        </w:rPr>
        <w:t>nevojën për një rol më aktiv të Drejtorisë së Ndihmës Juridike Falas (në vijim DNJF), mungesën e koordinimit me shërbimet në nivel vendor</w:t>
      </w:r>
      <w:r w:rsidRPr="007F3ED9">
        <w:rPr>
          <w:rFonts w:ascii="Times New Roman" w:hAnsi="Times New Roman"/>
          <w:sz w:val="28"/>
          <w:szCs w:val="28"/>
        </w:rPr>
        <w:t>, nevojën për specializim më të lartë të avokatëve, si dhe mbulimin e pamjaftueshëm të disa shpenzimeve të domosdoshme në fazën e ekzekutimit të vendimeve gjyqësore</w:t>
      </w:r>
      <w:r w:rsidR="00AC05E3" w:rsidRPr="007F3ED9">
        <w:rPr>
          <w:rFonts w:ascii="Times New Roman" w:hAnsi="Times New Roman"/>
          <w:sz w:val="28"/>
          <w:szCs w:val="28"/>
        </w:rPr>
        <w:t>.</w:t>
      </w:r>
    </w:p>
    <w:p w14:paraId="1D8B5B66" w14:textId="2657317C" w:rsidR="00AC05E3" w:rsidRPr="00AC05E3" w:rsidRDefault="00AC05E3" w:rsidP="004C2853">
      <w:pPr>
        <w:spacing w:after="0"/>
        <w:jc w:val="both"/>
        <w:rPr>
          <w:rFonts w:ascii="Times New Roman" w:hAnsi="Times New Roman"/>
          <w:sz w:val="28"/>
          <w:szCs w:val="28"/>
        </w:rPr>
      </w:pPr>
      <w:r w:rsidRPr="00AC05E3">
        <w:rPr>
          <w:rFonts w:ascii="Times New Roman" w:hAnsi="Times New Roman"/>
          <w:sz w:val="28"/>
          <w:szCs w:val="28"/>
        </w:rPr>
        <w:lastRenderedPageBreak/>
        <w:t>Në këtë kuadër, projektligji synon forcimin e sistemit të ndihmës juridike të garantuar nga shteti, duke adresuar problematikat e evidentuara gjatë zbatimit të ligjit nr. 111/2017 dhe duke përmirësuar aksesin efektiv në drejtësi për kategoritë përfituese, nëpërmjet këtyre ndërhyrjeve kryesore:</w:t>
      </w:r>
    </w:p>
    <w:p w14:paraId="7A12337E" w14:textId="61266F4E" w:rsidR="00AC05E3" w:rsidRDefault="00AC05E3" w:rsidP="004C2853">
      <w:pPr>
        <w:pStyle w:val="ListParagraph"/>
        <w:numPr>
          <w:ilvl w:val="0"/>
          <w:numId w:val="15"/>
        </w:numPr>
        <w:spacing w:after="0"/>
        <w:ind w:left="360"/>
        <w:jc w:val="both"/>
        <w:rPr>
          <w:rFonts w:ascii="Times New Roman" w:hAnsi="Times New Roman"/>
          <w:sz w:val="28"/>
          <w:szCs w:val="28"/>
        </w:rPr>
      </w:pPr>
      <w:r w:rsidRPr="00AC05E3">
        <w:rPr>
          <w:rFonts w:ascii="Times New Roman" w:hAnsi="Times New Roman"/>
          <w:sz w:val="28"/>
          <w:szCs w:val="28"/>
        </w:rPr>
        <w:t>forcimin e rolit të ndihmës juridike në informimin, edukimin ligjor dhe ndërgjegjësimin e publikut mbi të drejtat, detyrimet dhe funksionimin e sistemit të drejtësisë;</w:t>
      </w:r>
    </w:p>
    <w:p w14:paraId="1A88E2CC" w14:textId="16366C64" w:rsidR="00AC05E3" w:rsidRDefault="00AC05E3" w:rsidP="004C2853">
      <w:pPr>
        <w:pStyle w:val="ListParagraph"/>
        <w:numPr>
          <w:ilvl w:val="0"/>
          <w:numId w:val="15"/>
        </w:numPr>
        <w:spacing w:after="0"/>
        <w:ind w:left="360"/>
        <w:jc w:val="both"/>
        <w:rPr>
          <w:rFonts w:ascii="Times New Roman" w:hAnsi="Times New Roman"/>
          <w:sz w:val="28"/>
          <w:szCs w:val="28"/>
        </w:rPr>
      </w:pPr>
      <w:r w:rsidRPr="00AC05E3">
        <w:rPr>
          <w:rFonts w:ascii="Times New Roman" w:hAnsi="Times New Roman"/>
          <w:sz w:val="28"/>
          <w:szCs w:val="28"/>
        </w:rPr>
        <w:t>përfshirjen e njësive të vetëqeverisjes vendore si aktorë mbështetës në funksionimin e sistemit të ndihmës juridike, veçanërisht për informimin, referimin dhe bashkërendimin me shërbimet sociale;</w:t>
      </w:r>
    </w:p>
    <w:p w14:paraId="40E901AF" w14:textId="5C2B1D27" w:rsidR="00AC05E3" w:rsidRDefault="00AC05E3" w:rsidP="004C2853">
      <w:pPr>
        <w:pStyle w:val="ListParagraph"/>
        <w:numPr>
          <w:ilvl w:val="0"/>
          <w:numId w:val="15"/>
        </w:numPr>
        <w:spacing w:after="0"/>
        <w:ind w:left="360"/>
        <w:jc w:val="both"/>
        <w:rPr>
          <w:rFonts w:ascii="Times New Roman" w:hAnsi="Times New Roman"/>
          <w:sz w:val="28"/>
          <w:szCs w:val="28"/>
        </w:rPr>
      </w:pPr>
      <w:r w:rsidRPr="00AC05E3">
        <w:rPr>
          <w:rFonts w:ascii="Times New Roman" w:hAnsi="Times New Roman"/>
          <w:sz w:val="28"/>
          <w:szCs w:val="28"/>
        </w:rPr>
        <w:t>zgjerimin dhe qartësimin e kategorive të veçanta përfituese të ndihmës juridike, duke përfshirë viktimat e formave të ndryshme të dhunës, viktimat e terrorizmit,</w:t>
      </w:r>
      <w:r w:rsidR="00260C49">
        <w:rPr>
          <w:rFonts w:ascii="Times New Roman" w:hAnsi="Times New Roman"/>
          <w:sz w:val="28"/>
          <w:szCs w:val="28"/>
        </w:rPr>
        <w:t xml:space="preserve"> viktimat e krimit,</w:t>
      </w:r>
      <w:bookmarkStart w:id="1" w:name="_GoBack"/>
      <w:bookmarkEnd w:id="1"/>
      <w:r w:rsidRPr="00AC05E3">
        <w:rPr>
          <w:rFonts w:ascii="Times New Roman" w:hAnsi="Times New Roman"/>
          <w:sz w:val="28"/>
          <w:szCs w:val="28"/>
        </w:rPr>
        <w:t xml:space="preserve"> personat me aftësi të kufizuara, përfituesit e skemave të mbrojtjes sociale, komunitetin rom dhe egjiptian, si dhe sinjalizuesit</w:t>
      </w:r>
      <w:r w:rsidR="005A12D7">
        <w:rPr>
          <w:rFonts w:ascii="Times New Roman" w:hAnsi="Times New Roman"/>
          <w:sz w:val="28"/>
          <w:szCs w:val="28"/>
        </w:rPr>
        <w:t xml:space="preserve"> që raportojnë shkelje të së drejtës së BE-së sipas kuadrit ligjor europian</w:t>
      </w:r>
      <w:r w:rsidRPr="00AC05E3">
        <w:rPr>
          <w:rFonts w:ascii="Times New Roman" w:hAnsi="Times New Roman"/>
          <w:sz w:val="28"/>
          <w:szCs w:val="28"/>
        </w:rPr>
        <w:t>;</w:t>
      </w:r>
    </w:p>
    <w:p w14:paraId="5C9AF7AC" w14:textId="16C7D79D" w:rsidR="005A12D7" w:rsidRDefault="00F51325" w:rsidP="004C2853">
      <w:pPr>
        <w:pStyle w:val="ListParagraph"/>
        <w:numPr>
          <w:ilvl w:val="0"/>
          <w:numId w:val="15"/>
        </w:numPr>
        <w:spacing w:after="0"/>
        <w:ind w:left="360"/>
        <w:jc w:val="both"/>
        <w:rPr>
          <w:rFonts w:ascii="Times New Roman" w:hAnsi="Times New Roman"/>
          <w:sz w:val="28"/>
          <w:szCs w:val="28"/>
        </w:rPr>
      </w:pPr>
      <w:r w:rsidRPr="00F51325">
        <w:rPr>
          <w:rFonts w:ascii="Times New Roman" w:hAnsi="Times New Roman"/>
          <w:sz w:val="28"/>
          <w:szCs w:val="28"/>
        </w:rPr>
        <w:t>thjeshtimin e procedurës për përfitimin e ndihmës juridike parësore, duke reduktuar barrën administrative për kërkuesit;</w:t>
      </w:r>
    </w:p>
    <w:p w14:paraId="0BA750DE" w14:textId="731F0074" w:rsidR="00F51325" w:rsidRDefault="00F51325" w:rsidP="004C2853">
      <w:pPr>
        <w:pStyle w:val="ListParagraph"/>
        <w:numPr>
          <w:ilvl w:val="0"/>
          <w:numId w:val="15"/>
        </w:numPr>
        <w:spacing w:after="0"/>
        <w:ind w:left="360"/>
        <w:jc w:val="both"/>
        <w:rPr>
          <w:rFonts w:ascii="Times New Roman" w:hAnsi="Times New Roman"/>
          <w:sz w:val="28"/>
          <w:szCs w:val="28"/>
        </w:rPr>
      </w:pPr>
      <w:r w:rsidRPr="00F51325">
        <w:rPr>
          <w:rFonts w:ascii="Times New Roman" w:hAnsi="Times New Roman"/>
          <w:sz w:val="28"/>
          <w:szCs w:val="28"/>
        </w:rPr>
        <w:t>përmirësimin e dhënies së ndihmës juridike dytësore, përmes parashikimit të çështjeve të ndërlidhura, vijueshmërisë së përfaqësimit dhe shmangies së fragmentarizimit të mbrojtjes juridike;</w:t>
      </w:r>
    </w:p>
    <w:p w14:paraId="076159A8" w14:textId="47388978" w:rsidR="00F51325" w:rsidRDefault="00F51325" w:rsidP="004C2853">
      <w:pPr>
        <w:pStyle w:val="ListParagraph"/>
        <w:numPr>
          <w:ilvl w:val="0"/>
          <w:numId w:val="15"/>
        </w:numPr>
        <w:spacing w:after="0"/>
        <w:ind w:left="360"/>
        <w:jc w:val="both"/>
        <w:rPr>
          <w:rFonts w:ascii="Times New Roman" w:hAnsi="Times New Roman"/>
          <w:sz w:val="28"/>
          <w:szCs w:val="28"/>
        </w:rPr>
      </w:pPr>
      <w:r w:rsidRPr="00F51325">
        <w:rPr>
          <w:rFonts w:ascii="Times New Roman" w:hAnsi="Times New Roman"/>
          <w:sz w:val="28"/>
          <w:szCs w:val="28"/>
        </w:rPr>
        <w:t>krijimin e procedurave të përshpejtuara për dhënien e ndihmës juridike në rastet emergjente, veçanërisht për viktimat e dhunës dhe kategoritë e tjera vulnerabël;</w:t>
      </w:r>
    </w:p>
    <w:p w14:paraId="5EFEAC44" w14:textId="468C2C32" w:rsidR="006235C7" w:rsidRDefault="006235C7" w:rsidP="004C2853">
      <w:pPr>
        <w:pStyle w:val="ListParagraph"/>
        <w:numPr>
          <w:ilvl w:val="0"/>
          <w:numId w:val="15"/>
        </w:numPr>
        <w:spacing w:after="0"/>
        <w:ind w:left="360"/>
        <w:jc w:val="both"/>
        <w:rPr>
          <w:rFonts w:ascii="Times New Roman" w:hAnsi="Times New Roman"/>
          <w:sz w:val="28"/>
          <w:szCs w:val="28"/>
        </w:rPr>
      </w:pPr>
      <w:r w:rsidRPr="006235C7">
        <w:rPr>
          <w:rFonts w:ascii="Times New Roman" w:hAnsi="Times New Roman"/>
          <w:sz w:val="28"/>
          <w:szCs w:val="28"/>
        </w:rPr>
        <w:t>rritjen e cilësisë së përfaqësimit përmes trajnimit dhe specializimit të avokatëve që ofrojnë ndihmë juridike dytësore;</w:t>
      </w:r>
    </w:p>
    <w:p w14:paraId="659538D3" w14:textId="77777777" w:rsidR="000515D5" w:rsidRDefault="006235C7" w:rsidP="004C2853">
      <w:pPr>
        <w:pStyle w:val="ListParagraph"/>
        <w:numPr>
          <w:ilvl w:val="0"/>
          <w:numId w:val="15"/>
        </w:numPr>
        <w:spacing w:after="0"/>
        <w:ind w:left="360"/>
        <w:jc w:val="both"/>
        <w:rPr>
          <w:rFonts w:ascii="Times New Roman" w:hAnsi="Times New Roman"/>
          <w:sz w:val="28"/>
          <w:szCs w:val="28"/>
        </w:rPr>
      </w:pPr>
      <w:r w:rsidRPr="006235C7">
        <w:rPr>
          <w:rFonts w:ascii="Times New Roman" w:hAnsi="Times New Roman"/>
          <w:sz w:val="28"/>
          <w:szCs w:val="28"/>
        </w:rPr>
        <w:t>zgjerimin e mbulimit të shpenzimeve të domosdoshme për aksesin në drejtësi, veçanërisht në fazën e ekzekutimit të vendimeve gjyqësore;</w:t>
      </w:r>
    </w:p>
    <w:p w14:paraId="32EC7AC4" w14:textId="28B1EC4B" w:rsidR="0095486C" w:rsidRDefault="000515D5" w:rsidP="004C2853">
      <w:pPr>
        <w:pStyle w:val="ListParagraph"/>
        <w:numPr>
          <w:ilvl w:val="0"/>
          <w:numId w:val="15"/>
        </w:numPr>
        <w:spacing w:after="0"/>
        <w:ind w:left="360"/>
        <w:jc w:val="both"/>
        <w:rPr>
          <w:rFonts w:ascii="Times New Roman" w:hAnsi="Times New Roman"/>
          <w:sz w:val="28"/>
          <w:szCs w:val="28"/>
        </w:rPr>
      </w:pPr>
      <w:r w:rsidRPr="000515D5">
        <w:rPr>
          <w:rFonts w:ascii="Times New Roman" w:hAnsi="Times New Roman"/>
          <w:sz w:val="28"/>
          <w:szCs w:val="28"/>
        </w:rPr>
        <w:t>harmonizimin e kuadrit ligjor vendas me standardet përkatëse të Bashkimit Evropian në fushën e mbrojtjes së viktimave, garantimit të ndihmës juridike në procedurat penale, luftës kundër terrorizmit dhe mbrojtjes së sinjalizuesve.</w:t>
      </w:r>
    </w:p>
    <w:p w14:paraId="4CC2B377" w14:textId="77777777" w:rsidR="000515D5" w:rsidRPr="000515D5" w:rsidRDefault="000515D5" w:rsidP="000515D5">
      <w:pPr>
        <w:pStyle w:val="ListParagraph"/>
        <w:spacing w:after="0"/>
        <w:ind w:left="360"/>
        <w:jc w:val="both"/>
        <w:rPr>
          <w:rFonts w:ascii="Times New Roman" w:hAnsi="Times New Roman"/>
          <w:sz w:val="28"/>
          <w:szCs w:val="28"/>
        </w:rPr>
      </w:pPr>
    </w:p>
    <w:p w14:paraId="47CEBCF2" w14:textId="6661043D" w:rsidR="00F9548F" w:rsidRPr="00FD0B8D" w:rsidRDefault="00F9548F" w:rsidP="004C2853">
      <w:pPr>
        <w:jc w:val="both"/>
        <w:rPr>
          <w:rFonts w:ascii="Times New Roman" w:hAnsi="Times New Roman"/>
          <w:b/>
          <w:color w:val="000000"/>
          <w:sz w:val="28"/>
          <w:szCs w:val="28"/>
        </w:rPr>
      </w:pPr>
      <w:r w:rsidRPr="00FD0B8D">
        <w:rPr>
          <w:rFonts w:ascii="Times New Roman" w:hAnsi="Times New Roman"/>
          <w:b/>
          <w:color w:val="000000"/>
          <w:sz w:val="28"/>
          <w:szCs w:val="28"/>
        </w:rPr>
        <w:t>II.</w:t>
      </w:r>
      <w:r w:rsidRPr="00FD0B8D">
        <w:rPr>
          <w:rFonts w:ascii="Times New Roman" w:hAnsi="Times New Roman"/>
          <w:b/>
          <w:color w:val="000000"/>
          <w:sz w:val="28"/>
          <w:szCs w:val="28"/>
        </w:rPr>
        <w:tab/>
        <w:t>VLERËSIMI I PROJEKTAKTIT NË RAPORT ME PROGRAMIN POLITIK TË KËSHILLIT TË MINISTRAVE, ME PROGRAMIN ANALITIK TË AKTEVE DHE DOKUMENTE TË TJERA POLITIKE</w:t>
      </w:r>
    </w:p>
    <w:p w14:paraId="221F77D6" w14:textId="77777777" w:rsidR="007324F0" w:rsidRDefault="007324F0" w:rsidP="004C2853">
      <w:pPr>
        <w:jc w:val="both"/>
        <w:rPr>
          <w:rFonts w:ascii="Times New Roman" w:hAnsi="Times New Roman"/>
          <w:sz w:val="28"/>
          <w:szCs w:val="28"/>
        </w:rPr>
      </w:pPr>
      <w:bookmarkStart w:id="2" w:name="_Hlk148084824"/>
      <w:r w:rsidRPr="007324F0">
        <w:rPr>
          <w:rFonts w:ascii="Times New Roman" w:hAnsi="Times New Roman"/>
          <w:sz w:val="28"/>
          <w:szCs w:val="28"/>
        </w:rPr>
        <w:t xml:space="preserve">Nisma ligjore është parashikuar në Programin e Përgjithshëm Analitik të Projektakteve, që do të paraqiten për shqyrtim në Këshillin e Ministrave gjatë </w:t>
      </w:r>
      <w:r w:rsidRPr="007324F0">
        <w:rPr>
          <w:rFonts w:ascii="Times New Roman" w:hAnsi="Times New Roman"/>
          <w:sz w:val="28"/>
          <w:szCs w:val="28"/>
        </w:rPr>
        <w:lastRenderedPageBreak/>
        <w:t>vitit 2026, miratuar me vendimin nr. 812, datë 30.12.2025, të Këshillit të Ministrave.</w:t>
      </w:r>
    </w:p>
    <w:bookmarkEnd w:id="2"/>
    <w:p w14:paraId="12B71641" w14:textId="32F131C4" w:rsidR="007324F0" w:rsidRDefault="007324F0" w:rsidP="004C2853">
      <w:pPr>
        <w:jc w:val="both"/>
        <w:rPr>
          <w:rFonts w:ascii="Times New Roman" w:hAnsi="Times New Roman"/>
          <w:sz w:val="28"/>
          <w:szCs w:val="28"/>
        </w:rPr>
      </w:pPr>
      <w:r w:rsidRPr="007324F0">
        <w:rPr>
          <w:rFonts w:ascii="Times New Roman" w:hAnsi="Times New Roman"/>
          <w:sz w:val="28"/>
          <w:szCs w:val="28"/>
        </w:rPr>
        <w:t>Projektligji është në përputhje me Strategjinë Ndërsektoriale të Drejtësisë 2024</w:t>
      </w:r>
      <w:r>
        <w:rPr>
          <w:rFonts w:ascii="Times New Roman" w:hAnsi="Times New Roman"/>
          <w:sz w:val="28"/>
          <w:szCs w:val="28"/>
        </w:rPr>
        <w:t>-</w:t>
      </w:r>
      <w:r w:rsidRPr="007324F0">
        <w:rPr>
          <w:rFonts w:ascii="Times New Roman" w:hAnsi="Times New Roman"/>
          <w:sz w:val="28"/>
          <w:szCs w:val="28"/>
        </w:rPr>
        <w:t xml:space="preserve">2030, miratuar me vendimin nr. 787, datë 18.12.2024, të Këshillit të Ministrave, veçanërisht me objektivat që lidhen me rritjen e aksesit në drejtësi, forcimin e shërbimeve të ndihmës juridike dhe afrimin e sistemit të drejtësisë me qytetarët. </w:t>
      </w:r>
    </w:p>
    <w:p w14:paraId="6A0EF9D4" w14:textId="7FF3B956" w:rsidR="009730E3" w:rsidRDefault="009730E3" w:rsidP="004C2853">
      <w:pPr>
        <w:jc w:val="both"/>
        <w:rPr>
          <w:rFonts w:ascii="Times New Roman" w:hAnsi="Times New Roman"/>
          <w:sz w:val="28"/>
          <w:szCs w:val="28"/>
        </w:rPr>
      </w:pPr>
      <w:r w:rsidRPr="009730E3">
        <w:rPr>
          <w:rFonts w:ascii="Times New Roman" w:hAnsi="Times New Roman"/>
          <w:sz w:val="28"/>
          <w:szCs w:val="28"/>
        </w:rPr>
        <w:t xml:space="preserve">Projektligji është në përputhje me Strategjinë Ndërsektoriale për Mbrojtjen e Viktimave të Krimit 2024–2030, të miratuar me vendimin nr. 729, datë 13.12.2023, të Këshillit të Ministrave, si dhe me planin e saj të veprimit dhe pasaportën e treguesve. </w:t>
      </w:r>
    </w:p>
    <w:p w14:paraId="0D15A160" w14:textId="6C1C26EE" w:rsidR="007324F0" w:rsidRDefault="007324F0" w:rsidP="004C2853">
      <w:pPr>
        <w:jc w:val="both"/>
        <w:rPr>
          <w:rFonts w:ascii="Times New Roman" w:hAnsi="Times New Roman"/>
          <w:color w:val="000000"/>
          <w:sz w:val="28"/>
          <w:szCs w:val="28"/>
        </w:rPr>
      </w:pPr>
      <w:r w:rsidRPr="007324F0">
        <w:rPr>
          <w:rFonts w:ascii="Times New Roman" w:hAnsi="Times New Roman"/>
          <w:color w:val="000000"/>
          <w:sz w:val="28"/>
          <w:szCs w:val="28"/>
        </w:rPr>
        <w:t>Gjithashtu, projektakti është në përputhje me Planin Kombëtar për Integrimin Evropian 2024</w:t>
      </w:r>
      <w:r>
        <w:rPr>
          <w:rFonts w:ascii="Times New Roman" w:hAnsi="Times New Roman"/>
          <w:color w:val="000000"/>
          <w:sz w:val="28"/>
          <w:szCs w:val="28"/>
        </w:rPr>
        <w:t>-</w:t>
      </w:r>
      <w:r w:rsidRPr="007324F0">
        <w:rPr>
          <w:rFonts w:ascii="Times New Roman" w:hAnsi="Times New Roman"/>
          <w:color w:val="000000"/>
          <w:sz w:val="28"/>
          <w:szCs w:val="28"/>
        </w:rPr>
        <w:t xml:space="preserve">2026, miratuar me vendimin nr. 16, datë 11.1.2024, të Këshillit të Ministrave, sipas të cilit projektligji “Për disa shtesa dhe ndryshime në ligjin nr. 111/2017 </w:t>
      </w:r>
      <w:r>
        <w:rPr>
          <w:rFonts w:ascii="Times New Roman" w:hAnsi="Times New Roman"/>
          <w:color w:val="000000"/>
          <w:sz w:val="28"/>
          <w:szCs w:val="28"/>
        </w:rPr>
        <w:t>“</w:t>
      </w:r>
      <w:r w:rsidRPr="007324F0">
        <w:rPr>
          <w:rFonts w:ascii="Times New Roman" w:hAnsi="Times New Roman"/>
          <w:color w:val="000000"/>
          <w:sz w:val="28"/>
          <w:szCs w:val="28"/>
        </w:rPr>
        <w:t>Për ndihmën juridike të garantuar nga shteti</w:t>
      </w:r>
      <w:r w:rsidR="00AD4A83">
        <w:rPr>
          <w:rFonts w:ascii="Times New Roman" w:hAnsi="Times New Roman"/>
          <w:color w:val="000000"/>
          <w:sz w:val="28"/>
          <w:szCs w:val="28"/>
        </w:rPr>
        <w:t>”</w:t>
      </w:r>
      <w:r w:rsidRPr="007324F0">
        <w:rPr>
          <w:rFonts w:ascii="Times New Roman" w:hAnsi="Times New Roman"/>
          <w:color w:val="000000"/>
          <w:sz w:val="28"/>
          <w:szCs w:val="28"/>
        </w:rPr>
        <w:t>”</w:t>
      </w:r>
      <w:r>
        <w:rPr>
          <w:rFonts w:ascii="Times New Roman" w:hAnsi="Times New Roman"/>
          <w:color w:val="000000"/>
          <w:sz w:val="28"/>
          <w:szCs w:val="28"/>
        </w:rPr>
        <w:t>,</w:t>
      </w:r>
      <w:r w:rsidRPr="007324F0">
        <w:rPr>
          <w:rFonts w:ascii="Times New Roman" w:hAnsi="Times New Roman"/>
          <w:color w:val="000000"/>
          <w:sz w:val="28"/>
          <w:szCs w:val="28"/>
        </w:rPr>
        <w:t xml:space="preserve"> </w:t>
      </w:r>
      <w:r>
        <w:rPr>
          <w:rFonts w:ascii="Times New Roman" w:hAnsi="Times New Roman"/>
          <w:color w:val="000000"/>
          <w:sz w:val="28"/>
          <w:szCs w:val="28"/>
        </w:rPr>
        <w:t>përfshihet</w:t>
      </w:r>
      <w:r w:rsidRPr="007324F0">
        <w:rPr>
          <w:rFonts w:ascii="Times New Roman" w:hAnsi="Times New Roman"/>
          <w:color w:val="000000"/>
          <w:sz w:val="28"/>
          <w:szCs w:val="28"/>
        </w:rPr>
        <w:t xml:space="preserve"> në aktet për të cilat synohet përafrimi me </w:t>
      </w:r>
      <w:r w:rsidRPr="00AD4A83">
        <w:rPr>
          <w:rFonts w:ascii="Times New Roman" w:hAnsi="Times New Roman"/>
          <w:i/>
          <w:color w:val="000000"/>
          <w:sz w:val="28"/>
          <w:szCs w:val="28"/>
        </w:rPr>
        <w:t>acquis</w:t>
      </w:r>
      <w:r w:rsidRPr="007324F0">
        <w:rPr>
          <w:rFonts w:ascii="Times New Roman" w:hAnsi="Times New Roman"/>
          <w:color w:val="000000"/>
          <w:sz w:val="28"/>
          <w:szCs w:val="28"/>
        </w:rPr>
        <w:t xml:space="preserve"> të Bashkimit Evropian, për vitin 2026, në grup-kapitullin 1 “Themelorët”.</w:t>
      </w:r>
    </w:p>
    <w:p w14:paraId="0C2CCE6B" w14:textId="14DD6919" w:rsidR="00F9548F" w:rsidRPr="00FD0B8D" w:rsidRDefault="00F9548F" w:rsidP="004C2853">
      <w:pPr>
        <w:jc w:val="both"/>
        <w:rPr>
          <w:rFonts w:ascii="Times New Roman" w:hAnsi="Times New Roman"/>
          <w:b/>
          <w:color w:val="000000"/>
          <w:sz w:val="28"/>
          <w:szCs w:val="28"/>
        </w:rPr>
      </w:pPr>
      <w:r w:rsidRPr="00FD0B8D">
        <w:rPr>
          <w:rFonts w:ascii="Times New Roman" w:hAnsi="Times New Roman"/>
          <w:b/>
          <w:color w:val="000000"/>
          <w:sz w:val="28"/>
          <w:szCs w:val="28"/>
        </w:rPr>
        <w:t>III.</w:t>
      </w:r>
      <w:r w:rsidRPr="00FD0B8D">
        <w:rPr>
          <w:rFonts w:ascii="Times New Roman" w:hAnsi="Times New Roman"/>
          <w:b/>
          <w:color w:val="000000"/>
          <w:sz w:val="28"/>
          <w:szCs w:val="28"/>
        </w:rPr>
        <w:tab/>
        <w:t>ARGUMENTIMI I PROJEKTAKTIT LIDHUR ME PËRPARËSITË, PROBLEMATIKAT, EFEKTET E PRITSHME</w:t>
      </w:r>
    </w:p>
    <w:p w14:paraId="5FFD6081" w14:textId="02A0BB2F" w:rsidR="003B3F3F" w:rsidRDefault="003B3F3F" w:rsidP="004C2853">
      <w:pPr>
        <w:jc w:val="both"/>
        <w:rPr>
          <w:rFonts w:ascii="Times New Roman" w:hAnsi="Times New Roman"/>
          <w:sz w:val="28"/>
          <w:szCs w:val="28"/>
        </w:rPr>
      </w:pPr>
      <w:r w:rsidRPr="00A421F2">
        <w:rPr>
          <w:rFonts w:ascii="Times New Roman" w:hAnsi="Times New Roman"/>
          <w:sz w:val="28"/>
          <w:szCs w:val="28"/>
        </w:rPr>
        <w:t xml:space="preserve">Ligji nr. 111/2017 “Për ndihmën juridike të garantuar nga shteti” ka krijuar kuadrin bazë për organizimin, administrimin dhe ofrimin e ndihmës juridike parësore, ndihmës juridike dytësore, si dhe përjashtimit nga tarifat dhe shpenzimet gjyqësore. Ky ligj përcakton se ndihma juridike jepet me qëllim garantimin e aksesit të barabartë të individëve në sistemin e drejtësisë dhe mbrojtjen e të drejtave themelore dhe interesave të ligjshëm të tyre. Megjithatë, </w:t>
      </w:r>
      <w:r w:rsidR="00A421F2" w:rsidRPr="00A421F2">
        <w:rPr>
          <w:rFonts w:ascii="Times New Roman" w:hAnsi="Times New Roman"/>
          <w:sz w:val="28"/>
          <w:szCs w:val="28"/>
        </w:rPr>
        <w:t>gjat</w:t>
      </w:r>
      <w:r w:rsidR="00444A0A">
        <w:rPr>
          <w:rFonts w:ascii="Times New Roman" w:hAnsi="Times New Roman"/>
          <w:sz w:val="28"/>
          <w:szCs w:val="28"/>
        </w:rPr>
        <w:t>ë</w:t>
      </w:r>
      <w:r w:rsidR="00A421F2" w:rsidRPr="00A421F2">
        <w:rPr>
          <w:rFonts w:ascii="Times New Roman" w:hAnsi="Times New Roman"/>
          <w:sz w:val="28"/>
          <w:szCs w:val="28"/>
        </w:rPr>
        <w:t xml:space="preserve"> </w:t>
      </w:r>
      <w:r w:rsidRPr="00A421F2">
        <w:rPr>
          <w:rFonts w:ascii="Times New Roman" w:hAnsi="Times New Roman"/>
          <w:sz w:val="28"/>
          <w:szCs w:val="28"/>
        </w:rPr>
        <w:t>zbatimi</w:t>
      </w:r>
      <w:r w:rsidR="00E46A87">
        <w:rPr>
          <w:rFonts w:ascii="Times New Roman" w:hAnsi="Times New Roman"/>
          <w:sz w:val="28"/>
          <w:szCs w:val="28"/>
        </w:rPr>
        <w:t>t</w:t>
      </w:r>
      <w:r w:rsidRPr="00A421F2">
        <w:rPr>
          <w:rFonts w:ascii="Times New Roman" w:hAnsi="Times New Roman"/>
          <w:sz w:val="28"/>
          <w:szCs w:val="28"/>
        </w:rPr>
        <w:t xml:space="preserve"> në praktikë </w:t>
      </w:r>
      <w:r w:rsidR="00A421F2" w:rsidRPr="00A421F2">
        <w:rPr>
          <w:rFonts w:ascii="Times New Roman" w:hAnsi="Times New Roman"/>
          <w:sz w:val="28"/>
          <w:szCs w:val="28"/>
        </w:rPr>
        <w:t>t</w:t>
      </w:r>
      <w:r w:rsidR="00444A0A">
        <w:rPr>
          <w:rFonts w:ascii="Times New Roman" w:hAnsi="Times New Roman"/>
          <w:sz w:val="28"/>
          <w:szCs w:val="28"/>
        </w:rPr>
        <w:t>ë</w:t>
      </w:r>
      <w:r w:rsidR="00A421F2" w:rsidRPr="00A421F2">
        <w:rPr>
          <w:rFonts w:ascii="Times New Roman" w:hAnsi="Times New Roman"/>
          <w:sz w:val="28"/>
          <w:szCs w:val="28"/>
        </w:rPr>
        <w:t xml:space="preserve"> dispozitave t</w:t>
      </w:r>
      <w:r w:rsidR="00444A0A">
        <w:rPr>
          <w:rFonts w:ascii="Times New Roman" w:hAnsi="Times New Roman"/>
          <w:sz w:val="28"/>
          <w:szCs w:val="28"/>
        </w:rPr>
        <w:t>ë</w:t>
      </w:r>
      <w:r w:rsidRPr="00A421F2">
        <w:rPr>
          <w:rFonts w:ascii="Times New Roman" w:hAnsi="Times New Roman"/>
          <w:sz w:val="28"/>
          <w:szCs w:val="28"/>
        </w:rPr>
        <w:t xml:space="preserve"> </w:t>
      </w:r>
      <w:r w:rsidR="00767290" w:rsidRPr="00A421F2">
        <w:rPr>
          <w:rFonts w:ascii="Times New Roman" w:hAnsi="Times New Roman"/>
          <w:sz w:val="28"/>
          <w:szCs w:val="28"/>
        </w:rPr>
        <w:t>ligjit</w:t>
      </w:r>
      <w:r w:rsidR="00A421F2" w:rsidRPr="00A421F2">
        <w:rPr>
          <w:rFonts w:ascii="Times New Roman" w:hAnsi="Times New Roman"/>
          <w:sz w:val="28"/>
          <w:szCs w:val="28"/>
        </w:rPr>
        <w:t xml:space="preserve">, </w:t>
      </w:r>
      <w:r w:rsidR="00444A0A">
        <w:rPr>
          <w:rFonts w:ascii="Times New Roman" w:hAnsi="Times New Roman"/>
          <w:sz w:val="28"/>
          <w:szCs w:val="28"/>
        </w:rPr>
        <w:t>ë</w:t>
      </w:r>
      <w:r w:rsidR="00A421F2" w:rsidRPr="00A421F2">
        <w:rPr>
          <w:rFonts w:ascii="Times New Roman" w:hAnsi="Times New Roman"/>
          <w:sz w:val="28"/>
          <w:szCs w:val="28"/>
        </w:rPr>
        <w:t>sht</w:t>
      </w:r>
      <w:r w:rsidR="00444A0A">
        <w:rPr>
          <w:rFonts w:ascii="Times New Roman" w:hAnsi="Times New Roman"/>
          <w:sz w:val="28"/>
          <w:szCs w:val="28"/>
        </w:rPr>
        <w:t>ë</w:t>
      </w:r>
      <w:r w:rsidR="00A421F2" w:rsidRPr="00A421F2">
        <w:rPr>
          <w:rFonts w:ascii="Times New Roman" w:hAnsi="Times New Roman"/>
          <w:sz w:val="28"/>
          <w:szCs w:val="28"/>
        </w:rPr>
        <w:t xml:space="preserve"> </w:t>
      </w:r>
      <w:r w:rsidRPr="00A421F2">
        <w:rPr>
          <w:rFonts w:ascii="Times New Roman" w:hAnsi="Times New Roman"/>
          <w:sz w:val="28"/>
          <w:szCs w:val="28"/>
        </w:rPr>
        <w:t>evidentuar nevoj</w:t>
      </w:r>
      <w:r w:rsidR="00A421F2" w:rsidRPr="00A421F2">
        <w:rPr>
          <w:rFonts w:ascii="Times New Roman" w:hAnsi="Times New Roman"/>
          <w:sz w:val="28"/>
          <w:szCs w:val="28"/>
        </w:rPr>
        <w:t>a</w:t>
      </w:r>
      <w:r w:rsidRPr="00A421F2">
        <w:rPr>
          <w:rFonts w:ascii="Times New Roman" w:hAnsi="Times New Roman"/>
          <w:sz w:val="28"/>
          <w:szCs w:val="28"/>
        </w:rPr>
        <w:t xml:space="preserve"> për ndërhyrje të mëtejshme, me qëllim që ndihma juridike e garantuar nga shteti të mos kufizohet vetëm në njohjen formale të së drejtës, por të sigurojë akses real, efektiv dhe të përdorshëm nga përfituesit.</w:t>
      </w:r>
    </w:p>
    <w:p w14:paraId="58FF5622" w14:textId="77777777" w:rsidR="004C2853" w:rsidRPr="00DF4476" w:rsidRDefault="004C2853" w:rsidP="00DF4476">
      <w:pPr>
        <w:jc w:val="both"/>
        <w:rPr>
          <w:rFonts w:ascii="Times New Roman" w:hAnsi="Times New Roman"/>
          <w:sz w:val="28"/>
          <w:szCs w:val="28"/>
        </w:rPr>
      </w:pPr>
      <w:r w:rsidRPr="00021E72">
        <w:rPr>
          <w:rFonts w:ascii="Times New Roman" w:hAnsi="Times New Roman"/>
          <w:b/>
          <w:sz w:val="28"/>
          <w:szCs w:val="28"/>
        </w:rPr>
        <w:t>1.</w:t>
      </w:r>
      <w:r w:rsidRPr="00DF4476">
        <w:rPr>
          <w:rFonts w:ascii="Times New Roman" w:hAnsi="Times New Roman"/>
          <w:sz w:val="28"/>
          <w:szCs w:val="28"/>
        </w:rPr>
        <w:t xml:space="preserve"> Një nga problematikat e konstatuara lidhet me mungesën e informacionit dhe nivelin e kufizuar të edukimit ligjor të publikut, veçanërisht të kategorive vulnerabël. Ligji parashikon krijimin e një sistemi për organizimin dhe ofrimin e ndihmës juridike falas, miradministrimin e institucioneve përgjegjëse dhe ofrimin cilësor të shërbimeve, por nuk përcakton shprehimisht funksionin e ndihmës </w:t>
      </w:r>
      <w:r w:rsidRPr="00DF4476">
        <w:rPr>
          <w:rFonts w:ascii="Times New Roman" w:hAnsi="Times New Roman"/>
          <w:sz w:val="28"/>
          <w:szCs w:val="28"/>
        </w:rPr>
        <w:lastRenderedPageBreak/>
        <w:t xml:space="preserve">juridike si instrument për informimin, edukimin ligjor dhe ndërgjegjësimin e publikut. </w:t>
      </w:r>
    </w:p>
    <w:p w14:paraId="6046BD0D" w14:textId="765A1F38" w:rsidR="00CE223F" w:rsidRDefault="00021E72" w:rsidP="00DF4476">
      <w:pPr>
        <w:jc w:val="both"/>
        <w:rPr>
          <w:rFonts w:ascii="Times New Roman" w:hAnsi="Times New Roman"/>
          <w:sz w:val="28"/>
          <w:szCs w:val="28"/>
        </w:rPr>
      </w:pPr>
      <w:r w:rsidRPr="00DF4476">
        <w:rPr>
          <w:rFonts w:ascii="Times New Roman" w:hAnsi="Times New Roman"/>
          <w:sz w:val="28"/>
          <w:szCs w:val="28"/>
        </w:rPr>
        <w:t xml:space="preserve">Projektligji </w:t>
      </w:r>
      <w:r w:rsidR="004C2853" w:rsidRPr="00DF4476">
        <w:rPr>
          <w:rFonts w:ascii="Times New Roman" w:hAnsi="Times New Roman"/>
          <w:sz w:val="28"/>
          <w:szCs w:val="28"/>
        </w:rPr>
        <w:t xml:space="preserve">ndërhyn në nenin 2 të ligjit, duke shtuar si qëllim të ligjit kontributin e ndihmës juridike në informimin, edukimin dhe ndërgjegjësimin e publikut mbi të drejtat, detyrimet dhe funksionimin e sistemit të drejtësisë. Ky ndryshim plotësohet edhe nga ndërhyrja në nenin 8, ku </w:t>
      </w:r>
      <w:r w:rsidR="00075C8E">
        <w:rPr>
          <w:rFonts w:ascii="Times New Roman" w:hAnsi="Times New Roman"/>
          <w:sz w:val="28"/>
          <w:szCs w:val="28"/>
        </w:rPr>
        <w:t>DNJF-së</w:t>
      </w:r>
      <w:r w:rsidR="004C2853" w:rsidRPr="00DF4476">
        <w:rPr>
          <w:rFonts w:ascii="Times New Roman" w:hAnsi="Times New Roman"/>
          <w:sz w:val="28"/>
          <w:szCs w:val="28"/>
        </w:rPr>
        <w:t xml:space="preserve"> i shtohet detyra për të informuar dhe ndërgjegjësuar publikun dhe subjektet përfituese, si dhe për të kontribuar në edukimin ligjor përmes materialeve informuese, fushatave ndërgjegjësuese dhe aktiviteteve në komunitet.</w:t>
      </w:r>
    </w:p>
    <w:p w14:paraId="3DB00835" w14:textId="77777777" w:rsidR="00B7672D" w:rsidRDefault="004577A3" w:rsidP="00B7672D">
      <w:pPr>
        <w:jc w:val="both"/>
        <w:rPr>
          <w:rFonts w:ascii="Times New Roman" w:hAnsi="Times New Roman"/>
          <w:sz w:val="28"/>
          <w:szCs w:val="28"/>
        </w:rPr>
      </w:pPr>
      <w:r w:rsidRPr="00021E72">
        <w:rPr>
          <w:rFonts w:ascii="Times New Roman" w:hAnsi="Times New Roman"/>
          <w:b/>
          <w:sz w:val="28"/>
          <w:szCs w:val="28"/>
        </w:rPr>
        <w:t>2.</w:t>
      </w:r>
      <w:r>
        <w:rPr>
          <w:rFonts w:ascii="Times New Roman" w:hAnsi="Times New Roman"/>
          <w:sz w:val="28"/>
          <w:szCs w:val="28"/>
        </w:rPr>
        <w:t xml:space="preserve"> </w:t>
      </w:r>
      <w:r w:rsidR="00B7672D" w:rsidRPr="00B7672D">
        <w:rPr>
          <w:rFonts w:ascii="Times New Roman" w:hAnsi="Times New Roman"/>
          <w:sz w:val="28"/>
          <w:szCs w:val="28"/>
        </w:rPr>
        <w:t xml:space="preserve">Me qëllim rritjen e efektivitetit të sistemit, projektligji përfshin njësitë e vetëqeverisjes vendore si aktorë mbështetës dhe shton nenin 9/1, ku përcaktohen detyrat e tyre për informimin e publikut, vendosjen në dispozicion të dokumentacionit brenda fushës së tyre të përgjegjësisë dhe bashkërendimin me shërbimet sociale dhe institucionet përgjegjëse për ndihmën juridike. </w:t>
      </w:r>
    </w:p>
    <w:p w14:paraId="1ECA6A0A" w14:textId="5652B329" w:rsidR="00B7672D" w:rsidRDefault="00B7672D" w:rsidP="00B7672D">
      <w:pPr>
        <w:jc w:val="both"/>
        <w:rPr>
          <w:rFonts w:ascii="Times New Roman" w:hAnsi="Times New Roman"/>
          <w:sz w:val="28"/>
          <w:szCs w:val="28"/>
        </w:rPr>
      </w:pPr>
      <w:r w:rsidRPr="00B7672D">
        <w:rPr>
          <w:rFonts w:ascii="Times New Roman" w:hAnsi="Times New Roman"/>
          <w:sz w:val="28"/>
          <w:szCs w:val="28"/>
        </w:rPr>
        <w:t>Kjo ndërhyrje synon të ndihmojë qytetarët në sigurimin e dokumentacionit të nevojshëm, pa krijuar barrë të panevojshme administrative për njësitë vendore.</w:t>
      </w:r>
    </w:p>
    <w:p w14:paraId="06FDF5C9" w14:textId="672B0C20" w:rsidR="001E7EC1" w:rsidRDefault="001E7EC1" w:rsidP="00B7672D">
      <w:pPr>
        <w:jc w:val="both"/>
        <w:rPr>
          <w:rFonts w:ascii="Times New Roman" w:hAnsi="Times New Roman"/>
          <w:sz w:val="28"/>
          <w:szCs w:val="28"/>
        </w:rPr>
      </w:pPr>
      <w:r w:rsidRPr="00CF373C">
        <w:rPr>
          <w:rFonts w:ascii="Times New Roman" w:hAnsi="Times New Roman"/>
          <w:b/>
          <w:sz w:val="28"/>
          <w:szCs w:val="28"/>
        </w:rPr>
        <w:t>3.</w:t>
      </w:r>
      <w:r>
        <w:rPr>
          <w:rFonts w:ascii="Times New Roman" w:hAnsi="Times New Roman"/>
          <w:sz w:val="28"/>
          <w:szCs w:val="28"/>
        </w:rPr>
        <w:t xml:space="preserve"> </w:t>
      </w:r>
      <w:r w:rsidRPr="001E7EC1">
        <w:rPr>
          <w:rFonts w:ascii="Times New Roman" w:hAnsi="Times New Roman"/>
          <w:sz w:val="28"/>
          <w:szCs w:val="28"/>
        </w:rPr>
        <w:t xml:space="preserve">Një tjetër ndërhyrje lidhet me zgjerimin e kategorive të veçanta të përfituesve të ndihmës juridike. </w:t>
      </w:r>
      <w:r>
        <w:rPr>
          <w:rFonts w:ascii="Times New Roman" w:hAnsi="Times New Roman"/>
          <w:sz w:val="28"/>
          <w:szCs w:val="28"/>
        </w:rPr>
        <w:t>N</w:t>
      </w:r>
      <w:r w:rsidR="00444A0A">
        <w:rPr>
          <w:rFonts w:ascii="Times New Roman" w:hAnsi="Times New Roman"/>
          <w:sz w:val="28"/>
          <w:szCs w:val="28"/>
        </w:rPr>
        <w:t>ë</w:t>
      </w:r>
      <w:r>
        <w:rPr>
          <w:rFonts w:ascii="Times New Roman" w:hAnsi="Times New Roman"/>
          <w:sz w:val="28"/>
          <w:szCs w:val="28"/>
        </w:rPr>
        <w:t xml:space="preserve"> nenin </w:t>
      </w:r>
      <w:r w:rsidRPr="001E7EC1">
        <w:rPr>
          <w:rFonts w:ascii="Times New Roman" w:hAnsi="Times New Roman"/>
          <w:sz w:val="28"/>
          <w:szCs w:val="28"/>
        </w:rPr>
        <w:t xml:space="preserve">11 </w:t>
      </w:r>
      <w:r>
        <w:rPr>
          <w:rFonts w:ascii="Times New Roman" w:hAnsi="Times New Roman"/>
          <w:sz w:val="28"/>
          <w:szCs w:val="28"/>
        </w:rPr>
        <w:t>t</w:t>
      </w:r>
      <w:r w:rsidR="00444A0A">
        <w:rPr>
          <w:rFonts w:ascii="Times New Roman" w:hAnsi="Times New Roman"/>
          <w:sz w:val="28"/>
          <w:szCs w:val="28"/>
        </w:rPr>
        <w:t>ë</w:t>
      </w:r>
      <w:r>
        <w:rPr>
          <w:rFonts w:ascii="Times New Roman" w:hAnsi="Times New Roman"/>
          <w:sz w:val="28"/>
          <w:szCs w:val="28"/>
        </w:rPr>
        <w:t xml:space="preserve"> ligjit nr. 111/2017 parashikohet lista </w:t>
      </w:r>
      <w:r w:rsidR="00D202F6">
        <w:rPr>
          <w:rFonts w:ascii="Times New Roman" w:hAnsi="Times New Roman"/>
          <w:sz w:val="28"/>
          <w:szCs w:val="28"/>
        </w:rPr>
        <w:t>e</w:t>
      </w:r>
      <w:r>
        <w:rPr>
          <w:rFonts w:ascii="Times New Roman" w:hAnsi="Times New Roman"/>
          <w:sz w:val="28"/>
          <w:szCs w:val="28"/>
        </w:rPr>
        <w:t xml:space="preserve"> kategori</w:t>
      </w:r>
      <w:r w:rsidR="00D202F6">
        <w:rPr>
          <w:rFonts w:ascii="Times New Roman" w:hAnsi="Times New Roman"/>
          <w:sz w:val="28"/>
          <w:szCs w:val="28"/>
        </w:rPr>
        <w:t>ve</w:t>
      </w:r>
      <w:r>
        <w:rPr>
          <w:rFonts w:ascii="Times New Roman" w:hAnsi="Times New Roman"/>
          <w:sz w:val="28"/>
          <w:szCs w:val="28"/>
        </w:rPr>
        <w:t xml:space="preserve"> përfituese të ndihm</w:t>
      </w:r>
      <w:r w:rsidR="00444A0A">
        <w:rPr>
          <w:rFonts w:ascii="Times New Roman" w:hAnsi="Times New Roman"/>
          <w:sz w:val="28"/>
          <w:szCs w:val="28"/>
        </w:rPr>
        <w:t>ë</w:t>
      </w:r>
      <w:r>
        <w:rPr>
          <w:rFonts w:ascii="Times New Roman" w:hAnsi="Times New Roman"/>
          <w:sz w:val="28"/>
          <w:szCs w:val="28"/>
        </w:rPr>
        <w:t xml:space="preserve">s juridike </w:t>
      </w:r>
      <w:r w:rsidRPr="001E7EC1">
        <w:rPr>
          <w:rFonts w:ascii="Times New Roman" w:hAnsi="Times New Roman"/>
          <w:sz w:val="28"/>
          <w:szCs w:val="28"/>
        </w:rPr>
        <w:t xml:space="preserve">pavarësisht të ardhurave dhe pasurisë, si </w:t>
      </w:r>
      <w:r w:rsidR="00506A71">
        <w:rPr>
          <w:rFonts w:ascii="Times New Roman" w:hAnsi="Times New Roman"/>
          <w:sz w:val="28"/>
          <w:szCs w:val="28"/>
        </w:rPr>
        <w:t xml:space="preserve">viktimat e krimit, </w:t>
      </w:r>
      <w:r w:rsidRPr="001E7EC1">
        <w:rPr>
          <w:rFonts w:ascii="Times New Roman" w:hAnsi="Times New Roman"/>
          <w:sz w:val="28"/>
          <w:szCs w:val="28"/>
        </w:rPr>
        <w:t xml:space="preserve">viktimat e dhunës në familje, viktimat e abuzuara seksualisht dhe të trafikimit, të miturit, personat me aftësi të kufizuara, personat që u është hequr ose kufizuar zotësia për të vepruar, përfituesit e skemave të mbrojtjes sociale dhe personat e diskriminuar. </w:t>
      </w:r>
      <w:r w:rsidR="00CF373C" w:rsidRPr="001E7EC1">
        <w:rPr>
          <w:rFonts w:ascii="Times New Roman" w:hAnsi="Times New Roman"/>
          <w:sz w:val="28"/>
          <w:szCs w:val="28"/>
        </w:rPr>
        <w:t xml:space="preserve">Zhvillimet </w:t>
      </w:r>
      <w:r w:rsidRPr="001E7EC1">
        <w:rPr>
          <w:rFonts w:ascii="Times New Roman" w:hAnsi="Times New Roman"/>
          <w:sz w:val="28"/>
          <w:szCs w:val="28"/>
        </w:rPr>
        <w:t xml:space="preserve">e reja ligjore dhe praktika e </w:t>
      </w:r>
      <w:r w:rsidR="00CF373C">
        <w:rPr>
          <w:rFonts w:ascii="Times New Roman" w:hAnsi="Times New Roman"/>
          <w:sz w:val="28"/>
          <w:szCs w:val="28"/>
        </w:rPr>
        <w:t xml:space="preserve">deritanishme e </w:t>
      </w:r>
      <w:r w:rsidRPr="001E7EC1">
        <w:rPr>
          <w:rFonts w:ascii="Times New Roman" w:hAnsi="Times New Roman"/>
          <w:sz w:val="28"/>
          <w:szCs w:val="28"/>
        </w:rPr>
        <w:t>zbatimit</w:t>
      </w:r>
      <w:r w:rsidR="00CF373C">
        <w:rPr>
          <w:rFonts w:ascii="Times New Roman" w:hAnsi="Times New Roman"/>
          <w:sz w:val="28"/>
          <w:szCs w:val="28"/>
        </w:rPr>
        <w:t xml:space="preserve"> të ligjit nr. 111/2017,</w:t>
      </w:r>
      <w:r w:rsidRPr="001E7EC1">
        <w:rPr>
          <w:rFonts w:ascii="Times New Roman" w:hAnsi="Times New Roman"/>
          <w:sz w:val="28"/>
          <w:szCs w:val="28"/>
        </w:rPr>
        <w:t xml:space="preserve"> kanë treguar se kjo listë ka nevojë të zgjerohet dhe të qartësohet. </w:t>
      </w:r>
    </w:p>
    <w:p w14:paraId="33194018" w14:textId="22FDD188" w:rsidR="00B92301" w:rsidRDefault="00CF373C" w:rsidP="00DF4476">
      <w:pPr>
        <w:jc w:val="both"/>
        <w:rPr>
          <w:rFonts w:ascii="Times New Roman" w:hAnsi="Times New Roman"/>
          <w:sz w:val="28"/>
          <w:szCs w:val="28"/>
        </w:rPr>
      </w:pPr>
      <w:r w:rsidRPr="001E7EC1">
        <w:rPr>
          <w:rFonts w:ascii="Times New Roman" w:hAnsi="Times New Roman"/>
          <w:sz w:val="28"/>
          <w:szCs w:val="28"/>
        </w:rPr>
        <w:t xml:space="preserve">Projektligji </w:t>
      </w:r>
      <w:r w:rsidR="001E7EC1" w:rsidRPr="001E7EC1">
        <w:rPr>
          <w:rFonts w:ascii="Times New Roman" w:hAnsi="Times New Roman"/>
          <w:sz w:val="28"/>
          <w:szCs w:val="28"/>
        </w:rPr>
        <w:t>ndryshon nenin 11, duke përfshirë shprehimisht</w:t>
      </w:r>
      <w:r w:rsidR="00506A71">
        <w:rPr>
          <w:rFonts w:ascii="Times New Roman" w:hAnsi="Times New Roman"/>
          <w:sz w:val="28"/>
          <w:szCs w:val="28"/>
        </w:rPr>
        <w:t xml:space="preserve"> viktimat e krimit,</w:t>
      </w:r>
      <w:r w:rsidR="001E7EC1" w:rsidRPr="001E7EC1">
        <w:rPr>
          <w:rFonts w:ascii="Times New Roman" w:hAnsi="Times New Roman"/>
          <w:sz w:val="28"/>
          <w:szCs w:val="28"/>
        </w:rPr>
        <w:t xml:space="preserve"> viktimat e dhunës në familje dhe të formave të tjera të dhunës të parashikuara në legjislacionin civil dhe penal për parandalimin dhe mbrojtjen nga dhuna ndaj grave dhe dhuna në familje, viktimat e terrorizmit, personat që kërkojnë njohjen e statusit të aftësisë së kufizuar, përfituesit e ndihmës ekonomike, pensionit social dhe skemave të tjera të mbrojtjes sociale, personat e komunitetit rom dhe egjiptian për çështje të dokumentacionit dhe regjistrimit civil, si dhe personat që raportojnë ose bëjnë publik informacion mbi shkelje të së drejtës së Bashkimit Evropian.</w:t>
      </w:r>
      <w:r w:rsidR="00B92301">
        <w:rPr>
          <w:rFonts w:ascii="Times New Roman" w:hAnsi="Times New Roman"/>
          <w:sz w:val="28"/>
          <w:szCs w:val="28"/>
        </w:rPr>
        <w:t xml:space="preserve"> </w:t>
      </w:r>
    </w:p>
    <w:p w14:paraId="071B65BC" w14:textId="77777777" w:rsidR="00CF373C" w:rsidRPr="00CF373C" w:rsidRDefault="007A0F55" w:rsidP="00DF4476">
      <w:pPr>
        <w:jc w:val="both"/>
        <w:rPr>
          <w:rFonts w:ascii="Times New Roman" w:hAnsi="Times New Roman"/>
          <w:sz w:val="28"/>
          <w:szCs w:val="28"/>
        </w:rPr>
      </w:pPr>
      <w:r w:rsidRPr="00CF373C">
        <w:rPr>
          <w:rFonts w:ascii="Times New Roman" w:hAnsi="Times New Roman"/>
          <w:b/>
          <w:sz w:val="28"/>
          <w:szCs w:val="28"/>
        </w:rPr>
        <w:lastRenderedPageBreak/>
        <w:t>4.</w:t>
      </w:r>
      <w:r w:rsidRPr="00CF373C">
        <w:rPr>
          <w:rFonts w:ascii="Times New Roman" w:hAnsi="Times New Roman"/>
          <w:sz w:val="28"/>
          <w:szCs w:val="28"/>
        </w:rPr>
        <w:t xml:space="preserve"> </w:t>
      </w:r>
      <w:r w:rsidR="005E0F14" w:rsidRPr="00CF373C">
        <w:rPr>
          <w:rFonts w:ascii="Times New Roman" w:hAnsi="Times New Roman"/>
          <w:sz w:val="28"/>
          <w:szCs w:val="28"/>
        </w:rPr>
        <w:t xml:space="preserve">Sa i përket ofrimit të ndihmës juridike parësore, projektligji synon thjeshtimin e procedurës dhe reduktimin e barrës administrative për qytetarët. Ligji në fuqi parashikon se kërkesa për ndihmë juridike parësore bëhet me gojë ose me shkrim pranë një qendre shërbimi ose organizate jofitimprurëse të autorizuar dhe se kërkuesi duhet të paraqesë vetëdeklarim të shoqëruar me dokumentacion justifikues. Në praktikë, ky parashikim mund ta afrojë procedurën e ndihmës juridike parësore me </w:t>
      </w:r>
      <w:r w:rsidR="00CF373C" w:rsidRPr="00CF373C">
        <w:rPr>
          <w:rFonts w:ascii="Times New Roman" w:hAnsi="Times New Roman"/>
          <w:sz w:val="28"/>
          <w:szCs w:val="28"/>
        </w:rPr>
        <w:t>atë</w:t>
      </w:r>
      <w:r w:rsidR="005E0F14" w:rsidRPr="00CF373C">
        <w:rPr>
          <w:rFonts w:ascii="Times New Roman" w:hAnsi="Times New Roman"/>
          <w:sz w:val="28"/>
          <w:szCs w:val="28"/>
        </w:rPr>
        <w:t xml:space="preserve"> </w:t>
      </w:r>
      <w:r w:rsidR="00CF373C" w:rsidRPr="00CF373C">
        <w:rPr>
          <w:rFonts w:ascii="Times New Roman" w:hAnsi="Times New Roman"/>
          <w:sz w:val="28"/>
          <w:szCs w:val="28"/>
        </w:rPr>
        <w:t>të</w:t>
      </w:r>
      <w:r w:rsidR="005E0F14" w:rsidRPr="00CF373C">
        <w:rPr>
          <w:rFonts w:ascii="Times New Roman" w:hAnsi="Times New Roman"/>
          <w:sz w:val="28"/>
          <w:szCs w:val="28"/>
        </w:rPr>
        <w:t xml:space="preserve"> ndihmës juridike dytësore, duke e rënduar në mënyrë të panevojshme aksesin në këshillim fillestar. </w:t>
      </w:r>
    </w:p>
    <w:p w14:paraId="1996B287" w14:textId="6A962DAE" w:rsidR="001E7EC1" w:rsidRDefault="00CF373C" w:rsidP="00DF4476">
      <w:pPr>
        <w:jc w:val="both"/>
        <w:rPr>
          <w:rFonts w:ascii="Times New Roman" w:hAnsi="Times New Roman"/>
          <w:sz w:val="28"/>
          <w:szCs w:val="28"/>
        </w:rPr>
      </w:pPr>
      <w:r w:rsidRPr="00B17AC9">
        <w:rPr>
          <w:rFonts w:ascii="Times New Roman" w:hAnsi="Times New Roman"/>
          <w:sz w:val="28"/>
          <w:szCs w:val="28"/>
        </w:rPr>
        <w:t>Me q</w:t>
      </w:r>
      <w:r w:rsidR="00B17AC9">
        <w:rPr>
          <w:rFonts w:ascii="Times New Roman" w:hAnsi="Times New Roman"/>
          <w:sz w:val="28"/>
          <w:szCs w:val="28"/>
        </w:rPr>
        <w:t>ë</w:t>
      </w:r>
      <w:r w:rsidRPr="00B17AC9">
        <w:rPr>
          <w:rFonts w:ascii="Times New Roman" w:hAnsi="Times New Roman"/>
          <w:sz w:val="28"/>
          <w:szCs w:val="28"/>
        </w:rPr>
        <w:t>llim adresimin e kësaj çështjeje</w:t>
      </w:r>
      <w:r w:rsidR="005E0F14" w:rsidRPr="00B17AC9">
        <w:rPr>
          <w:rFonts w:ascii="Times New Roman" w:hAnsi="Times New Roman"/>
          <w:sz w:val="28"/>
          <w:szCs w:val="28"/>
        </w:rPr>
        <w:t xml:space="preserve">, projektligji </w:t>
      </w:r>
      <w:r w:rsidRPr="00B17AC9">
        <w:rPr>
          <w:rFonts w:ascii="Times New Roman" w:hAnsi="Times New Roman"/>
          <w:sz w:val="28"/>
          <w:szCs w:val="28"/>
        </w:rPr>
        <w:t>ndërhyn në</w:t>
      </w:r>
      <w:r w:rsidR="005E0F14" w:rsidRPr="00B17AC9">
        <w:rPr>
          <w:rFonts w:ascii="Times New Roman" w:hAnsi="Times New Roman"/>
          <w:sz w:val="28"/>
          <w:szCs w:val="28"/>
        </w:rPr>
        <w:t xml:space="preserve"> nenin 17, duke parashikuar se kërkesa i drejtohet ofruesve të ndihmës juridike parësore dhe se personi nënshkruan vetëdeklarim të shoqëruar me dokument identifikimi, ndërsa dokumentacioni justifikues kërkohet vetëm kur ekzistojnë dyshime të arsyeshme mbi vërtetësinë e vetëdeklarimit.</w:t>
      </w:r>
      <w:r>
        <w:rPr>
          <w:rFonts w:ascii="Times New Roman" w:hAnsi="Times New Roman"/>
          <w:sz w:val="28"/>
          <w:szCs w:val="28"/>
        </w:rPr>
        <w:t xml:space="preserve"> </w:t>
      </w:r>
    </w:p>
    <w:p w14:paraId="6F4CCB91" w14:textId="77777777" w:rsidR="00CF373C" w:rsidRDefault="00CF373C" w:rsidP="00DF4476">
      <w:pPr>
        <w:jc w:val="both"/>
        <w:rPr>
          <w:rFonts w:ascii="Times New Roman" w:hAnsi="Times New Roman"/>
          <w:sz w:val="28"/>
          <w:szCs w:val="28"/>
        </w:rPr>
      </w:pPr>
      <w:r w:rsidRPr="00CF373C">
        <w:rPr>
          <w:rFonts w:ascii="Times New Roman" w:hAnsi="Times New Roman"/>
          <w:sz w:val="28"/>
          <w:szCs w:val="28"/>
        </w:rPr>
        <w:t>Gjithashtu, projektligji thjeshton dokumentimin e shërbimit të ndihmës juridike parësore, duke reduktuar të dhënat dhe dokumentacionin që kërkohet nga përfituesi. Procesverbali kufizohet vetëm në të dhënat e nevojshme për identifikimin e kërkuesit, përshkrimin e problematikës dhe shërbimin e ofruar, me qëllim lehtësimin e procedurës dhe shmangien e barrës së panevojshme administrative.</w:t>
      </w:r>
    </w:p>
    <w:p w14:paraId="7406F738" w14:textId="2049E6E0" w:rsidR="005E0F14" w:rsidRDefault="005E0F14" w:rsidP="00DF4476">
      <w:pPr>
        <w:jc w:val="both"/>
        <w:rPr>
          <w:rFonts w:ascii="Times New Roman" w:hAnsi="Times New Roman"/>
          <w:sz w:val="28"/>
          <w:szCs w:val="28"/>
        </w:rPr>
      </w:pPr>
      <w:r w:rsidRPr="00CF373C">
        <w:rPr>
          <w:rFonts w:ascii="Times New Roman" w:hAnsi="Times New Roman"/>
          <w:b/>
          <w:sz w:val="28"/>
          <w:szCs w:val="28"/>
        </w:rPr>
        <w:t>5.</w:t>
      </w:r>
      <w:r>
        <w:rPr>
          <w:rFonts w:ascii="Times New Roman" w:hAnsi="Times New Roman"/>
          <w:sz w:val="28"/>
          <w:szCs w:val="28"/>
        </w:rPr>
        <w:t xml:space="preserve"> Lidhur</w:t>
      </w:r>
      <w:r w:rsidRPr="005E0F14">
        <w:rPr>
          <w:rFonts w:ascii="Times New Roman" w:hAnsi="Times New Roman"/>
          <w:sz w:val="28"/>
          <w:szCs w:val="28"/>
        </w:rPr>
        <w:t xml:space="preserve"> me ndihmën juridike dytësore, projektligji ndërhyn në nenin 19 të ligjit, duke parashikuar që kërkesa për ndihmë juridike dytësore të mund të paraqitet jo vetëm për një proces të caktuar, por edhe për çështje të ndërlidhura ndërmjet të njëjtave palë. Ky ndryshim është </w:t>
      </w:r>
      <w:r w:rsidR="00C86DF9">
        <w:rPr>
          <w:rFonts w:ascii="Times New Roman" w:hAnsi="Times New Roman"/>
          <w:sz w:val="28"/>
          <w:szCs w:val="28"/>
        </w:rPr>
        <w:t>i rëndësishëm</w:t>
      </w:r>
      <w:r>
        <w:rPr>
          <w:rFonts w:ascii="Times New Roman" w:hAnsi="Times New Roman"/>
          <w:sz w:val="28"/>
          <w:szCs w:val="28"/>
        </w:rPr>
        <w:t>,</w:t>
      </w:r>
      <w:r w:rsidRPr="005E0F14">
        <w:rPr>
          <w:rFonts w:ascii="Times New Roman" w:hAnsi="Times New Roman"/>
          <w:sz w:val="28"/>
          <w:szCs w:val="28"/>
        </w:rPr>
        <w:t xml:space="preserve"> sidomos për rastet kur një situatë faktike prodhon disa procedura të ndryshme civile, penale ose administrative. Në këto raste, trajtimi i ndihmës juridike si e kufizuar vetëm në një proces të izoluar mund të sjellë fragmentarizim të mbrojtjes juridike dhe ulje të efektivitetit të përfaqësimit. </w:t>
      </w:r>
    </w:p>
    <w:p w14:paraId="6DE367B8" w14:textId="78B9E396" w:rsidR="005E0F14" w:rsidRDefault="005E0F14" w:rsidP="00DF4476">
      <w:pPr>
        <w:jc w:val="both"/>
        <w:rPr>
          <w:rFonts w:ascii="Times New Roman" w:hAnsi="Times New Roman"/>
          <w:sz w:val="28"/>
          <w:szCs w:val="28"/>
        </w:rPr>
      </w:pPr>
      <w:r>
        <w:rPr>
          <w:rFonts w:ascii="Times New Roman" w:hAnsi="Times New Roman"/>
          <w:sz w:val="28"/>
          <w:szCs w:val="28"/>
        </w:rPr>
        <w:t>Për rrjedhojë</w:t>
      </w:r>
      <w:r w:rsidRPr="005E0F14">
        <w:rPr>
          <w:rFonts w:ascii="Times New Roman" w:hAnsi="Times New Roman"/>
          <w:sz w:val="28"/>
          <w:szCs w:val="28"/>
        </w:rPr>
        <w:t>, projektligji parashikon që për disa kategori përfituese, përfshirë azilkërkuesit, viktimat e dhunës, viktimat e terrorizmit, viktimat e trafikimit, të miturit dhe persona të tjerë vulnerabël, ndihma juridike dytësore të sigurohet, sa të jetë e mundur, nga i njëjti avokat gjatë fazave paraprake dhe procesit gjyqësor, përfshirë çështjet civile, penale dhe administrative të ndërlidhura.</w:t>
      </w:r>
    </w:p>
    <w:p w14:paraId="61D7E878" w14:textId="0BF160F7" w:rsidR="00EB4A36" w:rsidRDefault="00EB4A36" w:rsidP="00DF4476">
      <w:pPr>
        <w:jc w:val="both"/>
        <w:rPr>
          <w:rFonts w:ascii="Times New Roman" w:hAnsi="Times New Roman"/>
          <w:sz w:val="28"/>
          <w:szCs w:val="28"/>
        </w:rPr>
      </w:pPr>
      <w:r w:rsidRPr="00FD6A6F">
        <w:rPr>
          <w:rFonts w:ascii="Times New Roman" w:hAnsi="Times New Roman"/>
          <w:b/>
          <w:sz w:val="28"/>
          <w:szCs w:val="28"/>
        </w:rPr>
        <w:t>6.</w:t>
      </w:r>
      <w:r>
        <w:rPr>
          <w:rFonts w:ascii="Times New Roman" w:hAnsi="Times New Roman"/>
          <w:sz w:val="28"/>
          <w:szCs w:val="28"/>
        </w:rPr>
        <w:t xml:space="preserve"> </w:t>
      </w:r>
      <w:r w:rsidR="000D060C" w:rsidRPr="000D060C">
        <w:rPr>
          <w:rFonts w:ascii="Times New Roman" w:hAnsi="Times New Roman"/>
          <w:sz w:val="28"/>
          <w:szCs w:val="28"/>
        </w:rPr>
        <w:t xml:space="preserve">Projektligji parashikon një procedurë të posaçme dhe të përshpejtuar për dhënien e ndihmës juridike dytësore në rastet urgjente. Kjo ndërhyrje është e nevojshme pasi procedura e zakonshme e shqyrtimit të kërkesës, nga gjykata ose </w:t>
      </w:r>
      <w:r w:rsidR="000D060C" w:rsidRPr="000D060C">
        <w:rPr>
          <w:rFonts w:ascii="Times New Roman" w:hAnsi="Times New Roman"/>
          <w:sz w:val="28"/>
          <w:szCs w:val="28"/>
        </w:rPr>
        <w:lastRenderedPageBreak/>
        <w:t>organi procedues, nuk i përgjigjet gjithmonë nevojës për mbrojtje të menjëhershme të personave që ndodhen në situata emergjente.</w:t>
      </w:r>
      <w:r w:rsidRPr="00EB4A36">
        <w:rPr>
          <w:rFonts w:ascii="Times New Roman" w:hAnsi="Times New Roman"/>
          <w:sz w:val="28"/>
          <w:szCs w:val="28"/>
        </w:rPr>
        <w:t xml:space="preserve"> </w:t>
      </w:r>
      <w:r w:rsidR="000D060C" w:rsidRPr="00EB4A36">
        <w:rPr>
          <w:rFonts w:ascii="Times New Roman" w:hAnsi="Times New Roman"/>
          <w:sz w:val="28"/>
          <w:szCs w:val="28"/>
        </w:rPr>
        <w:t xml:space="preserve">Për </w:t>
      </w:r>
      <w:r w:rsidRPr="00EB4A36">
        <w:rPr>
          <w:rFonts w:ascii="Times New Roman" w:hAnsi="Times New Roman"/>
          <w:sz w:val="28"/>
          <w:szCs w:val="28"/>
        </w:rPr>
        <w:t xml:space="preserve">kategori të caktuara, si viktimat e dhunës ndaj grave dhe dhunës në familje, viktimat e dhunës seksuale, viktimat e trafikimit, viktimat e terrorizmit, të miturit dhe personat me aftësi të kufizuara, nevoja për ndihmë juridike mund të jetë e menjëhershme dhe e lidhur me mbrojtjen urgjente të të drejtave dhe interesave të tyre. </w:t>
      </w:r>
    </w:p>
    <w:p w14:paraId="0E5CE9D5" w14:textId="566F6FE5" w:rsidR="005E0F14" w:rsidRDefault="00EB4A36" w:rsidP="00DF4476">
      <w:pPr>
        <w:jc w:val="both"/>
        <w:rPr>
          <w:rFonts w:ascii="Times New Roman" w:hAnsi="Times New Roman"/>
          <w:sz w:val="28"/>
          <w:szCs w:val="28"/>
        </w:rPr>
      </w:pPr>
      <w:r w:rsidRPr="00EB4A36">
        <w:rPr>
          <w:rFonts w:ascii="Times New Roman" w:hAnsi="Times New Roman"/>
          <w:sz w:val="28"/>
          <w:szCs w:val="28"/>
        </w:rPr>
        <w:t>Për këtë arsye, projektligji shton nenin 22/1, duke parashikuar procedurën e përshpejtuar për dhënien e ndihmës juridike dytësore në rastet emergjente, ku formulari mund të plotësohet edhe nga institucioni ose struktura pranë së cilës identifikohet apo referohet rasti, ndërsa gjyqtari cakton menjëherë avokatin dhe urdhëron njoftimin pa vonesë të avokatit dhe përfituesit.</w:t>
      </w:r>
    </w:p>
    <w:p w14:paraId="66F49C68" w14:textId="77777777" w:rsidR="00851C1A" w:rsidRDefault="00851C1A" w:rsidP="00DF4476">
      <w:pPr>
        <w:jc w:val="both"/>
        <w:rPr>
          <w:rFonts w:ascii="Times New Roman" w:hAnsi="Times New Roman"/>
          <w:sz w:val="28"/>
          <w:szCs w:val="28"/>
        </w:rPr>
      </w:pPr>
      <w:r w:rsidRPr="00851C1A">
        <w:rPr>
          <w:rFonts w:ascii="Times New Roman" w:hAnsi="Times New Roman"/>
          <w:sz w:val="28"/>
          <w:szCs w:val="28"/>
        </w:rPr>
        <w:t>Në funksion të mbrojtjes së viktimave edhe në procesin penal, projektligji shton nenin 21/1, i cili rregullon procedurën e dhënies së ndihmës juridike dytësore për viktimat në procesin penal. Kjo dispozitë parashikon shqyrtimin e menjëhershëm të kërkesës nga organi procedues ose gjykata për subjektet përfituese, si viktimat e dhunës, viktimat e terrorizmit dhe viktimat e abuzuara seksualisht apo të trafikimit, caktimin e menjëhershëm të avokatit dhe vijueshmërinë, sa të jetë e mundur, të përfaqësimit nga i njëjti avokat në të gjitha fazat e hetimeve paraprake dhe procesit gjyqësor, përfshirë çështjet e ndërlidhura civile, penale dhe administrative.</w:t>
      </w:r>
    </w:p>
    <w:p w14:paraId="51651EC2" w14:textId="77777777" w:rsidR="00FD3ED4" w:rsidRDefault="00851C1A" w:rsidP="00DF4476">
      <w:pPr>
        <w:jc w:val="both"/>
        <w:rPr>
          <w:rFonts w:ascii="Times New Roman" w:hAnsi="Times New Roman"/>
          <w:sz w:val="28"/>
          <w:szCs w:val="28"/>
        </w:rPr>
      </w:pPr>
      <w:r w:rsidRPr="000D060C">
        <w:rPr>
          <w:rFonts w:ascii="Times New Roman" w:hAnsi="Times New Roman"/>
          <w:b/>
          <w:sz w:val="28"/>
          <w:szCs w:val="28"/>
        </w:rPr>
        <w:t>7.</w:t>
      </w:r>
      <w:r w:rsidRPr="00851C1A">
        <w:rPr>
          <w:rFonts w:ascii="Times New Roman" w:hAnsi="Times New Roman"/>
          <w:sz w:val="28"/>
          <w:szCs w:val="28"/>
        </w:rPr>
        <w:t xml:space="preserve"> </w:t>
      </w:r>
      <w:r w:rsidR="00FD3ED4" w:rsidRPr="00FD3ED4">
        <w:rPr>
          <w:rFonts w:ascii="Times New Roman" w:hAnsi="Times New Roman"/>
          <w:sz w:val="28"/>
          <w:szCs w:val="28"/>
        </w:rPr>
        <w:t xml:space="preserve">Projektligji ndërhyn në nenin 24, që rregullon dhënien e ndihmës juridike dytësore nga avokatët. </w:t>
      </w:r>
      <w:r w:rsidR="00FD3ED4">
        <w:rPr>
          <w:rFonts w:ascii="Times New Roman" w:hAnsi="Times New Roman"/>
          <w:sz w:val="28"/>
          <w:szCs w:val="28"/>
        </w:rPr>
        <w:t>Dispozitat</w:t>
      </w:r>
      <w:r w:rsidR="00FD3ED4" w:rsidRPr="00FD3ED4">
        <w:rPr>
          <w:rFonts w:ascii="Times New Roman" w:hAnsi="Times New Roman"/>
          <w:sz w:val="28"/>
          <w:szCs w:val="28"/>
        </w:rPr>
        <w:t xml:space="preserve"> në fuqi parashiko</w:t>
      </w:r>
      <w:r w:rsidR="00FD3ED4">
        <w:rPr>
          <w:rFonts w:ascii="Times New Roman" w:hAnsi="Times New Roman"/>
          <w:sz w:val="28"/>
          <w:szCs w:val="28"/>
        </w:rPr>
        <w:t>jnë</w:t>
      </w:r>
      <w:r w:rsidR="00FD3ED4" w:rsidRPr="00FD3ED4">
        <w:rPr>
          <w:rFonts w:ascii="Times New Roman" w:hAnsi="Times New Roman"/>
          <w:sz w:val="28"/>
          <w:szCs w:val="28"/>
        </w:rPr>
        <w:t xml:space="preserve"> caktimin e avokatit nga dhoma vendore e avokatisë sipas parimit të rotacionit dhe zëvendësimin e tij vetëm në rast konflikti interesi. </w:t>
      </w:r>
    </w:p>
    <w:p w14:paraId="1CCD3558" w14:textId="77777777" w:rsidR="002C2414" w:rsidRDefault="002C2414" w:rsidP="00DF4476">
      <w:pPr>
        <w:jc w:val="both"/>
        <w:rPr>
          <w:rFonts w:ascii="Times New Roman" w:hAnsi="Times New Roman"/>
          <w:sz w:val="28"/>
          <w:szCs w:val="28"/>
        </w:rPr>
      </w:pPr>
      <w:r w:rsidRPr="002C2414">
        <w:rPr>
          <w:rFonts w:ascii="Times New Roman" w:hAnsi="Times New Roman"/>
          <w:sz w:val="28"/>
          <w:szCs w:val="28"/>
        </w:rPr>
        <w:t>Projektligji e zgjeron këtë qasje, duke parashikuar të drejtën e përfituesit të ndihmës juridike dytësore për të zgjedhur avokatin nga lista e avokatëve që ofrojnë këtë shërbim. Caktimi sipas parimit të rotacionit zbatohet kur përfituesi nuk e ushtron këtë të drejtë, kur avokati i zgjedhur nuk pranon ose kur ndodhet në pamundësi objektive për të marrë përsipër përfaqësimin. Gjithashtu, zëvendësimi i avokatit lejohet jo vetëm në rast konflikti interesi, por edhe në rast pamundësie objektive ose për shkaqe të tjera të arsyeshme që cenojnë mbrojtjen efektive të përfituesit.</w:t>
      </w:r>
    </w:p>
    <w:p w14:paraId="29E7572D" w14:textId="38652F1D" w:rsidR="00097110" w:rsidRDefault="00097110" w:rsidP="00DF4476">
      <w:pPr>
        <w:jc w:val="both"/>
        <w:rPr>
          <w:rFonts w:ascii="Times New Roman" w:hAnsi="Times New Roman"/>
          <w:sz w:val="28"/>
          <w:szCs w:val="28"/>
        </w:rPr>
      </w:pPr>
      <w:r w:rsidRPr="00097110">
        <w:rPr>
          <w:rFonts w:ascii="Times New Roman" w:hAnsi="Times New Roman"/>
          <w:sz w:val="28"/>
          <w:szCs w:val="28"/>
        </w:rPr>
        <w:t xml:space="preserve">Në të njëjtin nen, projektligji forcon elementin e specializimit profesional të avokatëve. Ligji në fuqi kërkon që avokatët të jenë të specializuar në fusha të së drejtës kur specializimi është i nevojshëm, si në rastin e përfaqësimit të të miturve </w:t>
      </w:r>
      <w:r w:rsidRPr="00097110">
        <w:rPr>
          <w:rFonts w:ascii="Times New Roman" w:hAnsi="Times New Roman"/>
          <w:sz w:val="28"/>
          <w:szCs w:val="28"/>
        </w:rPr>
        <w:lastRenderedPageBreak/>
        <w:t xml:space="preserve">dhe viktimave. </w:t>
      </w:r>
      <w:r w:rsidR="00D202F6" w:rsidRPr="00D202F6">
        <w:rPr>
          <w:rFonts w:ascii="Times New Roman" w:hAnsi="Times New Roman"/>
          <w:sz w:val="28"/>
          <w:szCs w:val="28"/>
        </w:rPr>
        <w:t>Projektligji e forcon këtë element, duke e lidhur specializimin dhe trajnimin e avokatëve me natyrën e çështjes dhe me kategoritë e posaçme përfituese, me qëllim rritjen e cilësisë së përfaqësimit.</w:t>
      </w:r>
    </w:p>
    <w:p w14:paraId="761E0424" w14:textId="56A8F482" w:rsidR="0097142F" w:rsidRDefault="0097142F" w:rsidP="00DF4476">
      <w:pPr>
        <w:jc w:val="both"/>
        <w:rPr>
          <w:rFonts w:ascii="Times New Roman" w:hAnsi="Times New Roman"/>
          <w:sz w:val="28"/>
          <w:szCs w:val="28"/>
        </w:rPr>
      </w:pPr>
      <w:r w:rsidRPr="00463347">
        <w:rPr>
          <w:rFonts w:ascii="Times New Roman" w:hAnsi="Times New Roman"/>
          <w:b/>
          <w:sz w:val="28"/>
          <w:szCs w:val="28"/>
        </w:rPr>
        <w:t>8.</w:t>
      </w:r>
      <w:r>
        <w:rPr>
          <w:rFonts w:ascii="Times New Roman" w:hAnsi="Times New Roman"/>
          <w:sz w:val="28"/>
          <w:szCs w:val="28"/>
        </w:rPr>
        <w:t xml:space="preserve"> </w:t>
      </w:r>
      <w:r w:rsidRPr="0097142F">
        <w:rPr>
          <w:rFonts w:ascii="Times New Roman" w:hAnsi="Times New Roman"/>
          <w:sz w:val="28"/>
          <w:szCs w:val="28"/>
        </w:rPr>
        <w:t xml:space="preserve">Një tjetër problematikë që trajton projektligji </w:t>
      </w:r>
      <w:r w:rsidR="002E280C">
        <w:rPr>
          <w:rFonts w:ascii="Times New Roman" w:hAnsi="Times New Roman"/>
          <w:sz w:val="28"/>
          <w:szCs w:val="28"/>
        </w:rPr>
        <w:t>i referohet</w:t>
      </w:r>
      <w:r w:rsidRPr="0097142F">
        <w:rPr>
          <w:rFonts w:ascii="Times New Roman" w:hAnsi="Times New Roman"/>
          <w:sz w:val="28"/>
          <w:szCs w:val="28"/>
        </w:rPr>
        <w:t xml:space="preserve"> shpenzime</w:t>
      </w:r>
      <w:r w:rsidR="002E280C">
        <w:rPr>
          <w:rFonts w:ascii="Times New Roman" w:hAnsi="Times New Roman"/>
          <w:sz w:val="28"/>
          <w:szCs w:val="28"/>
        </w:rPr>
        <w:t>ve</w:t>
      </w:r>
      <w:r w:rsidRPr="0097142F">
        <w:rPr>
          <w:rFonts w:ascii="Times New Roman" w:hAnsi="Times New Roman"/>
          <w:sz w:val="28"/>
          <w:szCs w:val="28"/>
        </w:rPr>
        <w:t xml:space="preserve"> </w:t>
      </w:r>
      <w:r w:rsidR="002E280C">
        <w:rPr>
          <w:rFonts w:ascii="Times New Roman" w:hAnsi="Times New Roman"/>
          <w:sz w:val="28"/>
          <w:szCs w:val="28"/>
        </w:rPr>
        <w:t>të</w:t>
      </w:r>
      <w:r w:rsidRPr="0097142F">
        <w:rPr>
          <w:rFonts w:ascii="Times New Roman" w:hAnsi="Times New Roman"/>
          <w:sz w:val="28"/>
          <w:szCs w:val="28"/>
        </w:rPr>
        <w:t xml:space="preserve"> nevojshme për realizimin efektiv të së drejtës, veçanërisht në fazën e ekzekutimit të vendimeve gjyqësore. </w:t>
      </w:r>
    </w:p>
    <w:p w14:paraId="0A2D603D" w14:textId="1B770731" w:rsidR="0097142F" w:rsidRDefault="0097142F" w:rsidP="00DF4476">
      <w:pPr>
        <w:jc w:val="both"/>
        <w:rPr>
          <w:rFonts w:ascii="Times New Roman" w:hAnsi="Times New Roman"/>
          <w:sz w:val="28"/>
          <w:szCs w:val="28"/>
        </w:rPr>
      </w:pPr>
      <w:r w:rsidRPr="0097142F">
        <w:rPr>
          <w:rFonts w:ascii="Times New Roman" w:hAnsi="Times New Roman"/>
          <w:sz w:val="28"/>
          <w:szCs w:val="28"/>
        </w:rPr>
        <w:t xml:space="preserve">Ligji </w:t>
      </w:r>
      <w:r w:rsidR="00C76FDF">
        <w:rPr>
          <w:rFonts w:ascii="Times New Roman" w:hAnsi="Times New Roman"/>
          <w:sz w:val="28"/>
          <w:szCs w:val="28"/>
        </w:rPr>
        <w:t>nr. 111/2017,</w:t>
      </w:r>
      <w:r w:rsidRPr="0097142F">
        <w:rPr>
          <w:rFonts w:ascii="Times New Roman" w:hAnsi="Times New Roman"/>
          <w:sz w:val="28"/>
          <w:szCs w:val="28"/>
        </w:rPr>
        <w:t xml:space="preserve"> parashikon përjashtimin nga tarifat gjyqësore, shpenzimet gjyqësore dhe detyrimin për të parapaguar tarifën e vënies në ekzekutim të urdhrit të ekzekutimit.</w:t>
      </w:r>
      <w:r w:rsidR="00C76FDF">
        <w:rPr>
          <w:rFonts w:ascii="Times New Roman" w:hAnsi="Times New Roman"/>
          <w:sz w:val="28"/>
          <w:szCs w:val="28"/>
        </w:rPr>
        <w:t xml:space="preserve"> Nisur nga praktika</w:t>
      </w:r>
      <w:r w:rsidRPr="0097142F">
        <w:rPr>
          <w:rFonts w:ascii="Times New Roman" w:hAnsi="Times New Roman"/>
          <w:sz w:val="28"/>
          <w:szCs w:val="28"/>
        </w:rPr>
        <w:t xml:space="preserve">, përfituesit mund të përballen edhe me shpenzime të tjera të domosdoshme, si tarifa kadastrale, noteriale, shpenzime përmbarimore ose shpenzime të tjera të lidhura me ekzekutimin. </w:t>
      </w:r>
    </w:p>
    <w:p w14:paraId="3F51899E" w14:textId="77777777" w:rsidR="004933CA" w:rsidRDefault="004933CA" w:rsidP="009B4F79">
      <w:pPr>
        <w:jc w:val="both"/>
        <w:rPr>
          <w:rFonts w:ascii="Times New Roman" w:hAnsi="Times New Roman"/>
          <w:sz w:val="28"/>
          <w:szCs w:val="28"/>
        </w:rPr>
      </w:pPr>
      <w:r w:rsidRPr="004933CA">
        <w:rPr>
          <w:rFonts w:ascii="Times New Roman" w:hAnsi="Times New Roman"/>
          <w:sz w:val="28"/>
          <w:szCs w:val="28"/>
        </w:rPr>
        <w:t>Për këtë arsye, projektligji shton përkufizime të reja për shpenzimet kadastrale dhe noteriale, si dhe për tarifat e tjera të domosdoshme gjatë ekzekutimit të vendimit. Gjithashtu, ndryshimet në nenet 25 dhe 29 synojnë të zgjerojnë përjashtimet nga parapagimi ose pagesa e këtyre shpenzimeve, kur ato janë të nevojshme për realizimin efektiv të së drejtës.</w:t>
      </w:r>
    </w:p>
    <w:p w14:paraId="4D3A2777" w14:textId="410A32F4" w:rsidR="00BC3481" w:rsidRPr="009B4F79" w:rsidRDefault="002E280C" w:rsidP="009B4F79">
      <w:pPr>
        <w:jc w:val="both"/>
        <w:rPr>
          <w:rFonts w:ascii="Times New Roman" w:hAnsi="Times New Roman"/>
          <w:sz w:val="28"/>
          <w:szCs w:val="28"/>
        </w:rPr>
      </w:pPr>
      <w:r w:rsidRPr="00C76FDF">
        <w:rPr>
          <w:rFonts w:ascii="Times New Roman" w:hAnsi="Times New Roman"/>
          <w:b/>
          <w:sz w:val="28"/>
          <w:szCs w:val="28"/>
        </w:rPr>
        <w:t>9.</w:t>
      </w:r>
      <w:r w:rsidRPr="009B4F79">
        <w:rPr>
          <w:rFonts w:ascii="Times New Roman" w:hAnsi="Times New Roman"/>
          <w:sz w:val="28"/>
          <w:szCs w:val="28"/>
        </w:rPr>
        <w:t xml:space="preserve"> </w:t>
      </w:r>
      <w:r w:rsidR="00BC3481" w:rsidRPr="009B4F79">
        <w:rPr>
          <w:rFonts w:ascii="Times New Roman" w:hAnsi="Times New Roman"/>
          <w:sz w:val="28"/>
          <w:szCs w:val="28"/>
        </w:rPr>
        <w:t xml:space="preserve">Projektligji forcon gjithashtu rolin e </w:t>
      </w:r>
      <w:r w:rsidR="00075C8E">
        <w:rPr>
          <w:rFonts w:ascii="Times New Roman" w:hAnsi="Times New Roman"/>
          <w:sz w:val="28"/>
          <w:szCs w:val="28"/>
        </w:rPr>
        <w:t>DNJF-së</w:t>
      </w:r>
      <w:r w:rsidR="00BC3481" w:rsidRPr="009B4F79">
        <w:rPr>
          <w:rFonts w:ascii="Times New Roman" w:hAnsi="Times New Roman"/>
          <w:sz w:val="28"/>
          <w:szCs w:val="28"/>
        </w:rPr>
        <w:t xml:space="preserve"> në mbrojtjen e interesit publik dhe administrimin e fondeve të ndihmës juridike. </w:t>
      </w:r>
    </w:p>
    <w:p w14:paraId="4C5759F5" w14:textId="0DBE584D" w:rsidR="00473D7E" w:rsidRDefault="00BC3481" w:rsidP="009B4F79">
      <w:pPr>
        <w:jc w:val="both"/>
        <w:rPr>
          <w:rFonts w:ascii="Times New Roman" w:hAnsi="Times New Roman"/>
          <w:sz w:val="28"/>
          <w:szCs w:val="28"/>
        </w:rPr>
      </w:pPr>
      <w:r w:rsidRPr="009B4F79">
        <w:rPr>
          <w:rFonts w:ascii="Times New Roman" w:hAnsi="Times New Roman"/>
          <w:sz w:val="28"/>
          <w:szCs w:val="28"/>
        </w:rPr>
        <w:t xml:space="preserve">Ndryshimet në nenin 22 i japin </w:t>
      </w:r>
      <w:r w:rsidR="006F3C62">
        <w:rPr>
          <w:rFonts w:ascii="Times New Roman" w:hAnsi="Times New Roman"/>
          <w:sz w:val="28"/>
          <w:szCs w:val="28"/>
        </w:rPr>
        <w:t>DNJF-së</w:t>
      </w:r>
      <w:r w:rsidRPr="009B4F79">
        <w:rPr>
          <w:rFonts w:ascii="Times New Roman" w:hAnsi="Times New Roman"/>
          <w:sz w:val="28"/>
          <w:szCs w:val="28"/>
        </w:rPr>
        <w:t xml:space="preserve"> të drejtën të ushtrojë ankim ndaj vendimit të gjykatës për pranimin e kërkesës për ndihmë juridike dytësore, kur vlerëson se vendimi është marrë në kundërshtim me kriteret ligjore ose kur kërkesa është haptazi e pabazuar apo abuzive. </w:t>
      </w:r>
    </w:p>
    <w:p w14:paraId="122E68F0" w14:textId="2F9ACF96" w:rsidR="004C2853" w:rsidRPr="009B4F79" w:rsidRDefault="00BC3481" w:rsidP="009B4F79">
      <w:pPr>
        <w:jc w:val="both"/>
        <w:rPr>
          <w:rFonts w:ascii="Times New Roman" w:hAnsi="Times New Roman"/>
          <w:sz w:val="28"/>
          <w:szCs w:val="28"/>
        </w:rPr>
      </w:pPr>
      <w:r w:rsidRPr="009B4F79">
        <w:rPr>
          <w:rFonts w:ascii="Times New Roman" w:hAnsi="Times New Roman"/>
          <w:sz w:val="28"/>
          <w:szCs w:val="28"/>
        </w:rPr>
        <w:t xml:space="preserve">Gjithashtu, </w:t>
      </w:r>
      <w:r w:rsidR="006F3C62">
        <w:rPr>
          <w:rFonts w:ascii="Times New Roman" w:hAnsi="Times New Roman"/>
          <w:sz w:val="28"/>
          <w:szCs w:val="28"/>
        </w:rPr>
        <w:t>DNJF-së</w:t>
      </w:r>
      <w:r w:rsidRPr="009B4F79">
        <w:rPr>
          <w:rFonts w:ascii="Times New Roman" w:hAnsi="Times New Roman"/>
          <w:sz w:val="28"/>
          <w:szCs w:val="28"/>
        </w:rPr>
        <w:t xml:space="preserve"> </w:t>
      </w:r>
      <w:r w:rsidR="00C76FDF">
        <w:rPr>
          <w:rFonts w:ascii="Times New Roman" w:hAnsi="Times New Roman"/>
          <w:sz w:val="28"/>
          <w:szCs w:val="28"/>
        </w:rPr>
        <w:t xml:space="preserve">do t’i </w:t>
      </w:r>
      <w:r w:rsidRPr="009B4F79">
        <w:rPr>
          <w:rFonts w:ascii="Times New Roman" w:hAnsi="Times New Roman"/>
          <w:sz w:val="28"/>
          <w:szCs w:val="28"/>
        </w:rPr>
        <w:t>njihet e drejta të kërkojë sqarimin, plotësimin ose ndreqjen e vendimit gjyqësor në pjesën që lidhet me shpenzimet gjyqësore dhe efektet financiare që mbulohen nga fondet publike. Kjo ndërhyrje synon të ruajë balancën ndërmjet aksesit në drejtësi dhe administrimit të përgjegjshëm të fondeve publike.</w:t>
      </w:r>
    </w:p>
    <w:p w14:paraId="7F47199A" w14:textId="77777777" w:rsidR="00C17925" w:rsidRDefault="0000218D" w:rsidP="005F6B96">
      <w:pPr>
        <w:jc w:val="both"/>
        <w:rPr>
          <w:rFonts w:ascii="Times New Roman" w:hAnsi="Times New Roman"/>
          <w:sz w:val="28"/>
          <w:szCs w:val="28"/>
        </w:rPr>
      </w:pPr>
      <w:r w:rsidRPr="00A54862">
        <w:rPr>
          <w:rFonts w:ascii="Times New Roman" w:hAnsi="Times New Roman"/>
          <w:b/>
          <w:sz w:val="28"/>
          <w:szCs w:val="28"/>
        </w:rPr>
        <w:t>10.</w:t>
      </w:r>
      <w:r>
        <w:rPr>
          <w:rFonts w:ascii="Times New Roman" w:hAnsi="Times New Roman"/>
          <w:sz w:val="28"/>
          <w:szCs w:val="28"/>
        </w:rPr>
        <w:t xml:space="preserve"> </w:t>
      </w:r>
      <w:r w:rsidRPr="0000218D">
        <w:rPr>
          <w:rFonts w:ascii="Times New Roman" w:hAnsi="Times New Roman"/>
          <w:sz w:val="28"/>
          <w:szCs w:val="28"/>
        </w:rPr>
        <w:t xml:space="preserve">Efektet e pritshme të projektligjit janë rritja e aksesit real dhe efektiv në drejtësi, zgjerimi i mbrojtjes për kategori të veçanta përfituese, thjeshtimi i procedurave për ndihmën juridike parësore, përmirësimi i koordinimit ndërinstitucional, rritja e cilësisë së përfaqësimit juridik, garantimi i ndihmës së menjëhershme në raste emergjente dhe mbulimi më i plotë i shpenzimeve që lidhen me realizimin efektiv të së drejtës. </w:t>
      </w:r>
    </w:p>
    <w:p w14:paraId="1922B496" w14:textId="6CA4ED75" w:rsidR="00473D7E" w:rsidRDefault="005F5ED7" w:rsidP="005F5ED7">
      <w:pPr>
        <w:spacing w:after="0"/>
        <w:jc w:val="both"/>
        <w:rPr>
          <w:rFonts w:ascii="Times New Roman" w:hAnsi="Times New Roman"/>
          <w:sz w:val="28"/>
          <w:szCs w:val="28"/>
        </w:rPr>
      </w:pPr>
      <w:r w:rsidRPr="005F5ED7">
        <w:rPr>
          <w:rFonts w:ascii="Times New Roman" w:hAnsi="Times New Roman"/>
          <w:sz w:val="28"/>
          <w:szCs w:val="28"/>
        </w:rPr>
        <w:lastRenderedPageBreak/>
        <w:t xml:space="preserve">Në të njëjtën kohë, projektligji pritet të rrisë përputhshmërinë e kuadrit ligjor vendas me standardet e Bashkimit Evropian në fushën e mbrojtjes së viktimave, garantimit të ndihmës juridike në procedurat penale, luftës kundër terrorizmit dhe mbrojtjes së personave që raportojnë shkelje të së drejtës së Bashkimit Evropian, në përputhje me direktivat që do të </w:t>
      </w:r>
      <w:proofErr w:type="spellStart"/>
      <w:r w:rsidRPr="005F5ED7">
        <w:rPr>
          <w:rFonts w:ascii="Times New Roman" w:hAnsi="Times New Roman"/>
          <w:sz w:val="28"/>
          <w:szCs w:val="28"/>
        </w:rPr>
        <w:t>transpozohen</w:t>
      </w:r>
      <w:proofErr w:type="spellEnd"/>
      <w:r w:rsidRPr="005F5ED7">
        <w:rPr>
          <w:rFonts w:ascii="Times New Roman" w:hAnsi="Times New Roman"/>
          <w:sz w:val="28"/>
          <w:szCs w:val="28"/>
        </w:rPr>
        <w:t>.</w:t>
      </w:r>
    </w:p>
    <w:p w14:paraId="0E3695B9" w14:textId="77777777" w:rsidR="00506A71" w:rsidRDefault="00506A71" w:rsidP="005F5ED7">
      <w:pPr>
        <w:spacing w:after="0"/>
        <w:jc w:val="both"/>
      </w:pPr>
    </w:p>
    <w:p w14:paraId="3E82BAE7" w14:textId="77777777" w:rsidR="00F9548F" w:rsidRPr="00FD0B8D" w:rsidRDefault="00F9548F" w:rsidP="004C2853">
      <w:pPr>
        <w:jc w:val="both"/>
        <w:rPr>
          <w:rFonts w:ascii="Times New Roman" w:hAnsi="Times New Roman"/>
          <w:b/>
          <w:color w:val="000000"/>
          <w:sz w:val="28"/>
          <w:szCs w:val="28"/>
        </w:rPr>
      </w:pPr>
      <w:r w:rsidRPr="00FD0B8D">
        <w:rPr>
          <w:rFonts w:ascii="Times New Roman" w:hAnsi="Times New Roman"/>
          <w:b/>
          <w:color w:val="000000"/>
          <w:sz w:val="28"/>
          <w:szCs w:val="28"/>
        </w:rPr>
        <w:t>IV.</w:t>
      </w:r>
      <w:r w:rsidRPr="00FD0B8D">
        <w:rPr>
          <w:rFonts w:ascii="Times New Roman" w:hAnsi="Times New Roman"/>
          <w:b/>
          <w:color w:val="000000"/>
          <w:sz w:val="28"/>
          <w:szCs w:val="28"/>
        </w:rPr>
        <w:tab/>
        <w:t>VLERËSIMI I LIGJSHMËRISË, KUSHTETUTSHMËRISË DHE HARMONIZIMI ME LEGJISLACIONIN NË FUQI VENDAS E NDËRKOMBËTAR</w:t>
      </w:r>
    </w:p>
    <w:p w14:paraId="3849045D" w14:textId="00C64248" w:rsidR="000A0385" w:rsidRPr="00FD0B8D" w:rsidRDefault="000A0385" w:rsidP="004C2853">
      <w:pPr>
        <w:tabs>
          <w:tab w:val="left" w:pos="993"/>
        </w:tabs>
        <w:jc w:val="both"/>
        <w:rPr>
          <w:rFonts w:ascii="Times New Roman" w:hAnsi="Times New Roman"/>
          <w:color w:val="000000"/>
          <w:sz w:val="28"/>
          <w:szCs w:val="28"/>
        </w:rPr>
      </w:pPr>
      <w:r w:rsidRPr="00FD0B8D">
        <w:rPr>
          <w:rFonts w:ascii="Times New Roman" w:hAnsi="Times New Roman"/>
          <w:color w:val="000000"/>
          <w:sz w:val="28"/>
          <w:szCs w:val="28"/>
        </w:rPr>
        <w:t>Projektligji është në përputhje me nen</w:t>
      </w:r>
      <w:r w:rsidR="007E36AB">
        <w:rPr>
          <w:rFonts w:ascii="Times New Roman" w:hAnsi="Times New Roman"/>
          <w:color w:val="000000"/>
          <w:sz w:val="28"/>
          <w:szCs w:val="28"/>
        </w:rPr>
        <w:t>et</w:t>
      </w:r>
      <w:r w:rsidRPr="00FD0B8D">
        <w:rPr>
          <w:rFonts w:ascii="Times New Roman" w:hAnsi="Times New Roman"/>
          <w:color w:val="000000"/>
          <w:sz w:val="28"/>
          <w:szCs w:val="28"/>
        </w:rPr>
        <w:t xml:space="preserve"> 78 dhe 83, pika 1, të Kushtetutës</w:t>
      </w:r>
      <w:r w:rsidR="009E76D9" w:rsidRPr="00FD0B8D">
        <w:rPr>
          <w:rFonts w:ascii="Times New Roman" w:hAnsi="Times New Roman"/>
          <w:color w:val="000000"/>
          <w:sz w:val="28"/>
          <w:szCs w:val="28"/>
        </w:rPr>
        <w:t>, si</w:t>
      </w:r>
      <w:r w:rsidRPr="00FD0B8D">
        <w:rPr>
          <w:rFonts w:ascii="Times New Roman" w:hAnsi="Times New Roman"/>
          <w:color w:val="000000"/>
          <w:sz w:val="28"/>
          <w:szCs w:val="28"/>
        </w:rPr>
        <w:t xml:space="preserve"> </w:t>
      </w:r>
      <w:r w:rsidR="00111B20" w:rsidRPr="00FD0B8D">
        <w:rPr>
          <w:rFonts w:ascii="Times New Roman" w:hAnsi="Times New Roman"/>
          <w:color w:val="000000"/>
          <w:sz w:val="28"/>
          <w:szCs w:val="28"/>
        </w:rPr>
        <w:t>dhe garanton respektimin e</w:t>
      </w:r>
      <w:r w:rsidRPr="00FD0B8D">
        <w:rPr>
          <w:rFonts w:ascii="Times New Roman" w:hAnsi="Times New Roman"/>
          <w:color w:val="000000"/>
          <w:sz w:val="28"/>
          <w:szCs w:val="28"/>
        </w:rPr>
        <w:t xml:space="preserve"> të drejtave dhe lirive themelore të individit.</w:t>
      </w:r>
    </w:p>
    <w:p w14:paraId="4E9AF202" w14:textId="77777777" w:rsidR="00CA0585" w:rsidRDefault="00CA0585" w:rsidP="004C2853">
      <w:pPr>
        <w:tabs>
          <w:tab w:val="left" w:pos="993"/>
        </w:tabs>
        <w:jc w:val="both"/>
        <w:rPr>
          <w:rFonts w:ascii="Times New Roman" w:hAnsi="Times New Roman"/>
          <w:color w:val="000000"/>
          <w:sz w:val="28"/>
          <w:szCs w:val="28"/>
        </w:rPr>
      </w:pPr>
      <w:r w:rsidRPr="00CA0585">
        <w:rPr>
          <w:rFonts w:ascii="Times New Roman" w:hAnsi="Times New Roman"/>
          <w:color w:val="000000"/>
          <w:sz w:val="28"/>
          <w:szCs w:val="28"/>
        </w:rPr>
        <w:t>Sa u përket dispozitave me karakter procedural, konkretisht neneve 12, 13 dhe 15 të projektligjit, ato vlerësohet se duhet të miratohen me shumicë të cilësuar, në mbështetje të nenit 81, pika 2, shkronja “d”, të Kushtetutës.</w:t>
      </w:r>
    </w:p>
    <w:p w14:paraId="64393275" w14:textId="4853ACA3" w:rsidR="001410EB" w:rsidRDefault="00F9548F" w:rsidP="004C2853">
      <w:pPr>
        <w:tabs>
          <w:tab w:val="left" w:pos="993"/>
        </w:tabs>
        <w:jc w:val="both"/>
        <w:rPr>
          <w:rFonts w:ascii="Times New Roman" w:hAnsi="Times New Roman"/>
          <w:color w:val="000000"/>
          <w:sz w:val="28"/>
          <w:szCs w:val="28"/>
        </w:rPr>
      </w:pPr>
      <w:r w:rsidRPr="00FD0B8D">
        <w:rPr>
          <w:rFonts w:ascii="Times New Roman" w:hAnsi="Times New Roman"/>
          <w:color w:val="000000"/>
          <w:sz w:val="28"/>
          <w:szCs w:val="28"/>
        </w:rPr>
        <w:t>Në përputhje me nenin 26</w:t>
      </w:r>
      <w:r w:rsidR="006807AE" w:rsidRPr="00FD0B8D">
        <w:rPr>
          <w:rFonts w:ascii="Times New Roman" w:hAnsi="Times New Roman"/>
          <w:color w:val="000000"/>
          <w:sz w:val="28"/>
          <w:szCs w:val="28"/>
        </w:rPr>
        <w:t>,</w:t>
      </w:r>
      <w:r w:rsidRPr="00FD0B8D">
        <w:rPr>
          <w:rFonts w:ascii="Times New Roman" w:hAnsi="Times New Roman"/>
          <w:color w:val="000000"/>
          <w:sz w:val="28"/>
          <w:szCs w:val="28"/>
        </w:rPr>
        <w:t xml:space="preserve"> të ligjit nr. 9000, datë 30.01.2003 “Për organizimin dhe funksionimin e Këshillit të Ministrave”, Ministri i Drejtësisë është autoriteti i deleguar për propozimin e këtij projektligji, ndaj edhe nisma e propozuar</w:t>
      </w:r>
      <w:r w:rsidR="00336268">
        <w:rPr>
          <w:rFonts w:ascii="Times New Roman" w:hAnsi="Times New Roman"/>
          <w:color w:val="000000"/>
          <w:sz w:val="28"/>
          <w:szCs w:val="28"/>
        </w:rPr>
        <w:t xml:space="preserve"> </w:t>
      </w:r>
      <w:r w:rsidRPr="00FD0B8D">
        <w:rPr>
          <w:rFonts w:ascii="Times New Roman" w:hAnsi="Times New Roman"/>
          <w:color w:val="000000"/>
          <w:sz w:val="28"/>
          <w:szCs w:val="28"/>
        </w:rPr>
        <w:t xml:space="preserve">paraqitet si një iniciativë për shqyrtim dhe miratim nga Këshilli i Ministrave, në mbështetje të neneve 81, pika 1, </w:t>
      </w:r>
      <w:r w:rsidR="00404FB1">
        <w:rPr>
          <w:rFonts w:ascii="Times New Roman" w:hAnsi="Times New Roman"/>
          <w:color w:val="000000"/>
          <w:sz w:val="28"/>
          <w:szCs w:val="28"/>
        </w:rPr>
        <w:t xml:space="preserve">81, pika 2, shkronja “d”, </w:t>
      </w:r>
      <w:r w:rsidRPr="00FD0B8D">
        <w:rPr>
          <w:rFonts w:ascii="Times New Roman" w:hAnsi="Times New Roman"/>
          <w:color w:val="000000"/>
          <w:sz w:val="28"/>
          <w:szCs w:val="28"/>
        </w:rPr>
        <w:t>dhe 100, të Kushtetutës.</w:t>
      </w:r>
      <w:r w:rsidR="001410EB" w:rsidRPr="00FD0B8D">
        <w:rPr>
          <w:rFonts w:ascii="Times New Roman" w:hAnsi="Times New Roman"/>
          <w:color w:val="000000"/>
          <w:sz w:val="28"/>
          <w:szCs w:val="28"/>
        </w:rPr>
        <w:t xml:space="preserve"> </w:t>
      </w:r>
    </w:p>
    <w:p w14:paraId="34A96DCB" w14:textId="1D9BED42" w:rsidR="00F9548F" w:rsidRPr="00FD0B8D" w:rsidRDefault="00F9548F" w:rsidP="004C2853">
      <w:pPr>
        <w:spacing w:after="0"/>
        <w:jc w:val="both"/>
        <w:rPr>
          <w:rFonts w:ascii="Times New Roman" w:hAnsi="Times New Roman"/>
          <w:b/>
          <w:color w:val="000000"/>
          <w:sz w:val="28"/>
          <w:szCs w:val="28"/>
        </w:rPr>
      </w:pPr>
      <w:r w:rsidRPr="00FD0B8D">
        <w:rPr>
          <w:rFonts w:ascii="Times New Roman" w:hAnsi="Times New Roman"/>
          <w:b/>
          <w:color w:val="000000"/>
          <w:sz w:val="28"/>
          <w:szCs w:val="28"/>
        </w:rPr>
        <w:t>V.</w:t>
      </w:r>
      <w:r w:rsidRPr="00FD0B8D">
        <w:rPr>
          <w:rFonts w:ascii="Times New Roman" w:hAnsi="Times New Roman"/>
          <w:b/>
          <w:color w:val="000000"/>
          <w:sz w:val="28"/>
          <w:szCs w:val="28"/>
        </w:rPr>
        <w:tab/>
        <w:t xml:space="preserve">VLERËSIMI I SHKALLËS SË PËRAFRIMIT ME </w:t>
      </w:r>
      <w:r w:rsidRPr="007F3ED9">
        <w:rPr>
          <w:rFonts w:ascii="Times New Roman" w:hAnsi="Times New Roman"/>
          <w:b/>
          <w:i/>
          <w:color w:val="000000"/>
          <w:sz w:val="28"/>
          <w:szCs w:val="28"/>
        </w:rPr>
        <w:t>ACQUIS</w:t>
      </w:r>
      <w:r w:rsidRPr="00FD0B8D">
        <w:rPr>
          <w:rFonts w:ascii="Times New Roman" w:hAnsi="Times New Roman"/>
          <w:b/>
          <w:color w:val="000000"/>
          <w:sz w:val="28"/>
          <w:szCs w:val="28"/>
        </w:rPr>
        <w:t xml:space="preserve"> </w:t>
      </w:r>
      <w:r w:rsidRPr="007F3ED9">
        <w:rPr>
          <w:rFonts w:ascii="Times New Roman" w:hAnsi="Times New Roman"/>
          <w:b/>
          <w:i/>
          <w:color w:val="000000"/>
          <w:sz w:val="28"/>
          <w:szCs w:val="28"/>
        </w:rPr>
        <w:t>COMMUNAUTAIRE</w:t>
      </w:r>
      <w:r w:rsidRPr="00FD0B8D">
        <w:rPr>
          <w:rFonts w:ascii="Times New Roman" w:hAnsi="Times New Roman"/>
          <w:b/>
          <w:color w:val="000000"/>
          <w:sz w:val="28"/>
          <w:szCs w:val="28"/>
        </w:rPr>
        <w:t xml:space="preserve"> (</w:t>
      </w:r>
      <w:r w:rsidR="00AA688D" w:rsidRPr="00FD0B8D">
        <w:rPr>
          <w:rFonts w:ascii="Times New Roman" w:hAnsi="Times New Roman"/>
          <w:b/>
          <w:color w:val="000000"/>
          <w:sz w:val="28"/>
          <w:szCs w:val="28"/>
        </w:rPr>
        <w:t>PËR PROJEKTAK</w:t>
      </w:r>
      <w:r w:rsidR="00AA688D">
        <w:rPr>
          <w:rFonts w:ascii="Times New Roman" w:hAnsi="Times New Roman"/>
          <w:b/>
          <w:color w:val="000000"/>
          <w:sz w:val="28"/>
          <w:szCs w:val="28"/>
        </w:rPr>
        <w:t>T</w:t>
      </w:r>
      <w:r w:rsidR="00AA688D" w:rsidRPr="00FD0B8D">
        <w:rPr>
          <w:rFonts w:ascii="Times New Roman" w:hAnsi="Times New Roman"/>
          <w:b/>
          <w:color w:val="000000"/>
          <w:sz w:val="28"/>
          <w:szCs w:val="28"/>
        </w:rPr>
        <w:t>ET NORMATIVE</w:t>
      </w:r>
      <w:r w:rsidRPr="00FD0B8D">
        <w:rPr>
          <w:rFonts w:ascii="Times New Roman" w:hAnsi="Times New Roman"/>
          <w:b/>
          <w:color w:val="000000"/>
          <w:sz w:val="28"/>
          <w:szCs w:val="28"/>
        </w:rPr>
        <w:t>)</w:t>
      </w:r>
    </w:p>
    <w:p w14:paraId="62E5C183" w14:textId="77777777" w:rsidR="00F9548F" w:rsidRPr="00FD0B8D" w:rsidRDefault="00F9548F" w:rsidP="004C2853">
      <w:pPr>
        <w:tabs>
          <w:tab w:val="left" w:pos="284"/>
        </w:tabs>
        <w:spacing w:after="0"/>
        <w:contextualSpacing/>
        <w:jc w:val="both"/>
        <w:rPr>
          <w:rFonts w:ascii="Times New Roman" w:eastAsia="Times New Roman" w:hAnsi="Times New Roman"/>
          <w:sz w:val="28"/>
          <w:szCs w:val="28"/>
        </w:rPr>
      </w:pPr>
    </w:p>
    <w:p w14:paraId="5E954E97" w14:textId="77777777" w:rsidR="007B09F0" w:rsidRPr="007B09F0" w:rsidRDefault="007B09F0" w:rsidP="007B09F0">
      <w:pPr>
        <w:jc w:val="both"/>
        <w:rPr>
          <w:rFonts w:ascii="Times New Roman" w:hAnsi="Times New Roman"/>
          <w:sz w:val="28"/>
          <w:szCs w:val="28"/>
        </w:rPr>
      </w:pPr>
      <w:r w:rsidRPr="007B09F0">
        <w:rPr>
          <w:rFonts w:ascii="Times New Roman" w:hAnsi="Times New Roman"/>
          <w:sz w:val="28"/>
          <w:szCs w:val="28"/>
        </w:rPr>
        <w:t xml:space="preserve">Projektligji kontribuon në përafrimin e ligjit nr. 111/2017 me </w:t>
      </w:r>
      <w:r w:rsidRPr="007B09F0">
        <w:rPr>
          <w:rFonts w:ascii="Times New Roman" w:hAnsi="Times New Roman"/>
          <w:i/>
          <w:sz w:val="28"/>
          <w:szCs w:val="28"/>
        </w:rPr>
        <w:t>acquis</w:t>
      </w:r>
      <w:r w:rsidRPr="007B09F0">
        <w:rPr>
          <w:rFonts w:ascii="Times New Roman" w:hAnsi="Times New Roman"/>
          <w:sz w:val="28"/>
          <w:szCs w:val="28"/>
        </w:rPr>
        <w:t xml:space="preserve"> të Bashkimit Evropian në fushën e aksesit në drejtësi, mbrojtjes së viktimave dhe garantimit të ndihmës juridike për kategori të posaçme përfituesish.</w:t>
      </w:r>
    </w:p>
    <w:p w14:paraId="7C799A55" w14:textId="77777777" w:rsidR="000515D5" w:rsidRDefault="007B09F0" w:rsidP="007B09F0">
      <w:pPr>
        <w:jc w:val="both"/>
        <w:rPr>
          <w:rFonts w:ascii="Times New Roman" w:hAnsi="Times New Roman"/>
          <w:sz w:val="28"/>
          <w:szCs w:val="28"/>
        </w:rPr>
      </w:pPr>
      <w:r w:rsidRPr="007B09F0">
        <w:rPr>
          <w:rFonts w:ascii="Times New Roman" w:hAnsi="Times New Roman"/>
          <w:sz w:val="28"/>
          <w:szCs w:val="28"/>
        </w:rPr>
        <w:t xml:space="preserve">Në mënyrë të veçantë, projektligji reflekton standardet e Direktivës (BE) 2012/29 për të drejtat, mbështetjen dhe mbrojtjen e viktimave të krimit, si dhe të Direktivës (BE) </w:t>
      </w:r>
      <w:r w:rsidR="000515D5" w:rsidRPr="000515D5">
        <w:rPr>
          <w:rFonts w:ascii="Times New Roman" w:hAnsi="Times New Roman"/>
          <w:sz w:val="28"/>
          <w:szCs w:val="28"/>
        </w:rPr>
        <w:t>(BE) 2016/1919 mbi ndihmën juridike për të dyshuarit dhe të akuzuarit në procedurat penale, për aq sa ndryshimet forcojnë garancitë procedurale dhe efektivitetin e ndihmës juridike.</w:t>
      </w:r>
    </w:p>
    <w:p w14:paraId="72630C88" w14:textId="5D2556A3" w:rsidR="007B09F0" w:rsidRPr="007B09F0" w:rsidRDefault="007B09F0" w:rsidP="007B09F0">
      <w:pPr>
        <w:jc w:val="both"/>
        <w:rPr>
          <w:rFonts w:ascii="Times New Roman" w:hAnsi="Times New Roman"/>
          <w:sz w:val="28"/>
          <w:szCs w:val="28"/>
        </w:rPr>
      </w:pPr>
      <w:r w:rsidRPr="007B09F0">
        <w:rPr>
          <w:rFonts w:ascii="Times New Roman" w:hAnsi="Times New Roman"/>
          <w:sz w:val="28"/>
          <w:szCs w:val="28"/>
        </w:rPr>
        <w:t xml:space="preserve">Gjithashtu, projektligji merr në konsideratë Direktivën (BE) 2017/541 për luftën kundër terrorizmit, përmes përfshirjes së viktimave të terrorizmit ndër kategoritë përfituese, si dhe Direktivën (BE) 2019/1937 për mbrojtjen e sinjalizuesve, duke </w:t>
      </w:r>
      <w:r w:rsidRPr="007B09F0">
        <w:rPr>
          <w:rFonts w:ascii="Times New Roman" w:hAnsi="Times New Roman"/>
          <w:sz w:val="28"/>
          <w:szCs w:val="28"/>
        </w:rPr>
        <w:lastRenderedPageBreak/>
        <w:t>parashikuar ndihmë juridike për personat që raportojnë ose bëjnë publik informacion mbi shkelje të së drejtës së Bashkimit Evropian.</w:t>
      </w:r>
    </w:p>
    <w:p w14:paraId="108FCD2F" w14:textId="496D9BE9" w:rsidR="00F03102" w:rsidRDefault="007B09F0" w:rsidP="00506A71">
      <w:pPr>
        <w:spacing w:after="0"/>
        <w:jc w:val="both"/>
        <w:rPr>
          <w:rFonts w:ascii="Times New Roman" w:hAnsi="Times New Roman"/>
          <w:sz w:val="28"/>
          <w:szCs w:val="28"/>
        </w:rPr>
      </w:pPr>
      <w:r w:rsidRPr="007B09F0">
        <w:rPr>
          <w:rFonts w:ascii="Times New Roman" w:hAnsi="Times New Roman"/>
          <w:sz w:val="28"/>
          <w:szCs w:val="28"/>
        </w:rPr>
        <w:t xml:space="preserve">Përmes këtyre ndërhyrjeve, projektligji rrit shkallën e përafrimit me </w:t>
      </w:r>
      <w:r w:rsidRPr="00546831">
        <w:rPr>
          <w:rFonts w:ascii="Times New Roman" w:hAnsi="Times New Roman"/>
          <w:i/>
          <w:sz w:val="28"/>
          <w:szCs w:val="28"/>
        </w:rPr>
        <w:t>acquis</w:t>
      </w:r>
      <w:r w:rsidRPr="007B09F0">
        <w:rPr>
          <w:rFonts w:ascii="Times New Roman" w:hAnsi="Times New Roman"/>
          <w:sz w:val="28"/>
          <w:szCs w:val="28"/>
        </w:rPr>
        <w:t xml:space="preserve"> të Bashkimit Evropian dhe forcon mbrojtjen juridike për viktimat, personat vulnerabël dhe subjektet që kanë nevojë për garanci të posaçme për </w:t>
      </w:r>
      <w:proofErr w:type="spellStart"/>
      <w:r w:rsidRPr="007B09F0">
        <w:rPr>
          <w:rFonts w:ascii="Times New Roman" w:hAnsi="Times New Roman"/>
          <w:sz w:val="28"/>
          <w:szCs w:val="28"/>
        </w:rPr>
        <w:t>akses</w:t>
      </w:r>
      <w:proofErr w:type="spellEnd"/>
      <w:r w:rsidRPr="007B09F0">
        <w:rPr>
          <w:rFonts w:ascii="Times New Roman" w:hAnsi="Times New Roman"/>
          <w:sz w:val="28"/>
          <w:szCs w:val="28"/>
        </w:rPr>
        <w:t xml:space="preserve"> efektiv në drejtësi.</w:t>
      </w:r>
    </w:p>
    <w:p w14:paraId="0D030D1E" w14:textId="77777777" w:rsidR="00506A71" w:rsidRPr="007B09F0" w:rsidRDefault="00506A71" w:rsidP="00506A71">
      <w:pPr>
        <w:spacing w:after="0"/>
        <w:jc w:val="both"/>
        <w:rPr>
          <w:rFonts w:ascii="Times New Roman" w:hAnsi="Times New Roman"/>
          <w:sz w:val="28"/>
          <w:szCs w:val="28"/>
        </w:rPr>
      </w:pPr>
    </w:p>
    <w:p w14:paraId="77BF4423" w14:textId="77777777" w:rsidR="00F9548F" w:rsidRPr="00FD0B8D" w:rsidRDefault="00F9548F" w:rsidP="004C2853">
      <w:pPr>
        <w:spacing w:after="0"/>
        <w:jc w:val="both"/>
        <w:rPr>
          <w:rFonts w:ascii="Times New Roman" w:hAnsi="Times New Roman"/>
          <w:b/>
          <w:color w:val="000000"/>
          <w:sz w:val="28"/>
          <w:szCs w:val="28"/>
        </w:rPr>
      </w:pPr>
      <w:r w:rsidRPr="00FD0B8D">
        <w:rPr>
          <w:rFonts w:ascii="Times New Roman" w:hAnsi="Times New Roman"/>
          <w:b/>
          <w:color w:val="000000"/>
          <w:sz w:val="28"/>
          <w:szCs w:val="28"/>
        </w:rPr>
        <w:t>VI.</w:t>
      </w:r>
      <w:r w:rsidRPr="00FD0B8D">
        <w:rPr>
          <w:rFonts w:ascii="Times New Roman" w:hAnsi="Times New Roman"/>
          <w:b/>
          <w:color w:val="000000"/>
          <w:sz w:val="28"/>
          <w:szCs w:val="28"/>
        </w:rPr>
        <w:tab/>
        <w:t>PËRMBLEDHJE SHPJEGUESE E PËRMBAJTJES SË PROJEKTAKTIT</w:t>
      </w:r>
    </w:p>
    <w:p w14:paraId="7FA5D82A" w14:textId="77777777" w:rsidR="00F9548F" w:rsidRPr="00FD0B8D" w:rsidRDefault="00F9548F" w:rsidP="004C2853">
      <w:pPr>
        <w:spacing w:after="0"/>
        <w:jc w:val="both"/>
        <w:rPr>
          <w:rFonts w:ascii="Times New Roman" w:hAnsi="Times New Roman"/>
          <w:b/>
          <w:color w:val="000000"/>
          <w:sz w:val="28"/>
          <w:szCs w:val="28"/>
        </w:rPr>
      </w:pPr>
    </w:p>
    <w:p w14:paraId="1862C15D" w14:textId="11D15926" w:rsidR="00F9548F" w:rsidRDefault="001410EB" w:rsidP="004C2853">
      <w:pPr>
        <w:spacing w:after="240"/>
        <w:jc w:val="both"/>
        <w:rPr>
          <w:rFonts w:ascii="Times New Roman" w:hAnsi="Times New Roman"/>
          <w:sz w:val="28"/>
          <w:szCs w:val="28"/>
        </w:rPr>
      </w:pPr>
      <w:r w:rsidRPr="00FD0B8D">
        <w:rPr>
          <w:rFonts w:ascii="Times New Roman" w:hAnsi="Times New Roman"/>
          <w:sz w:val="28"/>
          <w:szCs w:val="28"/>
        </w:rPr>
        <w:t>Projektligji përmban gjithsej</w:t>
      </w:r>
      <w:r w:rsidR="00111B20" w:rsidRPr="00FD0B8D">
        <w:rPr>
          <w:rFonts w:ascii="Times New Roman" w:hAnsi="Times New Roman"/>
          <w:sz w:val="28"/>
          <w:szCs w:val="28"/>
        </w:rPr>
        <w:t xml:space="preserve"> </w:t>
      </w:r>
      <w:r w:rsidR="00905339" w:rsidRPr="00736E10">
        <w:rPr>
          <w:rFonts w:ascii="Times New Roman" w:hAnsi="Times New Roman"/>
          <w:b/>
          <w:sz w:val="28"/>
          <w:szCs w:val="28"/>
        </w:rPr>
        <w:t>21</w:t>
      </w:r>
      <w:r w:rsidR="00943DAA" w:rsidRPr="00736E10">
        <w:rPr>
          <w:rFonts w:ascii="Times New Roman" w:hAnsi="Times New Roman"/>
          <w:b/>
          <w:sz w:val="28"/>
          <w:szCs w:val="28"/>
        </w:rPr>
        <w:t xml:space="preserve"> </w:t>
      </w:r>
      <w:r w:rsidR="00111B20" w:rsidRPr="00736E10">
        <w:rPr>
          <w:rFonts w:ascii="Times New Roman" w:hAnsi="Times New Roman"/>
          <w:b/>
          <w:sz w:val="28"/>
          <w:szCs w:val="28"/>
        </w:rPr>
        <w:t>nene</w:t>
      </w:r>
      <w:r w:rsidR="00F9548F" w:rsidRPr="00FD0B8D">
        <w:rPr>
          <w:rFonts w:ascii="Times New Roman" w:hAnsi="Times New Roman"/>
          <w:sz w:val="28"/>
          <w:szCs w:val="28"/>
        </w:rPr>
        <w:t>.</w:t>
      </w:r>
    </w:p>
    <w:p w14:paraId="2755D45B" w14:textId="4CFEE351" w:rsidR="007A02BE" w:rsidRDefault="00A517B7" w:rsidP="004C2853">
      <w:pPr>
        <w:spacing w:after="240"/>
        <w:jc w:val="both"/>
        <w:rPr>
          <w:rFonts w:ascii="Times New Roman" w:hAnsi="Times New Roman"/>
          <w:sz w:val="28"/>
          <w:szCs w:val="28"/>
        </w:rPr>
      </w:pPr>
      <w:r w:rsidRPr="00A517B7">
        <w:rPr>
          <w:rFonts w:ascii="Times New Roman" w:hAnsi="Times New Roman"/>
          <w:b/>
          <w:sz w:val="28"/>
          <w:szCs w:val="28"/>
        </w:rPr>
        <w:t>Neni 1</w:t>
      </w:r>
      <w:r>
        <w:rPr>
          <w:rFonts w:ascii="Times New Roman" w:hAnsi="Times New Roman"/>
          <w:b/>
          <w:sz w:val="28"/>
          <w:szCs w:val="28"/>
        </w:rPr>
        <w:t>,</w:t>
      </w:r>
      <w:r w:rsidRPr="00A517B7">
        <w:rPr>
          <w:rFonts w:ascii="Times New Roman" w:hAnsi="Times New Roman"/>
          <w:sz w:val="28"/>
          <w:szCs w:val="28"/>
        </w:rPr>
        <w:t xml:space="preserve"> ndryshon nenin 2 të ligjit, duke zgjeruar qëllimin e tij. Përveç organizimit dhe ofrimit të ndihmës juridike falas, projektligji parashikon se ndihma juridike duhet të kontribuojë edhe në informimin, edukimin dhe ndërgjegjësimin e publikut mbi të drejtat, detyrimet dhe funksionimin e sistemit të drejtësisë.</w:t>
      </w:r>
    </w:p>
    <w:p w14:paraId="631F90B2" w14:textId="4461700C" w:rsidR="00A517B7" w:rsidRDefault="00A517B7" w:rsidP="004C2853">
      <w:pPr>
        <w:spacing w:after="240"/>
        <w:jc w:val="both"/>
        <w:rPr>
          <w:rFonts w:ascii="Times New Roman" w:hAnsi="Times New Roman"/>
          <w:sz w:val="28"/>
          <w:szCs w:val="28"/>
        </w:rPr>
      </w:pPr>
      <w:r w:rsidRPr="00A517B7">
        <w:rPr>
          <w:rFonts w:ascii="Times New Roman" w:hAnsi="Times New Roman"/>
          <w:b/>
          <w:sz w:val="28"/>
          <w:szCs w:val="28"/>
        </w:rPr>
        <w:t>Neni 2</w:t>
      </w:r>
      <w:r>
        <w:rPr>
          <w:rFonts w:ascii="Times New Roman" w:hAnsi="Times New Roman"/>
          <w:sz w:val="28"/>
          <w:szCs w:val="28"/>
        </w:rPr>
        <w:t>,</w:t>
      </w:r>
      <w:r w:rsidRPr="00A517B7">
        <w:rPr>
          <w:rFonts w:ascii="Times New Roman" w:hAnsi="Times New Roman"/>
          <w:sz w:val="28"/>
          <w:szCs w:val="28"/>
        </w:rPr>
        <w:t xml:space="preserve"> ndërhyn në nenin 3 të ligjit, duke shtuar përkufizime të reja për “shpenzimet kadastrale dhe noteriale” dhe për “tarifat e tjera të domosdoshme gjatë procesit të ekzekutimit të vendimit”. Këto përkufizime synojnë të qartësojnë shpenzimet që mund të mbulohen në kuadër të ndihmës juridike, veçanërisht në fazën e ekzekutimit të titullit ekzekutiv.</w:t>
      </w:r>
    </w:p>
    <w:p w14:paraId="691448C9" w14:textId="3E82F76A" w:rsidR="00A517B7" w:rsidRDefault="00A517B7" w:rsidP="004C2853">
      <w:pPr>
        <w:spacing w:after="240"/>
        <w:jc w:val="both"/>
        <w:rPr>
          <w:rFonts w:ascii="Times New Roman" w:hAnsi="Times New Roman"/>
          <w:sz w:val="28"/>
          <w:szCs w:val="28"/>
        </w:rPr>
      </w:pPr>
      <w:r w:rsidRPr="00A517B7">
        <w:rPr>
          <w:rFonts w:ascii="Times New Roman" w:hAnsi="Times New Roman"/>
          <w:b/>
          <w:sz w:val="28"/>
          <w:szCs w:val="28"/>
        </w:rPr>
        <w:t>Neni 3</w:t>
      </w:r>
      <w:r>
        <w:rPr>
          <w:rFonts w:ascii="Times New Roman" w:hAnsi="Times New Roman"/>
          <w:sz w:val="28"/>
          <w:szCs w:val="28"/>
        </w:rPr>
        <w:t>,</w:t>
      </w:r>
      <w:r w:rsidRPr="00A517B7">
        <w:rPr>
          <w:rFonts w:ascii="Times New Roman" w:hAnsi="Times New Roman"/>
          <w:sz w:val="28"/>
          <w:szCs w:val="28"/>
        </w:rPr>
        <w:t xml:space="preserve"> ndryshon nenin 5 të ligjit, duke shtuar si formë të ndihmës juridike përjashtimin nga pagimi i tarifave të tjera të domosdoshme gjatë procesit të ekzekutimit të vendimit, në rastet kur prania e ekspertit është e detyrueshme sipas legjislacionit në fuqi.</w:t>
      </w:r>
    </w:p>
    <w:p w14:paraId="415A64EA" w14:textId="04071A14" w:rsidR="00473D52" w:rsidRDefault="00473D52" w:rsidP="004C2853">
      <w:pPr>
        <w:spacing w:after="240"/>
        <w:jc w:val="both"/>
        <w:rPr>
          <w:rFonts w:ascii="Times New Roman" w:hAnsi="Times New Roman"/>
          <w:sz w:val="28"/>
          <w:szCs w:val="28"/>
        </w:rPr>
      </w:pPr>
      <w:r w:rsidRPr="00473D52">
        <w:rPr>
          <w:rFonts w:ascii="Times New Roman" w:hAnsi="Times New Roman"/>
          <w:b/>
          <w:sz w:val="28"/>
          <w:szCs w:val="28"/>
        </w:rPr>
        <w:t>Neni 4</w:t>
      </w:r>
      <w:r>
        <w:rPr>
          <w:rFonts w:ascii="Times New Roman" w:hAnsi="Times New Roman"/>
          <w:sz w:val="28"/>
          <w:szCs w:val="28"/>
        </w:rPr>
        <w:t>,</w:t>
      </w:r>
      <w:r w:rsidRPr="00473D52">
        <w:rPr>
          <w:rFonts w:ascii="Times New Roman" w:hAnsi="Times New Roman"/>
          <w:sz w:val="28"/>
          <w:szCs w:val="28"/>
        </w:rPr>
        <w:t xml:space="preserve"> ndryshon nenin 6 të ligjit, duke përfshirë njësitë e vetëqeverisjes vendore ndër institucionet që kontribuojnë në funksionimin e sistemit të ndihmës juridike të garantuar nga shteti.</w:t>
      </w:r>
    </w:p>
    <w:p w14:paraId="1F8023D8" w14:textId="695BF73F" w:rsidR="00473D52" w:rsidRDefault="00473D52" w:rsidP="004C2853">
      <w:pPr>
        <w:spacing w:after="240"/>
        <w:jc w:val="both"/>
        <w:rPr>
          <w:rFonts w:ascii="Times New Roman" w:hAnsi="Times New Roman"/>
          <w:sz w:val="28"/>
          <w:szCs w:val="28"/>
        </w:rPr>
      </w:pPr>
      <w:r w:rsidRPr="00473D52">
        <w:rPr>
          <w:rFonts w:ascii="Times New Roman" w:hAnsi="Times New Roman"/>
          <w:b/>
          <w:sz w:val="28"/>
          <w:szCs w:val="28"/>
        </w:rPr>
        <w:t>Neni 5</w:t>
      </w:r>
      <w:r>
        <w:rPr>
          <w:rFonts w:ascii="Times New Roman" w:hAnsi="Times New Roman"/>
          <w:sz w:val="28"/>
          <w:szCs w:val="28"/>
        </w:rPr>
        <w:t>,</w:t>
      </w:r>
      <w:r w:rsidRPr="00473D52">
        <w:rPr>
          <w:rFonts w:ascii="Times New Roman" w:hAnsi="Times New Roman"/>
          <w:sz w:val="28"/>
          <w:szCs w:val="28"/>
        </w:rPr>
        <w:t xml:space="preserve"> ndryshon nenin 7 të ligjit, duke shtuar një kompetencë të re për ministrin e Drejtësisë për miratimin e procedurave që ndiqen nga Drejtoria e Ndihmës Juridike Falas dhe Drejtoria e Përgjithshme e Përmbarimit për pagesat e shpenzimeve të ekspertëve, kur ekspertiza është e detyrueshme sipas legjislacionit procedural.</w:t>
      </w:r>
    </w:p>
    <w:p w14:paraId="0829123E" w14:textId="25DA777A" w:rsidR="00473D52" w:rsidRDefault="00473D52" w:rsidP="004C2853">
      <w:pPr>
        <w:spacing w:after="240"/>
        <w:jc w:val="both"/>
        <w:rPr>
          <w:rFonts w:ascii="Times New Roman" w:hAnsi="Times New Roman"/>
          <w:sz w:val="28"/>
          <w:szCs w:val="28"/>
        </w:rPr>
      </w:pPr>
      <w:r w:rsidRPr="00473D52">
        <w:rPr>
          <w:rFonts w:ascii="Times New Roman" w:hAnsi="Times New Roman"/>
          <w:b/>
          <w:sz w:val="28"/>
          <w:szCs w:val="28"/>
        </w:rPr>
        <w:lastRenderedPageBreak/>
        <w:t>Neni 6</w:t>
      </w:r>
      <w:r>
        <w:rPr>
          <w:rFonts w:ascii="Times New Roman" w:hAnsi="Times New Roman"/>
          <w:sz w:val="28"/>
          <w:szCs w:val="28"/>
        </w:rPr>
        <w:t>,</w:t>
      </w:r>
      <w:r w:rsidRPr="00473D52">
        <w:rPr>
          <w:rFonts w:ascii="Times New Roman" w:hAnsi="Times New Roman"/>
          <w:sz w:val="28"/>
          <w:szCs w:val="28"/>
        </w:rPr>
        <w:t xml:space="preserve"> ndryshon nenin 8 të ligjit, duke qartësuar dhe forcuar detyrat e Drejtorisë së Ndihmës Juridike Falas. Ndryshimet ndajnë funksionin e mbledhjes dhe analizimit të të dhënave nga funksioni i informimit dhe ndërgjegjësimit të publikut. Drejtorisë i shtohet detyra për të informuar subjektet përfituese mbi të drejtën për ndihmë juridike dhe për të kontribuar në edukimin ligjor të publikut përmes materialeve informuese, fushatave ndërgjegjësuese dhe aktiviteteve në komunitet.</w:t>
      </w:r>
    </w:p>
    <w:p w14:paraId="49265045" w14:textId="35F14BDF" w:rsidR="00473D52" w:rsidRDefault="00473D52" w:rsidP="004C2853">
      <w:pPr>
        <w:spacing w:after="240"/>
        <w:jc w:val="both"/>
        <w:rPr>
          <w:rFonts w:ascii="Times New Roman" w:hAnsi="Times New Roman"/>
          <w:sz w:val="28"/>
          <w:szCs w:val="28"/>
        </w:rPr>
      </w:pPr>
      <w:r w:rsidRPr="00473D52">
        <w:rPr>
          <w:rFonts w:ascii="Times New Roman" w:hAnsi="Times New Roman"/>
          <w:b/>
          <w:sz w:val="28"/>
          <w:szCs w:val="28"/>
        </w:rPr>
        <w:t>Neni 7</w:t>
      </w:r>
      <w:r>
        <w:rPr>
          <w:rFonts w:ascii="Times New Roman" w:hAnsi="Times New Roman"/>
          <w:sz w:val="28"/>
          <w:szCs w:val="28"/>
        </w:rPr>
        <w:t>,</w:t>
      </w:r>
      <w:r w:rsidRPr="00473D52">
        <w:rPr>
          <w:rFonts w:ascii="Times New Roman" w:hAnsi="Times New Roman"/>
          <w:sz w:val="28"/>
          <w:szCs w:val="28"/>
        </w:rPr>
        <w:t xml:space="preserve"> ndryshon nenin 9 të ligjit, duke forcuar rolin e</w:t>
      </w:r>
      <w:r w:rsidR="00820DBB">
        <w:rPr>
          <w:rFonts w:ascii="Times New Roman" w:hAnsi="Times New Roman"/>
          <w:sz w:val="28"/>
          <w:szCs w:val="28"/>
        </w:rPr>
        <w:t xml:space="preserve"> DNJF-së dhe</w:t>
      </w:r>
      <w:r w:rsidRPr="00473D52">
        <w:rPr>
          <w:rFonts w:ascii="Times New Roman" w:hAnsi="Times New Roman"/>
          <w:sz w:val="28"/>
          <w:szCs w:val="28"/>
        </w:rPr>
        <w:t xml:space="preserve"> Dhomës Kombëtare të Avokatisë në përgatitjen dhe organizimin e programeve të trajnimit të vazhdueshëm për avokatët që ofrojnë ndihmë juridike dytësore. Temat dhe aktivitetet trajnuese, sipas fushave të së drejtës dhe kategorive të posaçme përfituese, miratohen me udhëzim të përbashkët të ministrit të Drejtësisë dhe kryetarit të Dhomës Kombëtare të Avokatisë.</w:t>
      </w:r>
    </w:p>
    <w:p w14:paraId="04F8759E" w14:textId="297FF4BE" w:rsidR="00820DBB" w:rsidRDefault="00820DBB" w:rsidP="004C2853">
      <w:pPr>
        <w:spacing w:after="240"/>
        <w:jc w:val="both"/>
        <w:rPr>
          <w:rFonts w:ascii="Times New Roman" w:hAnsi="Times New Roman"/>
          <w:sz w:val="28"/>
          <w:szCs w:val="28"/>
        </w:rPr>
      </w:pPr>
      <w:r w:rsidRPr="00820DBB">
        <w:rPr>
          <w:rFonts w:ascii="Times New Roman" w:hAnsi="Times New Roman"/>
          <w:b/>
          <w:sz w:val="28"/>
          <w:szCs w:val="28"/>
        </w:rPr>
        <w:t>Neni 8</w:t>
      </w:r>
      <w:r>
        <w:rPr>
          <w:rFonts w:ascii="Times New Roman" w:hAnsi="Times New Roman"/>
          <w:sz w:val="28"/>
          <w:szCs w:val="28"/>
        </w:rPr>
        <w:t>,</w:t>
      </w:r>
      <w:r w:rsidRPr="00820DBB">
        <w:rPr>
          <w:rFonts w:ascii="Times New Roman" w:hAnsi="Times New Roman"/>
          <w:sz w:val="28"/>
          <w:szCs w:val="28"/>
        </w:rPr>
        <w:t xml:space="preserve"> shton nenin 9/1, i cili përcakton detyrat e njësive të vetëqeverisjes vendore në sistemin e ndihmës juridike. Këto njësi kontribuojnë në informimin e publikut, vendosjen në dispozicion të dokumentacionit që lidhet me fushën e tyre të përgjegjësisë dhe bashkërendimin ndërmjet shërbimeve sociale dhe institucioneve përgjegjëse për ndihmën juridike.</w:t>
      </w:r>
    </w:p>
    <w:p w14:paraId="2CDCF7FD" w14:textId="559DFED2" w:rsidR="00820DBB" w:rsidRDefault="00681470" w:rsidP="004C2853">
      <w:pPr>
        <w:spacing w:after="240"/>
        <w:jc w:val="both"/>
        <w:rPr>
          <w:rFonts w:ascii="Times New Roman" w:hAnsi="Times New Roman"/>
          <w:sz w:val="28"/>
          <w:szCs w:val="28"/>
        </w:rPr>
      </w:pPr>
      <w:r w:rsidRPr="00681470">
        <w:rPr>
          <w:rFonts w:ascii="Times New Roman" w:hAnsi="Times New Roman"/>
          <w:b/>
          <w:sz w:val="28"/>
          <w:szCs w:val="28"/>
        </w:rPr>
        <w:t>Neni 9</w:t>
      </w:r>
      <w:r>
        <w:rPr>
          <w:rFonts w:ascii="Times New Roman" w:hAnsi="Times New Roman"/>
          <w:sz w:val="28"/>
          <w:szCs w:val="28"/>
        </w:rPr>
        <w:t>,</w:t>
      </w:r>
      <w:r w:rsidRPr="00681470">
        <w:rPr>
          <w:rFonts w:ascii="Times New Roman" w:hAnsi="Times New Roman"/>
          <w:sz w:val="28"/>
          <w:szCs w:val="28"/>
        </w:rPr>
        <w:t xml:space="preserve"> ndryshon nenin 11 të ligjit, duke zgjeruar dhe qartësuar kategoritë e veçanta të përfituesve të ndihmës juridike, pavarësisht të ardhurave dhe pasurisë së tyre. Ndryshimet përfshijnë viktimat e dhunës në familje dhe formave të tjera të dhunës ndaj grave, viktimat e terrorizmit, personat që kërkojnë njohjen e statusit të aftësisë së kufizuar, përfituesit e ndihmës ekonomike, pensionit social dhe skemave të tjera të mbrojtjes sociale, personat e komunitetit rom dhe egjiptian për çështje të dokumentacionit dhe regjistrimit civil, si dhe personat që raportojnë ose bëjnë publik informacion mbi shkelje të së drejtës së Bashkimit Evropian.</w:t>
      </w:r>
    </w:p>
    <w:p w14:paraId="29459CDA" w14:textId="5C7D008C" w:rsidR="00681470" w:rsidRDefault="00681470" w:rsidP="004C2853">
      <w:pPr>
        <w:spacing w:after="240"/>
        <w:jc w:val="both"/>
        <w:rPr>
          <w:rFonts w:ascii="Times New Roman" w:hAnsi="Times New Roman"/>
          <w:sz w:val="28"/>
          <w:szCs w:val="28"/>
        </w:rPr>
      </w:pPr>
      <w:r w:rsidRPr="00681470">
        <w:rPr>
          <w:rFonts w:ascii="Times New Roman" w:hAnsi="Times New Roman"/>
          <w:b/>
          <w:sz w:val="28"/>
          <w:szCs w:val="28"/>
        </w:rPr>
        <w:t>Neni 10</w:t>
      </w:r>
      <w:r>
        <w:rPr>
          <w:rFonts w:ascii="Times New Roman" w:hAnsi="Times New Roman"/>
          <w:sz w:val="28"/>
          <w:szCs w:val="28"/>
        </w:rPr>
        <w:t>,</w:t>
      </w:r>
      <w:r w:rsidRPr="00681470">
        <w:rPr>
          <w:rFonts w:ascii="Times New Roman" w:hAnsi="Times New Roman"/>
          <w:sz w:val="28"/>
          <w:szCs w:val="28"/>
        </w:rPr>
        <w:t xml:space="preserve"> ndryshon nenin 17 të ligjit, duke thjeshtuar procedurën për përfitimin e ndihmës juridike parësore. Kërkesa i drejtohet ofruesve të ndihmës juridike parësore dhe kërkuesi paraqet vetëdeklarim të shoqëruar me dokument identifikimi, ndërsa dokumentacioni justifikues kërkohet vetëm kur ka dyshime të arsyeshme mbi vërtetësinë e vetëdeklarimit. Gjithashtu, thjeshtohet procesverbali i shërbimit, duke u kufizuar në të dhënat e nevojshme për identifikimin e kërkuesit, problematikën e paraqitur dhe shërbimin e ofruar.</w:t>
      </w:r>
    </w:p>
    <w:p w14:paraId="428AEDF3" w14:textId="7F6A96ED" w:rsidR="00681470" w:rsidRDefault="00A65518" w:rsidP="004C2853">
      <w:pPr>
        <w:spacing w:after="240"/>
        <w:jc w:val="both"/>
        <w:rPr>
          <w:rFonts w:ascii="Times New Roman" w:hAnsi="Times New Roman"/>
          <w:sz w:val="28"/>
          <w:szCs w:val="28"/>
        </w:rPr>
      </w:pPr>
      <w:r w:rsidRPr="00A65518">
        <w:rPr>
          <w:rFonts w:ascii="Times New Roman" w:hAnsi="Times New Roman"/>
          <w:b/>
          <w:sz w:val="28"/>
          <w:szCs w:val="28"/>
        </w:rPr>
        <w:lastRenderedPageBreak/>
        <w:t>Neni 11</w:t>
      </w:r>
      <w:r>
        <w:rPr>
          <w:rFonts w:ascii="Times New Roman" w:hAnsi="Times New Roman"/>
          <w:b/>
          <w:sz w:val="28"/>
          <w:szCs w:val="28"/>
        </w:rPr>
        <w:t>,</w:t>
      </w:r>
      <w:r w:rsidRPr="00A65518">
        <w:rPr>
          <w:rFonts w:ascii="Times New Roman" w:hAnsi="Times New Roman"/>
          <w:sz w:val="28"/>
          <w:szCs w:val="28"/>
        </w:rPr>
        <w:t xml:space="preserve"> ndryshon nenin 19 të ligjit, duke parashikuar mundësinë e dhënies së ndihmës juridike dytësore edhe për çështje të ndërlidhura ndërmjet të njëjtave palë. Gjithashtu, për disa kategori përfituese, ndihma juridike dytësore synohet të sigurohet, sa të jetë e mundur, nga i njëjti avokat gjatë fazave paraprake dhe procesit gjyqësor, përfshirë çështjet civile, penale dhe administrative të ndërlidhura.</w:t>
      </w:r>
    </w:p>
    <w:p w14:paraId="136EE936" w14:textId="77777777" w:rsidR="007618BA" w:rsidRDefault="00A65518" w:rsidP="004C2853">
      <w:pPr>
        <w:spacing w:after="240"/>
        <w:jc w:val="both"/>
        <w:rPr>
          <w:rFonts w:ascii="Times New Roman" w:hAnsi="Times New Roman"/>
          <w:sz w:val="28"/>
          <w:szCs w:val="28"/>
        </w:rPr>
      </w:pPr>
      <w:r w:rsidRPr="00A65518">
        <w:rPr>
          <w:rFonts w:ascii="Times New Roman" w:hAnsi="Times New Roman"/>
          <w:b/>
          <w:sz w:val="28"/>
          <w:szCs w:val="28"/>
        </w:rPr>
        <w:t>Neni 12</w:t>
      </w:r>
      <w:r>
        <w:rPr>
          <w:rFonts w:ascii="Times New Roman" w:hAnsi="Times New Roman"/>
          <w:sz w:val="28"/>
          <w:szCs w:val="28"/>
        </w:rPr>
        <w:t>,</w:t>
      </w:r>
      <w:r w:rsidRPr="00A65518">
        <w:rPr>
          <w:rFonts w:ascii="Times New Roman" w:hAnsi="Times New Roman"/>
          <w:sz w:val="28"/>
          <w:szCs w:val="28"/>
        </w:rPr>
        <w:t xml:space="preserve"> ndryshon nenin 20 të ligjit, duke parashikuar shqyrtimin me procedurë të përshpejtuar të kërkesave për ndihmë juridike dytësore në rastet e urdhrave të mbrojtjes, urdhrave të menjëhershëm të mbrojtjes dhe çështjeve të tjera urgjente që lidhen me mbrojtjen e viktimave të dhunës ndaj grave, dhunës në familje, dhunës seksuale, trafikimit, të miturve dhe personave me aftësi të kufizuara. Në këto raste, gjyqtari i caktuar vendos menjëherë për caktimin e avokatit dhe urdhëron njoftimin pa vonesë të tij dhe të përfituesit.</w:t>
      </w:r>
      <w:r w:rsidR="00403088">
        <w:rPr>
          <w:rFonts w:ascii="Times New Roman" w:hAnsi="Times New Roman"/>
          <w:sz w:val="28"/>
          <w:szCs w:val="28"/>
        </w:rPr>
        <w:t xml:space="preserve"> </w:t>
      </w:r>
      <w:r w:rsidR="007618BA" w:rsidRPr="007618BA">
        <w:rPr>
          <w:rFonts w:ascii="Times New Roman" w:hAnsi="Times New Roman"/>
          <w:sz w:val="28"/>
          <w:szCs w:val="28"/>
        </w:rPr>
        <w:t>Kjo dispozitë ka karakter procedural, pasi rregullon mënyrën e shqyrtimit të kërkesës për ndihmë juridike dytësore në raste urgjente, në kuptim të nenit 81, pika 2, shkronja “d”, të Kushtetutës.</w:t>
      </w:r>
    </w:p>
    <w:p w14:paraId="2B7AE5DA" w14:textId="10C5E856" w:rsidR="007618BA" w:rsidRDefault="00A65518" w:rsidP="004C2853">
      <w:pPr>
        <w:spacing w:after="240"/>
        <w:jc w:val="both"/>
        <w:rPr>
          <w:rFonts w:ascii="Times New Roman" w:hAnsi="Times New Roman"/>
          <w:sz w:val="28"/>
          <w:szCs w:val="28"/>
        </w:rPr>
      </w:pPr>
      <w:r w:rsidRPr="00A65518">
        <w:rPr>
          <w:rFonts w:ascii="Times New Roman" w:hAnsi="Times New Roman"/>
          <w:b/>
          <w:sz w:val="28"/>
          <w:szCs w:val="28"/>
        </w:rPr>
        <w:t>Neni 13</w:t>
      </w:r>
      <w:r>
        <w:rPr>
          <w:rFonts w:ascii="Times New Roman" w:hAnsi="Times New Roman"/>
          <w:sz w:val="28"/>
          <w:szCs w:val="28"/>
        </w:rPr>
        <w:t>,</w:t>
      </w:r>
      <w:r w:rsidRPr="00A65518">
        <w:rPr>
          <w:rFonts w:ascii="Times New Roman" w:hAnsi="Times New Roman"/>
          <w:sz w:val="28"/>
          <w:szCs w:val="28"/>
        </w:rPr>
        <w:t xml:space="preserve"> shton nenin 21/1, i cili rregullon procedurën e dhënies së ndihmës juridike dytësore për viktimat në procesin penal. Dispozita parashikon shqyrtimin e menjëhershëm të kërkesës nga organi procedues ose gjykata, caktimin e menjëhershëm të avokatit dhe vijueshmërinë, sa të jetë e mundur, të përfaqësimit nga i njëjti avokat në të gjitha fazat e hetimeve paraprake dhe të procesit gjyqësor.</w:t>
      </w:r>
      <w:r w:rsidR="00403088">
        <w:rPr>
          <w:rFonts w:ascii="Times New Roman" w:hAnsi="Times New Roman"/>
          <w:sz w:val="28"/>
          <w:szCs w:val="28"/>
        </w:rPr>
        <w:t xml:space="preserve"> </w:t>
      </w:r>
      <w:r w:rsidR="007618BA" w:rsidRPr="007618BA">
        <w:rPr>
          <w:rFonts w:ascii="Times New Roman" w:hAnsi="Times New Roman"/>
          <w:sz w:val="28"/>
          <w:szCs w:val="28"/>
        </w:rPr>
        <w:t>Kjo dispozitë ka karakter procedural, pasi përcakton mënyrën e shqyrtimit të kërkesës dhe caktimit të avokatit për viktimat në procesin penal, në kuptim të nenit 81, pika 2, shkronja “d”, të Kushtetutës.</w:t>
      </w:r>
    </w:p>
    <w:p w14:paraId="3D3D7646" w14:textId="61AFAC89" w:rsidR="00A65518" w:rsidRDefault="00A65518" w:rsidP="004C2853">
      <w:pPr>
        <w:spacing w:after="240"/>
        <w:jc w:val="both"/>
        <w:rPr>
          <w:rFonts w:ascii="Times New Roman" w:hAnsi="Times New Roman"/>
          <w:sz w:val="28"/>
          <w:szCs w:val="28"/>
        </w:rPr>
      </w:pPr>
      <w:r w:rsidRPr="00A65518">
        <w:rPr>
          <w:rFonts w:ascii="Times New Roman" w:hAnsi="Times New Roman"/>
          <w:b/>
          <w:sz w:val="28"/>
          <w:szCs w:val="28"/>
        </w:rPr>
        <w:t>Neni 14</w:t>
      </w:r>
      <w:r>
        <w:rPr>
          <w:rFonts w:ascii="Times New Roman" w:hAnsi="Times New Roman"/>
          <w:sz w:val="28"/>
          <w:szCs w:val="28"/>
        </w:rPr>
        <w:t>,</w:t>
      </w:r>
      <w:r w:rsidRPr="00A65518">
        <w:rPr>
          <w:rFonts w:ascii="Times New Roman" w:hAnsi="Times New Roman"/>
          <w:sz w:val="28"/>
          <w:szCs w:val="28"/>
        </w:rPr>
        <w:t xml:space="preserve"> ndryshon nenin 22 të ligjit, duke qartësuar rastet kur gjykata mund të kërkojë plotësimin e dokumentacionit për shkak të pamundësisë financiare të kërkuesit. Gjithashtu, parashikohet detyrimi i Agjencisë Shtetërore të Kadastrës dhe i dhomës vendore të noterisë për të vendosur në dispozicion të gjykatës aktet kadastrale dhe noteriale të nevojshme për shqyrtimin e kërkesës. Neni forcon edhe rolin e </w:t>
      </w:r>
      <w:r>
        <w:rPr>
          <w:rFonts w:ascii="Times New Roman" w:hAnsi="Times New Roman"/>
          <w:sz w:val="28"/>
          <w:szCs w:val="28"/>
        </w:rPr>
        <w:t>DNJF-së</w:t>
      </w:r>
      <w:r w:rsidRPr="00A65518">
        <w:rPr>
          <w:rFonts w:ascii="Times New Roman" w:hAnsi="Times New Roman"/>
          <w:sz w:val="28"/>
          <w:szCs w:val="28"/>
        </w:rPr>
        <w:t>, duke i njohur të drejtën për të ankimuar vendimet e pranimit të kërkesës kur ato janë në kundërshtim me kriteret ligjore ose kur kërkesa është haptazi e pabazuar apo abuzive, si dhe të kërkojë sqarimin, plotësimin ose ndreqjen e vendimit në pjesën që lidhet me efektet financiare.</w:t>
      </w:r>
    </w:p>
    <w:p w14:paraId="5E955631" w14:textId="77777777" w:rsidR="007618BA" w:rsidRDefault="00A65518" w:rsidP="004C2853">
      <w:pPr>
        <w:spacing w:after="240"/>
        <w:jc w:val="both"/>
        <w:rPr>
          <w:rFonts w:ascii="Times New Roman" w:hAnsi="Times New Roman"/>
          <w:sz w:val="28"/>
          <w:szCs w:val="28"/>
        </w:rPr>
      </w:pPr>
      <w:r w:rsidRPr="00A65518">
        <w:rPr>
          <w:rFonts w:ascii="Times New Roman" w:hAnsi="Times New Roman"/>
          <w:b/>
          <w:sz w:val="28"/>
          <w:szCs w:val="28"/>
        </w:rPr>
        <w:t>Neni 15</w:t>
      </w:r>
      <w:r>
        <w:rPr>
          <w:rFonts w:ascii="Times New Roman" w:hAnsi="Times New Roman"/>
          <w:b/>
          <w:sz w:val="28"/>
          <w:szCs w:val="28"/>
        </w:rPr>
        <w:t>,</w:t>
      </w:r>
      <w:r w:rsidRPr="00A65518">
        <w:rPr>
          <w:rFonts w:ascii="Times New Roman" w:hAnsi="Times New Roman"/>
          <w:sz w:val="28"/>
          <w:szCs w:val="28"/>
        </w:rPr>
        <w:t xml:space="preserve"> shton nenin 22/1, i cili parashikon procedurën e përshpejtuar për dhënien e ndihmës juridike dytësore në rastet emergjente. Procedura zbatohet për viktimat </w:t>
      </w:r>
      <w:r w:rsidRPr="00A65518">
        <w:rPr>
          <w:rFonts w:ascii="Times New Roman" w:hAnsi="Times New Roman"/>
          <w:sz w:val="28"/>
          <w:szCs w:val="28"/>
        </w:rPr>
        <w:lastRenderedPageBreak/>
        <w:t>e dhunës ndaj grave dhe dhunës në familje, viktimat e dhunës seksuale, viktimat e trafikimit, viktimat e terrorizmit, të miturit dhe personat me aftësi të kufizuara, kur kërkohet mbrojtje e menjëhershme ose ndërhyrje urgjente. Dispozita përcakton mënyrën e paraqitjes së formularit, caktimin e menjëhershëm të avokatit, njoftimin e palëve dhe miratimin e formularit dhe formatit standard të vendimit me aktet përkatëse nënligjore.</w:t>
      </w:r>
      <w:r w:rsidR="00403088">
        <w:rPr>
          <w:rFonts w:ascii="Times New Roman" w:hAnsi="Times New Roman"/>
          <w:sz w:val="28"/>
          <w:szCs w:val="28"/>
        </w:rPr>
        <w:t xml:space="preserve"> </w:t>
      </w:r>
      <w:r w:rsidR="007618BA" w:rsidRPr="007618BA">
        <w:rPr>
          <w:rFonts w:ascii="Times New Roman" w:hAnsi="Times New Roman"/>
          <w:sz w:val="28"/>
          <w:szCs w:val="28"/>
        </w:rPr>
        <w:t>Kjo dispozitë ka karakter procedural, pasi përcakton hapat, afatet dhe mënyrën e dhënies së ndihmës juridike dytësore në rastet emergjente, në kuptim të nenit 81, pika 2, shkronja “d”, të Kushtetutës.</w:t>
      </w:r>
    </w:p>
    <w:p w14:paraId="779F78A1" w14:textId="0DE3287F" w:rsidR="00820DBB" w:rsidRDefault="00A65518" w:rsidP="004C2853">
      <w:pPr>
        <w:spacing w:after="240"/>
        <w:jc w:val="both"/>
        <w:rPr>
          <w:rFonts w:ascii="Times New Roman" w:hAnsi="Times New Roman"/>
          <w:sz w:val="28"/>
          <w:szCs w:val="28"/>
        </w:rPr>
      </w:pPr>
      <w:r w:rsidRPr="00A65518">
        <w:rPr>
          <w:rFonts w:ascii="Times New Roman" w:hAnsi="Times New Roman"/>
          <w:b/>
          <w:sz w:val="28"/>
          <w:szCs w:val="28"/>
        </w:rPr>
        <w:t>Neni 16</w:t>
      </w:r>
      <w:r>
        <w:rPr>
          <w:rFonts w:ascii="Times New Roman" w:hAnsi="Times New Roman"/>
          <w:sz w:val="28"/>
          <w:szCs w:val="28"/>
        </w:rPr>
        <w:t>,</w:t>
      </w:r>
      <w:r w:rsidRPr="00A65518">
        <w:rPr>
          <w:rFonts w:ascii="Times New Roman" w:hAnsi="Times New Roman"/>
          <w:sz w:val="28"/>
          <w:szCs w:val="28"/>
        </w:rPr>
        <w:t xml:space="preserve"> ndryshon nenin 24 të ligjit, duke forcuar kërkesat për specializimin dhe trajnimin e avokatëve që ofrojnë ndihmë juridike dytësore. </w:t>
      </w:r>
      <w:r>
        <w:rPr>
          <w:rFonts w:ascii="Times New Roman" w:hAnsi="Times New Roman"/>
          <w:sz w:val="28"/>
          <w:szCs w:val="28"/>
        </w:rPr>
        <w:t>Në këtë dispozitë</w:t>
      </w:r>
      <w:r w:rsidRPr="00A65518">
        <w:rPr>
          <w:rFonts w:ascii="Times New Roman" w:hAnsi="Times New Roman"/>
          <w:sz w:val="28"/>
          <w:szCs w:val="28"/>
        </w:rPr>
        <w:t>, parashikohet e drejta e përfituesit për të zgjedhur avokatin nga lista e avokatëve që ofrojnë këtë shërbim. Kur përfituesi nuk e ushtron këtë të drejtë, avokati i zgjedhur nuk pranon, ndodhet në pamundësi ose ekzistojnë shkaqe të tjera që pengojnë përfaqësimin, dhoma vendore e avokatisë cakton avokatin sipas parimit të rotacionit. Neni zgjeron edhe rastet e zëvendësimit të avokatit dhe parashikon vijueshmërinë e përfaqësimit nga i njëjti avokat, kur natyra e çështjes e kërkon.</w:t>
      </w:r>
    </w:p>
    <w:p w14:paraId="1B740F46" w14:textId="61119EB0" w:rsidR="00A65518" w:rsidRDefault="00571BEB" w:rsidP="004C2853">
      <w:pPr>
        <w:spacing w:after="240"/>
        <w:jc w:val="both"/>
        <w:rPr>
          <w:rFonts w:ascii="Times New Roman" w:hAnsi="Times New Roman"/>
          <w:sz w:val="28"/>
          <w:szCs w:val="28"/>
        </w:rPr>
      </w:pPr>
      <w:r w:rsidRPr="00571BEB">
        <w:rPr>
          <w:rFonts w:ascii="Times New Roman" w:hAnsi="Times New Roman"/>
          <w:b/>
          <w:sz w:val="28"/>
          <w:szCs w:val="28"/>
        </w:rPr>
        <w:t>Neni 17</w:t>
      </w:r>
      <w:r>
        <w:rPr>
          <w:rFonts w:ascii="Times New Roman" w:hAnsi="Times New Roman"/>
          <w:sz w:val="28"/>
          <w:szCs w:val="28"/>
        </w:rPr>
        <w:t>,</w:t>
      </w:r>
      <w:r w:rsidRPr="00571BEB">
        <w:rPr>
          <w:rFonts w:ascii="Times New Roman" w:hAnsi="Times New Roman"/>
          <w:sz w:val="28"/>
          <w:szCs w:val="28"/>
        </w:rPr>
        <w:t xml:space="preserve"> ndryshon nenin 25 të ligjit, duke zgjeruar përjashtimet nga pagesat dhe shpenzimet për personat që përfitojnë ndihmë juridike dytësore. Përveç shpenzimeve gjyqësore, parashikohen edhe tarifat kadastrale dhe noteriale, shpenzimet përmbarimore dhe shpenzimet e tjera të domosdoshme që lidhen me fazën e ekzekutimit të vendimit gjyqësor.</w:t>
      </w:r>
    </w:p>
    <w:p w14:paraId="7C01B6DA" w14:textId="688C901E" w:rsidR="00571BEB" w:rsidRDefault="00427A30" w:rsidP="004C2853">
      <w:pPr>
        <w:spacing w:after="240"/>
        <w:jc w:val="both"/>
        <w:rPr>
          <w:rFonts w:ascii="Times New Roman" w:hAnsi="Times New Roman"/>
          <w:sz w:val="28"/>
          <w:szCs w:val="28"/>
        </w:rPr>
      </w:pPr>
      <w:r w:rsidRPr="00427A30">
        <w:rPr>
          <w:rFonts w:ascii="Times New Roman" w:hAnsi="Times New Roman"/>
          <w:b/>
          <w:sz w:val="28"/>
          <w:szCs w:val="28"/>
        </w:rPr>
        <w:t>Neni 18</w:t>
      </w:r>
      <w:r>
        <w:rPr>
          <w:rFonts w:ascii="Times New Roman" w:hAnsi="Times New Roman"/>
          <w:sz w:val="28"/>
          <w:szCs w:val="28"/>
        </w:rPr>
        <w:t>,</w:t>
      </w:r>
      <w:r w:rsidRPr="00427A30">
        <w:rPr>
          <w:rFonts w:ascii="Times New Roman" w:hAnsi="Times New Roman"/>
          <w:sz w:val="28"/>
          <w:szCs w:val="28"/>
        </w:rPr>
        <w:t xml:space="preserve"> ndryshon nenin 29 të ligjit, duke parashikuar se personat që përfitojnë ndihmë juridike dytësore kanë të drejtë të mos parapaguajnë tarifën e vënies në ekzekutim të urdhrit të ekzekutimit dhe përjashtohen nga tarifat e tjera të domosdoshme gjatë ekzekutimit të vendimit, kur prania e ekspertit është e detyrueshme sipas legjislacionit në fuqi.</w:t>
      </w:r>
    </w:p>
    <w:p w14:paraId="7381D072" w14:textId="35920BF4" w:rsidR="00A36AAB" w:rsidRDefault="00A36AAB" w:rsidP="004C2853">
      <w:pPr>
        <w:spacing w:after="240"/>
        <w:jc w:val="both"/>
        <w:rPr>
          <w:rFonts w:ascii="Times New Roman" w:hAnsi="Times New Roman"/>
          <w:sz w:val="28"/>
          <w:szCs w:val="28"/>
        </w:rPr>
      </w:pPr>
      <w:r w:rsidRPr="00A36AAB">
        <w:rPr>
          <w:rFonts w:ascii="Times New Roman" w:hAnsi="Times New Roman"/>
          <w:b/>
          <w:sz w:val="28"/>
          <w:szCs w:val="28"/>
        </w:rPr>
        <w:t>Neni 19</w:t>
      </w:r>
      <w:r>
        <w:rPr>
          <w:rFonts w:ascii="Times New Roman" w:hAnsi="Times New Roman"/>
          <w:sz w:val="28"/>
          <w:szCs w:val="28"/>
        </w:rPr>
        <w:t>,</w:t>
      </w:r>
      <w:r w:rsidRPr="00A36AAB">
        <w:rPr>
          <w:rFonts w:ascii="Times New Roman" w:hAnsi="Times New Roman"/>
          <w:sz w:val="28"/>
          <w:szCs w:val="28"/>
        </w:rPr>
        <w:t xml:space="preserve"> ndryshon nenin 31 të ligjit, duke rregulluar rastet e kthimit të përfitimeve kur provohet se ndihma juridike ose përjashtimi nga tarifat dhe shpenzimet është përfituar përmes deklarimeve të rreme, dokumenteve të falsifikuara ose formave të tjera të abuzimit. Në këto raste, </w:t>
      </w:r>
      <w:r>
        <w:rPr>
          <w:rFonts w:ascii="Times New Roman" w:hAnsi="Times New Roman"/>
          <w:sz w:val="28"/>
          <w:szCs w:val="28"/>
        </w:rPr>
        <w:t>DNJF-ja</w:t>
      </w:r>
      <w:r w:rsidRPr="00A36AAB">
        <w:rPr>
          <w:rFonts w:ascii="Times New Roman" w:hAnsi="Times New Roman"/>
          <w:sz w:val="28"/>
          <w:szCs w:val="28"/>
        </w:rPr>
        <w:t xml:space="preserve"> kërkon kthimin e shpenzimeve të kryera dhe, në rast mosekzekutimi vullnetar, paraqet kërkesëpadi në gjykatë. Gjithashtu, afati për paraqitjen e kërkesëpadisë nga përfituesi pas pranimit të kërkesës për ndihmë juridike dytësore zgjatet nga tre në gjashtë muaj.</w:t>
      </w:r>
    </w:p>
    <w:p w14:paraId="3EE15BFE" w14:textId="374C1ABE" w:rsidR="00060F97" w:rsidRDefault="00060F97" w:rsidP="004C2853">
      <w:pPr>
        <w:spacing w:after="240"/>
        <w:jc w:val="both"/>
        <w:rPr>
          <w:rFonts w:ascii="Times New Roman" w:hAnsi="Times New Roman"/>
          <w:sz w:val="28"/>
          <w:szCs w:val="28"/>
        </w:rPr>
      </w:pPr>
      <w:r w:rsidRPr="00060F97">
        <w:rPr>
          <w:rFonts w:ascii="Times New Roman" w:hAnsi="Times New Roman"/>
          <w:b/>
          <w:sz w:val="28"/>
          <w:szCs w:val="28"/>
        </w:rPr>
        <w:lastRenderedPageBreak/>
        <w:t>Neni 20</w:t>
      </w:r>
      <w:r>
        <w:rPr>
          <w:rFonts w:ascii="Times New Roman" w:hAnsi="Times New Roman"/>
          <w:sz w:val="28"/>
          <w:szCs w:val="28"/>
        </w:rPr>
        <w:t>,</w:t>
      </w:r>
      <w:r w:rsidRPr="00060F97">
        <w:rPr>
          <w:rFonts w:ascii="Times New Roman" w:hAnsi="Times New Roman"/>
          <w:sz w:val="28"/>
          <w:szCs w:val="28"/>
        </w:rPr>
        <w:t xml:space="preserve"> përcakton aktet nënligjore që duhet të miratohen për zbatimin e projektligjit. </w:t>
      </w:r>
    </w:p>
    <w:p w14:paraId="7DAACC47" w14:textId="60C222CC" w:rsidR="00060F97" w:rsidRDefault="00060F97" w:rsidP="00797116">
      <w:pPr>
        <w:spacing w:after="0"/>
        <w:jc w:val="both"/>
        <w:rPr>
          <w:rFonts w:ascii="Times New Roman" w:hAnsi="Times New Roman"/>
          <w:sz w:val="28"/>
          <w:szCs w:val="28"/>
        </w:rPr>
      </w:pPr>
      <w:r w:rsidRPr="00060F97">
        <w:rPr>
          <w:rFonts w:ascii="Times New Roman" w:hAnsi="Times New Roman"/>
          <w:b/>
          <w:sz w:val="28"/>
          <w:szCs w:val="28"/>
        </w:rPr>
        <w:t>Neni 21</w:t>
      </w:r>
      <w:r>
        <w:rPr>
          <w:rFonts w:ascii="Times New Roman" w:hAnsi="Times New Roman"/>
          <w:b/>
          <w:sz w:val="28"/>
          <w:szCs w:val="28"/>
        </w:rPr>
        <w:t>,</w:t>
      </w:r>
      <w:r w:rsidRPr="00060F97">
        <w:rPr>
          <w:rFonts w:ascii="Times New Roman" w:hAnsi="Times New Roman"/>
          <w:sz w:val="28"/>
          <w:szCs w:val="28"/>
        </w:rPr>
        <w:t xml:space="preserve"> parashikon hyrjen në fuqi të ligjit 15 ditë pas botimit në “Fletoren zyrtare”, ndërsa efektet e tij fillojnë nga data 1 janar 2027.</w:t>
      </w:r>
    </w:p>
    <w:p w14:paraId="12BDC8E0" w14:textId="77777777" w:rsidR="00797116" w:rsidRDefault="00797116" w:rsidP="00797116">
      <w:pPr>
        <w:spacing w:after="0"/>
        <w:jc w:val="both"/>
        <w:rPr>
          <w:rFonts w:ascii="Times New Roman" w:hAnsi="Times New Roman"/>
          <w:sz w:val="28"/>
          <w:szCs w:val="28"/>
        </w:rPr>
      </w:pPr>
    </w:p>
    <w:p w14:paraId="5A1148B1" w14:textId="4AED37A3" w:rsidR="00F9548F" w:rsidRDefault="00F9548F" w:rsidP="00797116">
      <w:pPr>
        <w:spacing w:after="0"/>
        <w:jc w:val="both"/>
        <w:rPr>
          <w:rFonts w:ascii="Times New Roman" w:hAnsi="Times New Roman"/>
          <w:b/>
          <w:color w:val="000000"/>
          <w:sz w:val="28"/>
          <w:szCs w:val="28"/>
        </w:rPr>
      </w:pPr>
      <w:r w:rsidRPr="00FD0B8D">
        <w:rPr>
          <w:rFonts w:ascii="Times New Roman" w:hAnsi="Times New Roman"/>
          <w:b/>
          <w:color w:val="000000"/>
          <w:sz w:val="28"/>
          <w:szCs w:val="28"/>
        </w:rPr>
        <w:t>VII.</w:t>
      </w:r>
      <w:r w:rsidRPr="00FD0B8D">
        <w:rPr>
          <w:rFonts w:ascii="Times New Roman" w:hAnsi="Times New Roman"/>
          <w:b/>
          <w:color w:val="000000"/>
          <w:sz w:val="28"/>
          <w:szCs w:val="28"/>
        </w:rPr>
        <w:tab/>
        <w:t>MINISTRITË, INSTITUCIONET DHE SUBJEKTET E TJERA QË KANË KONTRIBUAR NË HARTIMIN E PROJEKTAKTIT</w:t>
      </w:r>
    </w:p>
    <w:p w14:paraId="097C48F3" w14:textId="77777777" w:rsidR="00797116" w:rsidRPr="00FD0B8D" w:rsidRDefault="00797116" w:rsidP="00797116">
      <w:pPr>
        <w:spacing w:after="0"/>
        <w:jc w:val="both"/>
        <w:rPr>
          <w:rFonts w:ascii="Times New Roman" w:hAnsi="Times New Roman"/>
          <w:b/>
          <w:color w:val="000000"/>
          <w:sz w:val="28"/>
          <w:szCs w:val="28"/>
        </w:rPr>
      </w:pPr>
    </w:p>
    <w:p w14:paraId="4D75B536" w14:textId="71CDF238" w:rsidR="008721A7" w:rsidRDefault="00A6114C" w:rsidP="00797116">
      <w:pPr>
        <w:spacing w:after="0"/>
        <w:jc w:val="both"/>
        <w:rPr>
          <w:rFonts w:ascii="Times New Roman" w:hAnsi="Times New Roman"/>
          <w:sz w:val="28"/>
          <w:szCs w:val="28"/>
        </w:rPr>
      </w:pPr>
      <w:r w:rsidRPr="00FD0B8D">
        <w:rPr>
          <w:rFonts w:ascii="Times New Roman" w:hAnsi="Times New Roman"/>
          <w:sz w:val="28"/>
          <w:szCs w:val="28"/>
        </w:rPr>
        <w:t>Projektligji është hartuar nga Ministria e Drejtësisë</w:t>
      </w:r>
      <w:r w:rsidR="00271244">
        <w:rPr>
          <w:rFonts w:ascii="Times New Roman" w:hAnsi="Times New Roman"/>
          <w:sz w:val="28"/>
          <w:szCs w:val="28"/>
        </w:rPr>
        <w:t xml:space="preserve">, pas propozimeve të </w:t>
      </w:r>
      <w:r w:rsidR="00403088" w:rsidRPr="00403088">
        <w:rPr>
          <w:rFonts w:ascii="Times New Roman" w:hAnsi="Times New Roman"/>
          <w:sz w:val="28"/>
          <w:szCs w:val="28"/>
        </w:rPr>
        <w:t>Drejtorisë së Ndihmës Juridike Falas</w:t>
      </w:r>
      <w:r w:rsidR="00A517B7">
        <w:rPr>
          <w:rFonts w:ascii="Times New Roman" w:hAnsi="Times New Roman"/>
          <w:sz w:val="28"/>
          <w:szCs w:val="28"/>
        </w:rPr>
        <w:t>, e cila është asistuar nga UNDP</w:t>
      </w:r>
      <w:r w:rsidR="00271244">
        <w:rPr>
          <w:rFonts w:ascii="Times New Roman" w:hAnsi="Times New Roman"/>
          <w:sz w:val="28"/>
          <w:szCs w:val="28"/>
        </w:rPr>
        <w:t>.</w:t>
      </w:r>
    </w:p>
    <w:p w14:paraId="04D24542" w14:textId="77777777" w:rsidR="00797116" w:rsidRPr="00FD0B8D" w:rsidRDefault="00797116" w:rsidP="00797116">
      <w:pPr>
        <w:spacing w:after="0"/>
        <w:jc w:val="both"/>
        <w:rPr>
          <w:rFonts w:ascii="Times New Roman" w:hAnsi="Times New Roman"/>
          <w:sz w:val="28"/>
          <w:szCs w:val="28"/>
        </w:rPr>
      </w:pPr>
    </w:p>
    <w:p w14:paraId="4F8C2FAF" w14:textId="165BA9E3" w:rsidR="00F9548F" w:rsidRDefault="00F9548F" w:rsidP="00797116">
      <w:pPr>
        <w:tabs>
          <w:tab w:val="left" w:pos="7155"/>
        </w:tabs>
        <w:spacing w:after="0"/>
        <w:jc w:val="both"/>
        <w:rPr>
          <w:rFonts w:ascii="Times New Roman" w:hAnsi="Times New Roman"/>
          <w:b/>
          <w:color w:val="000000"/>
          <w:sz w:val="28"/>
          <w:szCs w:val="28"/>
        </w:rPr>
      </w:pPr>
      <w:r w:rsidRPr="00FD0B8D">
        <w:rPr>
          <w:rFonts w:ascii="Times New Roman" w:hAnsi="Times New Roman"/>
          <w:b/>
          <w:color w:val="000000"/>
          <w:sz w:val="28"/>
          <w:szCs w:val="28"/>
        </w:rPr>
        <w:t>VIII. INSTITUCIONET DHE ORGANET QË NGARKOHEN PËR ZBATIMIN E AKTIT</w:t>
      </w:r>
    </w:p>
    <w:p w14:paraId="559115F9" w14:textId="77777777" w:rsidR="00797116" w:rsidRPr="00FD0B8D" w:rsidRDefault="00797116" w:rsidP="00797116">
      <w:pPr>
        <w:tabs>
          <w:tab w:val="left" w:pos="7155"/>
        </w:tabs>
        <w:spacing w:after="0"/>
        <w:jc w:val="both"/>
        <w:rPr>
          <w:rFonts w:ascii="Times New Roman" w:hAnsi="Times New Roman"/>
          <w:b/>
          <w:color w:val="000000"/>
          <w:sz w:val="28"/>
          <w:szCs w:val="28"/>
        </w:rPr>
      </w:pPr>
    </w:p>
    <w:p w14:paraId="1B3AD76F" w14:textId="73941A53" w:rsidR="00060F97" w:rsidRDefault="00060F97" w:rsidP="00797116">
      <w:pPr>
        <w:spacing w:after="0"/>
        <w:jc w:val="both"/>
        <w:rPr>
          <w:rFonts w:ascii="Times New Roman" w:hAnsi="Times New Roman"/>
          <w:sz w:val="28"/>
          <w:szCs w:val="28"/>
        </w:rPr>
      </w:pPr>
      <w:r>
        <w:rPr>
          <w:rFonts w:ascii="Times New Roman" w:hAnsi="Times New Roman"/>
          <w:sz w:val="28"/>
          <w:szCs w:val="28"/>
        </w:rPr>
        <w:t xml:space="preserve">Ministria e Drejtësisë, </w:t>
      </w:r>
      <w:r w:rsidRPr="00060F97">
        <w:rPr>
          <w:rFonts w:ascii="Times New Roman" w:hAnsi="Times New Roman"/>
          <w:sz w:val="28"/>
          <w:szCs w:val="28"/>
        </w:rPr>
        <w:t xml:space="preserve">Drejtoria e Ndihmës Juridike Falas, Dhoma Kombëtare e Avokatisë dhe </w:t>
      </w:r>
      <w:r>
        <w:rPr>
          <w:rFonts w:ascii="Times New Roman" w:hAnsi="Times New Roman"/>
          <w:sz w:val="28"/>
          <w:szCs w:val="28"/>
        </w:rPr>
        <w:t>organet ligjzbatuese</w:t>
      </w:r>
      <w:r w:rsidRPr="00060F97">
        <w:rPr>
          <w:rFonts w:ascii="Times New Roman" w:hAnsi="Times New Roman"/>
          <w:sz w:val="28"/>
          <w:szCs w:val="28"/>
        </w:rPr>
        <w:t>.</w:t>
      </w:r>
    </w:p>
    <w:p w14:paraId="13C2D4CC" w14:textId="77777777" w:rsidR="00797116" w:rsidRDefault="00797116" w:rsidP="00797116">
      <w:pPr>
        <w:spacing w:after="0"/>
        <w:jc w:val="both"/>
        <w:rPr>
          <w:rFonts w:ascii="Times New Roman" w:hAnsi="Times New Roman"/>
          <w:sz w:val="28"/>
          <w:szCs w:val="28"/>
        </w:rPr>
      </w:pPr>
    </w:p>
    <w:p w14:paraId="4D0C3DD7" w14:textId="77777777" w:rsidR="00F9548F" w:rsidRPr="00FD0B8D" w:rsidRDefault="00F9548F" w:rsidP="004C2853">
      <w:pPr>
        <w:spacing w:after="0"/>
        <w:jc w:val="both"/>
        <w:rPr>
          <w:rFonts w:ascii="Times New Roman" w:hAnsi="Times New Roman"/>
          <w:b/>
          <w:color w:val="000000"/>
          <w:sz w:val="28"/>
          <w:szCs w:val="28"/>
        </w:rPr>
      </w:pPr>
      <w:r w:rsidRPr="00FD0B8D">
        <w:rPr>
          <w:rFonts w:ascii="Times New Roman" w:hAnsi="Times New Roman"/>
          <w:b/>
          <w:color w:val="000000"/>
          <w:sz w:val="28"/>
          <w:szCs w:val="28"/>
        </w:rPr>
        <w:t>IX.</w:t>
      </w:r>
      <w:r w:rsidRPr="00FD0B8D">
        <w:rPr>
          <w:rFonts w:ascii="Times New Roman" w:hAnsi="Times New Roman"/>
          <w:b/>
          <w:color w:val="000000"/>
          <w:sz w:val="28"/>
          <w:szCs w:val="28"/>
        </w:rPr>
        <w:tab/>
        <w:t>RAPORTI I VLERËSIMIT TË TË ARDHURAVE DHE SHPENZIMEVE BUXHETORE</w:t>
      </w:r>
    </w:p>
    <w:p w14:paraId="69AD3360" w14:textId="77777777" w:rsidR="00F9548F" w:rsidRPr="00FD0B8D" w:rsidRDefault="00F9548F" w:rsidP="004C2853">
      <w:pPr>
        <w:spacing w:after="0"/>
        <w:jc w:val="both"/>
        <w:rPr>
          <w:rFonts w:ascii="Times New Roman" w:hAnsi="Times New Roman"/>
          <w:b/>
          <w:color w:val="000000"/>
          <w:sz w:val="28"/>
          <w:szCs w:val="28"/>
        </w:rPr>
      </w:pPr>
    </w:p>
    <w:p w14:paraId="3D97A4BB" w14:textId="346A464A" w:rsidR="00CD152F" w:rsidRPr="00CD152F" w:rsidRDefault="00CD152F" w:rsidP="00882527">
      <w:pPr>
        <w:widowControl w:val="0"/>
        <w:tabs>
          <w:tab w:val="left" w:pos="284"/>
          <w:tab w:val="left" w:pos="974"/>
        </w:tabs>
        <w:autoSpaceDE w:val="0"/>
        <w:autoSpaceDN w:val="0"/>
        <w:adjustRightInd w:val="0"/>
        <w:spacing w:after="0"/>
        <w:ind w:right="10"/>
        <w:contextualSpacing/>
        <w:jc w:val="both"/>
        <w:rPr>
          <w:rFonts w:ascii="Times New Roman" w:hAnsi="Times New Roman"/>
          <w:bCs/>
          <w:sz w:val="28"/>
          <w:szCs w:val="28"/>
        </w:rPr>
      </w:pPr>
      <w:r w:rsidRPr="00CD152F">
        <w:rPr>
          <w:rFonts w:ascii="Times New Roman" w:hAnsi="Times New Roman"/>
          <w:bCs/>
          <w:sz w:val="28"/>
          <w:szCs w:val="28"/>
        </w:rPr>
        <w:t xml:space="preserve">Zbatimi i këtij projektligji nuk pritet të sjellë ndikim shtesë në buxhetin e shtetit përtej fondeve të miratuara për programin e Ndihmës Juridike Falas në ligjin nr. 87/2025 “Për Buxhetin e Vitit 2026” dhe në </w:t>
      </w:r>
      <w:r w:rsidR="00286C26" w:rsidRPr="00CD152F">
        <w:rPr>
          <w:rFonts w:ascii="Times New Roman" w:hAnsi="Times New Roman"/>
          <w:bCs/>
          <w:sz w:val="28"/>
          <w:szCs w:val="28"/>
        </w:rPr>
        <w:t xml:space="preserve">vendimin </w:t>
      </w:r>
      <w:r w:rsidR="00286C26" w:rsidRPr="00CD152F">
        <w:rPr>
          <w:rFonts w:ascii="Times New Roman" w:hAnsi="Times New Roman"/>
          <w:bCs/>
          <w:sz w:val="28"/>
          <w:szCs w:val="28"/>
        </w:rPr>
        <w:t>nr. 162, datë 19.03.202</w:t>
      </w:r>
      <w:r w:rsidR="00506A71">
        <w:rPr>
          <w:rFonts w:ascii="Times New Roman" w:hAnsi="Times New Roman"/>
          <w:bCs/>
          <w:sz w:val="28"/>
          <w:szCs w:val="28"/>
        </w:rPr>
        <w:t>6</w:t>
      </w:r>
      <w:r w:rsidR="00286C26">
        <w:rPr>
          <w:rFonts w:ascii="Times New Roman" w:hAnsi="Times New Roman"/>
          <w:bCs/>
          <w:sz w:val="28"/>
          <w:szCs w:val="28"/>
        </w:rPr>
        <w:t>, të</w:t>
      </w:r>
      <w:r w:rsidRPr="00CD152F">
        <w:rPr>
          <w:rFonts w:ascii="Times New Roman" w:hAnsi="Times New Roman"/>
          <w:bCs/>
          <w:sz w:val="28"/>
          <w:szCs w:val="28"/>
        </w:rPr>
        <w:t xml:space="preserve"> Këshillit të Ministrave, “Për tavanet përgatitore të shpenzimeve të Programit Buxhetor Afatmesëm 2027–2029”. Kostoja e vlerësuar në </w:t>
      </w:r>
      <w:r w:rsidR="00E66C78">
        <w:rPr>
          <w:rFonts w:ascii="Times New Roman" w:hAnsi="Times New Roman"/>
          <w:bCs/>
          <w:sz w:val="28"/>
          <w:szCs w:val="28"/>
        </w:rPr>
        <w:t>rreth</w:t>
      </w:r>
      <w:r w:rsidRPr="00CD152F">
        <w:rPr>
          <w:rFonts w:ascii="Times New Roman" w:hAnsi="Times New Roman"/>
          <w:bCs/>
          <w:sz w:val="28"/>
          <w:szCs w:val="28"/>
        </w:rPr>
        <w:t xml:space="preserve"> 1</w:t>
      </w:r>
      <w:r w:rsidR="00B755B4">
        <w:rPr>
          <w:rFonts w:ascii="Times New Roman" w:hAnsi="Times New Roman"/>
          <w:bCs/>
          <w:sz w:val="28"/>
          <w:szCs w:val="28"/>
        </w:rPr>
        <w:t>9</w:t>
      </w:r>
      <w:r w:rsidRPr="00CD152F">
        <w:rPr>
          <w:rFonts w:ascii="Times New Roman" w:hAnsi="Times New Roman"/>
          <w:bCs/>
          <w:sz w:val="28"/>
          <w:szCs w:val="28"/>
        </w:rPr>
        <w:t>,000,000 lekë</w:t>
      </w:r>
      <w:r w:rsidR="00660520">
        <w:rPr>
          <w:rFonts w:ascii="Times New Roman" w:hAnsi="Times New Roman"/>
          <w:bCs/>
          <w:sz w:val="28"/>
          <w:szCs w:val="28"/>
        </w:rPr>
        <w:t xml:space="preserve"> në vit</w:t>
      </w:r>
      <w:r w:rsidRPr="00CD152F">
        <w:rPr>
          <w:rFonts w:ascii="Times New Roman" w:hAnsi="Times New Roman"/>
          <w:bCs/>
          <w:sz w:val="28"/>
          <w:szCs w:val="28"/>
        </w:rPr>
        <w:t>, që rrjedh nga zgjerimi i kategorive përfituese, do të përballohet brenda fondeve të miratuara për programin e Ndihmës Juridike Falas. Gjithashtu, miratimi i akteve nënligjore parashikohet të kontribuojë në përdorimin më efikas të burimeve financiare dhe administrative, nëpërmjet standardizimit të procedurave dhe forcimit të mekanizmave të koordinimit institucional.</w:t>
      </w:r>
    </w:p>
    <w:p w14:paraId="5B40C239" w14:textId="77777777" w:rsidR="00882527" w:rsidRDefault="00882527" w:rsidP="004C2853">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5CF6CDD9" w14:textId="6E5B4F5D" w:rsidR="00F9548F" w:rsidRPr="00FD0B8D" w:rsidRDefault="00F9548F" w:rsidP="004C2853">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r w:rsidRPr="00FD0B8D">
        <w:rPr>
          <w:rFonts w:ascii="Times New Roman" w:eastAsia="Times New Roman" w:hAnsi="Times New Roman"/>
          <w:b/>
          <w:bCs/>
          <w:color w:val="000000"/>
          <w:sz w:val="28"/>
          <w:szCs w:val="28"/>
        </w:rPr>
        <w:t>MINISTRI</w:t>
      </w:r>
    </w:p>
    <w:p w14:paraId="5C28D97E" w14:textId="77777777" w:rsidR="00272A28" w:rsidRPr="00FD0B8D" w:rsidRDefault="00272A28" w:rsidP="004C2853">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bookmarkEnd w:id="0"/>
    <w:p w14:paraId="262C9A48" w14:textId="00FAC863" w:rsidR="004D5949" w:rsidRPr="00FD0B8D" w:rsidRDefault="00AE4BE1" w:rsidP="004C2853">
      <w:pPr>
        <w:spacing w:after="0"/>
        <w:jc w:val="center"/>
        <w:rPr>
          <w:rFonts w:ascii="Times New Roman" w:hAnsi="Times New Roman"/>
          <w:sz w:val="28"/>
          <w:szCs w:val="28"/>
        </w:rPr>
      </w:pPr>
      <w:r>
        <w:rPr>
          <w:rFonts w:ascii="Times New Roman" w:eastAsia="Times New Roman" w:hAnsi="Times New Roman"/>
          <w:b/>
          <w:bCs/>
          <w:color w:val="000000"/>
          <w:sz w:val="28"/>
          <w:szCs w:val="28"/>
        </w:rPr>
        <w:t>TONI GOGU</w:t>
      </w:r>
    </w:p>
    <w:sectPr w:rsidR="004D5949" w:rsidRPr="00FD0B8D" w:rsidSect="007C7C5F">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127CF" w14:textId="77777777" w:rsidR="00FB6A5B" w:rsidRDefault="00FB6A5B">
      <w:pPr>
        <w:spacing w:after="0" w:line="240" w:lineRule="auto"/>
      </w:pPr>
      <w:r>
        <w:separator/>
      </w:r>
    </w:p>
  </w:endnote>
  <w:endnote w:type="continuationSeparator" w:id="0">
    <w:p w14:paraId="671BF69D" w14:textId="77777777" w:rsidR="00FB6A5B" w:rsidRDefault="00FB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B5DE" w14:textId="5CA75D75" w:rsidR="00984382" w:rsidRPr="0081400F" w:rsidRDefault="00984382" w:rsidP="007C7C5F">
    <w:pPr>
      <w:pStyle w:val="Footer"/>
      <w:pBdr>
        <w:top w:val="thinThickSmallGap" w:sz="24" w:space="1" w:color="622423"/>
      </w:pBdr>
      <w:tabs>
        <w:tab w:val="clear" w:pos="4680"/>
      </w:tabs>
      <w:jc w:val="both"/>
      <w:rPr>
        <w:rFonts w:ascii="Times New Roman" w:hAnsi="Times New Roman"/>
        <w:bCs/>
        <w:sz w:val="24"/>
        <w:szCs w:val="24"/>
      </w:rPr>
    </w:pPr>
    <w:r w:rsidRPr="0081400F">
      <w:rPr>
        <w:rFonts w:ascii="Times New Roman" w:eastAsia="Times New Roman" w:hAnsi="Times New Roman"/>
        <w:sz w:val="24"/>
        <w:szCs w:val="24"/>
      </w:rPr>
      <w:t xml:space="preserve">Relacion shpjegues për </w:t>
    </w:r>
    <w:bookmarkStart w:id="3" w:name="_Hlk148084875"/>
    <w:r w:rsidRPr="0081400F">
      <w:rPr>
        <w:rFonts w:ascii="Times New Roman" w:eastAsia="Times New Roman" w:hAnsi="Times New Roman"/>
        <w:sz w:val="24"/>
        <w:szCs w:val="24"/>
      </w:rPr>
      <w:t xml:space="preserve">projektligjin “Për </w:t>
    </w:r>
    <w:r w:rsidR="0057375C" w:rsidRPr="0057375C">
      <w:rPr>
        <w:rFonts w:ascii="Times New Roman" w:hAnsi="Times New Roman"/>
        <w:sz w:val="24"/>
        <w:szCs w:val="24"/>
      </w:rPr>
      <w:t>disa shtesa dhe ndryshime në ligjin nr. 111/2017 “Për ndihmën juridike të garantuar nga shteti</w:t>
    </w:r>
    <w:r w:rsidR="00BB7485" w:rsidRPr="0081400F">
      <w:rPr>
        <w:rFonts w:ascii="Times New Roman" w:hAnsi="Times New Roman"/>
        <w:sz w:val="24"/>
        <w:szCs w:val="24"/>
      </w:rPr>
      <w:t>”</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A0F0E" w14:textId="77777777" w:rsidR="00FB6A5B" w:rsidRDefault="00FB6A5B">
      <w:pPr>
        <w:spacing w:after="0" w:line="240" w:lineRule="auto"/>
      </w:pPr>
      <w:r>
        <w:separator/>
      </w:r>
    </w:p>
  </w:footnote>
  <w:footnote w:type="continuationSeparator" w:id="0">
    <w:p w14:paraId="10FE6F8D" w14:textId="77777777" w:rsidR="00FB6A5B" w:rsidRDefault="00FB6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A79"/>
    <w:multiLevelType w:val="hybridMultilevel"/>
    <w:tmpl w:val="99DAB3B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4E1612A"/>
    <w:multiLevelType w:val="hybridMultilevel"/>
    <w:tmpl w:val="B630BF28"/>
    <w:lvl w:ilvl="0" w:tplc="3C0E558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84B384F"/>
    <w:multiLevelType w:val="hybridMultilevel"/>
    <w:tmpl w:val="D2A6A9BC"/>
    <w:lvl w:ilvl="0" w:tplc="86BECB74">
      <w:start w:val="2"/>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0CF5C6C"/>
    <w:multiLevelType w:val="hybridMultilevel"/>
    <w:tmpl w:val="4EF6BD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345BD0"/>
    <w:multiLevelType w:val="hybridMultilevel"/>
    <w:tmpl w:val="4F0E5D22"/>
    <w:lvl w:ilvl="0" w:tplc="D2E683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9F0E44"/>
    <w:multiLevelType w:val="hybridMultilevel"/>
    <w:tmpl w:val="354043CA"/>
    <w:lvl w:ilvl="0" w:tplc="5E64AB40">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4E76567F"/>
    <w:multiLevelType w:val="hybridMultilevel"/>
    <w:tmpl w:val="0038AC4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52F70869"/>
    <w:multiLevelType w:val="hybridMultilevel"/>
    <w:tmpl w:val="AFA4D904"/>
    <w:lvl w:ilvl="0" w:tplc="041C0001">
      <w:start w:val="1"/>
      <w:numFmt w:val="bullet"/>
      <w:lvlText w:val=""/>
      <w:lvlJc w:val="left"/>
      <w:pPr>
        <w:ind w:left="783" w:hanging="360"/>
      </w:pPr>
      <w:rPr>
        <w:rFonts w:ascii="Symbol" w:hAnsi="Symbol" w:hint="default"/>
      </w:rPr>
    </w:lvl>
    <w:lvl w:ilvl="1" w:tplc="041C0003" w:tentative="1">
      <w:start w:val="1"/>
      <w:numFmt w:val="bullet"/>
      <w:lvlText w:val="o"/>
      <w:lvlJc w:val="left"/>
      <w:pPr>
        <w:ind w:left="1503" w:hanging="360"/>
      </w:pPr>
      <w:rPr>
        <w:rFonts w:ascii="Courier New" w:hAnsi="Courier New" w:cs="Courier New" w:hint="default"/>
      </w:rPr>
    </w:lvl>
    <w:lvl w:ilvl="2" w:tplc="041C0005" w:tentative="1">
      <w:start w:val="1"/>
      <w:numFmt w:val="bullet"/>
      <w:lvlText w:val=""/>
      <w:lvlJc w:val="left"/>
      <w:pPr>
        <w:ind w:left="2223" w:hanging="360"/>
      </w:pPr>
      <w:rPr>
        <w:rFonts w:ascii="Wingdings" w:hAnsi="Wingdings" w:hint="default"/>
      </w:rPr>
    </w:lvl>
    <w:lvl w:ilvl="3" w:tplc="041C0001" w:tentative="1">
      <w:start w:val="1"/>
      <w:numFmt w:val="bullet"/>
      <w:lvlText w:val=""/>
      <w:lvlJc w:val="left"/>
      <w:pPr>
        <w:ind w:left="2943" w:hanging="360"/>
      </w:pPr>
      <w:rPr>
        <w:rFonts w:ascii="Symbol" w:hAnsi="Symbol" w:hint="default"/>
      </w:rPr>
    </w:lvl>
    <w:lvl w:ilvl="4" w:tplc="041C0003" w:tentative="1">
      <w:start w:val="1"/>
      <w:numFmt w:val="bullet"/>
      <w:lvlText w:val="o"/>
      <w:lvlJc w:val="left"/>
      <w:pPr>
        <w:ind w:left="3663" w:hanging="360"/>
      </w:pPr>
      <w:rPr>
        <w:rFonts w:ascii="Courier New" w:hAnsi="Courier New" w:cs="Courier New" w:hint="default"/>
      </w:rPr>
    </w:lvl>
    <w:lvl w:ilvl="5" w:tplc="041C0005" w:tentative="1">
      <w:start w:val="1"/>
      <w:numFmt w:val="bullet"/>
      <w:lvlText w:val=""/>
      <w:lvlJc w:val="left"/>
      <w:pPr>
        <w:ind w:left="4383" w:hanging="360"/>
      </w:pPr>
      <w:rPr>
        <w:rFonts w:ascii="Wingdings" w:hAnsi="Wingdings" w:hint="default"/>
      </w:rPr>
    </w:lvl>
    <w:lvl w:ilvl="6" w:tplc="041C0001" w:tentative="1">
      <w:start w:val="1"/>
      <w:numFmt w:val="bullet"/>
      <w:lvlText w:val=""/>
      <w:lvlJc w:val="left"/>
      <w:pPr>
        <w:ind w:left="5103" w:hanging="360"/>
      </w:pPr>
      <w:rPr>
        <w:rFonts w:ascii="Symbol" w:hAnsi="Symbol" w:hint="default"/>
      </w:rPr>
    </w:lvl>
    <w:lvl w:ilvl="7" w:tplc="041C0003" w:tentative="1">
      <w:start w:val="1"/>
      <w:numFmt w:val="bullet"/>
      <w:lvlText w:val="o"/>
      <w:lvlJc w:val="left"/>
      <w:pPr>
        <w:ind w:left="5823" w:hanging="360"/>
      </w:pPr>
      <w:rPr>
        <w:rFonts w:ascii="Courier New" w:hAnsi="Courier New" w:cs="Courier New" w:hint="default"/>
      </w:rPr>
    </w:lvl>
    <w:lvl w:ilvl="8" w:tplc="041C0005" w:tentative="1">
      <w:start w:val="1"/>
      <w:numFmt w:val="bullet"/>
      <w:lvlText w:val=""/>
      <w:lvlJc w:val="left"/>
      <w:pPr>
        <w:ind w:left="6543" w:hanging="360"/>
      </w:pPr>
      <w:rPr>
        <w:rFonts w:ascii="Wingdings" w:hAnsi="Wingdings" w:hint="default"/>
      </w:rPr>
    </w:lvl>
  </w:abstractNum>
  <w:abstractNum w:abstractNumId="11" w15:restartNumberingAfterBreak="0">
    <w:nsid w:val="58AA4075"/>
    <w:multiLevelType w:val="hybridMultilevel"/>
    <w:tmpl w:val="1DA00A48"/>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5A3322EE"/>
    <w:multiLevelType w:val="hybridMultilevel"/>
    <w:tmpl w:val="70AAB7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C0833C0"/>
    <w:multiLevelType w:val="hybridMultilevel"/>
    <w:tmpl w:val="2078043E"/>
    <w:lvl w:ilvl="0" w:tplc="3FC0FA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853DA2"/>
    <w:multiLevelType w:val="hybridMultilevel"/>
    <w:tmpl w:val="FCECAD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4"/>
  </w:num>
  <w:num w:numId="5">
    <w:abstractNumId w:val="13"/>
  </w:num>
  <w:num w:numId="6">
    <w:abstractNumId w:val="2"/>
  </w:num>
  <w:num w:numId="7">
    <w:abstractNumId w:val="3"/>
  </w:num>
  <w:num w:numId="8">
    <w:abstractNumId w:val="6"/>
  </w:num>
  <w:num w:numId="9">
    <w:abstractNumId w:val="1"/>
  </w:num>
  <w:num w:numId="10">
    <w:abstractNumId w:val="9"/>
  </w:num>
  <w:num w:numId="11">
    <w:abstractNumId w:val="8"/>
  </w:num>
  <w:num w:numId="12">
    <w:abstractNumId w:val="7"/>
  </w:num>
  <w:num w:numId="13">
    <w:abstractNumId w:val="1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43F"/>
    <w:rsid w:val="0000218D"/>
    <w:rsid w:val="00004418"/>
    <w:rsid w:val="00004449"/>
    <w:rsid w:val="00005F96"/>
    <w:rsid w:val="000106C5"/>
    <w:rsid w:val="00012701"/>
    <w:rsid w:val="000131DA"/>
    <w:rsid w:val="00014083"/>
    <w:rsid w:val="00021E72"/>
    <w:rsid w:val="00027ABA"/>
    <w:rsid w:val="00031749"/>
    <w:rsid w:val="00032B53"/>
    <w:rsid w:val="000366D9"/>
    <w:rsid w:val="000413FE"/>
    <w:rsid w:val="00043F24"/>
    <w:rsid w:val="000448CE"/>
    <w:rsid w:val="000515D5"/>
    <w:rsid w:val="00053835"/>
    <w:rsid w:val="000555AC"/>
    <w:rsid w:val="00057217"/>
    <w:rsid w:val="00060F97"/>
    <w:rsid w:val="00063E21"/>
    <w:rsid w:val="00064203"/>
    <w:rsid w:val="0007367D"/>
    <w:rsid w:val="0007562F"/>
    <w:rsid w:val="00075C8E"/>
    <w:rsid w:val="000827D5"/>
    <w:rsid w:val="00083CEA"/>
    <w:rsid w:val="00085F09"/>
    <w:rsid w:val="000868AA"/>
    <w:rsid w:val="00090A42"/>
    <w:rsid w:val="00090C91"/>
    <w:rsid w:val="00097110"/>
    <w:rsid w:val="0009712C"/>
    <w:rsid w:val="000A0385"/>
    <w:rsid w:val="000A04CA"/>
    <w:rsid w:val="000A1862"/>
    <w:rsid w:val="000B09BE"/>
    <w:rsid w:val="000B33B7"/>
    <w:rsid w:val="000B33F4"/>
    <w:rsid w:val="000B3A9B"/>
    <w:rsid w:val="000B4851"/>
    <w:rsid w:val="000B7D4D"/>
    <w:rsid w:val="000C4580"/>
    <w:rsid w:val="000D060C"/>
    <w:rsid w:val="000D08D9"/>
    <w:rsid w:val="000D3EED"/>
    <w:rsid w:val="000D488A"/>
    <w:rsid w:val="000D59FB"/>
    <w:rsid w:val="000D5AA3"/>
    <w:rsid w:val="000E2C3F"/>
    <w:rsid w:val="000E5BF4"/>
    <w:rsid w:val="000E7461"/>
    <w:rsid w:val="000E7A6D"/>
    <w:rsid w:val="000F3B51"/>
    <w:rsid w:val="000F727F"/>
    <w:rsid w:val="00100502"/>
    <w:rsid w:val="00102D34"/>
    <w:rsid w:val="00103CE8"/>
    <w:rsid w:val="001041F9"/>
    <w:rsid w:val="00107014"/>
    <w:rsid w:val="00111B20"/>
    <w:rsid w:val="00112D22"/>
    <w:rsid w:val="00124F70"/>
    <w:rsid w:val="0012774D"/>
    <w:rsid w:val="00133C30"/>
    <w:rsid w:val="00137B65"/>
    <w:rsid w:val="001410EB"/>
    <w:rsid w:val="001447CF"/>
    <w:rsid w:val="00150648"/>
    <w:rsid w:val="00161E14"/>
    <w:rsid w:val="00166402"/>
    <w:rsid w:val="001819AB"/>
    <w:rsid w:val="00181CA4"/>
    <w:rsid w:val="001A5330"/>
    <w:rsid w:val="001A7192"/>
    <w:rsid w:val="001B4F32"/>
    <w:rsid w:val="001C03EC"/>
    <w:rsid w:val="001C17E8"/>
    <w:rsid w:val="001C1EA4"/>
    <w:rsid w:val="001D6567"/>
    <w:rsid w:val="001D7B8E"/>
    <w:rsid w:val="001E10BC"/>
    <w:rsid w:val="001E3915"/>
    <w:rsid w:val="001E5D9F"/>
    <w:rsid w:val="001E7EC1"/>
    <w:rsid w:val="001F5C07"/>
    <w:rsid w:val="001F7A7E"/>
    <w:rsid w:val="00202666"/>
    <w:rsid w:val="00205072"/>
    <w:rsid w:val="002062D1"/>
    <w:rsid w:val="002072CF"/>
    <w:rsid w:val="00210D23"/>
    <w:rsid w:val="00210ECE"/>
    <w:rsid w:val="00212F72"/>
    <w:rsid w:val="002257F8"/>
    <w:rsid w:val="00227697"/>
    <w:rsid w:val="00227FD2"/>
    <w:rsid w:val="00232A90"/>
    <w:rsid w:val="0023542C"/>
    <w:rsid w:val="002444A2"/>
    <w:rsid w:val="002540BB"/>
    <w:rsid w:val="00260C49"/>
    <w:rsid w:val="0026218C"/>
    <w:rsid w:val="002667F4"/>
    <w:rsid w:val="00271244"/>
    <w:rsid w:val="00272A28"/>
    <w:rsid w:val="00272DBF"/>
    <w:rsid w:val="00282611"/>
    <w:rsid w:val="00283A10"/>
    <w:rsid w:val="00283DC3"/>
    <w:rsid w:val="00286300"/>
    <w:rsid w:val="00286C26"/>
    <w:rsid w:val="00290C90"/>
    <w:rsid w:val="002913A9"/>
    <w:rsid w:val="002917EA"/>
    <w:rsid w:val="00292056"/>
    <w:rsid w:val="00295329"/>
    <w:rsid w:val="002969D8"/>
    <w:rsid w:val="002A36DA"/>
    <w:rsid w:val="002B3529"/>
    <w:rsid w:val="002C0317"/>
    <w:rsid w:val="002C22FF"/>
    <w:rsid w:val="002C239F"/>
    <w:rsid w:val="002C2414"/>
    <w:rsid w:val="002C39AD"/>
    <w:rsid w:val="002C7500"/>
    <w:rsid w:val="002D55DA"/>
    <w:rsid w:val="002D7099"/>
    <w:rsid w:val="002E280C"/>
    <w:rsid w:val="002E5DD9"/>
    <w:rsid w:val="002E6A06"/>
    <w:rsid w:val="002E6DCF"/>
    <w:rsid w:val="002F11AA"/>
    <w:rsid w:val="002F2D49"/>
    <w:rsid w:val="002F2F4C"/>
    <w:rsid w:val="002F4EEF"/>
    <w:rsid w:val="00307D7F"/>
    <w:rsid w:val="00311343"/>
    <w:rsid w:val="0031276E"/>
    <w:rsid w:val="00313B3A"/>
    <w:rsid w:val="00313C84"/>
    <w:rsid w:val="0031653D"/>
    <w:rsid w:val="00320B36"/>
    <w:rsid w:val="003258CA"/>
    <w:rsid w:val="00327175"/>
    <w:rsid w:val="00330778"/>
    <w:rsid w:val="00333A17"/>
    <w:rsid w:val="00334FF1"/>
    <w:rsid w:val="00336268"/>
    <w:rsid w:val="00344482"/>
    <w:rsid w:val="0034474E"/>
    <w:rsid w:val="003473C1"/>
    <w:rsid w:val="00347D52"/>
    <w:rsid w:val="00352B0E"/>
    <w:rsid w:val="00356024"/>
    <w:rsid w:val="00361260"/>
    <w:rsid w:val="003672CE"/>
    <w:rsid w:val="00381D4B"/>
    <w:rsid w:val="00385457"/>
    <w:rsid w:val="00385AAF"/>
    <w:rsid w:val="0039666E"/>
    <w:rsid w:val="003A0267"/>
    <w:rsid w:val="003A1429"/>
    <w:rsid w:val="003A1E47"/>
    <w:rsid w:val="003B3339"/>
    <w:rsid w:val="003B3F3F"/>
    <w:rsid w:val="003B531C"/>
    <w:rsid w:val="003B7AEF"/>
    <w:rsid w:val="003C55A7"/>
    <w:rsid w:val="003D1901"/>
    <w:rsid w:val="003D3BEB"/>
    <w:rsid w:val="003D4B70"/>
    <w:rsid w:val="003F0A57"/>
    <w:rsid w:val="003F0E04"/>
    <w:rsid w:val="003F24CA"/>
    <w:rsid w:val="003F2A3A"/>
    <w:rsid w:val="00403088"/>
    <w:rsid w:val="00404FB1"/>
    <w:rsid w:val="00411349"/>
    <w:rsid w:val="00414C4C"/>
    <w:rsid w:val="00417650"/>
    <w:rsid w:val="00426A65"/>
    <w:rsid w:val="00427A30"/>
    <w:rsid w:val="004320E4"/>
    <w:rsid w:val="00434E1E"/>
    <w:rsid w:val="004354B6"/>
    <w:rsid w:val="00436684"/>
    <w:rsid w:val="00436F85"/>
    <w:rsid w:val="0044201D"/>
    <w:rsid w:val="00442ECA"/>
    <w:rsid w:val="00444978"/>
    <w:rsid w:val="00444A0A"/>
    <w:rsid w:val="00445DA1"/>
    <w:rsid w:val="00450CE0"/>
    <w:rsid w:val="0045712B"/>
    <w:rsid w:val="004577A3"/>
    <w:rsid w:val="00460A7F"/>
    <w:rsid w:val="00463347"/>
    <w:rsid w:val="004638A6"/>
    <w:rsid w:val="004665C3"/>
    <w:rsid w:val="00466AF1"/>
    <w:rsid w:val="00470592"/>
    <w:rsid w:val="00473D52"/>
    <w:rsid w:val="00473D7E"/>
    <w:rsid w:val="00477A4C"/>
    <w:rsid w:val="00482E8A"/>
    <w:rsid w:val="004840C6"/>
    <w:rsid w:val="0048716B"/>
    <w:rsid w:val="004879E9"/>
    <w:rsid w:val="00487C4A"/>
    <w:rsid w:val="004933CA"/>
    <w:rsid w:val="00495947"/>
    <w:rsid w:val="004971E5"/>
    <w:rsid w:val="004A5093"/>
    <w:rsid w:val="004A68D6"/>
    <w:rsid w:val="004C0700"/>
    <w:rsid w:val="004C1BC0"/>
    <w:rsid w:val="004C2853"/>
    <w:rsid w:val="004C36B7"/>
    <w:rsid w:val="004C4C3F"/>
    <w:rsid w:val="004D5949"/>
    <w:rsid w:val="004E46A6"/>
    <w:rsid w:val="004F01FA"/>
    <w:rsid w:val="004F0B82"/>
    <w:rsid w:val="004F2A7B"/>
    <w:rsid w:val="004F359B"/>
    <w:rsid w:val="004F7142"/>
    <w:rsid w:val="005002E1"/>
    <w:rsid w:val="00502C8A"/>
    <w:rsid w:val="00506A71"/>
    <w:rsid w:val="005143F0"/>
    <w:rsid w:val="00514970"/>
    <w:rsid w:val="00514FB7"/>
    <w:rsid w:val="0052083E"/>
    <w:rsid w:val="00521031"/>
    <w:rsid w:val="005213DF"/>
    <w:rsid w:val="005276CB"/>
    <w:rsid w:val="00531674"/>
    <w:rsid w:val="00546831"/>
    <w:rsid w:val="00547FB3"/>
    <w:rsid w:val="0055080F"/>
    <w:rsid w:val="005528B0"/>
    <w:rsid w:val="00560433"/>
    <w:rsid w:val="00562E81"/>
    <w:rsid w:val="00566730"/>
    <w:rsid w:val="00571BEB"/>
    <w:rsid w:val="00572DCC"/>
    <w:rsid w:val="0057375C"/>
    <w:rsid w:val="00577116"/>
    <w:rsid w:val="00583DD1"/>
    <w:rsid w:val="00590C84"/>
    <w:rsid w:val="00591380"/>
    <w:rsid w:val="00591F4A"/>
    <w:rsid w:val="005A12D7"/>
    <w:rsid w:val="005A65B7"/>
    <w:rsid w:val="005B55D2"/>
    <w:rsid w:val="005B635B"/>
    <w:rsid w:val="005C0EF4"/>
    <w:rsid w:val="005C18E5"/>
    <w:rsid w:val="005C3FE0"/>
    <w:rsid w:val="005C7ACD"/>
    <w:rsid w:val="005D0C5D"/>
    <w:rsid w:val="005D1C65"/>
    <w:rsid w:val="005D2A03"/>
    <w:rsid w:val="005D4040"/>
    <w:rsid w:val="005D4FE4"/>
    <w:rsid w:val="005D77B7"/>
    <w:rsid w:val="005E003B"/>
    <w:rsid w:val="005E056F"/>
    <w:rsid w:val="005E0F14"/>
    <w:rsid w:val="005E378F"/>
    <w:rsid w:val="005E489E"/>
    <w:rsid w:val="005F478C"/>
    <w:rsid w:val="005F4B3B"/>
    <w:rsid w:val="005F5ED7"/>
    <w:rsid w:val="005F6B96"/>
    <w:rsid w:val="005F7831"/>
    <w:rsid w:val="00603C41"/>
    <w:rsid w:val="00603F68"/>
    <w:rsid w:val="00604558"/>
    <w:rsid w:val="00612CB9"/>
    <w:rsid w:val="00613C7A"/>
    <w:rsid w:val="00616B8F"/>
    <w:rsid w:val="00620B41"/>
    <w:rsid w:val="006213AF"/>
    <w:rsid w:val="006235C7"/>
    <w:rsid w:val="00624638"/>
    <w:rsid w:val="006265D4"/>
    <w:rsid w:val="00627B26"/>
    <w:rsid w:val="006324FC"/>
    <w:rsid w:val="0063555F"/>
    <w:rsid w:val="0064654F"/>
    <w:rsid w:val="00646F5A"/>
    <w:rsid w:val="00650C7E"/>
    <w:rsid w:val="006526C9"/>
    <w:rsid w:val="00660520"/>
    <w:rsid w:val="00661792"/>
    <w:rsid w:val="00665B0C"/>
    <w:rsid w:val="00666E87"/>
    <w:rsid w:val="00667055"/>
    <w:rsid w:val="00672456"/>
    <w:rsid w:val="00672504"/>
    <w:rsid w:val="00672BBB"/>
    <w:rsid w:val="006766F6"/>
    <w:rsid w:val="0067732F"/>
    <w:rsid w:val="0067798C"/>
    <w:rsid w:val="006807AE"/>
    <w:rsid w:val="00681470"/>
    <w:rsid w:val="006856F4"/>
    <w:rsid w:val="00696638"/>
    <w:rsid w:val="006A23C9"/>
    <w:rsid w:val="006A38B9"/>
    <w:rsid w:val="006A6243"/>
    <w:rsid w:val="006B12DC"/>
    <w:rsid w:val="006B17A0"/>
    <w:rsid w:val="006B2BA8"/>
    <w:rsid w:val="006B61F5"/>
    <w:rsid w:val="006C01AC"/>
    <w:rsid w:val="006C210C"/>
    <w:rsid w:val="006C48CD"/>
    <w:rsid w:val="006C6925"/>
    <w:rsid w:val="006C7365"/>
    <w:rsid w:val="006D0C38"/>
    <w:rsid w:val="006D3471"/>
    <w:rsid w:val="006D56E3"/>
    <w:rsid w:val="006D6A2E"/>
    <w:rsid w:val="006E06FF"/>
    <w:rsid w:val="006E1987"/>
    <w:rsid w:val="006E38B0"/>
    <w:rsid w:val="006E3AE2"/>
    <w:rsid w:val="006E45AF"/>
    <w:rsid w:val="006F32C7"/>
    <w:rsid w:val="006F38F5"/>
    <w:rsid w:val="006F3C62"/>
    <w:rsid w:val="00702C72"/>
    <w:rsid w:val="007060D5"/>
    <w:rsid w:val="00710683"/>
    <w:rsid w:val="00710CF2"/>
    <w:rsid w:val="007111BD"/>
    <w:rsid w:val="00711F5C"/>
    <w:rsid w:val="00713360"/>
    <w:rsid w:val="00716102"/>
    <w:rsid w:val="00723787"/>
    <w:rsid w:val="00724BD8"/>
    <w:rsid w:val="00724D52"/>
    <w:rsid w:val="007273B3"/>
    <w:rsid w:val="007302F3"/>
    <w:rsid w:val="007305C0"/>
    <w:rsid w:val="00731979"/>
    <w:rsid w:val="007320C9"/>
    <w:rsid w:val="007324F0"/>
    <w:rsid w:val="0073264F"/>
    <w:rsid w:val="00736E10"/>
    <w:rsid w:val="007424ED"/>
    <w:rsid w:val="00746021"/>
    <w:rsid w:val="00747C19"/>
    <w:rsid w:val="007534B6"/>
    <w:rsid w:val="00753CC6"/>
    <w:rsid w:val="00757E4F"/>
    <w:rsid w:val="00760792"/>
    <w:rsid w:val="00760D3D"/>
    <w:rsid w:val="00761163"/>
    <w:rsid w:val="007618BA"/>
    <w:rsid w:val="0076405A"/>
    <w:rsid w:val="0076619C"/>
    <w:rsid w:val="00767290"/>
    <w:rsid w:val="007749B8"/>
    <w:rsid w:val="007824A9"/>
    <w:rsid w:val="00786139"/>
    <w:rsid w:val="00794017"/>
    <w:rsid w:val="00797116"/>
    <w:rsid w:val="007A02BE"/>
    <w:rsid w:val="007A0F55"/>
    <w:rsid w:val="007A3482"/>
    <w:rsid w:val="007B09F0"/>
    <w:rsid w:val="007B4C64"/>
    <w:rsid w:val="007B52A8"/>
    <w:rsid w:val="007B5735"/>
    <w:rsid w:val="007B5CF1"/>
    <w:rsid w:val="007C54F9"/>
    <w:rsid w:val="007C7C5F"/>
    <w:rsid w:val="007E36AB"/>
    <w:rsid w:val="007E42B5"/>
    <w:rsid w:val="007E6BA7"/>
    <w:rsid w:val="007F390E"/>
    <w:rsid w:val="007F3ED9"/>
    <w:rsid w:val="0080247F"/>
    <w:rsid w:val="0080291E"/>
    <w:rsid w:val="00803565"/>
    <w:rsid w:val="00804DF4"/>
    <w:rsid w:val="008053FF"/>
    <w:rsid w:val="00806526"/>
    <w:rsid w:val="008123C5"/>
    <w:rsid w:val="0081400F"/>
    <w:rsid w:val="00820D4D"/>
    <w:rsid w:val="00820DBB"/>
    <w:rsid w:val="0082423A"/>
    <w:rsid w:val="0083021F"/>
    <w:rsid w:val="00836F39"/>
    <w:rsid w:val="0084113F"/>
    <w:rsid w:val="00845E93"/>
    <w:rsid w:val="0085183B"/>
    <w:rsid w:val="00851C1A"/>
    <w:rsid w:val="00852AB3"/>
    <w:rsid w:val="0085330C"/>
    <w:rsid w:val="00853F28"/>
    <w:rsid w:val="00854FEB"/>
    <w:rsid w:val="00855D88"/>
    <w:rsid w:val="008564EA"/>
    <w:rsid w:val="008605DD"/>
    <w:rsid w:val="008660D4"/>
    <w:rsid w:val="008721A7"/>
    <w:rsid w:val="0087691D"/>
    <w:rsid w:val="00882486"/>
    <w:rsid w:val="00882527"/>
    <w:rsid w:val="008839B1"/>
    <w:rsid w:val="00884891"/>
    <w:rsid w:val="00887868"/>
    <w:rsid w:val="00892288"/>
    <w:rsid w:val="008970D0"/>
    <w:rsid w:val="008A1928"/>
    <w:rsid w:val="008A22CA"/>
    <w:rsid w:val="008A4A5A"/>
    <w:rsid w:val="008A673F"/>
    <w:rsid w:val="008A77E8"/>
    <w:rsid w:val="008B2432"/>
    <w:rsid w:val="008B3C17"/>
    <w:rsid w:val="008C0890"/>
    <w:rsid w:val="008C2CE7"/>
    <w:rsid w:val="008C57C1"/>
    <w:rsid w:val="008C5DE6"/>
    <w:rsid w:val="008C6600"/>
    <w:rsid w:val="008C6CFB"/>
    <w:rsid w:val="008D20DE"/>
    <w:rsid w:val="008D4A7F"/>
    <w:rsid w:val="008D4AB7"/>
    <w:rsid w:val="008D5564"/>
    <w:rsid w:val="008D5C17"/>
    <w:rsid w:val="008E088F"/>
    <w:rsid w:val="008E6BA3"/>
    <w:rsid w:val="008E6BC7"/>
    <w:rsid w:val="008E7426"/>
    <w:rsid w:val="008F77A4"/>
    <w:rsid w:val="009011E4"/>
    <w:rsid w:val="009024CA"/>
    <w:rsid w:val="00903BDE"/>
    <w:rsid w:val="0090481B"/>
    <w:rsid w:val="00905339"/>
    <w:rsid w:val="00906795"/>
    <w:rsid w:val="009077DB"/>
    <w:rsid w:val="0091243D"/>
    <w:rsid w:val="0091247F"/>
    <w:rsid w:val="00912C97"/>
    <w:rsid w:val="00913B07"/>
    <w:rsid w:val="0091487C"/>
    <w:rsid w:val="009202B5"/>
    <w:rsid w:val="009265BC"/>
    <w:rsid w:val="00926E5D"/>
    <w:rsid w:val="009273E7"/>
    <w:rsid w:val="00931240"/>
    <w:rsid w:val="00933849"/>
    <w:rsid w:val="00936150"/>
    <w:rsid w:val="00943DAA"/>
    <w:rsid w:val="009506E0"/>
    <w:rsid w:val="00951EA1"/>
    <w:rsid w:val="0095417B"/>
    <w:rsid w:val="0095486C"/>
    <w:rsid w:val="009567BD"/>
    <w:rsid w:val="0096359B"/>
    <w:rsid w:val="0096600C"/>
    <w:rsid w:val="009666CC"/>
    <w:rsid w:val="00967A1D"/>
    <w:rsid w:val="00970B89"/>
    <w:rsid w:val="0097142F"/>
    <w:rsid w:val="00972A5B"/>
    <w:rsid w:val="009730E3"/>
    <w:rsid w:val="00973527"/>
    <w:rsid w:val="00974DB6"/>
    <w:rsid w:val="0097595C"/>
    <w:rsid w:val="00980465"/>
    <w:rsid w:val="00984382"/>
    <w:rsid w:val="0098616F"/>
    <w:rsid w:val="00991655"/>
    <w:rsid w:val="009917C9"/>
    <w:rsid w:val="0099387E"/>
    <w:rsid w:val="00995284"/>
    <w:rsid w:val="00995E31"/>
    <w:rsid w:val="009A6D7E"/>
    <w:rsid w:val="009B1656"/>
    <w:rsid w:val="009B441E"/>
    <w:rsid w:val="009B4F79"/>
    <w:rsid w:val="009B5C53"/>
    <w:rsid w:val="009C35B5"/>
    <w:rsid w:val="009C7C2E"/>
    <w:rsid w:val="009D11D9"/>
    <w:rsid w:val="009D25E9"/>
    <w:rsid w:val="009D483B"/>
    <w:rsid w:val="009D4F33"/>
    <w:rsid w:val="009D58E4"/>
    <w:rsid w:val="009E12C9"/>
    <w:rsid w:val="009E1950"/>
    <w:rsid w:val="009E76D9"/>
    <w:rsid w:val="009F79A2"/>
    <w:rsid w:val="00A02402"/>
    <w:rsid w:val="00A05C7D"/>
    <w:rsid w:val="00A07A16"/>
    <w:rsid w:val="00A07C89"/>
    <w:rsid w:val="00A16912"/>
    <w:rsid w:val="00A17204"/>
    <w:rsid w:val="00A200AC"/>
    <w:rsid w:val="00A22510"/>
    <w:rsid w:val="00A25F5B"/>
    <w:rsid w:val="00A3605E"/>
    <w:rsid w:val="00A36AAB"/>
    <w:rsid w:val="00A421F2"/>
    <w:rsid w:val="00A4321F"/>
    <w:rsid w:val="00A517B7"/>
    <w:rsid w:val="00A53525"/>
    <w:rsid w:val="00A54862"/>
    <w:rsid w:val="00A6114C"/>
    <w:rsid w:val="00A61EE5"/>
    <w:rsid w:val="00A65518"/>
    <w:rsid w:val="00A6773E"/>
    <w:rsid w:val="00A678C9"/>
    <w:rsid w:val="00A72DF6"/>
    <w:rsid w:val="00A816FE"/>
    <w:rsid w:val="00A83D53"/>
    <w:rsid w:val="00AA22EB"/>
    <w:rsid w:val="00AA25C4"/>
    <w:rsid w:val="00AA2AF2"/>
    <w:rsid w:val="00AA402F"/>
    <w:rsid w:val="00AA688D"/>
    <w:rsid w:val="00AB2BE5"/>
    <w:rsid w:val="00AB3618"/>
    <w:rsid w:val="00AB7320"/>
    <w:rsid w:val="00AB747B"/>
    <w:rsid w:val="00AC05E3"/>
    <w:rsid w:val="00AC069D"/>
    <w:rsid w:val="00AC0DE5"/>
    <w:rsid w:val="00AC224C"/>
    <w:rsid w:val="00AC40D7"/>
    <w:rsid w:val="00AC53A5"/>
    <w:rsid w:val="00AC6E8F"/>
    <w:rsid w:val="00AD0066"/>
    <w:rsid w:val="00AD1876"/>
    <w:rsid w:val="00AD33EE"/>
    <w:rsid w:val="00AD46B4"/>
    <w:rsid w:val="00AD4A83"/>
    <w:rsid w:val="00AD5CE5"/>
    <w:rsid w:val="00AE4BE1"/>
    <w:rsid w:val="00AE4D70"/>
    <w:rsid w:val="00AE5457"/>
    <w:rsid w:val="00AE77C6"/>
    <w:rsid w:val="00AE7A8A"/>
    <w:rsid w:val="00AF01DD"/>
    <w:rsid w:val="00AF5985"/>
    <w:rsid w:val="00B013B9"/>
    <w:rsid w:val="00B0643F"/>
    <w:rsid w:val="00B14C03"/>
    <w:rsid w:val="00B170E7"/>
    <w:rsid w:val="00B17AC9"/>
    <w:rsid w:val="00B21098"/>
    <w:rsid w:val="00B24247"/>
    <w:rsid w:val="00B24B82"/>
    <w:rsid w:val="00B361A9"/>
    <w:rsid w:val="00B46534"/>
    <w:rsid w:val="00B534A2"/>
    <w:rsid w:val="00B54EFE"/>
    <w:rsid w:val="00B5751B"/>
    <w:rsid w:val="00B61005"/>
    <w:rsid w:val="00B6650C"/>
    <w:rsid w:val="00B70EE4"/>
    <w:rsid w:val="00B731B1"/>
    <w:rsid w:val="00B73684"/>
    <w:rsid w:val="00B7496A"/>
    <w:rsid w:val="00B74C0E"/>
    <w:rsid w:val="00B755B4"/>
    <w:rsid w:val="00B7672D"/>
    <w:rsid w:val="00B77583"/>
    <w:rsid w:val="00B77C73"/>
    <w:rsid w:val="00B81201"/>
    <w:rsid w:val="00B84309"/>
    <w:rsid w:val="00B90CC7"/>
    <w:rsid w:val="00B92301"/>
    <w:rsid w:val="00B931D2"/>
    <w:rsid w:val="00B93C38"/>
    <w:rsid w:val="00BA1F32"/>
    <w:rsid w:val="00BA2A3A"/>
    <w:rsid w:val="00BB6472"/>
    <w:rsid w:val="00BB6809"/>
    <w:rsid w:val="00BB7485"/>
    <w:rsid w:val="00BB77B9"/>
    <w:rsid w:val="00BB794D"/>
    <w:rsid w:val="00BC3481"/>
    <w:rsid w:val="00BC5717"/>
    <w:rsid w:val="00BC73FE"/>
    <w:rsid w:val="00BD0697"/>
    <w:rsid w:val="00BD744E"/>
    <w:rsid w:val="00BE1341"/>
    <w:rsid w:val="00BE1D46"/>
    <w:rsid w:val="00BE4E13"/>
    <w:rsid w:val="00BE5892"/>
    <w:rsid w:val="00BF26F9"/>
    <w:rsid w:val="00C02A36"/>
    <w:rsid w:val="00C03BB7"/>
    <w:rsid w:val="00C068CE"/>
    <w:rsid w:val="00C076C4"/>
    <w:rsid w:val="00C10F17"/>
    <w:rsid w:val="00C11E42"/>
    <w:rsid w:val="00C13394"/>
    <w:rsid w:val="00C14E4B"/>
    <w:rsid w:val="00C15634"/>
    <w:rsid w:val="00C17925"/>
    <w:rsid w:val="00C205CC"/>
    <w:rsid w:val="00C2191D"/>
    <w:rsid w:val="00C238BE"/>
    <w:rsid w:val="00C2477A"/>
    <w:rsid w:val="00C2523E"/>
    <w:rsid w:val="00C33882"/>
    <w:rsid w:val="00C371EE"/>
    <w:rsid w:val="00C37D76"/>
    <w:rsid w:val="00C4236C"/>
    <w:rsid w:val="00C456DC"/>
    <w:rsid w:val="00C458D1"/>
    <w:rsid w:val="00C56D8B"/>
    <w:rsid w:val="00C61DE3"/>
    <w:rsid w:val="00C65646"/>
    <w:rsid w:val="00C65915"/>
    <w:rsid w:val="00C72DB8"/>
    <w:rsid w:val="00C72F5A"/>
    <w:rsid w:val="00C73353"/>
    <w:rsid w:val="00C767FA"/>
    <w:rsid w:val="00C76FDF"/>
    <w:rsid w:val="00C8375D"/>
    <w:rsid w:val="00C86732"/>
    <w:rsid w:val="00C86DF9"/>
    <w:rsid w:val="00C901E0"/>
    <w:rsid w:val="00C939E5"/>
    <w:rsid w:val="00C96BA3"/>
    <w:rsid w:val="00CA0585"/>
    <w:rsid w:val="00CB14B0"/>
    <w:rsid w:val="00CB1CEA"/>
    <w:rsid w:val="00CB33FF"/>
    <w:rsid w:val="00CB54F2"/>
    <w:rsid w:val="00CC1755"/>
    <w:rsid w:val="00CC2E7B"/>
    <w:rsid w:val="00CC77AD"/>
    <w:rsid w:val="00CD136A"/>
    <w:rsid w:val="00CD152F"/>
    <w:rsid w:val="00CD56A5"/>
    <w:rsid w:val="00CE05AF"/>
    <w:rsid w:val="00CE18B6"/>
    <w:rsid w:val="00CE223F"/>
    <w:rsid w:val="00CE3488"/>
    <w:rsid w:val="00CE3873"/>
    <w:rsid w:val="00CE4B70"/>
    <w:rsid w:val="00CE669E"/>
    <w:rsid w:val="00CF373C"/>
    <w:rsid w:val="00D046DF"/>
    <w:rsid w:val="00D05DED"/>
    <w:rsid w:val="00D07373"/>
    <w:rsid w:val="00D1010F"/>
    <w:rsid w:val="00D11142"/>
    <w:rsid w:val="00D11747"/>
    <w:rsid w:val="00D16C61"/>
    <w:rsid w:val="00D202F6"/>
    <w:rsid w:val="00D206E2"/>
    <w:rsid w:val="00D2427C"/>
    <w:rsid w:val="00D33033"/>
    <w:rsid w:val="00D33602"/>
    <w:rsid w:val="00D37A34"/>
    <w:rsid w:val="00D41AD9"/>
    <w:rsid w:val="00D50FEB"/>
    <w:rsid w:val="00D549CA"/>
    <w:rsid w:val="00D55569"/>
    <w:rsid w:val="00D604F1"/>
    <w:rsid w:val="00D607A6"/>
    <w:rsid w:val="00D626BB"/>
    <w:rsid w:val="00D64649"/>
    <w:rsid w:val="00D6534D"/>
    <w:rsid w:val="00D668E6"/>
    <w:rsid w:val="00D71A5A"/>
    <w:rsid w:val="00D8313E"/>
    <w:rsid w:val="00D8424C"/>
    <w:rsid w:val="00D84B70"/>
    <w:rsid w:val="00D84D32"/>
    <w:rsid w:val="00D8556C"/>
    <w:rsid w:val="00D86CB1"/>
    <w:rsid w:val="00D91BA4"/>
    <w:rsid w:val="00D96C71"/>
    <w:rsid w:val="00DA462F"/>
    <w:rsid w:val="00DB2348"/>
    <w:rsid w:val="00DB2F40"/>
    <w:rsid w:val="00DC0165"/>
    <w:rsid w:val="00DC07CA"/>
    <w:rsid w:val="00DC2FC2"/>
    <w:rsid w:val="00DC79F4"/>
    <w:rsid w:val="00DD3DB0"/>
    <w:rsid w:val="00DD5C4A"/>
    <w:rsid w:val="00DD678E"/>
    <w:rsid w:val="00DD7599"/>
    <w:rsid w:val="00DD7C30"/>
    <w:rsid w:val="00DE061A"/>
    <w:rsid w:val="00DE3333"/>
    <w:rsid w:val="00DE381F"/>
    <w:rsid w:val="00DE4A4D"/>
    <w:rsid w:val="00DE6739"/>
    <w:rsid w:val="00DE75C7"/>
    <w:rsid w:val="00DF112E"/>
    <w:rsid w:val="00DF236B"/>
    <w:rsid w:val="00DF2B23"/>
    <w:rsid w:val="00DF4476"/>
    <w:rsid w:val="00DF4CAA"/>
    <w:rsid w:val="00DF6477"/>
    <w:rsid w:val="00E02050"/>
    <w:rsid w:val="00E02459"/>
    <w:rsid w:val="00E12BBE"/>
    <w:rsid w:val="00E22C15"/>
    <w:rsid w:val="00E2518F"/>
    <w:rsid w:val="00E25CBC"/>
    <w:rsid w:val="00E35580"/>
    <w:rsid w:val="00E35A2C"/>
    <w:rsid w:val="00E41459"/>
    <w:rsid w:val="00E42754"/>
    <w:rsid w:val="00E43656"/>
    <w:rsid w:val="00E44DAA"/>
    <w:rsid w:val="00E46A87"/>
    <w:rsid w:val="00E477F3"/>
    <w:rsid w:val="00E53F18"/>
    <w:rsid w:val="00E54F16"/>
    <w:rsid w:val="00E55A17"/>
    <w:rsid w:val="00E62089"/>
    <w:rsid w:val="00E66254"/>
    <w:rsid w:val="00E66C78"/>
    <w:rsid w:val="00E73269"/>
    <w:rsid w:val="00E81C81"/>
    <w:rsid w:val="00E90B98"/>
    <w:rsid w:val="00E92450"/>
    <w:rsid w:val="00E924CA"/>
    <w:rsid w:val="00E93194"/>
    <w:rsid w:val="00E9443D"/>
    <w:rsid w:val="00E9477E"/>
    <w:rsid w:val="00E9636D"/>
    <w:rsid w:val="00E97AFA"/>
    <w:rsid w:val="00EA44E7"/>
    <w:rsid w:val="00EA70F2"/>
    <w:rsid w:val="00EB2690"/>
    <w:rsid w:val="00EB4A36"/>
    <w:rsid w:val="00EB6306"/>
    <w:rsid w:val="00EC1F69"/>
    <w:rsid w:val="00EC3BA5"/>
    <w:rsid w:val="00EC5C85"/>
    <w:rsid w:val="00ED1A53"/>
    <w:rsid w:val="00ED3348"/>
    <w:rsid w:val="00ED48E0"/>
    <w:rsid w:val="00ED5F96"/>
    <w:rsid w:val="00ED6C67"/>
    <w:rsid w:val="00EF0C33"/>
    <w:rsid w:val="00EF27F4"/>
    <w:rsid w:val="00F03102"/>
    <w:rsid w:val="00F06587"/>
    <w:rsid w:val="00F12383"/>
    <w:rsid w:val="00F1639E"/>
    <w:rsid w:val="00F21CF5"/>
    <w:rsid w:val="00F2204E"/>
    <w:rsid w:val="00F25814"/>
    <w:rsid w:val="00F265F0"/>
    <w:rsid w:val="00F272D3"/>
    <w:rsid w:val="00F32FE4"/>
    <w:rsid w:val="00F33130"/>
    <w:rsid w:val="00F473E2"/>
    <w:rsid w:val="00F51325"/>
    <w:rsid w:val="00F522E4"/>
    <w:rsid w:val="00F54DBE"/>
    <w:rsid w:val="00F60562"/>
    <w:rsid w:val="00F60B80"/>
    <w:rsid w:val="00F6481E"/>
    <w:rsid w:val="00F71BDF"/>
    <w:rsid w:val="00F772CF"/>
    <w:rsid w:val="00F83361"/>
    <w:rsid w:val="00F87263"/>
    <w:rsid w:val="00F93A8D"/>
    <w:rsid w:val="00F94705"/>
    <w:rsid w:val="00F9548F"/>
    <w:rsid w:val="00FA0D3B"/>
    <w:rsid w:val="00FA16D4"/>
    <w:rsid w:val="00FA5F8E"/>
    <w:rsid w:val="00FA5FCC"/>
    <w:rsid w:val="00FB1A3C"/>
    <w:rsid w:val="00FB4C83"/>
    <w:rsid w:val="00FB6A5B"/>
    <w:rsid w:val="00FC6D15"/>
    <w:rsid w:val="00FD0B8D"/>
    <w:rsid w:val="00FD3ED4"/>
    <w:rsid w:val="00FD4170"/>
    <w:rsid w:val="00FD510C"/>
    <w:rsid w:val="00FD6A6F"/>
    <w:rsid w:val="00FD73AA"/>
    <w:rsid w:val="00FD75E3"/>
    <w:rsid w:val="00FE5969"/>
    <w:rsid w:val="00FE6F6B"/>
    <w:rsid w:val="00FE7A5E"/>
    <w:rsid w:val="00FF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215AB"/>
  <w15:docId w15:val="{32E79B95-8CF9-436B-959C-013225CC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4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8F"/>
    <w:rPr>
      <w:rFonts w:ascii="Calibri" w:eastAsia="Calibri" w:hAnsi="Calibri" w:cs="Times New Roman"/>
    </w:rPr>
  </w:style>
  <w:style w:type="paragraph" w:styleId="ListParagraph">
    <w:name w:val="List Paragraph"/>
    <w:basedOn w:val="Normal"/>
    <w:uiPriority w:val="34"/>
    <w:qFormat/>
    <w:rsid w:val="00F9548F"/>
    <w:pPr>
      <w:ind w:left="720"/>
      <w:contextualSpacing/>
    </w:pPr>
  </w:style>
  <w:style w:type="paragraph" w:styleId="Header">
    <w:name w:val="header"/>
    <w:basedOn w:val="Normal"/>
    <w:link w:val="HeaderChar"/>
    <w:uiPriority w:val="99"/>
    <w:unhideWhenUsed/>
    <w:rsid w:val="00A81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6FE"/>
    <w:rPr>
      <w:rFonts w:ascii="Calibri" w:eastAsia="Calibri" w:hAnsi="Calibri" w:cs="Times New Roman"/>
    </w:rPr>
  </w:style>
  <w:style w:type="character" w:styleId="CommentReference">
    <w:name w:val="annotation reference"/>
    <w:basedOn w:val="DefaultParagraphFont"/>
    <w:uiPriority w:val="99"/>
    <w:semiHidden/>
    <w:unhideWhenUsed/>
    <w:rsid w:val="0091243D"/>
    <w:rPr>
      <w:sz w:val="16"/>
      <w:szCs w:val="16"/>
    </w:rPr>
  </w:style>
  <w:style w:type="paragraph" w:styleId="CommentText">
    <w:name w:val="annotation text"/>
    <w:basedOn w:val="Normal"/>
    <w:link w:val="CommentTextChar"/>
    <w:uiPriority w:val="99"/>
    <w:semiHidden/>
    <w:unhideWhenUsed/>
    <w:rsid w:val="0091243D"/>
    <w:pPr>
      <w:spacing w:line="240" w:lineRule="auto"/>
    </w:pPr>
    <w:rPr>
      <w:sz w:val="20"/>
      <w:szCs w:val="20"/>
    </w:rPr>
  </w:style>
  <w:style w:type="character" w:customStyle="1" w:styleId="CommentTextChar">
    <w:name w:val="Comment Text Char"/>
    <w:basedOn w:val="DefaultParagraphFont"/>
    <w:link w:val="CommentText"/>
    <w:uiPriority w:val="99"/>
    <w:semiHidden/>
    <w:rsid w:val="009124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243D"/>
    <w:rPr>
      <w:b/>
      <w:bCs/>
    </w:rPr>
  </w:style>
  <w:style w:type="character" w:customStyle="1" w:styleId="CommentSubjectChar">
    <w:name w:val="Comment Subject Char"/>
    <w:basedOn w:val="CommentTextChar"/>
    <w:link w:val="CommentSubject"/>
    <w:uiPriority w:val="99"/>
    <w:semiHidden/>
    <w:rsid w:val="009124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12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3D"/>
    <w:rPr>
      <w:rFonts w:ascii="Segoe UI" w:eastAsia="Calibri" w:hAnsi="Segoe UI" w:cs="Segoe UI"/>
      <w:sz w:val="18"/>
      <w:szCs w:val="18"/>
    </w:rPr>
  </w:style>
  <w:style w:type="paragraph" w:styleId="BodyText">
    <w:name w:val="Body Text"/>
    <w:basedOn w:val="Normal"/>
    <w:link w:val="BodyTextChar"/>
    <w:uiPriority w:val="99"/>
    <w:rsid w:val="005D0C5D"/>
    <w:pPr>
      <w:suppressAutoHyphens/>
      <w:spacing w:after="120" w:line="240" w:lineRule="auto"/>
    </w:pPr>
    <w:rPr>
      <w:rFonts w:ascii="Times New Roman" w:eastAsia="MS Mincho" w:hAnsi="Times New Roman"/>
      <w:sz w:val="24"/>
      <w:szCs w:val="24"/>
      <w:lang w:val="en-US" w:eastAsia="ar-SA"/>
    </w:rPr>
  </w:style>
  <w:style w:type="character" w:customStyle="1" w:styleId="BodyTextChar">
    <w:name w:val="Body Text Char"/>
    <w:basedOn w:val="DefaultParagraphFont"/>
    <w:link w:val="BodyText"/>
    <w:uiPriority w:val="99"/>
    <w:rsid w:val="005D0C5D"/>
    <w:rPr>
      <w:rFonts w:ascii="Times New Roman" w:eastAsia="MS Mincho" w:hAnsi="Times New Roman" w:cs="Times New Roman"/>
      <w:sz w:val="24"/>
      <w:szCs w:val="24"/>
      <w:lang w:val="en-US" w:eastAsia="ar-SA"/>
    </w:rPr>
  </w:style>
  <w:style w:type="character" w:styleId="Hyperlink">
    <w:name w:val="Hyperlink"/>
    <w:basedOn w:val="DefaultParagraphFont"/>
    <w:uiPriority w:val="99"/>
    <w:unhideWhenUsed/>
    <w:rsid w:val="003A1429"/>
    <w:rPr>
      <w:color w:val="0563C1" w:themeColor="hyperlink"/>
      <w:u w:val="single"/>
    </w:rPr>
  </w:style>
  <w:style w:type="paragraph" w:styleId="FootnoteText">
    <w:name w:val="footnote text"/>
    <w:basedOn w:val="Normal"/>
    <w:link w:val="FootnoteTextChar"/>
    <w:uiPriority w:val="99"/>
    <w:semiHidden/>
    <w:unhideWhenUsed/>
    <w:rsid w:val="008C5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DE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C5DE6"/>
    <w:rPr>
      <w:vertAlign w:val="superscript"/>
    </w:rPr>
  </w:style>
  <w:style w:type="paragraph" w:styleId="Revision">
    <w:name w:val="Revision"/>
    <w:hidden/>
    <w:uiPriority w:val="99"/>
    <w:semiHidden/>
    <w:rsid w:val="00967A1D"/>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442ECA"/>
    <w:rPr>
      <w:color w:val="605E5C"/>
      <w:shd w:val="clear" w:color="auto" w:fill="E1DFDD"/>
    </w:rPr>
  </w:style>
  <w:style w:type="table" w:customStyle="1" w:styleId="1">
    <w:name w:val="1"/>
    <w:basedOn w:val="TableNormal"/>
    <w:rsid w:val="006213AF"/>
    <w:pPr>
      <w:spacing w:after="0" w:line="276" w:lineRule="auto"/>
    </w:pPr>
    <w:rPr>
      <w:rFonts w:ascii="Arial" w:eastAsia="Arial" w:hAnsi="Arial" w:cs="Arial"/>
      <w:lang w:val="en-U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945">
      <w:bodyDiv w:val="1"/>
      <w:marLeft w:val="0"/>
      <w:marRight w:val="0"/>
      <w:marTop w:val="0"/>
      <w:marBottom w:val="0"/>
      <w:divBdr>
        <w:top w:val="none" w:sz="0" w:space="0" w:color="auto"/>
        <w:left w:val="none" w:sz="0" w:space="0" w:color="auto"/>
        <w:bottom w:val="none" w:sz="0" w:space="0" w:color="auto"/>
        <w:right w:val="none" w:sz="0" w:space="0" w:color="auto"/>
      </w:divBdr>
    </w:div>
    <w:div w:id="4987685">
      <w:bodyDiv w:val="1"/>
      <w:marLeft w:val="0"/>
      <w:marRight w:val="0"/>
      <w:marTop w:val="0"/>
      <w:marBottom w:val="0"/>
      <w:divBdr>
        <w:top w:val="none" w:sz="0" w:space="0" w:color="auto"/>
        <w:left w:val="none" w:sz="0" w:space="0" w:color="auto"/>
        <w:bottom w:val="none" w:sz="0" w:space="0" w:color="auto"/>
        <w:right w:val="none" w:sz="0" w:space="0" w:color="auto"/>
      </w:divBdr>
      <w:divsChild>
        <w:div w:id="84485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3084">
      <w:bodyDiv w:val="1"/>
      <w:marLeft w:val="0"/>
      <w:marRight w:val="0"/>
      <w:marTop w:val="0"/>
      <w:marBottom w:val="0"/>
      <w:divBdr>
        <w:top w:val="none" w:sz="0" w:space="0" w:color="auto"/>
        <w:left w:val="none" w:sz="0" w:space="0" w:color="auto"/>
        <w:bottom w:val="none" w:sz="0" w:space="0" w:color="auto"/>
        <w:right w:val="none" w:sz="0" w:space="0" w:color="auto"/>
      </w:divBdr>
      <w:divsChild>
        <w:div w:id="106121092">
          <w:marLeft w:val="0"/>
          <w:marRight w:val="0"/>
          <w:marTop w:val="0"/>
          <w:marBottom w:val="0"/>
          <w:divBdr>
            <w:top w:val="none" w:sz="0" w:space="0" w:color="auto"/>
            <w:left w:val="none" w:sz="0" w:space="0" w:color="auto"/>
            <w:bottom w:val="none" w:sz="0" w:space="0" w:color="auto"/>
            <w:right w:val="none" w:sz="0" w:space="0" w:color="auto"/>
          </w:divBdr>
        </w:div>
        <w:div w:id="710110976">
          <w:marLeft w:val="0"/>
          <w:marRight w:val="0"/>
          <w:marTop w:val="0"/>
          <w:marBottom w:val="0"/>
          <w:divBdr>
            <w:top w:val="none" w:sz="0" w:space="0" w:color="auto"/>
            <w:left w:val="none" w:sz="0" w:space="0" w:color="auto"/>
            <w:bottom w:val="none" w:sz="0" w:space="0" w:color="auto"/>
            <w:right w:val="none" w:sz="0" w:space="0" w:color="auto"/>
          </w:divBdr>
          <w:divsChild>
            <w:div w:id="7323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957">
      <w:bodyDiv w:val="1"/>
      <w:marLeft w:val="0"/>
      <w:marRight w:val="0"/>
      <w:marTop w:val="0"/>
      <w:marBottom w:val="0"/>
      <w:divBdr>
        <w:top w:val="none" w:sz="0" w:space="0" w:color="auto"/>
        <w:left w:val="none" w:sz="0" w:space="0" w:color="auto"/>
        <w:bottom w:val="none" w:sz="0" w:space="0" w:color="auto"/>
        <w:right w:val="none" w:sz="0" w:space="0" w:color="auto"/>
      </w:divBdr>
    </w:div>
    <w:div w:id="76950194">
      <w:bodyDiv w:val="1"/>
      <w:marLeft w:val="0"/>
      <w:marRight w:val="0"/>
      <w:marTop w:val="0"/>
      <w:marBottom w:val="0"/>
      <w:divBdr>
        <w:top w:val="none" w:sz="0" w:space="0" w:color="auto"/>
        <w:left w:val="none" w:sz="0" w:space="0" w:color="auto"/>
        <w:bottom w:val="none" w:sz="0" w:space="0" w:color="auto"/>
        <w:right w:val="none" w:sz="0" w:space="0" w:color="auto"/>
      </w:divBdr>
    </w:div>
    <w:div w:id="106703685">
      <w:bodyDiv w:val="1"/>
      <w:marLeft w:val="0"/>
      <w:marRight w:val="0"/>
      <w:marTop w:val="0"/>
      <w:marBottom w:val="0"/>
      <w:divBdr>
        <w:top w:val="none" w:sz="0" w:space="0" w:color="auto"/>
        <w:left w:val="none" w:sz="0" w:space="0" w:color="auto"/>
        <w:bottom w:val="none" w:sz="0" w:space="0" w:color="auto"/>
        <w:right w:val="none" w:sz="0" w:space="0" w:color="auto"/>
      </w:divBdr>
    </w:div>
    <w:div w:id="126624613">
      <w:bodyDiv w:val="1"/>
      <w:marLeft w:val="0"/>
      <w:marRight w:val="0"/>
      <w:marTop w:val="0"/>
      <w:marBottom w:val="0"/>
      <w:divBdr>
        <w:top w:val="none" w:sz="0" w:space="0" w:color="auto"/>
        <w:left w:val="none" w:sz="0" w:space="0" w:color="auto"/>
        <w:bottom w:val="none" w:sz="0" w:space="0" w:color="auto"/>
        <w:right w:val="none" w:sz="0" w:space="0" w:color="auto"/>
      </w:divBdr>
    </w:div>
    <w:div w:id="168177874">
      <w:bodyDiv w:val="1"/>
      <w:marLeft w:val="0"/>
      <w:marRight w:val="0"/>
      <w:marTop w:val="0"/>
      <w:marBottom w:val="0"/>
      <w:divBdr>
        <w:top w:val="none" w:sz="0" w:space="0" w:color="auto"/>
        <w:left w:val="none" w:sz="0" w:space="0" w:color="auto"/>
        <w:bottom w:val="none" w:sz="0" w:space="0" w:color="auto"/>
        <w:right w:val="none" w:sz="0" w:space="0" w:color="auto"/>
      </w:divBdr>
    </w:div>
    <w:div w:id="235016583">
      <w:bodyDiv w:val="1"/>
      <w:marLeft w:val="0"/>
      <w:marRight w:val="0"/>
      <w:marTop w:val="0"/>
      <w:marBottom w:val="0"/>
      <w:divBdr>
        <w:top w:val="none" w:sz="0" w:space="0" w:color="auto"/>
        <w:left w:val="none" w:sz="0" w:space="0" w:color="auto"/>
        <w:bottom w:val="none" w:sz="0" w:space="0" w:color="auto"/>
        <w:right w:val="none" w:sz="0" w:space="0" w:color="auto"/>
      </w:divBdr>
      <w:divsChild>
        <w:div w:id="1619024963">
          <w:marLeft w:val="0"/>
          <w:marRight w:val="0"/>
          <w:marTop w:val="0"/>
          <w:marBottom w:val="0"/>
          <w:divBdr>
            <w:top w:val="none" w:sz="0" w:space="0" w:color="auto"/>
            <w:left w:val="none" w:sz="0" w:space="0" w:color="auto"/>
            <w:bottom w:val="none" w:sz="0" w:space="0" w:color="auto"/>
            <w:right w:val="none" w:sz="0" w:space="0" w:color="auto"/>
          </w:divBdr>
        </w:div>
        <w:div w:id="662009601">
          <w:marLeft w:val="0"/>
          <w:marRight w:val="0"/>
          <w:marTop w:val="0"/>
          <w:marBottom w:val="0"/>
          <w:divBdr>
            <w:top w:val="none" w:sz="0" w:space="0" w:color="auto"/>
            <w:left w:val="none" w:sz="0" w:space="0" w:color="auto"/>
            <w:bottom w:val="none" w:sz="0" w:space="0" w:color="auto"/>
            <w:right w:val="none" w:sz="0" w:space="0" w:color="auto"/>
          </w:divBdr>
          <w:divsChild>
            <w:div w:id="3569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1593">
      <w:bodyDiv w:val="1"/>
      <w:marLeft w:val="0"/>
      <w:marRight w:val="0"/>
      <w:marTop w:val="0"/>
      <w:marBottom w:val="0"/>
      <w:divBdr>
        <w:top w:val="none" w:sz="0" w:space="0" w:color="auto"/>
        <w:left w:val="none" w:sz="0" w:space="0" w:color="auto"/>
        <w:bottom w:val="none" w:sz="0" w:space="0" w:color="auto"/>
        <w:right w:val="none" w:sz="0" w:space="0" w:color="auto"/>
      </w:divBdr>
    </w:div>
    <w:div w:id="453446720">
      <w:bodyDiv w:val="1"/>
      <w:marLeft w:val="0"/>
      <w:marRight w:val="0"/>
      <w:marTop w:val="0"/>
      <w:marBottom w:val="0"/>
      <w:divBdr>
        <w:top w:val="none" w:sz="0" w:space="0" w:color="auto"/>
        <w:left w:val="none" w:sz="0" w:space="0" w:color="auto"/>
        <w:bottom w:val="none" w:sz="0" w:space="0" w:color="auto"/>
        <w:right w:val="none" w:sz="0" w:space="0" w:color="auto"/>
      </w:divBdr>
      <w:divsChild>
        <w:div w:id="902448702">
          <w:marLeft w:val="0"/>
          <w:marRight w:val="0"/>
          <w:marTop w:val="0"/>
          <w:marBottom w:val="0"/>
          <w:divBdr>
            <w:top w:val="none" w:sz="0" w:space="0" w:color="auto"/>
            <w:left w:val="none" w:sz="0" w:space="0" w:color="auto"/>
            <w:bottom w:val="none" w:sz="0" w:space="0" w:color="auto"/>
            <w:right w:val="none" w:sz="0" w:space="0" w:color="auto"/>
          </w:divBdr>
        </w:div>
        <w:div w:id="1619918851">
          <w:marLeft w:val="0"/>
          <w:marRight w:val="0"/>
          <w:marTop w:val="0"/>
          <w:marBottom w:val="0"/>
          <w:divBdr>
            <w:top w:val="none" w:sz="0" w:space="0" w:color="auto"/>
            <w:left w:val="none" w:sz="0" w:space="0" w:color="auto"/>
            <w:bottom w:val="none" w:sz="0" w:space="0" w:color="auto"/>
            <w:right w:val="none" w:sz="0" w:space="0" w:color="auto"/>
          </w:divBdr>
        </w:div>
        <w:div w:id="1527017083">
          <w:marLeft w:val="0"/>
          <w:marRight w:val="0"/>
          <w:marTop w:val="0"/>
          <w:marBottom w:val="0"/>
          <w:divBdr>
            <w:top w:val="none" w:sz="0" w:space="0" w:color="auto"/>
            <w:left w:val="none" w:sz="0" w:space="0" w:color="auto"/>
            <w:bottom w:val="none" w:sz="0" w:space="0" w:color="auto"/>
            <w:right w:val="none" w:sz="0" w:space="0" w:color="auto"/>
          </w:divBdr>
        </w:div>
        <w:div w:id="132602570">
          <w:marLeft w:val="0"/>
          <w:marRight w:val="0"/>
          <w:marTop w:val="0"/>
          <w:marBottom w:val="0"/>
          <w:divBdr>
            <w:top w:val="none" w:sz="0" w:space="0" w:color="auto"/>
            <w:left w:val="none" w:sz="0" w:space="0" w:color="auto"/>
            <w:bottom w:val="none" w:sz="0" w:space="0" w:color="auto"/>
            <w:right w:val="none" w:sz="0" w:space="0" w:color="auto"/>
          </w:divBdr>
        </w:div>
        <w:div w:id="728698337">
          <w:marLeft w:val="0"/>
          <w:marRight w:val="0"/>
          <w:marTop w:val="0"/>
          <w:marBottom w:val="0"/>
          <w:divBdr>
            <w:top w:val="none" w:sz="0" w:space="0" w:color="auto"/>
            <w:left w:val="none" w:sz="0" w:space="0" w:color="auto"/>
            <w:bottom w:val="none" w:sz="0" w:space="0" w:color="auto"/>
            <w:right w:val="none" w:sz="0" w:space="0" w:color="auto"/>
          </w:divBdr>
        </w:div>
        <w:div w:id="1903296756">
          <w:marLeft w:val="0"/>
          <w:marRight w:val="0"/>
          <w:marTop w:val="0"/>
          <w:marBottom w:val="0"/>
          <w:divBdr>
            <w:top w:val="none" w:sz="0" w:space="0" w:color="auto"/>
            <w:left w:val="none" w:sz="0" w:space="0" w:color="auto"/>
            <w:bottom w:val="none" w:sz="0" w:space="0" w:color="auto"/>
            <w:right w:val="none" w:sz="0" w:space="0" w:color="auto"/>
          </w:divBdr>
        </w:div>
        <w:div w:id="69428109">
          <w:marLeft w:val="0"/>
          <w:marRight w:val="0"/>
          <w:marTop w:val="0"/>
          <w:marBottom w:val="0"/>
          <w:divBdr>
            <w:top w:val="none" w:sz="0" w:space="0" w:color="auto"/>
            <w:left w:val="none" w:sz="0" w:space="0" w:color="auto"/>
            <w:bottom w:val="none" w:sz="0" w:space="0" w:color="auto"/>
            <w:right w:val="none" w:sz="0" w:space="0" w:color="auto"/>
          </w:divBdr>
        </w:div>
        <w:div w:id="1355694056">
          <w:marLeft w:val="0"/>
          <w:marRight w:val="0"/>
          <w:marTop w:val="0"/>
          <w:marBottom w:val="0"/>
          <w:divBdr>
            <w:top w:val="none" w:sz="0" w:space="0" w:color="auto"/>
            <w:left w:val="none" w:sz="0" w:space="0" w:color="auto"/>
            <w:bottom w:val="none" w:sz="0" w:space="0" w:color="auto"/>
            <w:right w:val="none" w:sz="0" w:space="0" w:color="auto"/>
          </w:divBdr>
        </w:div>
        <w:div w:id="700474426">
          <w:marLeft w:val="0"/>
          <w:marRight w:val="0"/>
          <w:marTop w:val="0"/>
          <w:marBottom w:val="0"/>
          <w:divBdr>
            <w:top w:val="none" w:sz="0" w:space="0" w:color="auto"/>
            <w:left w:val="none" w:sz="0" w:space="0" w:color="auto"/>
            <w:bottom w:val="none" w:sz="0" w:space="0" w:color="auto"/>
            <w:right w:val="none" w:sz="0" w:space="0" w:color="auto"/>
          </w:divBdr>
        </w:div>
      </w:divsChild>
    </w:div>
    <w:div w:id="516162796">
      <w:bodyDiv w:val="1"/>
      <w:marLeft w:val="0"/>
      <w:marRight w:val="0"/>
      <w:marTop w:val="0"/>
      <w:marBottom w:val="0"/>
      <w:divBdr>
        <w:top w:val="none" w:sz="0" w:space="0" w:color="auto"/>
        <w:left w:val="none" w:sz="0" w:space="0" w:color="auto"/>
        <w:bottom w:val="none" w:sz="0" w:space="0" w:color="auto"/>
        <w:right w:val="none" w:sz="0" w:space="0" w:color="auto"/>
      </w:divBdr>
    </w:div>
    <w:div w:id="533155238">
      <w:bodyDiv w:val="1"/>
      <w:marLeft w:val="0"/>
      <w:marRight w:val="0"/>
      <w:marTop w:val="0"/>
      <w:marBottom w:val="0"/>
      <w:divBdr>
        <w:top w:val="none" w:sz="0" w:space="0" w:color="auto"/>
        <w:left w:val="none" w:sz="0" w:space="0" w:color="auto"/>
        <w:bottom w:val="none" w:sz="0" w:space="0" w:color="auto"/>
        <w:right w:val="none" w:sz="0" w:space="0" w:color="auto"/>
      </w:divBdr>
    </w:div>
    <w:div w:id="651564444">
      <w:bodyDiv w:val="1"/>
      <w:marLeft w:val="0"/>
      <w:marRight w:val="0"/>
      <w:marTop w:val="0"/>
      <w:marBottom w:val="0"/>
      <w:divBdr>
        <w:top w:val="none" w:sz="0" w:space="0" w:color="auto"/>
        <w:left w:val="none" w:sz="0" w:space="0" w:color="auto"/>
        <w:bottom w:val="none" w:sz="0" w:space="0" w:color="auto"/>
        <w:right w:val="none" w:sz="0" w:space="0" w:color="auto"/>
      </w:divBdr>
    </w:div>
    <w:div w:id="670184411">
      <w:bodyDiv w:val="1"/>
      <w:marLeft w:val="0"/>
      <w:marRight w:val="0"/>
      <w:marTop w:val="0"/>
      <w:marBottom w:val="0"/>
      <w:divBdr>
        <w:top w:val="none" w:sz="0" w:space="0" w:color="auto"/>
        <w:left w:val="none" w:sz="0" w:space="0" w:color="auto"/>
        <w:bottom w:val="none" w:sz="0" w:space="0" w:color="auto"/>
        <w:right w:val="none" w:sz="0" w:space="0" w:color="auto"/>
      </w:divBdr>
    </w:div>
    <w:div w:id="673997733">
      <w:bodyDiv w:val="1"/>
      <w:marLeft w:val="0"/>
      <w:marRight w:val="0"/>
      <w:marTop w:val="0"/>
      <w:marBottom w:val="0"/>
      <w:divBdr>
        <w:top w:val="none" w:sz="0" w:space="0" w:color="auto"/>
        <w:left w:val="none" w:sz="0" w:space="0" w:color="auto"/>
        <w:bottom w:val="none" w:sz="0" w:space="0" w:color="auto"/>
        <w:right w:val="none" w:sz="0" w:space="0" w:color="auto"/>
      </w:divBdr>
    </w:div>
    <w:div w:id="695740207">
      <w:bodyDiv w:val="1"/>
      <w:marLeft w:val="0"/>
      <w:marRight w:val="0"/>
      <w:marTop w:val="0"/>
      <w:marBottom w:val="0"/>
      <w:divBdr>
        <w:top w:val="none" w:sz="0" w:space="0" w:color="auto"/>
        <w:left w:val="none" w:sz="0" w:space="0" w:color="auto"/>
        <w:bottom w:val="none" w:sz="0" w:space="0" w:color="auto"/>
        <w:right w:val="none" w:sz="0" w:space="0" w:color="auto"/>
      </w:divBdr>
    </w:div>
    <w:div w:id="819425380">
      <w:bodyDiv w:val="1"/>
      <w:marLeft w:val="0"/>
      <w:marRight w:val="0"/>
      <w:marTop w:val="0"/>
      <w:marBottom w:val="0"/>
      <w:divBdr>
        <w:top w:val="none" w:sz="0" w:space="0" w:color="auto"/>
        <w:left w:val="none" w:sz="0" w:space="0" w:color="auto"/>
        <w:bottom w:val="none" w:sz="0" w:space="0" w:color="auto"/>
        <w:right w:val="none" w:sz="0" w:space="0" w:color="auto"/>
      </w:divBdr>
      <w:divsChild>
        <w:div w:id="252905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007252">
      <w:bodyDiv w:val="1"/>
      <w:marLeft w:val="0"/>
      <w:marRight w:val="0"/>
      <w:marTop w:val="0"/>
      <w:marBottom w:val="0"/>
      <w:divBdr>
        <w:top w:val="none" w:sz="0" w:space="0" w:color="auto"/>
        <w:left w:val="none" w:sz="0" w:space="0" w:color="auto"/>
        <w:bottom w:val="none" w:sz="0" w:space="0" w:color="auto"/>
        <w:right w:val="none" w:sz="0" w:space="0" w:color="auto"/>
      </w:divBdr>
    </w:div>
    <w:div w:id="897546466">
      <w:bodyDiv w:val="1"/>
      <w:marLeft w:val="0"/>
      <w:marRight w:val="0"/>
      <w:marTop w:val="0"/>
      <w:marBottom w:val="0"/>
      <w:divBdr>
        <w:top w:val="none" w:sz="0" w:space="0" w:color="auto"/>
        <w:left w:val="none" w:sz="0" w:space="0" w:color="auto"/>
        <w:bottom w:val="none" w:sz="0" w:space="0" w:color="auto"/>
        <w:right w:val="none" w:sz="0" w:space="0" w:color="auto"/>
      </w:divBdr>
    </w:div>
    <w:div w:id="898901775">
      <w:bodyDiv w:val="1"/>
      <w:marLeft w:val="0"/>
      <w:marRight w:val="0"/>
      <w:marTop w:val="0"/>
      <w:marBottom w:val="0"/>
      <w:divBdr>
        <w:top w:val="none" w:sz="0" w:space="0" w:color="auto"/>
        <w:left w:val="none" w:sz="0" w:space="0" w:color="auto"/>
        <w:bottom w:val="none" w:sz="0" w:space="0" w:color="auto"/>
        <w:right w:val="none" w:sz="0" w:space="0" w:color="auto"/>
      </w:divBdr>
    </w:div>
    <w:div w:id="900676974">
      <w:bodyDiv w:val="1"/>
      <w:marLeft w:val="0"/>
      <w:marRight w:val="0"/>
      <w:marTop w:val="0"/>
      <w:marBottom w:val="0"/>
      <w:divBdr>
        <w:top w:val="none" w:sz="0" w:space="0" w:color="auto"/>
        <w:left w:val="none" w:sz="0" w:space="0" w:color="auto"/>
        <w:bottom w:val="none" w:sz="0" w:space="0" w:color="auto"/>
        <w:right w:val="none" w:sz="0" w:space="0" w:color="auto"/>
      </w:divBdr>
    </w:div>
    <w:div w:id="947005753">
      <w:bodyDiv w:val="1"/>
      <w:marLeft w:val="0"/>
      <w:marRight w:val="0"/>
      <w:marTop w:val="0"/>
      <w:marBottom w:val="0"/>
      <w:divBdr>
        <w:top w:val="none" w:sz="0" w:space="0" w:color="auto"/>
        <w:left w:val="none" w:sz="0" w:space="0" w:color="auto"/>
        <w:bottom w:val="none" w:sz="0" w:space="0" w:color="auto"/>
        <w:right w:val="none" w:sz="0" w:space="0" w:color="auto"/>
      </w:divBdr>
    </w:div>
    <w:div w:id="949820680">
      <w:bodyDiv w:val="1"/>
      <w:marLeft w:val="0"/>
      <w:marRight w:val="0"/>
      <w:marTop w:val="0"/>
      <w:marBottom w:val="0"/>
      <w:divBdr>
        <w:top w:val="none" w:sz="0" w:space="0" w:color="auto"/>
        <w:left w:val="none" w:sz="0" w:space="0" w:color="auto"/>
        <w:bottom w:val="none" w:sz="0" w:space="0" w:color="auto"/>
        <w:right w:val="none" w:sz="0" w:space="0" w:color="auto"/>
      </w:divBdr>
    </w:div>
    <w:div w:id="953681852">
      <w:bodyDiv w:val="1"/>
      <w:marLeft w:val="0"/>
      <w:marRight w:val="0"/>
      <w:marTop w:val="0"/>
      <w:marBottom w:val="0"/>
      <w:divBdr>
        <w:top w:val="none" w:sz="0" w:space="0" w:color="auto"/>
        <w:left w:val="none" w:sz="0" w:space="0" w:color="auto"/>
        <w:bottom w:val="none" w:sz="0" w:space="0" w:color="auto"/>
        <w:right w:val="none" w:sz="0" w:space="0" w:color="auto"/>
      </w:divBdr>
    </w:div>
    <w:div w:id="1002007495">
      <w:bodyDiv w:val="1"/>
      <w:marLeft w:val="0"/>
      <w:marRight w:val="0"/>
      <w:marTop w:val="0"/>
      <w:marBottom w:val="0"/>
      <w:divBdr>
        <w:top w:val="none" w:sz="0" w:space="0" w:color="auto"/>
        <w:left w:val="none" w:sz="0" w:space="0" w:color="auto"/>
        <w:bottom w:val="none" w:sz="0" w:space="0" w:color="auto"/>
        <w:right w:val="none" w:sz="0" w:space="0" w:color="auto"/>
      </w:divBdr>
    </w:div>
    <w:div w:id="1112624572">
      <w:bodyDiv w:val="1"/>
      <w:marLeft w:val="0"/>
      <w:marRight w:val="0"/>
      <w:marTop w:val="0"/>
      <w:marBottom w:val="0"/>
      <w:divBdr>
        <w:top w:val="none" w:sz="0" w:space="0" w:color="auto"/>
        <w:left w:val="none" w:sz="0" w:space="0" w:color="auto"/>
        <w:bottom w:val="none" w:sz="0" w:space="0" w:color="auto"/>
        <w:right w:val="none" w:sz="0" w:space="0" w:color="auto"/>
      </w:divBdr>
    </w:div>
    <w:div w:id="1114515055">
      <w:bodyDiv w:val="1"/>
      <w:marLeft w:val="0"/>
      <w:marRight w:val="0"/>
      <w:marTop w:val="0"/>
      <w:marBottom w:val="0"/>
      <w:divBdr>
        <w:top w:val="none" w:sz="0" w:space="0" w:color="auto"/>
        <w:left w:val="none" w:sz="0" w:space="0" w:color="auto"/>
        <w:bottom w:val="none" w:sz="0" w:space="0" w:color="auto"/>
        <w:right w:val="none" w:sz="0" w:space="0" w:color="auto"/>
      </w:divBdr>
    </w:div>
    <w:div w:id="11253891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180312">
      <w:bodyDiv w:val="1"/>
      <w:marLeft w:val="0"/>
      <w:marRight w:val="0"/>
      <w:marTop w:val="0"/>
      <w:marBottom w:val="0"/>
      <w:divBdr>
        <w:top w:val="none" w:sz="0" w:space="0" w:color="auto"/>
        <w:left w:val="none" w:sz="0" w:space="0" w:color="auto"/>
        <w:bottom w:val="none" w:sz="0" w:space="0" w:color="auto"/>
        <w:right w:val="none" w:sz="0" w:space="0" w:color="auto"/>
      </w:divBdr>
    </w:div>
    <w:div w:id="1196693643">
      <w:bodyDiv w:val="1"/>
      <w:marLeft w:val="0"/>
      <w:marRight w:val="0"/>
      <w:marTop w:val="0"/>
      <w:marBottom w:val="0"/>
      <w:divBdr>
        <w:top w:val="none" w:sz="0" w:space="0" w:color="auto"/>
        <w:left w:val="none" w:sz="0" w:space="0" w:color="auto"/>
        <w:bottom w:val="none" w:sz="0" w:space="0" w:color="auto"/>
        <w:right w:val="none" w:sz="0" w:space="0" w:color="auto"/>
      </w:divBdr>
    </w:div>
    <w:div w:id="1240409939">
      <w:bodyDiv w:val="1"/>
      <w:marLeft w:val="0"/>
      <w:marRight w:val="0"/>
      <w:marTop w:val="0"/>
      <w:marBottom w:val="0"/>
      <w:divBdr>
        <w:top w:val="none" w:sz="0" w:space="0" w:color="auto"/>
        <w:left w:val="none" w:sz="0" w:space="0" w:color="auto"/>
        <w:bottom w:val="none" w:sz="0" w:space="0" w:color="auto"/>
        <w:right w:val="none" w:sz="0" w:space="0" w:color="auto"/>
      </w:divBdr>
    </w:div>
    <w:div w:id="1266811351">
      <w:bodyDiv w:val="1"/>
      <w:marLeft w:val="0"/>
      <w:marRight w:val="0"/>
      <w:marTop w:val="0"/>
      <w:marBottom w:val="0"/>
      <w:divBdr>
        <w:top w:val="none" w:sz="0" w:space="0" w:color="auto"/>
        <w:left w:val="none" w:sz="0" w:space="0" w:color="auto"/>
        <w:bottom w:val="none" w:sz="0" w:space="0" w:color="auto"/>
        <w:right w:val="none" w:sz="0" w:space="0" w:color="auto"/>
      </w:divBdr>
    </w:div>
    <w:div w:id="1284768250">
      <w:bodyDiv w:val="1"/>
      <w:marLeft w:val="0"/>
      <w:marRight w:val="0"/>
      <w:marTop w:val="0"/>
      <w:marBottom w:val="0"/>
      <w:divBdr>
        <w:top w:val="none" w:sz="0" w:space="0" w:color="auto"/>
        <w:left w:val="none" w:sz="0" w:space="0" w:color="auto"/>
        <w:bottom w:val="none" w:sz="0" w:space="0" w:color="auto"/>
        <w:right w:val="none" w:sz="0" w:space="0" w:color="auto"/>
      </w:divBdr>
    </w:div>
    <w:div w:id="1293944448">
      <w:bodyDiv w:val="1"/>
      <w:marLeft w:val="0"/>
      <w:marRight w:val="0"/>
      <w:marTop w:val="0"/>
      <w:marBottom w:val="0"/>
      <w:divBdr>
        <w:top w:val="none" w:sz="0" w:space="0" w:color="auto"/>
        <w:left w:val="none" w:sz="0" w:space="0" w:color="auto"/>
        <w:bottom w:val="none" w:sz="0" w:space="0" w:color="auto"/>
        <w:right w:val="none" w:sz="0" w:space="0" w:color="auto"/>
      </w:divBdr>
      <w:divsChild>
        <w:div w:id="2117826463">
          <w:marLeft w:val="0"/>
          <w:marRight w:val="0"/>
          <w:marTop w:val="0"/>
          <w:marBottom w:val="0"/>
          <w:divBdr>
            <w:top w:val="none" w:sz="0" w:space="0" w:color="auto"/>
            <w:left w:val="none" w:sz="0" w:space="0" w:color="auto"/>
            <w:bottom w:val="none" w:sz="0" w:space="0" w:color="auto"/>
            <w:right w:val="none" w:sz="0" w:space="0" w:color="auto"/>
          </w:divBdr>
          <w:divsChild>
            <w:div w:id="1095202150">
              <w:marLeft w:val="0"/>
              <w:marRight w:val="0"/>
              <w:marTop w:val="0"/>
              <w:marBottom w:val="0"/>
              <w:divBdr>
                <w:top w:val="none" w:sz="0" w:space="0" w:color="auto"/>
                <w:left w:val="none" w:sz="0" w:space="0" w:color="auto"/>
                <w:bottom w:val="none" w:sz="0" w:space="0" w:color="auto"/>
                <w:right w:val="none" w:sz="0" w:space="0" w:color="auto"/>
              </w:divBdr>
              <w:divsChild>
                <w:div w:id="80224663">
                  <w:marLeft w:val="0"/>
                  <w:marRight w:val="0"/>
                  <w:marTop w:val="0"/>
                  <w:marBottom w:val="0"/>
                  <w:divBdr>
                    <w:top w:val="none" w:sz="0" w:space="0" w:color="auto"/>
                    <w:left w:val="none" w:sz="0" w:space="0" w:color="auto"/>
                    <w:bottom w:val="none" w:sz="0" w:space="0" w:color="auto"/>
                    <w:right w:val="none" w:sz="0" w:space="0" w:color="auto"/>
                  </w:divBdr>
                  <w:divsChild>
                    <w:div w:id="1509902741">
                      <w:marLeft w:val="0"/>
                      <w:marRight w:val="0"/>
                      <w:marTop w:val="0"/>
                      <w:marBottom w:val="0"/>
                      <w:divBdr>
                        <w:top w:val="none" w:sz="0" w:space="0" w:color="auto"/>
                        <w:left w:val="none" w:sz="0" w:space="0" w:color="auto"/>
                        <w:bottom w:val="none" w:sz="0" w:space="0" w:color="auto"/>
                        <w:right w:val="none" w:sz="0" w:space="0" w:color="auto"/>
                      </w:divBdr>
                      <w:divsChild>
                        <w:div w:id="1868448968">
                          <w:marLeft w:val="0"/>
                          <w:marRight w:val="0"/>
                          <w:marTop w:val="0"/>
                          <w:marBottom w:val="0"/>
                          <w:divBdr>
                            <w:top w:val="none" w:sz="0" w:space="0" w:color="auto"/>
                            <w:left w:val="none" w:sz="0" w:space="0" w:color="auto"/>
                            <w:bottom w:val="none" w:sz="0" w:space="0" w:color="auto"/>
                            <w:right w:val="none" w:sz="0" w:space="0" w:color="auto"/>
                          </w:divBdr>
                          <w:divsChild>
                            <w:div w:id="25328888">
                              <w:marLeft w:val="0"/>
                              <w:marRight w:val="0"/>
                              <w:marTop w:val="0"/>
                              <w:marBottom w:val="0"/>
                              <w:divBdr>
                                <w:top w:val="none" w:sz="0" w:space="0" w:color="auto"/>
                                <w:left w:val="none" w:sz="0" w:space="0" w:color="auto"/>
                                <w:bottom w:val="none" w:sz="0" w:space="0" w:color="auto"/>
                                <w:right w:val="none" w:sz="0" w:space="0" w:color="auto"/>
                              </w:divBdr>
                              <w:divsChild>
                                <w:div w:id="624046217">
                                  <w:marLeft w:val="0"/>
                                  <w:marRight w:val="0"/>
                                  <w:marTop w:val="0"/>
                                  <w:marBottom w:val="0"/>
                                  <w:divBdr>
                                    <w:top w:val="none" w:sz="0" w:space="0" w:color="auto"/>
                                    <w:left w:val="none" w:sz="0" w:space="0" w:color="auto"/>
                                    <w:bottom w:val="none" w:sz="0" w:space="0" w:color="auto"/>
                                    <w:right w:val="none" w:sz="0" w:space="0" w:color="auto"/>
                                  </w:divBdr>
                                  <w:divsChild>
                                    <w:div w:id="4496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384917">
      <w:bodyDiv w:val="1"/>
      <w:marLeft w:val="0"/>
      <w:marRight w:val="0"/>
      <w:marTop w:val="0"/>
      <w:marBottom w:val="0"/>
      <w:divBdr>
        <w:top w:val="none" w:sz="0" w:space="0" w:color="auto"/>
        <w:left w:val="none" w:sz="0" w:space="0" w:color="auto"/>
        <w:bottom w:val="none" w:sz="0" w:space="0" w:color="auto"/>
        <w:right w:val="none" w:sz="0" w:space="0" w:color="auto"/>
      </w:divBdr>
    </w:div>
    <w:div w:id="1376807916">
      <w:bodyDiv w:val="1"/>
      <w:marLeft w:val="0"/>
      <w:marRight w:val="0"/>
      <w:marTop w:val="0"/>
      <w:marBottom w:val="0"/>
      <w:divBdr>
        <w:top w:val="none" w:sz="0" w:space="0" w:color="auto"/>
        <w:left w:val="none" w:sz="0" w:space="0" w:color="auto"/>
        <w:bottom w:val="none" w:sz="0" w:space="0" w:color="auto"/>
        <w:right w:val="none" w:sz="0" w:space="0" w:color="auto"/>
      </w:divBdr>
    </w:div>
    <w:div w:id="1464730156">
      <w:bodyDiv w:val="1"/>
      <w:marLeft w:val="0"/>
      <w:marRight w:val="0"/>
      <w:marTop w:val="0"/>
      <w:marBottom w:val="0"/>
      <w:divBdr>
        <w:top w:val="none" w:sz="0" w:space="0" w:color="auto"/>
        <w:left w:val="none" w:sz="0" w:space="0" w:color="auto"/>
        <w:bottom w:val="none" w:sz="0" w:space="0" w:color="auto"/>
        <w:right w:val="none" w:sz="0" w:space="0" w:color="auto"/>
      </w:divBdr>
    </w:div>
    <w:div w:id="1481775754">
      <w:bodyDiv w:val="1"/>
      <w:marLeft w:val="0"/>
      <w:marRight w:val="0"/>
      <w:marTop w:val="0"/>
      <w:marBottom w:val="0"/>
      <w:divBdr>
        <w:top w:val="none" w:sz="0" w:space="0" w:color="auto"/>
        <w:left w:val="none" w:sz="0" w:space="0" w:color="auto"/>
        <w:bottom w:val="none" w:sz="0" w:space="0" w:color="auto"/>
        <w:right w:val="none" w:sz="0" w:space="0" w:color="auto"/>
      </w:divBdr>
      <w:divsChild>
        <w:div w:id="1446576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452424">
      <w:bodyDiv w:val="1"/>
      <w:marLeft w:val="0"/>
      <w:marRight w:val="0"/>
      <w:marTop w:val="0"/>
      <w:marBottom w:val="0"/>
      <w:divBdr>
        <w:top w:val="none" w:sz="0" w:space="0" w:color="auto"/>
        <w:left w:val="none" w:sz="0" w:space="0" w:color="auto"/>
        <w:bottom w:val="none" w:sz="0" w:space="0" w:color="auto"/>
        <w:right w:val="none" w:sz="0" w:space="0" w:color="auto"/>
      </w:divBdr>
    </w:div>
    <w:div w:id="1596747328">
      <w:bodyDiv w:val="1"/>
      <w:marLeft w:val="0"/>
      <w:marRight w:val="0"/>
      <w:marTop w:val="0"/>
      <w:marBottom w:val="0"/>
      <w:divBdr>
        <w:top w:val="none" w:sz="0" w:space="0" w:color="auto"/>
        <w:left w:val="none" w:sz="0" w:space="0" w:color="auto"/>
        <w:bottom w:val="none" w:sz="0" w:space="0" w:color="auto"/>
        <w:right w:val="none" w:sz="0" w:space="0" w:color="auto"/>
      </w:divBdr>
    </w:div>
    <w:div w:id="1623001158">
      <w:bodyDiv w:val="1"/>
      <w:marLeft w:val="0"/>
      <w:marRight w:val="0"/>
      <w:marTop w:val="0"/>
      <w:marBottom w:val="0"/>
      <w:divBdr>
        <w:top w:val="none" w:sz="0" w:space="0" w:color="auto"/>
        <w:left w:val="none" w:sz="0" w:space="0" w:color="auto"/>
        <w:bottom w:val="none" w:sz="0" w:space="0" w:color="auto"/>
        <w:right w:val="none" w:sz="0" w:space="0" w:color="auto"/>
      </w:divBdr>
    </w:div>
    <w:div w:id="1623609823">
      <w:bodyDiv w:val="1"/>
      <w:marLeft w:val="0"/>
      <w:marRight w:val="0"/>
      <w:marTop w:val="0"/>
      <w:marBottom w:val="0"/>
      <w:divBdr>
        <w:top w:val="none" w:sz="0" w:space="0" w:color="auto"/>
        <w:left w:val="none" w:sz="0" w:space="0" w:color="auto"/>
        <w:bottom w:val="none" w:sz="0" w:space="0" w:color="auto"/>
        <w:right w:val="none" w:sz="0" w:space="0" w:color="auto"/>
      </w:divBdr>
    </w:div>
    <w:div w:id="1662076340">
      <w:bodyDiv w:val="1"/>
      <w:marLeft w:val="0"/>
      <w:marRight w:val="0"/>
      <w:marTop w:val="0"/>
      <w:marBottom w:val="0"/>
      <w:divBdr>
        <w:top w:val="none" w:sz="0" w:space="0" w:color="auto"/>
        <w:left w:val="none" w:sz="0" w:space="0" w:color="auto"/>
        <w:bottom w:val="none" w:sz="0" w:space="0" w:color="auto"/>
        <w:right w:val="none" w:sz="0" w:space="0" w:color="auto"/>
      </w:divBdr>
      <w:divsChild>
        <w:div w:id="178935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251246">
      <w:bodyDiv w:val="1"/>
      <w:marLeft w:val="0"/>
      <w:marRight w:val="0"/>
      <w:marTop w:val="0"/>
      <w:marBottom w:val="0"/>
      <w:divBdr>
        <w:top w:val="none" w:sz="0" w:space="0" w:color="auto"/>
        <w:left w:val="none" w:sz="0" w:space="0" w:color="auto"/>
        <w:bottom w:val="none" w:sz="0" w:space="0" w:color="auto"/>
        <w:right w:val="none" w:sz="0" w:space="0" w:color="auto"/>
      </w:divBdr>
    </w:div>
    <w:div w:id="1731419000">
      <w:bodyDiv w:val="1"/>
      <w:marLeft w:val="0"/>
      <w:marRight w:val="0"/>
      <w:marTop w:val="0"/>
      <w:marBottom w:val="0"/>
      <w:divBdr>
        <w:top w:val="none" w:sz="0" w:space="0" w:color="auto"/>
        <w:left w:val="none" w:sz="0" w:space="0" w:color="auto"/>
        <w:bottom w:val="none" w:sz="0" w:space="0" w:color="auto"/>
        <w:right w:val="none" w:sz="0" w:space="0" w:color="auto"/>
      </w:divBdr>
    </w:div>
    <w:div w:id="1751391698">
      <w:bodyDiv w:val="1"/>
      <w:marLeft w:val="0"/>
      <w:marRight w:val="0"/>
      <w:marTop w:val="0"/>
      <w:marBottom w:val="0"/>
      <w:divBdr>
        <w:top w:val="none" w:sz="0" w:space="0" w:color="auto"/>
        <w:left w:val="none" w:sz="0" w:space="0" w:color="auto"/>
        <w:bottom w:val="none" w:sz="0" w:space="0" w:color="auto"/>
        <w:right w:val="none" w:sz="0" w:space="0" w:color="auto"/>
      </w:divBdr>
    </w:div>
    <w:div w:id="1765569099">
      <w:bodyDiv w:val="1"/>
      <w:marLeft w:val="0"/>
      <w:marRight w:val="0"/>
      <w:marTop w:val="0"/>
      <w:marBottom w:val="0"/>
      <w:divBdr>
        <w:top w:val="none" w:sz="0" w:space="0" w:color="auto"/>
        <w:left w:val="none" w:sz="0" w:space="0" w:color="auto"/>
        <w:bottom w:val="none" w:sz="0" w:space="0" w:color="auto"/>
        <w:right w:val="none" w:sz="0" w:space="0" w:color="auto"/>
      </w:divBdr>
    </w:div>
    <w:div w:id="1782457312">
      <w:bodyDiv w:val="1"/>
      <w:marLeft w:val="0"/>
      <w:marRight w:val="0"/>
      <w:marTop w:val="0"/>
      <w:marBottom w:val="0"/>
      <w:divBdr>
        <w:top w:val="none" w:sz="0" w:space="0" w:color="auto"/>
        <w:left w:val="none" w:sz="0" w:space="0" w:color="auto"/>
        <w:bottom w:val="none" w:sz="0" w:space="0" w:color="auto"/>
        <w:right w:val="none" w:sz="0" w:space="0" w:color="auto"/>
      </w:divBdr>
    </w:div>
    <w:div w:id="1837916570">
      <w:bodyDiv w:val="1"/>
      <w:marLeft w:val="0"/>
      <w:marRight w:val="0"/>
      <w:marTop w:val="0"/>
      <w:marBottom w:val="0"/>
      <w:divBdr>
        <w:top w:val="none" w:sz="0" w:space="0" w:color="auto"/>
        <w:left w:val="none" w:sz="0" w:space="0" w:color="auto"/>
        <w:bottom w:val="none" w:sz="0" w:space="0" w:color="auto"/>
        <w:right w:val="none" w:sz="0" w:space="0" w:color="auto"/>
      </w:divBdr>
    </w:div>
    <w:div w:id="1880584101">
      <w:bodyDiv w:val="1"/>
      <w:marLeft w:val="0"/>
      <w:marRight w:val="0"/>
      <w:marTop w:val="0"/>
      <w:marBottom w:val="0"/>
      <w:divBdr>
        <w:top w:val="none" w:sz="0" w:space="0" w:color="auto"/>
        <w:left w:val="none" w:sz="0" w:space="0" w:color="auto"/>
        <w:bottom w:val="none" w:sz="0" w:space="0" w:color="auto"/>
        <w:right w:val="none" w:sz="0" w:space="0" w:color="auto"/>
      </w:divBdr>
      <w:divsChild>
        <w:div w:id="27336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132714">
      <w:bodyDiv w:val="1"/>
      <w:marLeft w:val="0"/>
      <w:marRight w:val="0"/>
      <w:marTop w:val="0"/>
      <w:marBottom w:val="0"/>
      <w:divBdr>
        <w:top w:val="none" w:sz="0" w:space="0" w:color="auto"/>
        <w:left w:val="none" w:sz="0" w:space="0" w:color="auto"/>
        <w:bottom w:val="none" w:sz="0" w:space="0" w:color="auto"/>
        <w:right w:val="none" w:sz="0" w:space="0" w:color="auto"/>
      </w:divBdr>
    </w:div>
    <w:div w:id="1984265257">
      <w:bodyDiv w:val="1"/>
      <w:marLeft w:val="0"/>
      <w:marRight w:val="0"/>
      <w:marTop w:val="0"/>
      <w:marBottom w:val="0"/>
      <w:divBdr>
        <w:top w:val="none" w:sz="0" w:space="0" w:color="auto"/>
        <w:left w:val="none" w:sz="0" w:space="0" w:color="auto"/>
        <w:bottom w:val="none" w:sz="0" w:space="0" w:color="auto"/>
        <w:right w:val="none" w:sz="0" w:space="0" w:color="auto"/>
      </w:divBdr>
    </w:div>
    <w:div w:id="2019041549">
      <w:bodyDiv w:val="1"/>
      <w:marLeft w:val="0"/>
      <w:marRight w:val="0"/>
      <w:marTop w:val="0"/>
      <w:marBottom w:val="0"/>
      <w:divBdr>
        <w:top w:val="none" w:sz="0" w:space="0" w:color="auto"/>
        <w:left w:val="none" w:sz="0" w:space="0" w:color="auto"/>
        <w:bottom w:val="none" w:sz="0" w:space="0" w:color="auto"/>
        <w:right w:val="none" w:sz="0" w:space="0" w:color="auto"/>
      </w:divBdr>
    </w:div>
    <w:div w:id="2146969602">
      <w:bodyDiv w:val="1"/>
      <w:marLeft w:val="0"/>
      <w:marRight w:val="0"/>
      <w:marTop w:val="0"/>
      <w:marBottom w:val="0"/>
      <w:divBdr>
        <w:top w:val="none" w:sz="0" w:space="0" w:color="auto"/>
        <w:left w:val="none" w:sz="0" w:space="0" w:color="auto"/>
        <w:bottom w:val="none" w:sz="0" w:space="0" w:color="auto"/>
        <w:right w:val="none" w:sz="0" w:space="0" w:color="auto"/>
      </w:divBdr>
      <w:divsChild>
        <w:div w:id="339627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1683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1B1B8547ACD2F4CB4622AF8B1F5AA6C" ma:contentTypeVersion="" ma:contentTypeDescription="" ma:contentTypeScope="" ma:versionID="5855168c34e86209b88319d01a610f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A848D-1D02-404F-9234-801C8AD98EB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38A5D0-EB8C-4AB4-B01F-EF3F4C44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99881-C4ED-49D7-B0EE-973A746D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4431</Words>
  <Characters>25262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Andrea Gjoka</dc:creator>
  <cp:keywords/>
  <dc:description/>
  <cp:lastModifiedBy>Andrea Gjoka</cp:lastModifiedBy>
  <cp:revision>5</cp:revision>
  <cp:lastPrinted>2026-06-08T07:44:00Z</cp:lastPrinted>
  <dcterms:created xsi:type="dcterms:W3CDTF">2026-06-22T07:17:00Z</dcterms:created>
  <dcterms:modified xsi:type="dcterms:W3CDTF">2026-06-22T07:25:00Z</dcterms:modified>
</cp:coreProperties>
</file>