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7" w:rightFromText="187" w:vertAnchor="page" w:horzAnchor="margin" w:tblpY="175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070"/>
        <w:gridCol w:w="4645"/>
      </w:tblGrid>
      <w:tr w:rsidR="000D5974" w:rsidRPr="000D5974" w14:paraId="34AB26A6" w14:textId="77777777" w:rsidTr="00887D11">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2F8FC4" w14:textId="51D9DE75" w:rsidR="000D5974" w:rsidRPr="000D5974" w:rsidRDefault="000D5974" w:rsidP="00B17990">
            <w:pPr>
              <w:spacing w:line="276" w:lineRule="auto"/>
              <w:rPr>
                <w:b/>
                <w:szCs w:val="24"/>
              </w:rPr>
            </w:pPr>
            <w:r w:rsidRPr="000D5974">
              <w:rPr>
                <w:b/>
                <w:szCs w:val="24"/>
              </w:rPr>
              <w:t>RAPORTI I VLERËSIMIT TË NDIKIMIT</w:t>
            </w:r>
          </w:p>
        </w:tc>
      </w:tr>
      <w:tr w:rsidR="00C84F64" w:rsidRPr="00325A1F" w14:paraId="483B3CEF" w14:textId="77777777" w:rsidTr="00887D11">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07D5B1" w14:textId="77777777" w:rsidR="00CA40EE" w:rsidRPr="00325A1F" w:rsidRDefault="00CA40EE" w:rsidP="007B6556">
            <w:pPr>
              <w:spacing w:line="276" w:lineRule="auto"/>
              <w:rPr>
                <w:b/>
                <w:szCs w:val="24"/>
              </w:rPr>
            </w:pPr>
            <w:r w:rsidRPr="00325A1F">
              <w:rPr>
                <w:b/>
                <w:szCs w:val="24"/>
              </w:rPr>
              <w:t xml:space="preserve">EMËRTIMI I PROPOZIMIT TË POLITIKËS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29DBBD3" w14:textId="6D1017B3" w:rsidR="00CA40EE" w:rsidRPr="00325A1F" w:rsidRDefault="00CA40EE" w:rsidP="00096BFA">
            <w:pPr>
              <w:spacing w:line="276" w:lineRule="auto"/>
              <w:rPr>
                <w:b/>
                <w:szCs w:val="24"/>
              </w:rPr>
            </w:pPr>
            <w:r w:rsidRPr="00325A1F">
              <w:rPr>
                <w:szCs w:val="24"/>
              </w:rPr>
              <w:t>Projekt</w:t>
            </w:r>
            <w:r w:rsidR="00096BFA">
              <w:rPr>
                <w:rStyle w:val="IASOIChar"/>
                <w:rFonts w:ascii="Times New Roman" w:hAnsi="Times New Roman"/>
                <w:b w:val="0"/>
                <w:sz w:val="24"/>
                <w:szCs w:val="24"/>
              </w:rPr>
              <w:fldChar w:fldCharType="begin">
                <w:ffData>
                  <w:name w:val=""/>
                  <w:enabled/>
                  <w:calcOnExit w:val="0"/>
                  <w:ddList>
                    <w:listEntry w:val="ligj"/>
                    <w:listEntry w:val="akt/ligj/vendim"/>
                    <w:listEntry w:val="akt"/>
                    <w:listEntry w:val="vendim"/>
                  </w:ddList>
                </w:ffData>
              </w:fldChar>
            </w:r>
            <w:r w:rsidR="00096BFA" w:rsidRPr="00332CA5">
              <w:rPr>
                <w:rStyle w:val="IASOIChar"/>
                <w:rFonts w:ascii="Times New Roman" w:hAnsi="Times New Roman"/>
                <w:b w:val="0"/>
                <w:sz w:val="24"/>
                <w:szCs w:val="24"/>
                <w:lang w:val="sq-AL"/>
              </w:rPr>
              <w:instrText xml:space="preserve"> FORMDROPDOWN </w:instrText>
            </w:r>
            <w:r w:rsidR="00EA6382">
              <w:rPr>
                <w:rStyle w:val="IASOIChar"/>
                <w:rFonts w:ascii="Times New Roman" w:hAnsi="Times New Roman"/>
                <w:b w:val="0"/>
                <w:sz w:val="24"/>
                <w:szCs w:val="24"/>
              </w:rPr>
            </w:r>
            <w:r w:rsidR="00EA6382">
              <w:rPr>
                <w:rStyle w:val="IASOIChar"/>
                <w:rFonts w:ascii="Times New Roman" w:hAnsi="Times New Roman"/>
                <w:b w:val="0"/>
                <w:sz w:val="24"/>
                <w:szCs w:val="24"/>
              </w:rPr>
              <w:fldChar w:fldCharType="separate"/>
            </w:r>
            <w:r w:rsidR="00096BFA">
              <w:rPr>
                <w:rStyle w:val="IASOIChar"/>
                <w:rFonts w:ascii="Times New Roman" w:hAnsi="Times New Roman"/>
                <w:b w:val="0"/>
                <w:sz w:val="24"/>
                <w:szCs w:val="24"/>
              </w:rPr>
              <w:fldChar w:fldCharType="end"/>
            </w:r>
            <w:r w:rsidR="002A33A0" w:rsidRPr="00325A1F">
              <w:rPr>
                <w:szCs w:val="24"/>
              </w:rPr>
              <w:t xml:space="preserve"> </w:t>
            </w:r>
            <w:r w:rsidR="000F5100" w:rsidRPr="00325A1F">
              <w:rPr>
                <w:szCs w:val="24"/>
              </w:rPr>
              <w:t xml:space="preserve"> </w:t>
            </w:r>
            <w:r w:rsidR="00E37445">
              <w:rPr>
                <w:szCs w:val="24"/>
              </w:rPr>
              <w:t xml:space="preserve">“Për disa shtesa dhe ndryshime në ligjin nr. </w:t>
            </w:r>
            <w:bookmarkStart w:id="0" w:name="_Hlk220501315"/>
            <w:r w:rsidR="00E37445">
              <w:rPr>
                <w:szCs w:val="24"/>
              </w:rPr>
              <w:t>111/2017 ‘Për ndihmën juridike të garantuar nga shteti”</w:t>
            </w:r>
            <w:bookmarkEnd w:id="0"/>
            <w:r w:rsidR="00F41DFE">
              <w:rPr>
                <w:szCs w:val="24"/>
              </w:rPr>
              <w:t>’</w:t>
            </w:r>
          </w:p>
        </w:tc>
      </w:tr>
      <w:tr w:rsidR="00C84F64" w:rsidRPr="00325A1F" w14:paraId="0BB8BDE5" w14:textId="77777777" w:rsidTr="00887D11">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9D67E8" w14:textId="77777777" w:rsidR="00CA40EE" w:rsidRPr="00325A1F" w:rsidRDefault="00CA40EE" w:rsidP="007B6556">
            <w:pPr>
              <w:spacing w:line="276" w:lineRule="auto"/>
              <w:rPr>
                <w:b/>
                <w:szCs w:val="24"/>
              </w:rPr>
            </w:pPr>
            <w:r w:rsidRPr="00325A1F">
              <w:rPr>
                <w:b/>
                <w:szCs w:val="24"/>
              </w:rPr>
              <w:t xml:space="preserve">MINISTRIA UDHËHEQËSE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A7E2E8" w14:textId="1B0EB35C" w:rsidR="00CA40EE" w:rsidRPr="00325A1F" w:rsidRDefault="00444DC8" w:rsidP="00096BFA">
            <w:pPr>
              <w:spacing w:line="276" w:lineRule="auto"/>
              <w:rPr>
                <w:szCs w:val="24"/>
              </w:rPr>
            </w:pPr>
            <w:r>
              <w:rPr>
                <w:szCs w:val="24"/>
              </w:rPr>
              <w:t xml:space="preserve">Ministria </w:t>
            </w:r>
            <w:r w:rsidR="002A66D3" w:rsidRPr="00325A1F">
              <w:rPr>
                <w:szCs w:val="24"/>
              </w:rPr>
              <w:t xml:space="preserve"> </w:t>
            </w:r>
            <w:r w:rsidR="00096BFA">
              <w:rPr>
                <w:rStyle w:val="IASOIChar"/>
                <w:rFonts w:ascii="Times New Roman" w:hAnsi="Times New Roman"/>
                <w:b w:val="0"/>
                <w:sz w:val="24"/>
                <w:szCs w:val="24"/>
              </w:rPr>
              <w:fldChar w:fldCharType="begin">
                <w:ffData>
                  <w:name w:val="MInistria"/>
                  <w:enabled/>
                  <w:calcOnExit w:val="0"/>
                  <w:ddList>
                    <w:listEntry w:val="e Drejtësisë"/>
                    <w:listEntry w:val="..."/>
                    <w:listEntry w:val="e Arsimit, Rinisë dhe Sporteve"/>
                    <w:listEntry w:val="e Brendshme"/>
                    <w:listEntry w:val="e Bujqësisë dhe Zhvillimit Rural"/>
                    <w:listEntry w:val="e Energjisë dhe Infrastrukturës"/>
                    <w:listEntry w:val="e Financave dhe Ekonomisë"/>
                    <w:listEntry w:val="e Kulturës"/>
                    <w:listEntry w:val="e Mbrojtjes"/>
                    <w:listEntry w:val="e Mjedisit dhe Turizmit"/>
                    <w:listEntry w:val="e Shëndesisë dhe Mbrojtjes Sociale"/>
                    <w:listEntry w:val="e Shtetit për Diasporën"/>
                    <w:listEntry w:val="e Shtetit për Mbrojtjen e Sipërmarrjes"/>
                    <w:listEntry w:val="e Shtetit për Marrëdhëniet me Parlamentin"/>
                    <w:listEntry w:val="për Evropën dhe Punët e Jashtme"/>
                  </w:ddList>
                </w:ffData>
              </w:fldChar>
            </w:r>
            <w:bookmarkStart w:id="1" w:name="MInistria"/>
            <w:r w:rsidR="00096BFA">
              <w:rPr>
                <w:rStyle w:val="IASOIChar"/>
                <w:rFonts w:ascii="Times New Roman" w:hAnsi="Times New Roman"/>
                <w:b w:val="0"/>
                <w:sz w:val="24"/>
                <w:szCs w:val="24"/>
              </w:rPr>
              <w:instrText xml:space="preserve"> FORMDROPDOWN </w:instrText>
            </w:r>
            <w:r w:rsidR="00EA6382">
              <w:rPr>
                <w:rStyle w:val="IASOIChar"/>
                <w:rFonts w:ascii="Times New Roman" w:hAnsi="Times New Roman"/>
                <w:b w:val="0"/>
                <w:sz w:val="24"/>
                <w:szCs w:val="24"/>
              </w:rPr>
            </w:r>
            <w:r w:rsidR="00EA6382">
              <w:rPr>
                <w:rStyle w:val="IASOIChar"/>
                <w:rFonts w:ascii="Times New Roman" w:hAnsi="Times New Roman"/>
                <w:b w:val="0"/>
                <w:sz w:val="24"/>
                <w:szCs w:val="24"/>
              </w:rPr>
              <w:fldChar w:fldCharType="separate"/>
            </w:r>
            <w:r w:rsidR="00096BFA">
              <w:rPr>
                <w:rStyle w:val="IASOIChar"/>
                <w:rFonts w:ascii="Times New Roman" w:hAnsi="Times New Roman"/>
                <w:b w:val="0"/>
                <w:sz w:val="24"/>
                <w:szCs w:val="24"/>
              </w:rPr>
              <w:fldChar w:fldCharType="end"/>
            </w:r>
            <w:bookmarkEnd w:id="1"/>
            <w:r w:rsidR="00CA40EE" w:rsidRPr="00325A1F">
              <w:rPr>
                <w:szCs w:val="24"/>
              </w:rPr>
              <w:t xml:space="preserve"> </w:t>
            </w:r>
          </w:p>
        </w:tc>
      </w:tr>
      <w:tr w:rsidR="00C84F64" w:rsidRPr="00325A1F" w14:paraId="14222BD2" w14:textId="77777777" w:rsidTr="00887D11">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59A4FA" w14:textId="77777777" w:rsidR="00CA40EE" w:rsidRPr="00325A1F" w:rsidRDefault="00CA40EE" w:rsidP="007B6556">
            <w:pPr>
              <w:spacing w:line="276" w:lineRule="auto"/>
              <w:rPr>
                <w:b/>
                <w:szCs w:val="24"/>
              </w:rPr>
            </w:pPr>
            <w:r w:rsidRPr="00325A1F">
              <w:rPr>
                <w:b/>
                <w:szCs w:val="24"/>
              </w:rPr>
              <w:t>FAZA E POLITIKËS/VLERËSIMIT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AD9CC" w14:textId="1FCF1BF1" w:rsidR="00CA40EE" w:rsidRPr="00325A1F" w:rsidRDefault="00EA6382" w:rsidP="007B6556">
            <w:pPr>
              <w:spacing w:line="276" w:lineRule="auto"/>
              <w:rPr>
                <w:szCs w:val="24"/>
              </w:rPr>
            </w:pPr>
            <w:sdt>
              <w:sdtPr>
                <w:rPr>
                  <w:rStyle w:val="BodyTextChar"/>
                  <w:rFonts w:ascii="Times New Roman" w:hAnsi="Times New Roman"/>
                  <w:sz w:val="24"/>
                  <w:szCs w:val="24"/>
                </w:rPr>
                <w:id w:val="1396398853"/>
                <w:lock w:val="sdtLocked"/>
                <w:placeholder>
                  <w:docPart w:val="467F15D558F0444BB35BCB17F1E0E252"/>
                </w:placeholder>
                <w:dropDownList>
                  <w:listItem w:displayText="Zhvillim/Konsultim/Finale" w:value="Zhvillim/Konsultim/Finale"/>
                  <w:listItem w:displayText="Zhvillim" w:value="Zhvillim"/>
                  <w:listItem w:displayText="Konsultim" w:value="Konsultim"/>
                  <w:listItem w:displayText="Finale" w:value="Finale"/>
                </w:dropDownList>
              </w:sdtPr>
              <w:sdtEndPr>
                <w:rPr>
                  <w:rStyle w:val="DefaultParagraphFont"/>
                  <w:color w:val="auto"/>
                  <w:lang w:val="sq-AL"/>
                </w:rPr>
              </w:sdtEndPr>
              <w:sdtContent>
                <w:r w:rsidR="001F27CF">
                  <w:rPr>
                    <w:rStyle w:val="BodyTextChar"/>
                    <w:rFonts w:ascii="Times New Roman" w:hAnsi="Times New Roman"/>
                    <w:sz w:val="24"/>
                    <w:szCs w:val="24"/>
                  </w:rPr>
                  <w:t>Konsultim</w:t>
                </w:r>
              </w:sdtContent>
            </w:sdt>
          </w:p>
        </w:tc>
      </w:tr>
      <w:tr w:rsidR="00C84F64" w:rsidRPr="00325A1F" w14:paraId="47CEFF3E" w14:textId="77777777" w:rsidTr="00887D11">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DF7E06A" w14:textId="77777777" w:rsidR="00CA40EE" w:rsidRPr="00325A1F" w:rsidRDefault="00CA40EE" w:rsidP="007B6556">
            <w:pPr>
              <w:spacing w:line="276" w:lineRule="auto"/>
              <w:rPr>
                <w:b/>
                <w:szCs w:val="24"/>
              </w:rPr>
            </w:pPr>
            <w:r w:rsidRPr="00325A1F">
              <w:rPr>
                <w:b/>
                <w:szCs w:val="24"/>
              </w:rPr>
              <w:t>BURIMI I PROPOZIMIT TË POLITIKËS</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694D80" w14:textId="08F68613" w:rsidR="00CA40EE" w:rsidRPr="00325A1F" w:rsidRDefault="00E37445" w:rsidP="007B6556">
            <w:pPr>
              <w:spacing w:line="276" w:lineRule="auto"/>
              <w:jc w:val="both"/>
              <w:rPr>
                <w:szCs w:val="24"/>
              </w:rPr>
            </w:pPr>
            <w:r w:rsidRPr="00E37445">
              <w:rPr>
                <w:szCs w:val="24"/>
                <w:lang w:val="en-GB"/>
              </w:rPr>
              <w:fldChar w:fldCharType="begin">
                <w:ffData>
                  <w:name w:val=""/>
                  <w:enabled/>
                  <w:calcOnExit/>
                  <w:ddList>
                    <w:listEntry w:val="i brendshëm/transpozim i BE-së"/>
                    <w:listEntry w:val="Ndërkombëtar"/>
                  </w:ddList>
                </w:ffData>
              </w:fldChar>
            </w:r>
            <w:r w:rsidRPr="00E37445">
              <w:rPr>
                <w:szCs w:val="24"/>
                <w:lang w:val="en-GB"/>
              </w:rPr>
              <w:instrText xml:space="preserve"> FORMDROPDOWN </w:instrText>
            </w:r>
            <w:r w:rsidR="00EA6382">
              <w:rPr>
                <w:szCs w:val="24"/>
                <w:lang w:val="en-GB"/>
              </w:rPr>
            </w:r>
            <w:r w:rsidR="00EA6382">
              <w:rPr>
                <w:szCs w:val="24"/>
                <w:lang w:val="en-GB"/>
              </w:rPr>
              <w:fldChar w:fldCharType="separate"/>
            </w:r>
            <w:r w:rsidRPr="00E37445">
              <w:rPr>
                <w:szCs w:val="24"/>
              </w:rPr>
              <w:fldChar w:fldCharType="end"/>
            </w:r>
          </w:p>
        </w:tc>
      </w:tr>
      <w:tr w:rsidR="00C84F64" w:rsidRPr="00325A1F" w14:paraId="48A074B2" w14:textId="77777777" w:rsidTr="00887D11">
        <w:trPr>
          <w:trHeight w:val="557"/>
        </w:trPr>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B22BBE5" w14:textId="77777777" w:rsidR="00CA40EE" w:rsidRPr="00325A1F" w:rsidRDefault="00CA40EE" w:rsidP="007B6556">
            <w:pPr>
              <w:spacing w:line="276" w:lineRule="auto"/>
              <w:rPr>
                <w:b/>
                <w:szCs w:val="24"/>
              </w:rPr>
            </w:pPr>
            <w:r w:rsidRPr="00325A1F">
              <w:rPr>
                <w:b/>
                <w:szCs w:val="24"/>
              </w:rPr>
              <w:t xml:space="preserve">DIREKTIVË/RREGULLORE E BE-së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F9EBC7D" w14:textId="5E10E0EE" w:rsidR="00E37445" w:rsidRPr="0045310C" w:rsidRDefault="00E37445" w:rsidP="00E37445">
            <w:pPr>
              <w:spacing w:line="276" w:lineRule="auto"/>
              <w:jc w:val="both"/>
              <w:rPr>
                <w:rFonts w:eastAsia="SimSun"/>
                <w:color w:val="000000"/>
                <w:spacing w:val="-5"/>
                <w:szCs w:val="24"/>
                <w:lang w:eastAsia="zh-CN"/>
              </w:rPr>
            </w:pPr>
            <w:r w:rsidRPr="0045310C">
              <w:rPr>
                <w:rFonts w:eastAsia="SimSun"/>
                <w:color w:val="000000"/>
                <w:spacing w:val="-5"/>
                <w:szCs w:val="24"/>
                <w:lang w:eastAsia="zh-CN"/>
              </w:rPr>
              <w:t>1. Direktiva 2016/1919/BE e Parlamentit Evropian dhe e Këshillit, e 26 tetorit 2016, mbi ndihmën juridike për të dyshuarit dhe të akuzuarit në procedurat penale dhe për personat e kërkuar në procedurat e urdhër-arresteve evropiane.</w:t>
            </w:r>
          </w:p>
          <w:p w14:paraId="6C6FEA96" w14:textId="79893879" w:rsidR="00E37445" w:rsidRPr="00E37445" w:rsidRDefault="00E37445" w:rsidP="00E37445">
            <w:pPr>
              <w:spacing w:line="276" w:lineRule="auto"/>
              <w:jc w:val="both"/>
              <w:rPr>
                <w:rFonts w:eastAsia="SimSun"/>
                <w:color w:val="000000"/>
                <w:spacing w:val="-5"/>
                <w:szCs w:val="24"/>
                <w:lang w:eastAsia="zh-CN"/>
              </w:rPr>
            </w:pPr>
            <w:r w:rsidRPr="0045310C">
              <w:rPr>
                <w:rFonts w:eastAsia="SimSun"/>
                <w:color w:val="000000"/>
                <w:spacing w:val="-5"/>
                <w:szCs w:val="24"/>
                <w:lang w:eastAsia="zh-CN"/>
              </w:rPr>
              <w:t xml:space="preserve">2. </w:t>
            </w:r>
            <w:r w:rsidRPr="0045310C">
              <w:rPr>
                <w:rFonts w:eastAsiaTheme="minorHAnsi"/>
                <w:szCs w:val="24"/>
                <w:lang w:eastAsia="en-US"/>
              </w:rPr>
              <w:t xml:space="preserve"> </w:t>
            </w:r>
            <w:r w:rsidRPr="0045310C">
              <w:rPr>
                <w:rFonts w:eastAsia="SimSun"/>
                <w:color w:val="000000"/>
                <w:spacing w:val="-5"/>
                <w:szCs w:val="24"/>
                <w:lang w:eastAsia="zh-CN"/>
              </w:rPr>
              <w:t>Direktiva 2019/1937/BE e Parlamentit Evropian dhe e Këshillit e 23 tetorit 2019 mbi mbrojtjen e personave që raportojnë shkelje të ligjit të unionit</w:t>
            </w:r>
          </w:p>
          <w:p w14:paraId="1C8761B9" w14:textId="18AE3B32" w:rsidR="00E37445" w:rsidRPr="00E37445" w:rsidRDefault="00011374" w:rsidP="00E37445">
            <w:pPr>
              <w:spacing w:line="276" w:lineRule="auto"/>
              <w:jc w:val="both"/>
              <w:rPr>
                <w:rFonts w:eastAsia="SimSun"/>
                <w:color w:val="000000"/>
                <w:spacing w:val="-5"/>
                <w:szCs w:val="24"/>
                <w:lang w:eastAsia="zh-CN"/>
              </w:rPr>
            </w:pPr>
            <w:r>
              <w:rPr>
                <w:rFonts w:eastAsia="SimSun"/>
                <w:color w:val="000000"/>
                <w:spacing w:val="-5"/>
                <w:szCs w:val="24"/>
                <w:lang w:eastAsia="zh-CN"/>
              </w:rPr>
              <w:t>3</w:t>
            </w:r>
            <w:r w:rsidR="00E37445" w:rsidRPr="00E37445">
              <w:rPr>
                <w:rFonts w:eastAsia="SimSun"/>
                <w:color w:val="000000"/>
                <w:spacing w:val="-5"/>
                <w:szCs w:val="24"/>
                <w:lang w:eastAsia="zh-CN"/>
              </w:rPr>
              <w:t>. Direktiva (BE) 2017/541 e Parlamentit Evropian dhe e Këshillit, e 15 marsit 2017, për luftën kundër terrorizmit dhe zëvendësimin e Vendimit Kornizë të Këshillit 2002/475/JHA dhe ndryshimin e Vendimit të Këshillit 2005/671/JHA.</w:t>
            </w:r>
          </w:p>
          <w:p w14:paraId="10BCB8F9" w14:textId="7819A560" w:rsidR="00E37445" w:rsidRPr="0045310C" w:rsidRDefault="00011374" w:rsidP="00E37445">
            <w:pPr>
              <w:jc w:val="both"/>
              <w:rPr>
                <w:rFonts w:eastAsia="MS Mincho"/>
                <w:szCs w:val="24"/>
              </w:rPr>
            </w:pPr>
            <w:r>
              <w:rPr>
                <w:rFonts w:eastAsia="MS Mincho"/>
                <w:szCs w:val="24"/>
              </w:rPr>
              <w:t>4</w:t>
            </w:r>
            <w:r w:rsidR="00E37445" w:rsidRPr="0045310C">
              <w:rPr>
                <w:rFonts w:eastAsia="MS Mincho"/>
                <w:szCs w:val="24"/>
              </w:rPr>
              <w:t>. Direktiva 2012/29/BE e Parlamentit Evropian dhe e Këshillit e 25 tetorit 2012</w:t>
            </w:r>
          </w:p>
          <w:p w14:paraId="2E8F403F" w14:textId="27E95BF9" w:rsidR="00584C71" w:rsidRPr="00325A1F" w:rsidRDefault="00E37445" w:rsidP="00E37445">
            <w:pPr>
              <w:tabs>
                <w:tab w:val="left" w:pos="10080"/>
              </w:tabs>
              <w:spacing w:line="276" w:lineRule="auto"/>
              <w:jc w:val="both"/>
              <w:rPr>
                <w:b/>
                <w:szCs w:val="24"/>
              </w:rPr>
            </w:pPr>
            <w:r w:rsidRPr="0045310C">
              <w:rPr>
                <w:rFonts w:eastAsia="MS Mincho"/>
                <w:szCs w:val="24"/>
              </w:rPr>
              <w:t>që përcakton standardet minimale mbi të drejtat, mbështetjen dhe mbrojtjen e viktimave të krimit, dhe zëvendëson Vendimin Kornizë të Këshillit 2001/220/JHA</w:t>
            </w:r>
            <w:r w:rsidRPr="0045310C">
              <w:rPr>
                <w:rStyle w:val="IASOIChar"/>
                <w:rFonts w:ascii="Times New Roman" w:hAnsi="Times New Roman"/>
                <w:b w:val="0"/>
                <w:sz w:val="24"/>
                <w:szCs w:val="24"/>
                <w:lang w:val="sq-AL"/>
              </w:rPr>
              <w:t xml:space="preserve"> </w:t>
            </w:r>
            <w:r w:rsidR="00584C71" w:rsidRPr="0045310C">
              <w:rPr>
                <w:rStyle w:val="IASOIChar"/>
                <w:rFonts w:ascii="Times New Roman" w:hAnsi="Times New Roman"/>
                <w:b w:val="0"/>
                <w:sz w:val="24"/>
                <w:szCs w:val="24"/>
                <w:lang w:val="sq-AL"/>
              </w:rPr>
              <w:t xml:space="preserve"> </w:t>
            </w:r>
          </w:p>
        </w:tc>
      </w:tr>
      <w:tr w:rsidR="00C84F64" w:rsidRPr="00325A1F" w14:paraId="735B259E" w14:textId="77777777" w:rsidTr="00887D11">
        <w:trPr>
          <w:trHeight w:val="980"/>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4EA9B943" w14:textId="77777777" w:rsidR="00CA40EE" w:rsidRPr="00325A1F" w:rsidRDefault="00CA40EE" w:rsidP="007B6556">
            <w:pPr>
              <w:spacing w:line="276" w:lineRule="auto"/>
              <w:rPr>
                <w:b/>
                <w:szCs w:val="24"/>
              </w:rPr>
            </w:pPr>
            <w:r w:rsidRPr="00325A1F">
              <w:rPr>
                <w:b/>
                <w:szCs w:val="24"/>
              </w:rPr>
              <w:t>PUBLIKIMET DHE STRATEGJITË E LIDHURA</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630B30" w14:textId="77777777" w:rsidR="006B16DE" w:rsidRPr="0045310C" w:rsidRDefault="006B16DE" w:rsidP="006B16DE">
            <w:pPr>
              <w:spacing w:line="276" w:lineRule="auto"/>
              <w:jc w:val="both"/>
              <w:rPr>
                <w:rFonts w:eastAsia="MS Mincho"/>
                <w:szCs w:val="24"/>
                <w:lang w:val="fr-FR"/>
              </w:rPr>
            </w:pPr>
            <w:r w:rsidRPr="006B16DE">
              <w:rPr>
                <w:rFonts w:eastAsia="MS Mincho"/>
                <w:szCs w:val="24"/>
              </w:rPr>
              <w:t>1</w:t>
            </w:r>
            <w:bookmarkStart w:id="2" w:name="_Hlk182490441"/>
            <w:r w:rsidRPr="006B16DE">
              <w:rPr>
                <w:rFonts w:eastAsia="MS Mincho"/>
                <w:szCs w:val="24"/>
              </w:rPr>
              <w:t xml:space="preserve">. </w:t>
            </w:r>
            <w:r w:rsidRPr="0045310C">
              <w:rPr>
                <w:rFonts w:eastAsia="MS Mincho"/>
                <w:szCs w:val="24"/>
                <w:lang w:val="fr-FR"/>
              </w:rPr>
              <w:t>Plani Kombëtar për Integrimin Evropian 2024–2026</w:t>
            </w:r>
            <w:r w:rsidRPr="006B16DE">
              <w:rPr>
                <w:rFonts w:eastAsia="MS Mincho"/>
                <w:szCs w:val="24"/>
              </w:rPr>
              <w:t>, miratuar me vendimin nr.16, datë 11.1.2024</w:t>
            </w:r>
            <w:bookmarkEnd w:id="2"/>
            <w:r w:rsidRPr="006B16DE">
              <w:rPr>
                <w:rFonts w:eastAsia="MS Mincho"/>
                <w:szCs w:val="24"/>
              </w:rPr>
              <w:t>, të Këshillit të Ministrave.</w:t>
            </w:r>
          </w:p>
          <w:p w14:paraId="60352F0E" w14:textId="0109B81A" w:rsidR="00CA40EE" w:rsidRPr="00B4606E" w:rsidRDefault="006B16DE" w:rsidP="00B4606E">
            <w:pPr>
              <w:spacing w:line="276" w:lineRule="auto"/>
              <w:jc w:val="both"/>
              <w:rPr>
                <w:rFonts w:eastAsia="MS Mincho"/>
                <w:szCs w:val="24"/>
              </w:rPr>
            </w:pPr>
            <w:r w:rsidRPr="006B16DE">
              <w:rPr>
                <w:rFonts w:eastAsia="MS Mincho"/>
                <w:szCs w:val="24"/>
              </w:rPr>
              <w:t xml:space="preserve">2. </w:t>
            </w:r>
            <w:r w:rsidRPr="006B16DE">
              <w:rPr>
                <w:szCs w:val="24"/>
              </w:rPr>
              <w:t xml:space="preserve"> </w:t>
            </w:r>
            <w:r w:rsidRPr="006B16DE">
              <w:rPr>
                <w:rFonts w:eastAsia="MS Mincho"/>
                <w:szCs w:val="24"/>
              </w:rPr>
              <w:t>S</w:t>
            </w:r>
            <w:r w:rsidRPr="0045310C">
              <w:rPr>
                <w:rFonts w:eastAsia="MS Mincho"/>
                <w:szCs w:val="24"/>
                <w:lang w:val="fr-FR"/>
              </w:rPr>
              <w:t>trategjia ndërsektoriale e drejtësisë 2024–2030, miratuar me vendimin nr. 787, datë 18.12.2024, të Këshillit të Ministrave.</w:t>
            </w:r>
          </w:p>
        </w:tc>
      </w:tr>
      <w:tr w:rsidR="00C84F64" w:rsidRPr="00325A1F" w14:paraId="2507E6DF" w14:textId="77777777" w:rsidTr="00887D11">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ABF1011" w14:textId="77777777" w:rsidR="00CA40EE" w:rsidRPr="00325A1F" w:rsidRDefault="00CA40EE" w:rsidP="007B6556">
            <w:pPr>
              <w:spacing w:line="276" w:lineRule="auto"/>
              <w:rPr>
                <w:b/>
                <w:szCs w:val="24"/>
              </w:rPr>
            </w:pPr>
            <w:r w:rsidRPr="00325A1F">
              <w:rPr>
                <w:b/>
                <w:szCs w:val="24"/>
              </w:rPr>
              <w:t>DATA E KONSULTIMIT PUBLIK</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D824C8" w14:textId="57530E32" w:rsidR="00CA40EE" w:rsidRPr="00325A1F" w:rsidRDefault="00EA6382" w:rsidP="00805E58">
            <w:pPr>
              <w:spacing w:line="276" w:lineRule="auto"/>
              <w:rPr>
                <w:szCs w:val="24"/>
              </w:rPr>
            </w:pPr>
            <w:sdt>
              <w:sdtPr>
                <w:rPr>
                  <w:szCs w:val="24"/>
                  <w:lang w:val="en-US"/>
                </w:rPr>
                <w:alias w:val="Data/Asnjë konsultim publik"/>
                <w:tag w:val="Data/Asnjë konsultim publik"/>
                <w:id w:val="2012326733"/>
                <w:placeholder>
                  <w:docPart w:val="84F1B2FD99CD499F9C01942AB6C2B425"/>
                </w:placeholder>
                <w:date>
                  <w:dateFormat w:val="dd/MM/yyyy"/>
                  <w:lid w:val="en-US"/>
                  <w:storeMappedDataAs w:val="dateTime"/>
                  <w:calendar w:val="gregorian"/>
                </w:date>
              </w:sdtPr>
              <w:sdtEndPr/>
              <w:sdtContent>
                <w:r w:rsidR="00E37445">
                  <w:rPr>
                    <w:color w:val="808080" w:themeColor="background1" w:themeShade="80"/>
                    <w:szCs w:val="24"/>
                    <w:lang w:val="en-US"/>
                  </w:rPr>
                  <w:t>Asnjë konsultim publik</w:t>
                </w:r>
              </w:sdtContent>
            </w:sdt>
          </w:p>
        </w:tc>
      </w:tr>
      <w:tr w:rsidR="00C84F64" w:rsidRPr="00325A1F" w14:paraId="3A928518" w14:textId="77777777" w:rsidTr="00887D11">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B30C72A" w14:textId="77777777" w:rsidR="00CA40EE" w:rsidRPr="00325A1F" w:rsidRDefault="00CA40EE" w:rsidP="007B6556">
            <w:pPr>
              <w:spacing w:line="276" w:lineRule="auto"/>
              <w:rPr>
                <w:b/>
                <w:szCs w:val="24"/>
              </w:rPr>
            </w:pPr>
            <w:r w:rsidRPr="00325A1F">
              <w:rPr>
                <w:b/>
                <w:szCs w:val="24"/>
              </w:rPr>
              <w:t xml:space="preserve">DATA E VLERËSIMIT TË NDIKIMIT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555B0A" w14:textId="3D2173F7" w:rsidR="00CA40EE" w:rsidRPr="00325A1F" w:rsidRDefault="00EA6382" w:rsidP="003B5CBC">
            <w:pPr>
              <w:spacing w:line="276" w:lineRule="auto"/>
              <w:jc w:val="both"/>
              <w:rPr>
                <w:szCs w:val="24"/>
              </w:rPr>
            </w:pPr>
            <w:sdt>
              <w:sdtPr>
                <w:rPr>
                  <w:rFonts w:eastAsia="Calibri"/>
                  <w:color w:val="000000"/>
                  <w:szCs w:val="24"/>
                  <w:lang w:val="en-US" w:eastAsia="sq-AL"/>
                </w:rPr>
                <w:alias w:val="përfundimi  vlerësimit të ndikimit/versioni i fundit i vlerësimit të ndikimit"/>
                <w:tag w:val="Data e përfundimit të vlerësimit të ndikimit/Data kur është përgatitur versioni i fundit të vlerësimit të ndikimit"/>
                <w:id w:val="339123984"/>
                <w:placeholder>
                  <w:docPart w:val="902FE64B29424F659DBB099D6CE88D80"/>
                </w:placeholder>
                <w:date w:fullDate="2026-05-29T00:00:00Z">
                  <w:dateFormat w:val="dd/MM/yyyy"/>
                  <w:lid w:val="en-US"/>
                  <w:storeMappedDataAs w:val="dateTime"/>
                  <w:calendar w:val="gregorian"/>
                </w:date>
              </w:sdtPr>
              <w:sdtEndPr/>
              <w:sdtContent>
                <w:r w:rsidR="00011374" w:rsidRPr="0024644D">
                  <w:rPr>
                    <w:rFonts w:eastAsia="Calibri"/>
                    <w:color w:val="000000"/>
                    <w:szCs w:val="24"/>
                    <w:lang w:val="en-US" w:eastAsia="sq-AL"/>
                  </w:rPr>
                  <w:t>29/05/2026</w:t>
                </w:r>
              </w:sdtContent>
            </w:sdt>
          </w:p>
        </w:tc>
      </w:tr>
      <w:tr w:rsidR="00C84F64" w:rsidRPr="00325A1F" w14:paraId="6185A770" w14:textId="77777777" w:rsidTr="00887D11">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208CA3B" w14:textId="77777777" w:rsidR="00CA40EE" w:rsidRPr="00325A1F" w:rsidRDefault="00CA40EE" w:rsidP="007B6556">
            <w:pPr>
              <w:spacing w:line="276" w:lineRule="auto"/>
              <w:rPr>
                <w:b/>
                <w:szCs w:val="24"/>
              </w:rPr>
            </w:pPr>
            <w:r w:rsidRPr="00325A1F">
              <w:rPr>
                <w:b/>
                <w:szCs w:val="24"/>
              </w:rPr>
              <w:t xml:space="preserve">A E KA SHQYRTUAR KRYEMINISTRIA VLERËSIMIN E NDIKIMIT? </w:t>
            </w:r>
          </w:p>
          <w:p w14:paraId="4642EB1C" w14:textId="77777777" w:rsidR="00CA40EE" w:rsidRPr="00325A1F" w:rsidRDefault="00CA40EE" w:rsidP="007B6556">
            <w:pPr>
              <w:spacing w:line="276" w:lineRule="auto"/>
              <w:rPr>
                <w:b/>
                <w:szCs w:val="24"/>
              </w:rPr>
            </w:pPr>
            <w:r w:rsidRPr="00325A1F">
              <w:rPr>
                <w:b/>
                <w:szCs w:val="24"/>
              </w:rPr>
              <w:t>NËSE PO, JEPNI DATËN E SHQYRTIMIT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427B6C" w14:textId="5D864A17" w:rsidR="008326DB" w:rsidRPr="00325A1F" w:rsidRDefault="00E37445" w:rsidP="003B5CBC">
            <w:pPr>
              <w:tabs>
                <w:tab w:val="left" w:pos="795"/>
              </w:tabs>
              <w:spacing w:line="276" w:lineRule="auto"/>
              <w:jc w:val="both"/>
              <w:rPr>
                <w:szCs w:val="24"/>
              </w:rPr>
            </w:pPr>
            <w:r>
              <w:rPr>
                <w:rStyle w:val="IASOIChar"/>
                <w:rFonts w:ascii="Times New Roman" w:hAnsi="Times New Roman"/>
                <w:b w:val="0"/>
                <w:sz w:val="24"/>
                <w:szCs w:val="24"/>
              </w:rPr>
              <w:t xml:space="preserve">Jo </w:t>
            </w:r>
          </w:p>
        </w:tc>
      </w:tr>
      <w:tr w:rsidR="00C84F64" w:rsidRPr="00325A1F" w14:paraId="75141EF4" w14:textId="77777777" w:rsidTr="00887D11">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755F48" w14:textId="77777777" w:rsidR="00CA40EE" w:rsidRPr="00325A1F" w:rsidRDefault="00CA40EE" w:rsidP="007B6556">
            <w:pPr>
              <w:spacing w:line="276" w:lineRule="auto"/>
              <w:rPr>
                <w:b/>
                <w:szCs w:val="24"/>
              </w:rPr>
            </w:pPr>
            <w:r w:rsidRPr="00325A1F">
              <w:rPr>
                <w:b/>
                <w:szCs w:val="24"/>
              </w:rPr>
              <w:t>NUMRI I 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D54711" w14:textId="5AEA67A6" w:rsidR="00CA40EE" w:rsidRPr="00325A1F" w:rsidRDefault="00444DC8" w:rsidP="00E3590E">
            <w:pPr>
              <w:spacing w:line="276" w:lineRule="auto"/>
              <w:rPr>
                <w:szCs w:val="24"/>
              </w:rPr>
            </w:pPr>
            <w:r>
              <w:rPr>
                <w:szCs w:val="24"/>
              </w:rPr>
              <w:fldChar w:fldCharType="begin">
                <w:ffData>
                  <w:name w:val=""/>
                  <w:enabled/>
                  <w:calcOnExit/>
                  <w:textInput>
                    <w:type w:val="number"/>
                    <w:default w:val="Viti"/>
                    <w:maxLength w:val="4"/>
                  </w:textInput>
                </w:ffData>
              </w:fldChar>
            </w:r>
            <w:r>
              <w:rPr>
                <w:szCs w:val="24"/>
              </w:rPr>
              <w:instrText xml:space="preserve"> FORMTEXT </w:instrText>
            </w:r>
            <w:r>
              <w:rPr>
                <w:szCs w:val="24"/>
              </w:rPr>
            </w:r>
            <w:r>
              <w:rPr>
                <w:szCs w:val="24"/>
              </w:rPr>
              <w:fldChar w:fldCharType="separate"/>
            </w:r>
            <w:r>
              <w:rPr>
                <w:noProof/>
                <w:szCs w:val="24"/>
              </w:rPr>
              <w:t>Viti</w:t>
            </w:r>
            <w:r>
              <w:rPr>
                <w:szCs w:val="24"/>
              </w:rPr>
              <w:fldChar w:fldCharType="end"/>
            </w:r>
            <w:r w:rsidR="00E3590E">
              <w:rPr>
                <w:szCs w:val="24"/>
              </w:rPr>
              <w:t xml:space="preserve"> </w:t>
            </w:r>
            <w:r w:rsidR="00E37445">
              <w:rPr>
                <w:szCs w:val="24"/>
              </w:rPr>
              <w:t>202</w:t>
            </w:r>
            <w:r w:rsidR="00D50A98">
              <w:rPr>
                <w:szCs w:val="24"/>
              </w:rPr>
              <w:t>6</w:t>
            </w:r>
            <w:r w:rsidR="00E3590E">
              <w:rPr>
                <w:szCs w:val="24"/>
              </w:rPr>
              <w:t xml:space="preserve"> </w:t>
            </w:r>
            <w:r w:rsidR="00FF0F21" w:rsidRPr="00325A1F">
              <w:rPr>
                <w:szCs w:val="24"/>
              </w:rPr>
              <w:t xml:space="preserve">– </w:t>
            </w:r>
            <w:r w:rsidR="00E3590E">
              <w:rPr>
                <w:szCs w:val="24"/>
              </w:rPr>
              <w:fldChar w:fldCharType="begin">
                <w:ffData>
                  <w:name w:val=""/>
                  <w:enabled/>
                  <w:calcOnExit w:val="0"/>
                  <w:textInput>
                    <w:default w:val="MD"/>
                    <w:maxLength w:val="4"/>
                  </w:textInput>
                </w:ffData>
              </w:fldChar>
            </w:r>
            <w:r w:rsidR="00E3590E">
              <w:rPr>
                <w:szCs w:val="24"/>
              </w:rPr>
              <w:instrText xml:space="preserve"> FORMTEXT </w:instrText>
            </w:r>
            <w:r w:rsidR="00E3590E">
              <w:rPr>
                <w:szCs w:val="24"/>
              </w:rPr>
            </w:r>
            <w:r w:rsidR="00E3590E">
              <w:rPr>
                <w:szCs w:val="24"/>
              </w:rPr>
              <w:fldChar w:fldCharType="separate"/>
            </w:r>
            <w:r w:rsidR="00E3590E">
              <w:rPr>
                <w:noProof/>
                <w:szCs w:val="24"/>
              </w:rPr>
              <w:t>MD</w:t>
            </w:r>
            <w:r w:rsidR="00E3590E">
              <w:rPr>
                <w:szCs w:val="24"/>
              </w:rPr>
              <w:fldChar w:fldCharType="end"/>
            </w:r>
            <w:r w:rsidR="00B51927" w:rsidRPr="00325A1F">
              <w:rPr>
                <w:rStyle w:val="IASOIChar"/>
                <w:rFonts w:ascii="Times New Roman" w:hAnsi="Times New Roman"/>
                <w:b w:val="0"/>
                <w:sz w:val="24"/>
                <w:szCs w:val="24"/>
              </w:rPr>
              <w:t xml:space="preserve">  </w:t>
            </w:r>
            <w:r w:rsidR="00FF0F21" w:rsidRPr="00325A1F">
              <w:rPr>
                <w:szCs w:val="24"/>
              </w:rPr>
              <w:t xml:space="preserve">–  </w:t>
            </w:r>
            <w:r w:rsidR="00B51927">
              <w:rPr>
                <w:szCs w:val="24"/>
              </w:rPr>
              <w:t xml:space="preserve">Nr. </w:t>
            </w:r>
            <w:r w:rsidR="00B51927">
              <w:rPr>
                <w:szCs w:val="24"/>
              </w:rPr>
              <w:fldChar w:fldCharType="begin">
                <w:ffData>
                  <w:name w:val=""/>
                  <w:enabled/>
                  <w:calcOnExit w:val="0"/>
                  <w:textInput>
                    <w:default w:val="VN"/>
                    <w:maxLength w:val="70"/>
                  </w:textInput>
                </w:ffData>
              </w:fldChar>
            </w:r>
            <w:r w:rsidR="00B51927">
              <w:rPr>
                <w:szCs w:val="24"/>
              </w:rPr>
              <w:instrText xml:space="preserve"> FORMTEXT </w:instrText>
            </w:r>
            <w:r w:rsidR="00B51927">
              <w:rPr>
                <w:szCs w:val="24"/>
              </w:rPr>
            </w:r>
            <w:r w:rsidR="00B51927">
              <w:rPr>
                <w:szCs w:val="24"/>
              </w:rPr>
              <w:fldChar w:fldCharType="separate"/>
            </w:r>
            <w:r w:rsidR="00B51927">
              <w:rPr>
                <w:noProof/>
                <w:szCs w:val="24"/>
              </w:rPr>
              <w:t>VN</w:t>
            </w:r>
            <w:r w:rsidR="00B51927">
              <w:rPr>
                <w:szCs w:val="24"/>
              </w:rPr>
              <w:fldChar w:fldCharType="end"/>
            </w:r>
            <w:r w:rsidR="00D50A98">
              <w:rPr>
                <w:szCs w:val="24"/>
              </w:rPr>
              <w:t xml:space="preserve"> 1</w:t>
            </w:r>
          </w:p>
        </w:tc>
      </w:tr>
      <w:tr w:rsidR="00C84F64" w:rsidRPr="00325A1F" w14:paraId="08E498EE" w14:textId="77777777" w:rsidTr="00887D11">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F4774B" w14:textId="77777777" w:rsidR="00CA40EE" w:rsidRPr="00325A1F" w:rsidRDefault="00CA40EE" w:rsidP="007B6556">
            <w:pPr>
              <w:spacing w:line="276" w:lineRule="auto"/>
              <w:rPr>
                <w:b/>
                <w:szCs w:val="24"/>
              </w:rPr>
            </w:pPr>
            <w:r w:rsidRPr="00325A1F">
              <w:rPr>
                <w:b/>
                <w:szCs w:val="24"/>
              </w:rPr>
              <w:t xml:space="preserve">TE DHËNA KONTAKTI </w:t>
            </w:r>
          </w:p>
          <w:p w14:paraId="00914D72" w14:textId="77777777" w:rsidR="00CA40EE" w:rsidRPr="00325A1F" w:rsidRDefault="00CA40EE" w:rsidP="007B6556">
            <w:pPr>
              <w:spacing w:line="276" w:lineRule="auto"/>
              <w:rPr>
                <w:b/>
                <w:szCs w:val="24"/>
              </w:rPr>
            </w:pPr>
            <w:r w:rsidRPr="00325A1F">
              <w:rPr>
                <w:b/>
                <w:szCs w:val="24"/>
              </w:rPr>
              <w:lastRenderedPageBreak/>
              <w:t>(EMRI, E-MAIL, NUMRI I TELEFONIT TË PERSONIT TË KONTAKTIT)</w:t>
            </w:r>
          </w:p>
        </w:tc>
        <w:sdt>
          <w:sdtPr>
            <w:rPr>
              <w:szCs w:val="24"/>
            </w:rPr>
            <w:id w:val="1361013490"/>
            <w:placeholder>
              <w:docPart w:val="DefaultPlaceholder_1081868574"/>
            </w:placeholder>
          </w:sdtPr>
          <w:sdtEndPr/>
          <w:sdtContent>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489489" w14:textId="10EB9A77" w:rsidR="005603C4" w:rsidRDefault="005603C4" w:rsidP="005603C4">
                <w:pPr>
                  <w:tabs>
                    <w:tab w:val="left" w:pos="10080"/>
                  </w:tabs>
                  <w:spacing w:line="276" w:lineRule="auto"/>
                </w:pPr>
              </w:p>
              <w:p w14:paraId="6154AFAE" w14:textId="607D0B83" w:rsidR="00CA40EE" w:rsidRPr="00325A1F" w:rsidRDefault="00CA40EE" w:rsidP="00096BFA">
                <w:pPr>
                  <w:spacing w:line="276" w:lineRule="auto"/>
                  <w:jc w:val="both"/>
                  <w:rPr>
                    <w:szCs w:val="24"/>
                  </w:rPr>
                </w:pPr>
              </w:p>
            </w:tc>
          </w:sdtContent>
        </w:sdt>
      </w:tr>
      <w:tr w:rsidR="00CA40EE" w:rsidRPr="00325A1F" w14:paraId="5382CFFE" w14:textId="77777777" w:rsidTr="00887D11">
        <w:trPr>
          <w:trHeight w:val="162"/>
        </w:trPr>
        <w:tc>
          <w:tcPr>
            <w:tcW w:w="9715" w:type="dxa"/>
            <w:gridSpan w:val="2"/>
            <w:tcBorders>
              <w:top w:val="single" w:sz="4" w:space="0" w:color="000000"/>
              <w:left w:val="single" w:sz="4" w:space="0" w:color="000000"/>
              <w:bottom w:val="single" w:sz="4" w:space="0" w:color="000000"/>
              <w:right w:val="single" w:sz="4" w:space="0" w:color="000000"/>
            </w:tcBorders>
          </w:tcPr>
          <w:p w14:paraId="44CBA4EC" w14:textId="77777777" w:rsidR="00CA40EE" w:rsidRPr="00325A1F" w:rsidRDefault="00CA40EE" w:rsidP="007B6556">
            <w:pPr>
              <w:spacing w:line="276" w:lineRule="auto"/>
              <w:jc w:val="both"/>
              <w:rPr>
                <w:b/>
                <w:szCs w:val="24"/>
              </w:rPr>
            </w:pPr>
          </w:p>
        </w:tc>
      </w:tr>
      <w:tr w:rsidR="00CA40EE" w:rsidRPr="00325A1F" w14:paraId="5E27A2CA" w14:textId="77777777" w:rsidTr="00887D11">
        <w:trPr>
          <w:trHeight w:val="353"/>
        </w:trPr>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6DCB94" w14:textId="06FFA005" w:rsidR="00CA40EE" w:rsidRPr="00325A1F" w:rsidRDefault="00CA40EE" w:rsidP="00C133FC">
            <w:pPr>
              <w:spacing w:line="276" w:lineRule="auto"/>
              <w:jc w:val="both"/>
              <w:rPr>
                <w:b/>
                <w:szCs w:val="24"/>
              </w:rPr>
            </w:pPr>
            <w:r w:rsidRPr="00325A1F">
              <w:rPr>
                <w:b/>
                <w:szCs w:val="24"/>
              </w:rPr>
              <w:t xml:space="preserve">PJESA 1: PËRMBLEDHJE EKZEKUTIVE </w:t>
            </w:r>
            <w:r w:rsidR="00C133FC">
              <w:rPr>
                <w:b/>
                <w:szCs w:val="24"/>
              </w:rPr>
              <w:t>(maksimumi 2 faqe)</w:t>
            </w:r>
          </w:p>
        </w:tc>
      </w:tr>
      <w:tr w:rsidR="00CA40EE" w:rsidRPr="000D5974" w14:paraId="677778F6" w14:textId="77777777" w:rsidTr="00887D11">
        <w:trPr>
          <w:trHeight w:val="552"/>
        </w:trPr>
        <w:tc>
          <w:tcPr>
            <w:tcW w:w="9715" w:type="dxa"/>
            <w:gridSpan w:val="2"/>
            <w:tcBorders>
              <w:top w:val="single" w:sz="4" w:space="0" w:color="000000"/>
              <w:left w:val="single" w:sz="4" w:space="0" w:color="000000"/>
              <w:bottom w:val="single" w:sz="4" w:space="0" w:color="000000"/>
              <w:right w:val="single" w:sz="4" w:space="0" w:color="000000"/>
            </w:tcBorders>
          </w:tcPr>
          <w:p w14:paraId="319CF7CD" w14:textId="77777777" w:rsidR="00CA40EE" w:rsidRPr="00325A1F" w:rsidRDefault="00CA40EE" w:rsidP="007B6556">
            <w:pPr>
              <w:spacing w:line="276" w:lineRule="auto"/>
              <w:jc w:val="both"/>
              <w:rPr>
                <w:b/>
                <w:szCs w:val="24"/>
              </w:rPr>
            </w:pPr>
            <w:r w:rsidRPr="00325A1F">
              <w:rPr>
                <w:b/>
                <w:szCs w:val="24"/>
              </w:rPr>
              <w:t>PËRKUFIZIMI I PROBLEMIT</w:t>
            </w:r>
          </w:p>
          <w:p w14:paraId="04059F76" w14:textId="023E034C" w:rsidR="00071110" w:rsidRDefault="001E0D36" w:rsidP="00027038">
            <w:pPr>
              <w:spacing w:line="276" w:lineRule="auto"/>
              <w:jc w:val="both"/>
              <w:rPr>
                <w:i/>
                <w:szCs w:val="24"/>
              </w:rPr>
            </w:pPr>
            <w:r>
              <w:rPr>
                <w:i/>
                <w:szCs w:val="24"/>
              </w:rPr>
              <w:fldChar w:fldCharType="begin">
                <w:ffData>
                  <w:name w:val="PerkufizimProblemi"/>
                  <w:enabled w:val="0"/>
                  <w:calcOnExit w:val="0"/>
                  <w:textInput>
                    <w:default w:val="Cili është problemi në shqyrtim dhe cilat janë shkaqet e tij? Jepni arsyet e nevojës së ndërhyrjes së qeverisë. (jo më shumë se 10 rreshta) "/>
                    <w:maxLength w:val="780"/>
                  </w:textInput>
                </w:ffData>
              </w:fldChar>
            </w:r>
            <w:bookmarkStart w:id="3" w:name="PerkufizimProblemi"/>
            <w:r w:rsidRPr="000D5974">
              <w:rPr>
                <w:i/>
                <w:szCs w:val="24"/>
              </w:rPr>
              <w:instrText xml:space="preserve"> FORMTEXT </w:instrText>
            </w:r>
            <w:r>
              <w:rPr>
                <w:i/>
                <w:szCs w:val="24"/>
              </w:rPr>
            </w:r>
            <w:r>
              <w:rPr>
                <w:i/>
                <w:szCs w:val="24"/>
              </w:rPr>
              <w:fldChar w:fldCharType="separate"/>
            </w:r>
            <w:r w:rsidRPr="000D5974">
              <w:rPr>
                <w:i/>
                <w:noProof/>
                <w:szCs w:val="24"/>
              </w:rPr>
              <w:t xml:space="preserve">Cili është problemi në shqyrtim dhe cilat janë shkaqet e tij? Jepni arsyet e nevojës së ndërhyrjes së qeverisë. (jo më shumë se 10 rreshta) </w:t>
            </w:r>
            <w:r>
              <w:rPr>
                <w:i/>
                <w:szCs w:val="24"/>
              </w:rPr>
              <w:fldChar w:fldCharType="end"/>
            </w:r>
            <w:bookmarkEnd w:id="3"/>
          </w:p>
          <w:p w14:paraId="20113761" w14:textId="77777777" w:rsidR="00EF499E" w:rsidRPr="000D5974" w:rsidRDefault="00EF499E" w:rsidP="00027038">
            <w:pPr>
              <w:spacing w:line="276" w:lineRule="auto"/>
              <w:jc w:val="both"/>
              <w:rPr>
                <w:i/>
                <w:szCs w:val="24"/>
              </w:rPr>
            </w:pPr>
          </w:p>
          <w:p w14:paraId="4843AE03" w14:textId="1002C305" w:rsidR="00EF499E" w:rsidRPr="00B469AB" w:rsidRDefault="00301767" w:rsidP="00332CA5">
            <w:pPr>
              <w:pStyle w:val="NormalWeb"/>
              <w:shd w:val="clear" w:color="auto" w:fill="FFFFFF"/>
              <w:spacing w:before="0" w:beforeAutospacing="0" w:after="0" w:afterAutospacing="0" w:line="276" w:lineRule="auto"/>
              <w:jc w:val="both"/>
              <w:textAlignment w:val="baseline"/>
              <w:rPr>
                <w:rFonts w:eastAsia="Calibri"/>
                <w:color w:val="000000"/>
                <w:lang w:val="sq-AL" w:eastAsia="en-GB"/>
              </w:rPr>
            </w:pPr>
            <w:r w:rsidRPr="0045310C">
              <w:rPr>
                <w:lang w:val="sq-AL"/>
              </w:rPr>
              <w:t xml:space="preserve">Ligji </w:t>
            </w:r>
            <w:r w:rsidR="00D83C7B">
              <w:rPr>
                <w:lang w:val="sq-AL"/>
              </w:rPr>
              <w:t>n</w:t>
            </w:r>
            <w:r w:rsidRPr="0045310C">
              <w:rPr>
                <w:lang w:val="sq-AL"/>
              </w:rPr>
              <w:t xml:space="preserve">r. 111/2017 </w:t>
            </w:r>
            <w:r w:rsidR="0045310C" w:rsidRPr="0045310C">
              <w:rPr>
                <w:lang w:val="sq-AL"/>
              </w:rPr>
              <w:t>“</w:t>
            </w:r>
            <w:r w:rsidRPr="0045310C">
              <w:rPr>
                <w:lang w:val="sq-AL"/>
              </w:rPr>
              <w:t>Për ndihmën juridike të garantuar nga shteti</w:t>
            </w:r>
            <w:r w:rsidR="0045310C">
              <w:rPr>
                <w:lang w:val="sq-AL"/>
              </w:rPr>
              <w:t>”</w:t>
            </w:r>
            <w:r w:rsidRPr="0045310C">
              <w:rPr>
                <w:lang w:val="sq-AL"/>
              </w:rPr>
              <w:t>, në zbatimin e tij praktik, ka evidentuar boshllëqe dhe kufizime që pengojnë aksesin efektiv në drejtësi të grupeve vulnerabël. Konkretisht, kuadri ligjor ekzistues nuk mbulon kategori të caktuara përfituesish si viktimat e terrorizmit, personat që kërkojnë njohjen e statusit të aftësisë së kufizuar dhe sinjalizuesit e shkeljeve të së drejtës së BE-së. Procedurat ekzistuese janë të ngadalta dhe të papërshtatshme për rastet urgjente që kërkojnë mbrojtje të menjëhershme, si rastet e dhunës në familje dhe trafikimit. Mungojnë gjithashtu mekanizmat e qartë për mbulimin e shpenzimeve kadastrale, noteriale dhe të ekzekutimit të vendimeve gjyqësore, duke lënë përfituesit të ekspozuar ndaj barrës financiare edhe pasi u është njohur e drejta për ndihmë juridike falas.</w:t>
            </w:r>
            <w:r w:rsidR="00EF499E" w:rsidRPr="00EF499E">
              <w:rPr>
                <w:rFonts w:eastAsia="Calibri"/>
                <w:color w:val="000000"/>
                <w:lang w:val="sq-AL"/>
              </w:rPr>
              <w:t xml:space="preserve"> Në këto kushte, ndërhyrja e qeverisë është e domosdoshme për të siguruar funksionimin efektiv të ofrimit të ndihmës juridike falas,</w:t>
            </w:r>
            <w:r w:rsidR="00901E4A">
              <w:rPr>
                <w:rFonts w:eastAsia="Calibri"/>
                <w:color w:val="000000"/>
                <w:lang w:val="sq-AL"/>
              </w:rPr>
              <w:t xml:space="preserve"> </w:t>
            </w:r>
            <w:r w:rsidR="00EF499E" w:rsidRPr="00EF499E">
              <w:rPr>
                <w:rFonts w:eastAsia="Calibri"/>
                <w:color w:val="000000"/>
                <w:lang w:val="sq-AL"/>
              </w:rPr>
              <w:t>për të garantuar mbrojtje të barabartë procedurale, për të përmbushur detyrimet e përafrimit me BE-në dhe për të forcuar aksesin në drejtësi si një të drejtë themelore të njeriut.</w:t>
            </w:r>
          </w:p>
        </w:tc>
      </w:tr>
      <w:tr w:rsidR="00CA40EE" w:rsidRPr="00325A1F" w14:paraId="39CA30C9" w14:textId="77777777" w:rsidTr="00887D11">
        <w:trPr>
          <w:trHeight w:val="543"/>
        </w:trPr>
        <w:tc>
          <w:tcPr>
            <w:tcW w:w="9715" w:type="dxa"/>
            <w:gridSpan w:val="2"/>
            <w:tcBorders>
              <w:top w:val="single" w:sz="4" w:space="0" w:color="000000"/>
              <w:left w:val="single" w:sz="4" w:space="0" w:color="000000"/>
              <w:bottom w:val="single" w:sz="4" w:space="0" w:color="000000"/>
              <w:right w:val="single" w:sz="4" w:space="0" w:color="000000"/>
            </w:tcBorders>
          </w:tcPr>
          <w:p w14:paraId="6D686755" w14:textId="6BC2B85F" w:rsidR="00CA40EE" w:rsidRPr="00325A1F" w:rsidRDefault="00CA40EE" w:rsidP="007B6556">
            <w:pPr>
              <w:spacing w:line="276" w:lineRule="auto"/>
              <w:jc w:val="both"/>
              <w:rPr>
                <w:b/>
                <w:i/>
                <w:szCs w:val="24"/>
              </w:rPr>
            </w:pPr>
            <w:r w:rsidRPr="00325A1F">
              <w:rPr>
                <w:b/>
                <w:szCs w:val="24"/>
              </w:rPr>
              <w:t>OBJEKTIVAT</w:t>
            </w:r>
          </w:p>
          <w:p w14:paraId="7484B34E" w14:textId="18D7029B" w:rsidR="00CE51A3" w:rsidRPr="008F4F23" w:rsidRDefault="006E7CFB" w:rsidP="00E571A7">
            <w:pPr>
              <w:spacing w:line="276" w:lineRule="auto"/>
              <w:jc w:val="both"/>
              <w:rPr>
                <w:i/>
                <w:szCs w:val="24"/>
              </w:rPr>
            </w:pPr>
            <w:r>
              <w:rPr>
                <w:i/>
                <w:szCs w:val="24"/>
              </w:rPr>
              <w:fldChar w:fldCharType="begin">
                <w:ffData>
                  <w:name w:val="Objektivat"/>
                  <w:enabled w:val="0"/>
                  <w:calcOnExit w:val="0"/>
                  <w:textInput>
                    <w:default w:val="Cilat janë objektivat dhe rezultatet e synuara të propozimit? (jo më shumë se 7  rreshta)"/>
                    <w:maxLength w:val="546"/>
                  </w:textInput>
                </w:ffData>
              </w:fldChar>
            </w:r>
            <w:bookmarkStart w:id="4" w:name="Objektivat"/>
            <w:r>
              <w:rPr>
                <w:i/>
                <w:szCs w:val="24"/>
              </w:rPr>
              <w:instrText xml:space="preserve"> FORMTEXT </w:instrText>
            </w:r>
            <w:r>
              <w:rPr>
                <w:i/>
                <w:szCs w:val="24"/>
              </w:rPr>
            </w:r>
            <w:r>
              <w:rPr>
                <w:i/>
                <w:szCs w:val="24"/>
              </w:rPr>
              <w:fldChar w:fldCharType="separate"/>
            </w:r>
            <w:r>
              <w:rPr>
                <w:i/>
                <w:noProof/>
                <w:szCs w:val="24"/>
              </w:rPr>
              <w:t>Cilat janë objektivat dhe rezultatet e synuara të propozimit? (jo më shumë se 7  rreshta)</w:t>
            </w:r>
            <w:r>
              <w:rPr>
                <w:i/>
                <w:szCs w:val="24"/>
              </w:rPr>
              <w:fldChar w:fldCharType="end"/>
            </w:r>
            <w:bookmarkEnd w:id="4"/>
          </w:p>
          <w:p w14:paraId="3B4D468B" w14:textId="7FBD1815" w:rsidR="00E571A7" w:rsidRPr="00E571A7" w:rsidRDefault="00CE51A3" w:rsidP="00E571A7">
            <w:pPr>
              <w:spacing w:line="276" w:lineRule="auto"/>
              <w:jc w:val="both"/>
              <w:rPr>
                <w:szCs w:val="24"/>
                <w:lang w:val="en-GB"/>
              </w:rPr>
            </w:pPr>
            <w:r>
              <w:rPr>
                <w:szCs w:val="24"/>
                <w:lang w:val="en-GB"/>
              </w:rPr>
              <w:t>Pr</w:t>
            </w:r>
            <w:r w:rsidR="00E571A7" w:rsidRPr="00E571A7">
              <w:rPr>
                <w:szCs w:val="24"/>
                <w:lang w:val="en-GB"/>
              </w:rPr>
              <w:t>opozimi ka si objektiv:</w:t>
            </w:r>
          </w:p>
          <w:p w14:paraId="4D792875" w14:textId="00E8BE43" w:rsidR="00C65E81" w:rsidRDefault="00C65E81" w:rsidP="00A457BB">
            <w:pPr>
              <w:pStyle w:val="font-claude-response-body"/>
              <w:numPr>
                <w:ilvl w:val="0"/>
                <w:numId w:val="18"/>
              </w:numPr>
              <w:ind w:left="360"/>
              <w:jc w:val="both"/>
            </w:pPr>
            <w:bookmarkStart w:id="5" w:name="_Hlk222475426"/>
            <w:r>
              <w:t>Zgjerimin e kategorive të veçanta përfituese duke mbuluar viktimat e terrorizmit, sinjalizuesit, personat me aftësi të kufizuara dhe komunitetin rom e egjiptian</w:t>
            </w:r>
            <w:r w:rsidR="00222506">
              <w:t>;</w:t>
            </w:r>
          </w:p>
          <w:p w14:paraId="3C1201B9" w14:textId="7BD7C409" w:rsidR="00C65E81" w:rsidRDefault="00C65E81" w:rsidP="00A457BB">
            <w:pPr>
              <w:pStyle w:val="font-claude-response-body"/>
              <w:numPr>
                <w:ilvl w:val="0"/>
                <w:numId w:val="18"/>
              </w:numPr>
              <w:ind w:left="360"/>
              <w:jc w:val="both"/>
            </w:pPr>
            <w:r>
              <w:t>Thjeshtimin e procedurave administrative për përfitimin e ndihmës juridike parësore duke reduktuar barrën për kërkuesit</w:t>
            </w:r>
            <w:r w:rsidR="00222506">
              <w:t>;</w:t>
            </w:r>
          </w:p>
          <w:p w14:paraId="4D254E95" w14:textId="2ED245CA" w:rsidR="00C65E81" w:rsidRDefault="00C65E81" w:rsidP="00A457BB">
            <w:pPr>
              <w:pStyle w:val="font-claude-response-body"/>
              <w:numPr>
                <w:ilvl w:val="0"/>
                <w:numId w:val="18"/>
              </w:numPr>
              <w:ind w:left="360"/>
              <w:jc w:val="both"/>
            </w:pPr>
            <w:r>
              <w:t>Zgjerimi</w:t>
            </w:r>
            <w:r w:rsidR="00222506">
              <w:t>n e</w:t>
            </w:r>
            <w:r>
              <w:t xml:space="preserve"> mbulimit të shpenzimeve të domosdoshme kadastrale, noteriale dhe përmbarimore në fazën e ekzekutimit</w:t>
            </w:r>
            <w:r w:rsidR="00222506">
              <w:t>;</w:t>
            </w:r>
          </w:p>
          <w:p w14:paraId="7023A7F6" w14:textId="28068F59" w:rsidR="00332011" w:rsidRDefault="00332011" w:rsidP="00A457BB">
            <w:pPr>
              <w:pStyle w:val="font-claude-response-body"/>
              <w:numPr>
                <w:ilvl w:val="0"/>
                <w:numId w:val="18"/>
              </w:numPr>
              <w:ind w:left="360"/>
              <w:jc w:val="both"/>
            </w:pPr>
            <w:r w:rsidRPr="00026AF2">
              <w:rPr>
                <w:rFonts w:eastAsia="Calibri"/>
                <w:color w:val="000000"/>
              </w:rPr>
              <w:t>Harmonizimi</w:t>
            </w:r>
            <w:r w:rsidR="003A6473">
              <w:rPr>
                <w:rFonts w:eastAsia="Calibri"/>
                <w:color w:val="000000"/>
              </w:rPr>
              <w:t xml:space="preserve">n e </w:t>
            </w:r>
            <w:r w:rsidRPr="00026AF2">
              <w:rPr>
                <w:rFonts w:eastAsia="Calibri"/>
                <w:color w:val="000000"/>
              </w:rPr>
              <w:t>legjislacionit kombëtar me standardet dhe direktivat e BE-së nëpërmjet adresimit të boshlliqeve të identifikuara.</w:t>
            </w:r>
          </w:p>
          <w:p w14:paraId="61C410ED" w14:textId="2FBFEE58" w:rsidR="001E0D36" w:rsidRPr="00CE51A3" w:rsidRDefault="00CE51A3" w:rsidP="00CE51A3">
            <w:pPr>
              <w:spacing w:line="276" w:lineRule="auto"/>
              <w:jc w:val="both"/>
              <w:rPr>
                <w:szCs w:val="24"/>
              </w:rPr>
            </w:pPr>
            <w:r w:rsidRPr="008B0EAD">
              <w:rPr>
                <w:szCs w:val="24"/>
              </w:rPr>
              <w:t xml:space="preserve">Si </w:t>
            </w:r>
            <w:r>
              <w:rPr>
                <w:szCs w:val="24"/>
              </w:rPr>
              <w:t>pasojë</w:t>
            </w:r>
            <w:r w:rsidRPr="008B0EAD">
              <w:rPr>
                <w:szCs w:val="24"/>
              </w:rPr>
              <w:t xml:space="preserve"> </w:t>
            </w:r>
            <w:r>
              <w:rPr>
                <w:szCs w:val="24"/>
              </w:rPr>
              <w:t>e</w:t>
            </w:r>
            <w:r w:rsidRPr="008B0EAD">
              <w:rPr>
                <w:szCs w:val="24"/>
              </w:rPr>
              <w:t xml:space="preserve"> ndërhyrje</w:t>
            </w:r>
            <w:r>
              <w:rPr>
                <w:szCs w:val="24"/>
              </w:rPr>
              <w:t>s</w:t>
            </w:r>
            <w:r w:rsidRPr="008B0EAD">
              <w:rPr>
                <w:szCs w:val="24"/>
              </w:rPr>
              <w:t xml:space="preserve"> synohe</w:t>
            </w:r>
            <w:r>
              <w:rPr>
                <w:szCs w:val="24"/>
              </w:rPr>
              <w:t>t r</w:t>
            </w:r>
            <w:r w:rsidRPr="00CE51A3">
              <w:rPr>
                <w:szCs w:val="24"/>
              </w:rPr>
              <w:t>ritja e aksesit real dhe të barabartë në drejtësi për individët me të ardhura dhe pasuri të pamjaftueshme</w:t>
            </w:r>
            <w:r>
              <w:rPr>
                <w:szCs w:val="24"/>
              </w:rPr>
              <w:t>, u</w:t>
            </w:r>
            <w:r w:rsidRPr="00CE51A3">
              <w:rPr>
                <w:szCs w:val="24"/>
              </w:rPr>
              <w:t>lja e barrës financiare që pengon ekzekutimin e vendimeve gjyqësore</w:t>
            </w:r>
            <w:r>
              <w:rPr>
                <w:szCs w:val="24"/>
              </w:rPr>
              <w:t>, r</w:t>
            </w:r>
            <w:r w:rsidRPr="00CE51A3">
              <w:rPr>
                <w:szCs w:val="24"/>
              </w:rPr>
              <w:t>ritja e cilësisë së shërbimit të ndihmës juridike dytësore</w:t>
            </w:r>
            <w:r>
              <w:rPr>
                <w:szCs w:val="24"/>
              </w:rPr>
              <w:t>, m</w:t>
            </w:r>
            <w:r w:rsidRPr="008B0EAD">
              <w:rPr>
                <w:szCs w:val="24"/>
              </w:rPr>
              <w:t xml:space="preserve">brojtje më e gjerë dhe efektive ndaj kategorive </w:t>
            </w:r>
            <w:r w:rsidR="00B846DE">
              <w:rPr>
                <w:szCs w:val="24"/>
              </w:rPr>
              <w:t>vulnerab</w:t>
            </w:r>
            <w:r w:rsidR="008814E7">
              <w:rPr>
                <w:szCs w:val="24"/>
              </w:rPr>
              <w:t>ë</w:t>
            </w:r>
            <w:r w:rsidR="00B846DE">
              <w:rPr>
                <w:szCs w:val="24"/>
              </w:rPr>
              <w:t>l</w:t>
            </w:r>
            <w:bookmarkEnd w:id="5"/>
            <w:r w:rsidR="00B846DE">
              <w:rPr>
                <w:szCs w:val="24"/>
              </w:rPr>
              <w:t>, si dhe</w:t>
            </w:r>
            <w:r w:rsidR="00B846DE">
              <w:t xml:space="preserve"> rritja e përputhshmërisë së kuadrit ligjor vendas me Direktivat e Bashkimit Evropian</w:t>
            </w:r>
            <w:r w:rsidR="00B846DE" w:rsidRPr="00CE51A3">
              <w:rPr>
                <w:szCs w:val="24"/>
              </w:rPr>
              <w:t xml:space="preserve"> </w:t>
            </w:r>
          </w:p>
        </w:tc>
      </w:tr>
      <w:tr w:rsidR="00CA40EE" w:rsidRPr="00325A1F" w14:paraId="3F92AAA3" w14:textId="77777777" w:rsidTr="00887D11">
        <w:tc>
          <w:tcPr>
            <w:tcW w:w="9715" w:type="dxa"/>
            <w:gridSpan w:val="2"/>
            <w:tcBorders>
              <w:top w:val="single" w:sz="4" w:space="0" w:color="000000"/>
              <w:left w:val="single" w:sz="4" w:space="0" w:color="000000"/>
              <w:bottom w:val="single" w:sz="4" w:space="0" w:color="000000"/>
              <w:right w:val="single" w:sz="4" w:space="0" w:color="000000"/>
            </w:tcBorders>
          </w:tcPr>
          <w:p w14:paraId="4E008628" w14:textId="7693849C" w:rsidR="00CA40EE" w:rsidRPr="00325A1F" w:rsidRDefault="008576E4" w:rsidP="007B6556">
            <w:pPr>
              <w:spacing w:line="276" w:lineRule="auto"/>
              <w:jc w:val="both"/>
              <w:rPr>
                <w:b/>
                <w:szCs w:val="24"/>
              </w:rPr>
            </w:pPr>
            <w:bookmarkStart w:id="6" w:name="_Hlk222475534"/>
            <w:r w:rsidRPr="00325A1F">
              <w:rPr>
                <w:b/>
                <w:szCs w:val="24"/>
              </w:rPr>
              <w:t>OPSIONET E POLITIKAVE</w:t>
            </w:r>
          </w:p>
          <w:p w14:paraId="7F696100" w14:textId="489AAF93" w:rsidR="008576E4" w:rsidRDefault="006E7CFB" w:rsidP="00027038">
            <w:pPr>
              <w:spacing w:line="276" w:lineRule="auto"/>
              <w:jc w:val="both"/>
              <w:rPr>
                <w:i/>
                <w:szCs w:val="24"/>
              </w:rPr>
            </w:pPr>
            <w:r>
              <w:rPr>
                <w:i/>
                <w:szCs w:val="24"/>
              </w:rPr>
              <w:fldChar w:fldCharType="begin">
                <w:ffData>
                  <w:name w:val=""/>
                  <w:enabled w:val="0"/>
                  <w:calcOnExit w:val="0"/>
                  <w:textInput>
                    <w:default w:val="Cilat janë opsionet kryesore të politikave? Duhet të bëni krahasimin e avantazheve/përfitimeve kryesore dhe të dizavantazheve/kostove të opsioneve të mundshme.  (jo më shumë se 7 rreshta)"/>
                    <w:maxLength w:val="546"/>
                  </w:textInput>
                </w:ffData>
              </w:fldChar>
            </w:r>
            <w:r>
              <w:rPr>
                <w:i/>
                <w:szCs w:val="24"/>
              </w:rPr>
              <w:instrText xml:space="preserve"> FORMTEXT </w:instrText>
            </w:r>
            <w:r>
              <w:rPr>
                <w:i/>
                <w:szCs w:val="24"/>
              </w:rPr>
            </w:r>
            <w:r>
              <w:rPr>
                <w:i/>
                <w:szCs w:val="24"/>
              </w:rPr>
              <w:fldChar w:fldCharType="separate"/>
            </w:r>
            <w:r>
              <w:rPr>
                <w:i/>
                <w:noProof/>
                <w:szCs w:val="24"/>
              </w:rPr>
              <w:t>Cilat janë opsionet kryesore të politikave? Duhet të bëni krahasimin e avantazheve/përfitimeve kryesore dhe të dizavantazheve/kostove të opsioneve të mundshme.  (jo më shumë se 7 rreshta)</w:t>
            </w:r>
            <w:r>
              <w:rPr>
                <w:i/>
                <w:szCs w:val="24"/>
              </w:rPr>
              <w:fldChar w:fldCharType="end"/>
            </w:r>
          </w:p>
          <w:p w14:paraId="48B8DE83" w14:textId="77777777" w:rsidR="00B846DE" w:rsidRDefault="00B846DE" w:rsidP="00A457BB">
            <w:pPr>
              <w:pStyle w:val="font-claude-response-body"/>
              <w:spacing w:after="0" w:afterAutospacing="0"/>
              <w:jc w:val="both"/>
            </w:pPr>
            <w:r>
              <w:rPr>
                <w:rStyle w:val="Strong"/>
                <w:rFonts w:eastAsiaTheme="majorEastAsia"/>
              </w:rPr>
              <w:t>Opsioni 0 – Ruajtja e status quo-së (mosndërhyrja)</w:t>
            </w:r>
          </w:p>
          <w:p w14:paraId="773D2FD0" w14:textId="3949BBDB" w:rsidR="00B846DE" w:rsidRDefault="00B846DE" w:rsidP="00A457BB">
            <w:pPr>
              <w:pStyle w:val="font-claude-response-body"/>
              <w:numPr>
                <w:ilvl w:val="0"/>
                <w:numId w:val="19"/>
              </w:numPr>
              <w:ind w:left="360"/>
              <w:jc w:val="both"/>
            </w:pPr>
            <w:r>
              <w:rPr>
                <w:rStyle w:val="Strong"/>
                <w:rFonts w:eastAsiaTheme="majorEastAsia"/>
              </w:rPr>
              <w:t>Avantazhe:</w:t>
            </w:r>
            <w:r>
              <w:t xml:space="preserve"> Nuk kërkon burime shtesë financiare dhe njerëzore</w:t>
            </w:r>
            <w:r w:rsidR="00D2305D">
              <w:t>.</w:t>
            </w:r>
          </w:p>
          <w:p w14:paraId="016031CE" w14:textId="6949562E" w:rsidR="00B846DE" w:rsidRDefault="00B846DE" w:rsidP="00A457BB">
            <w:pPr>
              <w:pStyle w:val="font-claude-response-body"/>
              <w:numPr>
                <w:ilvl w:val="0"/>
                <w:numId w:val="19"/>
              </w:numPr>
              <w:ind w:left="360"/>
              <w:jc w:val="both"/>
            </w:pPr>
            <w:r>
              <w:rPr>
                <w:rStyle w:val="Strong"/>
                <w:rFonts w:eastAsiaTheme="majorEastAsia"/>
              </w:rPr>
              <w:t>Di</w:t>
            </w:r>
            <w:r w:rsidR="00D2305D">
              <w:rPr>
                <w:rStyle w:val="Strong"/>
                <w:rFonts w:eastAsiaTheme="majorEastAsia"/>
              </w:rPr>
              <w:t>s</w:t>
            </w:r>
            <w:r>
              <w:rPr>
                <w:rStyle w:val="Strong"/>
                <w:rFonts w:eastAsiaTheme="majorEastAsia"/>
              </w:rPr>
              <w:t>avantazhe:</w:t>
            </w:r>
            <w:r>
              <w:t xml:space="preserve"> Vazhdon kufizimi i aksesit në drejtësi për grupet </w:t>
            </w:r>
            <w:r w:rsidR="00D2305D">
              <w:t>vulnerab</w:t>
            </w:r>
            <w:r w:rsidR="009F61F2">
              <w:t>ë</w:t>
            </w:r>
            <w:r w:rsidR="00D2305D">
              <w:t>l,</w:t>
            </w:r>
            <w:r>
              <w:t xml:space="preserve"> mbeten jashtë mbulimit kategori si viktimat e terrorizmit, sinjalizuesit dhe personat me aftësi të kufizuara</w:t>
            </w:r>
            <w:r w:rsidR="00D2305D">
              <w:t>,</w:t>
            </w:r>
            <w:r>
              <w:t xml:space="preserve"> mungojnë procedurat e përshpejtuara për rastet emergjente</w:t>
            </w:r>
            <w:r w:rsidR="00D2305D">
              <w:t>,</w:t>
            </w:r>
            <w:r>
              <w:t xml:space="preserve"> shpenzimet kadastrale, noteriale dhe </w:t>
            </w:r>
            <w:r>
              <w:lastRenderedPageBreak/>
              <w:t>përmbarimore vazhdojnë të mbeten barrë për përfituesit</w:t>
            </w:r>
            <w:r w:rsidR="00D2305D">
              <w:t xml:space="preserve">, </w:t>
            </w:r>
            <w:r>
              <w:t>mos</w:t>
            </w:r>
            <w:r w:rsidR="009F61F2">
              <w:t>-</w:t>
            </w:r>
            <w:r>
              <w:t>harmonizimi me direktivat e BE-së</w:t>
            </w:r>
            <w:r w:rsidR="00D2305D">
              <w:t>.</w:t>
            </w:r>
          </w:p>
          <w:p w14:paraId="62636D65" w14:textId="77777777" w:rsidR="00B846DE" w:rsidRDefault="00B846DE" w:rsidP="00A457BB">
            <w:pPr>
              <w:pStyle w:val="font-claude-response-body"/>
              <w:spacing w:after="0" w:afterAutospacing="0"/>
              <w:jc w:val="both"/>
            </w:pPr>
            <w:r>
              <w:rPr>
                <w:rStyle w:val="Strong"/>
                <w:rFonts w:eastAsiaTheme="majorEastAsia"/>
              </w:rPr>
              <w:t>Opsioni 1 – Përmirësimi i zbatimit të kuadrit ekzistues ligjor (opsion jo rregullator)</w:t>
            </w:r>
          </w:p>
          <w:p w14:paraId="1B68B96D" w14:textId="6C0A5EBE" w:rsidR="00B846DE" w:rsidRDefault="00B846DE" w:rsidP="0075002E">
            <w:pPr>
              <w:pStyle w:val="font-claude-response-body"/>
              <w:numPr>
                <w:ilvl w:val="0"/>
                <w:numId w:val="20"/>
              </w:numPr>
              <w:spacing w:before="0" w:beforeAutospacing="0"/>
              <w:ind w:left="360"/>
              <w:jc w:val="both"/>
            </w:pPr>
            <w:r>
              <w:rPr>
                <w:rStyle w:val="Strong"/>
                <w:rFonts w:eastAsiaTheme="majorEastAsia"/>
              </w:rPr>
              <w:t>Avantazhe:</w:t>
            </w:r>
            <w:r>
              <w:t xml:space="preserve"> </w:t>
            </w:r>
            <w:r w:rsidR="00D2305D">
              <w:t>Ka k</w:t>
            </w:r>
            <w:r>
              <w:t>osto të ulëta zbatimi</w:t>
            </w:r>
            <w:r w:rsidR="00D2305D">
              <w:t xml:space="preserve">, </w:t>
            </w:r>
            <w:r>
              <w:t>nuk kërkon ndryshime legjislative</w:t>
            </w:r>
            <w:r w:rsidR="00D2305D">
              <w:t xml:space="preserve"> por </w:t>
            </w:r>
            <w:r>
              <w:t>mund të përmirësojë informimin e publikut dhe monitorimin e cilësisë së shërbimit</w:t>
            </w:r>
            <w:r w:rsidR="00D2305D">
              <w:t>.</w:t>
            </w:r>
          </w:p>
          <w:p w14:paraId="1B9E4199" w14:textId="154846B2" w:rsidR="00B846DE" w:rsidRDefault="00B846DE" w:rsidP="00A457BB">
            <w:pPr>
              <w:pStyle w:val="font-claude-response-body"/>
              <w:numPr>
                <w:ilvl w:val="0"/>
                <w:numId w:val="20"/>
              </w:numPr>
              <w:ind w:left="360"/>
              <w:jc w:val="both"/>
            </w:pPr>
            <w:r>
              <w:rPr>
                <w:rStyle w:val="Strong"/>
                <w:rFonts w:eastAsiaTheme="majorEastAsia"/>
              </w:rPr>
              <w:t>Di</w:t>
            </w:r>
            <w:r w:rsidR="00D2305D">
              <w:rPr>
                <w:rStyle w:val="Strong"/>
                <w:rFonts w:eastAsiaTheme="majorEastAsia"/>
              </w:rPr>
              <w:t>s</w:t>
            </w:r>
            <w:r>
              <w:rPr>
                <w:rStyle w:val="Strong"/>
                <w:rFonts w:eastAsiaTheme="majorEastAsia"/>
              </w:rPr>
              <w:t>avantazhe:</w:t>
            </w:r>
            <w:r>
              <w:t xml:space="preserve"> Nuk adreson boshllëqet </w:t>
            </w:r>
            <w:r w:rsidR="009F61F2">
              <w:t>e</w:t>
            </w:r>
            <w:r>
              <w:t xml:space="preserve"> ligjit</w:t>
            </w:r>
            <w:r w:rsidR="009F61F2">
              <w:t xml:space="preserve">, </w:t>
            </w:r>
            <w:r>
              <w:t>nuk mundëson zgjerimin e kategorive përfituese</w:t>
            </w:r>
            <w:r w:rsidR="008814E7">
              <w:t>,</w:t>
            </w:r>
            <w:r>
              <w:t xml:space="preserve"> nuk krijon bazë ligjore për procedurat e përshpejtuara dhe mbulimin e shpenzimeve të ekzekutimit; nuk plotëson detyrimet e harmonizimit me </w:t>
            </w:r>
            <w:r w:rsidRPr="00A341D1">
              <w:rPr>
                <w:i/>
              </w:rPr>
              <w:t>acquis</w:t>
            </w:r>
            <w:r>
              <w:t xml:space="preserve"> të BE-së</w:t>
            </w:r>
            <w:r w:rsidR="00D2305D">
              <w:t>.</w:t>
            </w:r>
          </w:p>
          <w:p w14:paraId="21474A80" w14:textId="77777777" w:rsidR="00B846DE" w:rsidRDefault="00B846DE" w:rsidP="00A457BB">
            <w:pPr>
              <w:pStyle w:val="font-claude-response-body"/>
              <w:spacing w:after="0" w:afterAutospacing="0"/>
              <w:jc w:val="both"/>
            </w:pPr>
            <w:r>
              <w:rPr>
                <w:rStyle w:val="Strong"/>
                <w:rFonts w:eastAsiaTheme="majorEastAsia"/>
              </w:rPr>
              <w:t>Opsioni 2 – Ndryshimi i ligjit Nr. 111/2017 (opsioni i preferuar)</w:t>
            </w:r>
          </w:p>
          <w:p w14:paraId="4701C1A7" w14:textId="50D2A199" w:rsidR="00B846DE" w:rsidRDefault="00B846DE" w:rsidP="0075002E">
            <w:pPr>
              <w:pStyle w:val="font-claude-response-body"/>
              <w:numPr>
                <w:ilvl w:val="0"/>
                <w:numId w:val="21"/>
              </w:numPr>
              <w:spacing w:before="0" w:beforeAutospacing="0"/>
              <w:ind w:left="360"/>
              <w:jc w:val="both"/>
            </w:pPr>
            <w:r>
              <w:rPr>
                <w:rStyle w:val="Strong"/>
                <w:rFonts w:eastAsiaTheme="majorEastAsia"/>
              </w:rPr>
              <w:t>Avantazhe:</w:t>
            </w:r>
            <w:r>
              <w:t xml:space="preserve"> Adreson të gjitha problematikat e evidentuara</w:t>
            </w:r>
            <w:r w:rsidR="00D2305D">
              <w:t xml:space="preserve">, </w:t>
            </w:r>
            <w:r>
              <w:t>zgjeron kategoritë përfitues</w:t>
            </w:r>
            <w:r w:rsidR="009F61F2">
              <w:t>e</w:t>
            </w:r>
            <w:r w:rsidR="00D2305D">
              <w:t>,</w:t>
            </w:r>
            <w:r>
              <w:t xml:space="preserve"> krijon procedura të përshpejtuara për rastet emergjente</w:t>
            </w:r>
            <w:r w:rsidR="00D2305D">
              <w:t>,</w:t>
            </w:r>
            <w:r>
              <w:t xml:space="preserve"> mbulon shpenzimet kadastrale, noteriale dhe përmbarimore</w:t>
            </w:r>
            <w:r w:rsidR="00D2305D">
              <w:t xml:space="preserve">, </w:t>
            </w:r>
            <w:r>
              <w:t>forcon koordinimin ndërinstitucional</w:t>
            </w:r>
            <w:r w:rsidR="009F61F2">
              <w:t xml:space="preserve">, </w:t>
            </w:r>
            <w:r>
              <w:t xml:space="preserve">harmonizon legjislacionin me </w:t>
            </w:r>
            <w:r w:rsidR="009F61F2">
              <w:t>d</w:t>
            </w:r>
            <w:r>
              <w:t xml:space="preserve">irektivat </w:t>
            </w:r>
            <w:r w:rsidR="00D2305D">
              <w:t>e BE.</w:t>
            </w:r>
          </w:p>
          <w:p w14:paraId="296F0381" w14:textId="6F0CF045" w:rsidR="00B846DE" w:rsidRDefault="00B846DE" w:rsidP="00A457BB">
            <w:pPr>
              <w:pStyle w:val="font-claude-response-body"/>
              <w:numPr>
                <w:ilvl w:val="0"/>
                <w:numId w:val="21"/>
              </w:numPr>
              <w:ind w:left="360"/>
              <w:jc w:val="both"/>
            </w:pPr>
            <w:r>
              <w:rPr>
                <w:rStyle w:val="Strong"/>
                <w:rFonts w:eastAsiaTheme="majorEastAsia"/>
              </w:rPr>
              <w:t>Di</w:t>
            </w:r>
            <w:r w:rsidR="00D2305D">
              <w:rPr>
                <w:rStyle w:val="Strong"/>
                <w:rFonts w:eastAsiaTheme="majorEastAsia"/>
              </w:rPr>
              <w:t>s</w:t>
            </w:r>
            <w:r>
              <w:rPr>
                <w:rStyle w:val="Strong"/>
                <w:rFonts w:eastAsiaTheme="majorEastAsia"/>
              </w:rPr>
              <w:t>avantazhe:</w:t>
            </w:r>
            <w:r>
              <w:t xml:space="preserve"> Kërkon miratimin e akteve nënligjore zbatuese</w:t>
            </w:r>
            <w:r w:rsidR="00D2305D">
              <w:t xml:space="preserve">, si dhe kërkon </w:t>
            </w:r>
            <w:r>
              <w:t>kosto shtesë për mbulimin e kategorive të reja përfituese dhe shpenzimeve të ekzekutimit</w:t>
            </w:r>
            <w:r w:rsidR="00D2305D">
              <w:t>.</w:t>
            </w:r>
          </w:p>
          <w:p w14:paraId="22E62B8E" w14:textId="77777777" w:rsidR="00B846DE" w:rsidRDefault="00B846DE" w:rsidP="0075002E">
            <w:pPr>
              <w:pStyle w:val="font-claude-response-body"/>
              <w:spacing w:before="0" w:beforeAutospacing="0" w:after="0" w:afterAutospacing="0"/>
              <w:jc w:val="both"/>
            </w:pPr>
            <w:r>
              <w:rPr>
                <w:rStyle w:val="Strong"/>
                <w:rFonts w:eastAsiaTheme="majorEastAsia"/>
              </w:rPr>
              <w:t>Opsioni 3 – Miratimi i një ligji të ri</w:t>
            </w:r>
          </w:p>
          <w:p w14:paraId="7321A932" w14:textId="5B4BC3DF" w:rsidR="00B846DE" w:rsidRDefault="00B846DE" w:rsidP="0075002E">
            <w:pPr>
              <w:pStyle w:val="font-claude-response-body"/>
              <w:numPr>
                <w:ilvl w:val="0"/>
                <w:numId w:val="22"/>
              </w:numPr>
              <w:spacing w:before="0" w:beforeAutospacing="0"/>
              <w:ind w:left="360"/>
              <w:jc w:val="both"/>
            </w:pPr>
            <w:r>
              <w:rPr>
                <w:rStyle w:val="Strong"/>
                <w:rFonts w:eastAsiaTheme="majorEastAsia"/>
              </w:rPr>
              <w:t>Avantazhe:</w:t>
            </w:r>
            <w:r>
              <w:t xml:space="preserve"> Mundëson adresimin e plotë të problematikave dhe ristrukturimin e plotë të sistemit</w:t>
            </w:r>
            <w:r w:rsidR="00D2305D">
              <w:t xml:space="preserve">. </w:t>
            </w:r>
          </w:p>
          <w:p w14:paraId="58BF57A8" w14:textId="080BC58F" w:rsidR="001E0D36" w:rsidRPr="00D2305D" w:rsidRDefault="00B846DE" w:rsidP="00A457BB">
            <w:pPr>
              <w:pStyle w:val="font-claude-response-body"/>
              <w:numPr>
                <w:ilvl w:val="0"/>
                <w:numId w:val="22"/>
              </w:numPr>
              <w:spacing w:after="0" w:afterAutospacing="0"/>
              <w:ind w:left="360"/>
              <w:jc w:val="both"/>
            </w:pPr>
            <w:r>
              <w:rPr>
                <w:rStyle w:val="Strong"/>
                <w:rFonts w:eastAsiaTheme="majorEastAsia"/>
              </w:rPr>
              <w:t>Di</w:t>
            </w:r>
            <w:r w:rsidR="00D2305D">
              <w:rPr>
                <w:rStyle w:val="Strong"/>
                <w:rFonts w:eastAsiaTheme="majorEastAsia"/>
              </w:rPr>
              <w:t>s</w:t>
            </w:r>
            <w:r>
              <w:rPr>
                <w:rStyle w:val="Strong"/>
                <w:rFonts w:eastAsiaTheme="majorEastAsia"/>
              </w:rPr>
              <w:t>avantazhe:</w:t>
            </w:r>
            <w:r>
              <w:t xml:space="preserve"> </w:t>
            </w:r>
            <w:r w:rsidR="009F61F2">
              <w:t>Kërkon k</w:t>
            </w:r>
            <w:r>
              <w:t>osto</w:t>
            </w:r>
            <w:r w:rsidR="008814E7">
              <w:t xml:space="preserve"> </w:t>
            </w:r>
            <w:r>
              <w:t>më të larta hartimi dhe zbatimi</w:t>
            </w:r>
            <w:r w:rsidR="009F61F2">
              <w:t>,</w:t>
            </w:r>
            <w:r>
              <w:t xml:space="preserve"> </w:t>
            </w:r>
            <w:r w:rsidR="009F61F2">
              <w:t xml:space="preserve">si dhe </w:t>
            </w:r>
            <w:r>
              <w:t>kohë të gjatë përgatitjeje</w:t>
            </w:r>
            <w:r w:rsidR="009F61F2">
              <w:t>.</w:t>
            </w:r>
            <w:r>
              <w:t xml:space="preserve"> </w:t>
            </w:r>
            <w:r w:rsidR="009F61F2">
              <w:t>P</w:t>
            </w:r>
            <w:r>
              <w:t>ërfitimet janë të njëjta me Opsionin 2, duke e bërë këtë opsion të pajustifikuar nga pikëpamja e kostos dhe eficiencës</w:t>
            </w:r>
            <w:bookmarkEnd w:id="6"/>
            <w:r w:rsidR="009F61F2">
              <w:t>.</w:t>
            </w:r>
          </w:p>
        </w:tc>
      </w:tr>
      <w:tr w:rsidR="00CA40EE" w:rsidRPr="00325A1F" w14:paraId="7ED6FC4A" w14:textId="77777777" w:rsidTr="00887D11">
        <w:tc>
          <w:tcPr>
            <w:tcW w:w="9715" w:type="dxa"/>
            <w:gridSpan w:val="2"/>
            <w:tcBorders>
              <w:top w:val="single" w:sz="4" w:space="0" w:color="000000"/>
              <w:left w:val="single" w:sz="4" w:space="0" w:color="000000"/>
              <w:bottom w:val="single" w:sz="4" w:space="0" w:color="000000"/>
              <w:right w:val="single" w:sz="4" w:space="0" w:color="000000"/>
            </w:tcBorders>
          </w:tcPr>
          <w:p w14:paraId="78A90A8D" w14:textId="77777777" w:rsidR="00CA40EE" w:rsidRPr="00325A1F" w:rsidRDefault="00CA40EE" w:rsidP="007B6556">
            <w:pPr>
              <w:spacing w:line="276" w:lineRule="auto"/>
              <w:jc w:val="both"/>
              <w:rPr>
                <w:b/>
                <w:szCs w:val="24"/>
              </w:rPr>
            </w:pPr>
            <w:r w:rsidRPr="00325A1F">
              <w:rPr>
                <w:b/>
                <w:szCs w:val="24"/>
              </w:rPr>
              <w:lastRenderedPageBreak/>
              <w:t>ANALIZA E NDIKIMEVE</w:t>
            </w:r>
          </w:p>
          <w:p w14:paraId="3147BFCD" w14:textId="3A357F88" w:rsidR="00EA3842" w:rsidRDefault="006E7CFB" w:rsidP="000B6F0E">
            <w:pPr>
              <w:spacing w:line="276" w:lineRule="auto"/>
              <w:jc w:val="both"/>
              <w:rPr>
                <w:i/>
                <w:szCs w:val="24"/>
              </w:rPr>
            </w:pPr>
            <w:r>
              <w:rPr>
                <w:i/>
                <w:szCs w:val="24"/>
              </w:rPr>
              <w:fldChar w:fldCharType="begin">
                <w:ffData>
                  <w:name w:val=""/>
                  <w:enabled w:val="0"/>
                  <w:calcOnExit w:val="0"/>
                  <w:textInput>
                    <w:default w:val="Cilat janë ndikimet e opsionit të preferuar? Kjo duhet të përshkruajë ndikimet në mënyrë sasiore  (monetare) dhe cilësore (narrative) mbi buxhetin dhe grupet e tjera të prekura. (jo më shumë se 10 rreshta)"/>
                    <w:maxLength w:val="780"/>
                  </w:textInput>
                </w:ffData>
              </w:fldChar>
            </w:r>
            <w:r>
              <w:rPr>
                <w:i/>
                <w:szCs w:val="24"/>
              </w:rPr>
              <w:instrText xml:space="preserve"> FORMTEXT </w:instrText>
            </w:r>
            <w:r>
              <w:rPr>
                <w:i/>
                <w:szCs w:val="24"/>
              </w:rPr>
            </w:r>
            <w:r>
              <w:rPr>
                <w:i/>
                <w:szCs w:val="24"/>
              </w:rPr>
              <w:fldChar w:fldCharType="separate"/>
            </w:r>
            <w:r>
              <w:rPr>
                <w:i/>
                <w:noProof/>
                <w:szCs w:val="24"/>
              </w:rPr>
              <w:t>Cilat janë ndikimet e opsionit të preferuar? Kjo duhet të përshkruajë ndikimet në mënyrë sasiore  (monetare) dhe cilësore (narrative) mbi buxhetin dhe grupet e tjera të prekura. (jo më shumë se 10 rreshta)</w:t>
            </w:r>
            <w:r>
              <w:rPr>
                <w:i/>
                <w:szCs w:val="24"/>
              </w:rPr>
              <w:fldChar w:fldCharType="end"/>
            </w:r>
          </w:p>
          <w:p w14:paraId="316A6849" w14:textId="29DA52D1" w:rsidR="00F84D50" w:rsidRPr="00F84D50" w:rsidRDefault="00F84D50" w:rsidP="00F84D50">
            <w:pPr>
              <w:spacing w:line="276" w:lineRule="auto"/>
              <w:jc w:val="right"/>
              <w:rPr>
                <w:i/>
                <w:color w:val="4F81BD" w:themeColor="accent1"/>
                <w:szCs w:val="24"/>
              </w:rPr>
            </w:pPr>
            <w:r w:rsidRPr="00F84D50">
              <w:rPr>
                <w:i/>
                <w:color w:val="4F81BD" w:themeColor="accent1"/>
                <w:szCs w:val="24"/>
              </w:rPr>
              <w:t>Opsion 2</w:t>
            </w:r>
          </w:p>
          <w:p w14:paraId="3A718C92" w14:textId="7FFBD2B9" w:rsidR="006B3BEE" w:rsidRPr="006B3BEE" w:rsidRDefault="006B3BEE" w:rsidP="006B3BEE">
            <w:pPr>
              <w:spacing w:line="276" w:lineRule="auto"/>
              <w:jc w:val="right"/>
              <w:rPr>
                <w:b/>
                <w:bCs/>
                <w:i/>
                <w:color w:val="4F81BD" w:themeColor="accent1"/>
                <w:szCs w:val="24"/>
              </w:rPr>
            </w:pPr>
            <w:r w:rsidRPr="006B3BEE">
              <w:rPr>
                <w:b/>
                <w:bCs/>
                <w:i/>
                <w:color w:val="4F81BD" w:themeColor="accent1"/>
                <w:szCs w:val="24"/>
              </w:rPr>
              <w:t>Perfitimet Lekë</w:t>
            </w:r>
          </w:p>
          <w:p w14:paraId="13D6D06A" w14:textId="1D0E979E" w:rsidR="0045310C" w:rsidRDefault="00006A97" w:rsidP="000B6F0E">
            <w:pPr>
              <w:spacing w:line="276" w:lineRule="auto"/>
              <w:jc w:val="both"/>
              <w:rPr>
                <w:i/>
                <w:szCs w:val="24"/>
              </w:rPr>
            </w:pPr>
            <w:r w:rsidRPr="00006A97">
              <w:rPr>
                <w:i/>
                <w:noProof/>
                <w:szCs w:val="24"/>
                <w:lang w:val="en-US" w:eastAsia="en-US"/>
              </w:rPr>
              <w:drawing>
                <wp:inline distT="0" distB="0" distL="0" distR="0" wp14:anchorId="3D4E21B5" wp14:editId="26114BDF">
                  <wp:extent cx="6003290" cy="20345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3385" cy="2034572"/>
                          </a:xfrm>
                          <a:prstGeom prst="rect">
                            <a:avLst/>
                          </a:prstGeom>
                          <a:noFill/>
                          <a:ln>
                            <a:noFill/>
                          </a:ln>
                        </pic:spPr>
                      </pic:pic>
                    </a:graphicData>
                  </a:graphic>
                </wp:inline>
              </w:drawing>
            </w:r>
          </w:p>
          <w:p w14:paraId="2FC0530C" w14:textId="0987D7C7" w:rsidR="006B3BEE" w:rsidRPr="006B3BEE" w:rsidRDefault="006B3BEE" w:rsidP="006B3BEE">
            <w:pPr>
              <w:spacing w:line="276" w:lineRule="auto"/>
              <w:jc w:val="right"/>
              <w:rPr>
                <w:rFonts w:eastAsia="MS Mincho"/>
                <w:b/>
                <w:bCs/>
                <w:i/>
                <w:iCs/>
                <w:color w:val="4F81BD" w:themeColor="accent1"/>
                <w:szCs w:val="24"/>
              </w:rPr>
            </w:pPr>
            <w:r w:rsidRPr="006B3BEE">
              <w:rPr>
                <w:rFonts w:eastAsia="MS Mincho"/>
                <w:b/>
                <w:bCs/>
                <w:i/>
                <w:iCs/>
                <w:color w:val="4F81BD" w:themeColor="accent1"/>
                <w:szCs w:val="24"/>
              </w:rPr>
              <w:t>Kosto Lekë</w:t>
            </w:r>
          </w:p>
          <w:p w14:paraId="7EE5EE19" w14:textId="29A9A200" w:rsidR="006B3BEE" w:rsidRDefault="006B3BEE" w:rsidP="00124A92">
            <w:pPr>
              <w:spacing w:line="276" w:lineRule="auto"/>
              <w:jc w:val="both"/>
              <w:rPr>
                <w:rFonts w:eastAsia="MS Mincho"/>
                <w:szCs w:val="24"/>
              </w:rPr>
            </w:pPr>
            <w:r w:rsidRPr="006B3BEE">
              <w:rPr>
                <w:rFonts w:eastAsia="MS Mincho"/>
                <w:noProof/>
                <w:szCs w:val="24"/>
                <w:lang w:val="en-US" w:eastAsia="en-US"/>
              </w:rPr>
              <w:drawing>
                <wp:inline distT="0" distB="0" distL="0" distR="0" wp14:anchorId="5580F40B" wp14:editId="21131E83">
                  <wp:extent cx="6019800" cy="17221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9800" cy="1722120"/>
                          </a:xfrm>
                          <a:prstGeom prst="rect">
                            <a:avLst/>
                          </a:prstGeom>
                          <a:noFill/>
                          <a:ln>
                            <a:noFill/>
                          </a:ln>
                        </pic:spPr>
                      </pic:pic>
                    </a:graphicData>
                  </a:graphic>
                </wp:inline>
              </w:drawing>
            </w:r>
          </w:p>
          <w:p w14:paraId="1553344C" w14:textId="284A9AB1" w:rsidR="00905508" w:rsidRPr="00905508" w:rsidRDefault="00905508" w:rsidP="00124A92">
            <w:pPr>
              <w:spacing w:line="276" w:lineRule="auto"/>
              <w:jc w:val="both"/>
              <w:rPr>
                <w:rFonts w:eastAsia="MS Mincho"/>
                <w:szCs w:val="24"/>
              </w:rPr>
            </w:pPr>
            <w:r w:rsidRPr="0045310C">
              <w:rPr>
                <w:rFonts w:eastAsia="MS Mincho"/>
                <w:szCs w:val="24"/>
              </w:rPr>
              <w:lastRenderedPageBreak/>
              <w:t xml:space="preserve">Opsioni i preferuar për realizimin e ndërhyrjes është Opsioni 2, për ndryshimin e ligjit nr. 111/2017 </w:t>
            </w:r>
            <w:r w:rsidRPr="00905508">
              <w:rPr>
                <w:rFonts w:eastAsia="MS Mincho"/>
                <w:szCs w:val="24"/>
              </w:rPr>
              <w:t xml:space="preserve"> “Për ndihmën juridike të garantuar nga shteti”. </w:t>
            </w:r>
            <w:r w:rsidRPr="00007F7E">
              <w:rPr>
                <w:rFonts w:eastAsia="MS Mincho"/>
                <w:szCs w:val="24"/>
              </w:rPr>
              <w:t>Ky rezultat bazohet në faktorët e mëposhtëm:</w:t>
            </w:r>
          </w:p>
          <w:p w14:paraId="34AF8133" w14:textId="4C29B3F1" w:rsidR="00604520" w:rsidRDefault="00905508" w:rsidP="00124A92">
            <w:pPr>
              <w:tabs>
                <w:tab w:val="left" w:pos="567"/>
              </w:tabs>
              <w:spacing w:line="276" w:lineRule="auto"/>
              <w:jc w:val="both"/>
              <w:rPr>
                <w:rFonts w:eastAsia="MS Mincho"/>
                <w:szCs w:val="24"/>
              </w:rPr>
            </w:pPr>
            <w:r w:rsidRPr="0045310C">
              <w:rPr>
                <w:rFonts w:eastAsia="MS Mincho"/>
                <w:szCs w:val="24"/>
              </w:rPr>
              <w:t xml:space="preserve">Sa i përket </w:t>
            </w:r>
            <w:r w:rsidRPr="0045310C">
              <w:rPr>
                <w:rFonts w:eastAsia="MS Mincho"/>
                <w:b/>
                <w:szCs w:val="24"/>
              </w:rPr>
              <w:t>ndikimit monetar</w:t>
            </w:r>
            <w:r w:rsidRPr="0045310C">
              <w:rPr>
                <w:rFonts w:eastAsia="MS Mincho"/>
                <w:szCs w:val="24"/>
              </w:rPr>
              <w:t>, ndryshimi i ligjit ka një ndikim të drejtpërdrejtë mbi buxhetin shtetëror për shkak të</w:t>
            </w:r>
            <w:r w:rsidR="00D8549A" w:rsidRPr="0045310C">
              <w:rPr>
                <w:rFonts w:eastAsia="MS Mincho"/>
                <w:szCs w:val="24"/>
              </w:rPr>
              <w:t xml:space="preserve"> mbulimit të</w:t>
            </w:r>
            <w:r w:rsidRPr="0045310C">
              <w:rPr>
                <w:rFonts w:eastAsia="MS Mincho"/>
                <w:szCs w:val="24"/>
              </w:rPr>
              <w:t xml:space="preserve"> shpenzimeve</w:t>
            </w:r>
            <w:r w:rsidR="00D8549A" w:rsidRPr="0045310C">
              <w:rPr>
                <w:rFonts w:eastAsia="MS Mincho"/>
                <w:szCs w:val="24"/>
              </w:rPr>
              <w:t xml:space="preserve"> </w:t>
            </w:r>
            <w:r w:rsidR="00124A92" w:rsidRPr="0045310C">
              <w:rPr>
                <w:rFonts w:eastAsia="MS Mincho"/>
                <w:szCs w:val="24"/>
              </w:rPr>
              <w:t>kadastrale dhe noteriale, tarifave të tjera të domosdoshme</w:t>
            </w:r>
            <w:r w:rsidR="00124A92" w:rsidRPr="00124A92">
              <w:rPr>
                <w:rFonts w:eastAsia="Calibri"/>
                <w:szCs w:val="24"/>
                <w:lang w:eastAsia="en-US"/>
              </w:rPr>
              <w:t xml:space="preserve"> gjatë procesit të ekzekutimit të vendimit</w:t>
            </w:r>
            <w:r w:rsidR="00124A92" w:rsidRPr="0045310C">
              <w:rPr>
                <w:rFonts w:eastAsia="MS Mincho"/>
                <w:sz w:val="22"/>
                <w:szCs w:val="24"/>
              </w:rPr>
              <w:t xml:space="preserve">. </w:t>
            </w:r>
            <w:r w:rsidRPr="0045310C">
              <w:rPr>
                <w:rFonts w:eastAsia="MS Mincho"/>
                <w:szCs w:val="24"/>
              </w:rPr>
              <w:t xml:space="preserve">Megjithatë, përfitimet </w:t>
            </w:r>
            <w:r w:rsidR="00D8549A" w:rsidRPr="0045310C">
              <w:rPr>
                <w:rFonts w:eastAsia="MS Mincho"/>
                <w:szCs w:val="24"/>
              </w:rPr>
              <w:t xml:space="preserve">që vijnë sa i takon </w:t>
            </w:r>
            <w:r w:rsidRPr="0045310C">
              <w:rPr>
                <w:rFonts w:eastAsia="MS Mincho"/>
                <w:szCs w:val="24"/>
              </w:rPr>
              <w:t>mbrojtj</w:t>
            </w:r>
            <w:r w:rsidR="00D8549A" w:rsidRPr="0045310C">
              <w:rPr>
                <w:rFonts w:eastAsia="MS Mincho"/>
                <w:szCs w:val="24"/>
              </w:rPr>
              <w:t>es së</w:t>
            </w:r>
            <w:r w:rsidRPr="0045310C">
              <w:rPr>
                <w:rFonts w:eastAsia="MS Mincho"/>
                <w:szCs w:val="24"/>
              </w:rPr>
              <w:t xml:space="preserve"> të drejtave themelore e justifikojnë koston financiare.</w:t>
            </w:r>
          </w:p>
          <w:p w14:paraId="4A51EBB5" w14:textId="1342AEC2" w:rsidR="008A4B3B" w:rsidRPr="008A4B3B" w:rsidRDefault="00EC7CB0" w:rsidP="00124A92">
            <w:pPr>
              <w:jc w:val="both"/>
              <w:rPr>
                <w:szCs w:val="24"/>
                <w:lang w:eastAsia="sq-AL"/>
              </w:rPr>
            </w:pPr>
            <w:bookmarkStart w:id="7" w:name="_Hlk230876700"/>
            <w:r>
              <w:rPr>
                <w:b/>
                <w:bCs/>
                <w:szCs w:val="24"/>
                <w:lang w:eastAsia="sq-AL"/>
              </w:rPr>
              <w:t xml:space="preserve">Qytetarët dhe </w:t>
            </w:r>
            <w:r w:rsidR="00854859">
              <w:rPr>
                <w:b/>
                <w:bCs/>
                <w:szCs w:val="24"/>
                <w:lang w:eastAsia="sq-AL"/>
              </w:rPr>
              <w:t>g</w:t>
            </w:r>
            <w:r w:rsidR="008A4B3B" w:rsidRPr="008A4B3B">
              <w:rPr>
                <w:b/>
                <w:bCs/>
                <w:szCs w:val="24"/>
                <w:lang w:eastAsia="sq-AL"/>
              </w:rPr>
              <w:t xml:space="preserve">rupet </w:t>
            </w:r>
            <w:r w:rsidR="008A4B3B">
              <w:rPr>
                <w:b/>
                <w:bCs/>
                <w:szCs w:val="24"/>
                <w:lang w:eastAsia="sq-AL"/>
              </w:rPr>
              <w:t>vulnerabël</w:t>
            </w:r>
            <w:r w:rsidR="008A4B3B" w:rsidRPr="008A4B3B">
              <w:rPr>
                <w:b/>
                <w:szCs w:val="24"/>
                <w:lang w:eastAsia="sq-AL"/>
              </w:rPr>
              <w:t xml:space="preserve">: </w:t>
            </w:r>
            <w:r w:rsidR="008A4B3B" w:rsidRPr="008A4B3B">
              <w:rPr>
                <w:szCs w:val="24"/>
                <w:lang w:eastAsia="sq-AL"/>
              </w:rPr>
              <w:t>viktimat e dhunës, terrorizmit, trafikimit, personat me aftësi të kufizuara dhe komuniteti rom e egjiptian përfitojnë akses real dhe efektiv në drejtësi, duke eliminuar barrierat financiare dhe procedurale</w:t>
            </w:r>
            <w:r w:rsidR="00DA337B">
              <w:rPr>
                <w:szCs w:val="24"/>
                <w:lang w:eastAsia="sq-AL"/>
              </w:rPr>
              <w:t>.</w:t>
            </w:r>
          </w:p>
          <w:p w14:paraId="43CC4ACE" w14:textId="41A603BE" w:rsidR="008A4B3B" w:rsidRPr="008A4B3B" w:rsidRDefault="008A4B3B" w:rsidP="00124A92">
            <w:pPr>
              <w:jc w:val="both"/>
              <w:rPr>
                <w:szCs w:val="24"/>
                <w:lang w:eastAsia="sq-AL"/>
              </w:rPr>
            </w:pPr>
            <w:r w:rsidRPr="008A4B3B">
              <w:rPr>
                <w:b/>
                <w:bCs/>
                <w:szCs w:val="24"/>
                <w:lang w:eastAsia="sq-AL"/>
              </w:rPr>
              <w:t>Viktimat në situata emergjente</w:t>
            </w:r>
            <w:r w:rsidRPr="008A4B3B">
              <w:rPr>
                <w:b/>
                <w:szCs w:val="24"/>
                <w:lang w:eastAsia="sq-AL"/>
              </w:rPr>
              <w:t xml:space="preserve">: </w:t>
            </w:r>
            <w:r w:rsidRPr="008A4B3B">
              <w:rPr>
                <w:szCs w:val="24"/>
                <w:lang w:eastAsia="sq-AL"/>
              </w:rPr>
              <w:t>procedura e përshpejtuar garanton mbrojtje të menjëhershme juridike, duke reduktuar rrezikun e dëmtimit të mëtejshëm të të drejtave</w:t>
            </w:r>
            <w:r w:rsidR="00124A92">
              <w:rPr>
                <w:szCs w:val="24"/>
                <w:lang w:eastAsia="sq-AL"/>
              </w:rPr>
              <w:t xml:space="preserve">. </w:t>
            </w:r>
          </w:p>
          <w:p w14:paraId="0F5EA8B1" w14:textId="20376A3B" w:rsidR="008A4B3B" w:rsidRPr="008A4B3B" w:rsidRDefault="008A4B3B" w:rsidP="00124A92">
            <w:pPr>
              <w:jc w:val="both"/>
              <w:rPr>
                <w:szCs w:val="24"/>
                <w:lang w:eastAsia="sq-AL"/>
              </w:rPr>
            </w:pPr>
            <w:r w:rsidRPr="008A4B3B">
              <w:rPr>
                <w:b/>
                <w:bCs/>
                <w:szCs w:val="24"/>
                <w:lang w:eastAsia="sq-AL"/>
              </w:rPr>
              <w:t>Avokatët</w:t>
            </w:r>
            <w:r w:rsidRPr="008A4B3B">
              <w:rPr>
                <w:b/>
                <w:szCs w:val="24"/>
                <w:lang w:eastAsia="sq-AL"/>
              </w:rPr>
              <w:t>:</w:t>
            </w:r>
            <w:r>
              <w:rPr>
                <w:szCs w:val="24"/>
                <w:lang w:eastAsia="sq-AL"/>
              </w:rPr>
              <w:t xml:space="preserve"> </w:t>
            </w:r>
            <w:r w:rsidRPr="008A4B3B">
              <w:rPr>
                <w:szCs w:val="24"/>
                <w:lang w:eastAsia="sq-AL"/>
              </w:rPr>
              <w:t>trajnimi i specializuar rrit cilësinë e shërbimit dhe profesionalizmin në kategori të veçanta çështjesh</w:t>
            </w:r>
            <w:r w:rsidR="00DA337B">
              <w:rPr>
                <w:szCs w:val="24"/>
                <w:lang w:eastAsia="sq-AL"/>
              </w:rPr>
              <w:t xml:space="preserve">. </w:t>
            </w:r>
            <w:r w:rsidRPr="008A4B3B">
              <w:rPr>
                <w:szCs w:val="24"/>
                <w:lang w:eastAsia="sq-AL"/>
              </w:rPr>
              <w:t xml:space="preserve"> </w:t>
            </w:r>
          </w:p>
          <w:p w14:paraId="6500531F" w14:textId="2E583FAD" w:rsidR="008A4B3B" w:rsidRPr="0045310C" w:rsidRDefault="002F0CC1" w:rsidP="00124A92">
            <w:pPr>
              <w:spacing w:line="276" w:lineRule="auto"/>
              <w:jc w:val="both"/>
              <w:rPr>
                <w:rFonts w:eastAsia="MS Mincho"/>
                <w:b/>
                <w:szCs w:val="24"/>
              </w:rPr>
            </w:pPr>
            <w:r w:rsidRPr="00AE40F9">
              <w:rPr>
                <w:b/>
                <w:color w:val="000000" w:themeColor="text1"/>
                <w:lang w:val="it-IT"/>
              </w:rPr>
              <w:t>Qeveria</w:t>
            </w:r>
            <w:r>
              <w:rPr>
                <w:b/>
                <w:color w:val="000000" w:themeColor="text1"/>
                <w:lang w:val="it-IT"/>
              </w:rPr>
              <w:t xml:space="preserve"> </w:t>
            </w:r>
            <w:r w:rsidRPr="0045310C">
              <w:rPr>
                <w:rFonts w:eastAsia="MS Mincho"/>
                <w:b/>
              </w:rPr>
              <w:t>dhe institucionet publike</w:t>
            </w:r>
            <w:r w:rsidR="008A4B3B" w:rsidRPr="008A4B3B">
              <w:rPr>
                <w:b/>
                <w:szCs w:val="24"/>
                <w:lang w:eastAsia="sq-AL"/>
              </w:rPr>
              <w:t>:</w:t>
            </w:r>
            <w:r w:rsidR="008A4B3B">
              <w:rPr>
                <w:szCs w:val="24"/>
                <w:lang w:eastAsia="sq-AL"/>
              </w:rPr>
              <w:t xml:space="preserve"> </w:t>
            </w:r>
            <w:r w:rsidR="008A4B3B" w:rsidRPr="008A4B3B">
              <w:rPr>
                <w:szCs w:val="24"/>
                <w:lang w:eastAsia="sq-AL"/>
              </w:rPr>
              <w:t>harmonizimi me direktivat e BE-së përmbush detyrimet e integrimit evropian dhe forcon pozicionin e Shqipërisë në procesin e anëtarësimit</w:t>
            </w:r>
            <w:r w:rsidR="00DA337B">
              <w:rPr>
                <w:szCs w:val="24"/>
                <w:lang w:eastAsia="sq-AL"/>
              </w:rPr>
              <w:t xml:space="preserve">. </w:t>
            </w:r>
          </w:p>
          <w:p w14:paraId="21135CAC" w14:textId="1836C044" w:rsidR="00006A97" w:rsidRPr="002F0CC1" w:rsidRDefault="00EA3842" w:rsidP="00124A92">
            <w:pPr>
              <w:spacing w:line="276" w:lineRule="auto"/>
              <w:jc w:val="both"/>
              <w:rPr>
                <w:bCs/>
                <w:szCs w:val="24"/>
              </w:rPr>
            </w:pPr>
            <w:r w:rsidRPr="00EA3842">
              <w:rPr>
                <w:b/>
                <w:bCs/>
                <w:szCs w:val="24"/>
              </w:rPr>
              <w:t xml:space="preserve">Gjykatat dhe </w:t>
            </w:r>
            <w:r w:rsidR="00E71516">
              <w:rPr>
                <w:b/>
                <w:bCs/>
                <w:szCs w:val="24"/>
              </w:rPr>
              <w:t>shërbimi përmbarimor</w:t>
            </w:r>
            <w:r w:rsidR="008A4B3B">
              <w:rPr>
                <w:b/>
                <w:bCs/>
                <w:szCs w:val="24"/>
              </w:rPr>
              <w:t>:</w:t>
            </w:r>
            <w:r w:rsidRPr="00EA3842">
              <w:rPr>
                <w:b/>
                <w:bCs/>
                <w:szCs w:val="24"/>
              </w:rPr>
              <w:t xml:space="preserve"> </w:t>
            </w:r>
            <w:r w:rsidRPr="00EA3842">
              <w:rPr>
                <w:bCs/>
                <w:szCs w:val="24"/>
              </w:rPr>
              <w:t xml:space="preserve">Rritje të efikasitetit të proceseve gjyqësore, pasi më shumë qytetarë </w:t>
            </w:r>
            <w:r w:rsidR="00B02F33">
              <w:rPr>
                <w:bCs/>
                <w:szCs w:val="24"/>
              </w:rPr>
              <w:t xml:space="preserve">do të kenë </w:t>
            </w:r>
            <w:r w:rsidRPr="00EA3842">
              <w:rPr>
                <w:bCs/>
                <w:szCs w:val="24"/>
              </w:rPr>
              <w:t>akses në përfaqësim ligjor</w:t>
            </w:r>
            <w:r w:rsidR="00B02F33">
              <w:rPr>
                <w:bCs/>
                <w:szCs w:val="24"/>
              </w:rPr>
              <w:t>, si dhe r</w:t>
            </w:r>
            <w:r w:rsidRPr="00EA3842">
              <w:rPr>
                <w:bCs/>
                <w:szCs w:val="24"/>
              </w:rPr>
              <w:t>eduktim i pengesave në ekzekutimin e vendimeve gjyqësore, për shkak të mbulimit të shpenzimeve të ekspertëve për përfituesit e ndihmës juridike falas.</w:t>
            </w:r>
            <w:bookmarkEnd w:id="7"/>
          </w:p>
        </w:tc>
      </w:tr>
      <w:tr w:rsidR="00CA40EE" w:rsidRPr="00325A1F" w14:paraId="62F2DF3F" w14:textId="77777777" w:rsidTr="00887D11">
        <w:tc>
          <w:tcPr>
            <w:tcW w:w="9715" w:type="dxa"/>
            <w:gridSpan w:val="2"/>
            <w:tcBorders>
              <w:top w:val="single" w:sz="4" w:space="0" w:color="000000"/>
              <w:left w:val="single" w:sz="4" w:space="0" w:color="000000"/>
              <w:bottom w:val="single" w:sz="4" w:space="0" w:color="000000"/>
              <w:right w:val="single" w:sz="4" w:space="0" w:color="000000"/>
            </w:tcBorders>
          </w:tcPr>
          <w:p w14:paraId="18999081" w14:textId="77777777" w:rsidR="00CA40EE" w:rsidRPr="00325A1F" w:rsidRDefault="00CA40EE" w:rsidP="007B6556">
            <w:pPr>
              <w:spacing w:line="276" w:lineRule="auto"/>
              <w:jc w:val="both"/>
              <w:rPr>
                <w:b/>
                <w:szCs w:val="24"/>
              </w:rPr>
            </w:pPr>
            <w:r w:rsidRPr="00325A1F">
              <w:rPr>
                <w:b/>
                <w:szCs w:val="24"/>
              </w:rPr>
              <w:lastRenderedPageBreak/>
              <w:t xml:space="preserve">ARSYETIMI I OPSIONIT TË PREFERUAR </w:t>
            </w:r>
          </w:p>
          <w:p w14:paraId="7B73C018" w14:textId="048E6508" w:rsidR="006B4B0D" w:rsidRDefault="006E7CFB" w:rsidP="00027038">
            <w:pPr>
              <w:spacing w:line="276" w:lineRule="auto"/>
              <w:jc w:val="both"/>
              <w:rPr>
                <w:i/>
                <w:szCs w:val="24"/>
              </w:rPr>
            </w:pPr>
            <w:r>
              <w:rPr>
                <w:i/>
                <w:szCs w:val="24"/>
              </w:rPr>
              <w:fldChar w:fldCharType="begin">
                <w:ffData>
                  <w:name w:val=""/>
                  <w:enabled w:val="0"/>
                  <w:calcOnExit w:val="0"/>
                  <w:textInput>
                    <w:default w:val="Shpjegoni arsyet për zgjedhjen e opsionit të preferuar. Ju lutemi jepni nëse është e mundur koston dhe përfitimin me vlerë të përcaktuar monetare. (jo më shumë se 7 rreshta)"/>
                    <w:maxLength w:val="546"/>
                  </w:textInput>
                </w:ffData>
              </w:fldChar>
            </w:r>
            <w:r>
              <w:rPr>
                <w:i/>
                <w:szCs w:val="24"/>
              </w:rPr>
              <w:instrText xml:space="preserve"> FORMTEXT </w:instrText>
            </w:r>
            <w:r>
              <w:rPr>
                <w:i/>
                <w:szCs w:val="24"/>
              </w:rPr>
            </w:r>
            <w:r>
              <w:rPr>
                <w:i/>
                <w:szCs w:val="24"/>
              </w:rPr>
              <w:fldChar w:fldCharType="separate"/>
            </w:r>
            <w:r>
              <w:rPr>
                <w:i/>
                <w:noProof/>
                <w:szCs w:val="24"/>
              </w:rPr>
              <w:t>Shpjegoni arsyet për zgjedhjen e opsionit të preferuar. Ju lutemi jepni nëse është e mundur koston dhe përfitimin me vlerë të përcaktuar monetare. (jo më shumë se 7 rreshta)</w:t>
            </w:r>
            <w:r>
              <w:rPr>
                <w:i/>
                <w:szCs w:val="24"/>
              </w:rPr>
              <w:fldChar w:fldCharType="end"/>
            </w:r>
          </w:p>
          <w:p w14:paraId="26A38556" w14:textId="2E107A7B" w:rsidR="00705EF4" w:rsidRDefault="00705EF4" w:rsidP="00705EF4">
            <w:pPr>
              <w:tabs>
                <w:tab w:val="left" w:pos="10080"/>
              </w:tabs>
              <w:spacing w:line="276" w:lineRule="auto"/>
              <w:ind w:left="34"/>
              <w:jc w:val="both"/>
              <w:rPr>
                <w:bCs/>
                <w:szCs w:val="24"/>
              </w:rPr>
            </w:pPr>
            <w:r>
              <w:rPr>
                <w:color w:val="000000"/>
                <w:szCs w:val="24"/>
              </w:rPr>
              <w:t xml:space="preserve">Opsioni i zgjedhur është opsioni nr. 2, </w:t>
            </w:r>
            <w:r w:rsidRPr="0084399F">
              <w:rPr>
                <w:color w:val="000000"/>
                <w:szCs w:val="24"/>
              </w:rPr>
              <w:t>pasi</w:t>
            </w:r>
            <w:r>
              <w:rPr>
                <w:color w:val="000000"/>
                <w:szCs w:val="24"/>
              </w:rPr>
              <w:t xml:space="preserve"> është i vetmi opsion nëpërmjet të cilit adresohet problemi dhe</w:t>
            </w:r>
            <w:r>
              <w:rPr>
                <w:szCs w:val="24"/>
              </w:rPr>
              <w:t xml:space="preserve"> arrihen objektivat. Edhe nga pikëpamja e teknikës legjislative është opsioni i preferuar për shkak se nuk parashikohet të kryhen ndryshime që prekin më shumë 50% të dispozitave të ligjit. Ndryshimi i ligjit është </w:t>
            </w:r>
            <w:r w:rsidRPr="00C12E81">
              <w:rPr>
                <w:color w:val="000000" w:themeColor="text1"/>
                <w:szCs w:val="24"/>
              </w:rPr>
              <w:t>m</w:t>
            </w:r>
            <w:r>
              <w:rPr>
                <w:color w:val="000000" w:themeColor="text1"/>
                <w:szCs w:val="24"/>
              </w:rPr>
              <w:t>jet</w:t>
            </w:r>
            <w:r w:rsidRPr="00C12E81">
              <w:rPr>
                <w:color w:val="000000" w:themeColor="text1"/>
                <w:szCs w:val="24"/>
              </w:rPr>
              <w:t xml:space="preserve"> </w:t>
            </w:r>
            <w:r>
              <w:rPr>
                <w:color w:val="000000" w:themeColor="text1"/>
                <w:szCs w:val="24"/>
              </w:rPr>
              <w:t>i</w:t>
            </w:r>
            <w:r w:rsidRPr="00C12E81">
              <w:rPr>
                <w:color w:val="000000" w:themeColor="text1"/>
                <w:szCs w:val="24"/>
              </w:rPr>
              <w:t xml:space="preserve"> mjaftuesh</w:t>
            </w:r>
            <w:r>
              <w:rPr>
                <w:color w:val="000000" w:themeColor="text1"/>
                <w:szCs w:val="24"/>
              </w:rPr>
              <w:t>ë</w:t>
            </w:r>
            <w:r w:rsidRPr="00C12E81">
              <w:rPr>
                <w:color w:val="000000" w:themeColor="text1"/>
                <w:szCs w:val="24"/>
              </w:rPr>
              <w:t xml:space="preserve">m dhe </w:t>
            </w:r>
            <w:r>
              <w:rPr>
                <w:color w:val="000000" w:themeColor="text1"/>
                <w:szCs w:val="24"/>
              </w:rPr>
              <w:t>i</w:t>
            </w:r>
            <w:r w:rsidRPr="00C12E81">
              <w:rPr>
                <w:color w:val="000000" w:themeColor="text1"/>
                <w:szCs w:val="24"/>
              </w:rPr>
              <w:t xml:space="preserve"> përshtatsh</w:t>
            </w:r>
            <w:r>
              <w:rPr>
                <w:color w:val="000000" w:themeColor="text1"/>
                <w:szCs w:val="24"/>
              </w:rPr>
              <w:t>ë</w:t>
            </w:r>
            <w:r w:rsidRPr="00C12E81">
              <w:rPr>
                <w:color w:val="000000" w:themeColor="text1"/>
                <w:szCs w:val="24"/>
              </w:rPr>
              <w:t>m</w:t>
            </w:r>
            <w:r>
              <w:rPr>
                <w:szCs w:val="24"/>
              </w:rPr>
              <w:t xml:space="preserve">, pasi problematikat e evidentuara mund të adresohen më së miri me </w:t>
            </w:r>
            <w:r w:rsidRPr="00AA3582">
              <w:rPr>
                <w:szCs w:val="24"/>
              </w:rPr>
              <w:t>ndryshim</w:t>
            </w:r>
            <w:r>
              <w:rPr>
                <w:szCs w:val="24"/>
              </w:rPr>
              <w:t>in e dispozitave në fuqi</w:t>
            </w:r>
            <w:r>
              <w:t>. Edhe sipas analizave të kryera rezulton se ai është opsioni më i përshtatshëm dhe m</w:t>
            </w:r>
            <w:r w:rsidR="001C55D1">
              <w:t>e</w:t>
            </w:r>
            <w:r>
              <w:t xml:space="preserve"> m</w:t>
            </w:r>
            <w:r w:rsidR="001C55D1">
              <w:t>ë</w:t>
            </w:r>
            <w:r>
              <w:t xml:space="preserve"> pak kosto.</w:t>
            </w:r>
            <w:r w:rsidR="00D81709">
              <w:t xml:space="preserve"> Problemi ka karakter legjislativ dhe ç</w:t>
            </w:r>
            <w:r>
              <w:rPr>
                <w:color w:val="000000"/>
                <w:szCs w:val="24"/>
              </w:rPr>
              <w:t xml:space="preserve">do opsion me karakter jorregullator nuk i shërben qëllimit dhe arritjes së objektivave. </w:t>
            </w:r>
          </w:p>
          <w:p w14:paraId="0865797C" w14:textId="77777777" w:rsidR="00705EF4" w:rsidRDefault="00705EF4" w:rsidP="00705EF4">
            <w:pPr>
              <w:pStyle w:val="BodyText"/>
              <w:tabs>
                <w:tab w:val="left" w:pos="1165"/>
                <w:tab w:val="left" w:pos="10080"/>
              </w:tabs>
              <w:spacing w:after="0" w:line="276" w:lineRule="auto"/>
              <w:ind w:right="26"/>
              <w:jc w:val="both"/>
              <w:rPr>
                <w:bCs w:val="0"/>
                <w:sz w:val="24"/>
                <w:szCs w:val="24"/>
              </w:rPr>
            </w:pPr>
          </w:p>
          <w:p w14:paraId="081152A3" w14:textId="567360F2" w:rsidR="00CA40EE" w:rsidRPr="00325A1F" w:rsidRDefault="00CA40EE" w:rsidP="007B6556">
            <w:pPr>
              <w:spacing w:line="276" w:lineRule="auto"/>
              <w:jc w:val="both"/>
              <w:rPr>
                <w:b/>
                <w:szCs w:val="24"/>
              </w:rPr>
            </w:pPr>
            <w:r w:rsidRPr="00325A1F">
              <w:rPr>
                <w:b/>
                <w:szCs w:val="24"/>
              </w:rPr>
              <w:t>Kostoja e përllogaritur në total e opsionit të preferuar mbi buxhetin e shtetit gjatë periudhës 3-vjeçare menjëherë pas miratimit të ligjit (kostoja në total në</w:t>
            </w:r>
            <w:r w:rsidR="000F6D96">
              <w:rPr>
                <w:b/>
                <w:szCs w:val="24"/>
              </w:rPr>
              <w:t xml:space="preserve"> </w:t>
            </w:r>
            <w:r w:rsidR="000F6D96" w:rsidRPr="00325A1F">
              <w:rPr>
                <w:b/>
                <w:szCs w:val="24"/>
              </w:rPr>
              <w:t xml:space="preserve">milionë </w:t>
            </w:r>
            <w:r w:rsidRPr="00325A1F">
              <w:rPr>
                <w:b/>
                <w:szCs w:val="24"/>
              </w:rPr>
              <w:t xml:space="preserve"> lek, çmimet aktuale, në terma nominalë):</w:t>
            </w:r>
          </w:p>
          <w:tbl>
            <w:tblPr>
              <w:tblStyle w:val="TableGrid"/>
              <w:tblW w:w="0" w:type="auto"/>
              <w:tblLayout w:type="fixed"/>
              <w:tblLook w:val="04A0" w:firstRow="1" w:lastRow="0" w:firstColumn="1" w:lastColumn="0" w:noHBand="0" w:noVBand="1"/>
            </w:tblPr>
            <w:tblGrid>
              <w:gridCol w:w="3147"/>
              <w:gridCol w:w="3147"/>
              <w:gridCol w:w="3149"/>
            </w:tblGrid>
            <w:tr w:rsidR="00CA40EE" w:rsidRPr="00325A1F" w14:paraId="1CC39370" w14:textId="77777777" w:rsidTr="00006A97">
              <w:trPr>
                <w:trHeight w:val="410"/>
              </w:trPr>
              <w:tc>
                <w:tcPr>
                  <w:tcW w:w="3147" w:type="dxa"/>
                  <w:shd w:val="clear" w:color="auto" w:fill="D9D9D9" w:themeFill="background1" w:themeFillShade="D9"/>
                </w:tcPr>
                <w:p w14:paraId="1B9BFA5A" w14:textId="1E23552A" w:rsidR="00CA40EE" w:rsidRPr="00325A1F" w:rsidRDefault="00CA40EE" w:rsidP="00A74AB5">
                  <w:pPr>
                    <w:framePr w:hSpace="187" w:wrap="around" w:vAnchor="page" w:hAnchor="margin" w:y="1758"/>
                    <w:spacing w:line="276" w:lineRule="auto"/>
                    <w:suppressOverlap/>
                    <w:jc w:val="center"/>
                    <w:rPr>
                      <w:b/>
                      <w:szCs w:val="24"/>
                    </w:rPr>
                  </w:pPr>
                  <w:r w:rsidRPr="00325A1F">
                    <w:rPr>
                      <w:b/>
                      <w:szCs w:val="24"/>
                    </w:rPr>
                    <w:t xml:space="preserve">Viti </w:t>
                  </w:r>
                  <w:r w:rsidR="00315292" w:rsidRPr="00325A1F">
                    <w:rPr>
                      <w:b/>
                      <w:szCs w:val="24"/>
                      <w:u w:val="single"/>
                    </w:rPr>
                    <w:fldChar w:fldCharType="begin">
                      <w:ffData>
                        <w:name w:val="viti1"/>
                        <w:enabled/>
                        <w:calcOnExit w:val="0"/>
                        <w:textInput>
                          <w:type w:val="number"/>
                          <w:default w:val="1"/>
                          <w:maxLength w:val="4"/>
                        </w:textInput>
                      </w:ffData>
                    </w:fldChar>
                  </w:r>
                  <w:bookmarkStart w:id="8" w:name="viti1"/>
                  <w:r w:rsidR="00315292" w:rsidRPr="00325A1F">
                    <w:rPr>
                      <w:b/>
                      <w:szCs w:val="24"/>
                      <w:u w:val="single"/>
                    </w:rPr>
                    <w:instrText xml:space="preserve"> FORMTEXT </w:instrText>
                  </w:r>
                  <w:r w:rsidR="00315292" w:rsidRPr="00325A1F">
                    <w:rPr>
                      <w:b/>
                      <w:szCs w:val="24"/>
                      <w:u w:val="single"/>
                    </w:rPr>
                  </w:r>
                  <w:r w:rsidR="00315292" w:rsidRPr="00325A1F">
                    <w:rPr>
                      <w:b/>
                      <w:szCs w:val="24"/>
                      <w:u w:val="single"/>
                    </w:rPr>
                    <w:fldChar w:fldCharType="separate"/>
                  </w:r>
                  <w:r w:rsidR="00315292" w:rsidRPr="00325A1F">
                    <w:rPr>
                      <w:b/>
                      <w:noProof/>
                      <w:szCs w:val="24"/>
                      <w:u w:val="single"/>
                    </w:rPr>
                    <w:t>1</w:t>
                  </w:r>
                  <w:r w:rsidR="00315292" w:rsidRPr="00325A1F">
                    <w:rPr>
                      <w:b/>
                      <w:szCs w:val="24"/>
                      <w:u w:val="single"/>
                    </w:rPr>
                    <w:fldChar w:fldCharType="end"/>
                  </w:r>
                  <w:bookmarkEnd w:id="8"/>
                </w:p>
              </w:tc>
              <w:tc>
                <w:tcPr>
                  <w:tcW w:w="3147" w:type="dxa"/>
                  <w:shd w:val="clear" w:color="auto" w:fill="D9D9D9" w:themeFill="background1" w:themeFillShade="D9"/>
                </w:tcPr>
                <w:p w14:paraId="49E01EF1" w14:textId="3A024822" w:rsidR="00CA40EE" w:rsidRPr="00325A1F" w:rsidRDefault="00CA40EE" w:rsidP="00A74AB5">
                  <w:pPr>
                    <w:framePr w:hSpace="187" w:wrap="around" w:vAnchor="page" w:hAnchor="margin" w:y="1758"/>
                    <w:spacing w:line="276" w:lineRule="auto"/>
                    <w:suppressOverlap/>
                    <w:jc w:val="center"/>
                    <w:rPr>
                      <w:b/>
                      <w:szCs w:val="24"/>
                    </w:rPr>
                  </w:pPr>
                  <w:r w:rsidRPr="00325A1F">
                    <w:rPr>
                      <w:b/>
                      <w:szCs w:val="24"/>
                    </w:rPr>
                    <w:t xml:space="preserve">Viti </w:t>
                  </w:r>
                  <w:r w:rsidR="00315292" w:rsidRPr="00325A1F">
                    <w:rPr>
                      <w:b/>
                      <w:szCs w:val="24"/>
                      <w:u w:val="single"/>
                    </w:rPr>
                    <w:fldChar w:fldCharType="begin">
                      <w:ffData>
                        <w:name w:val=""/>
                        <w:enabled/>
                        <w:calcOnExit w:val="0"/>
                        <w:textInput>
                          <w:type w:val="number"/>
                          <w:default w:val="2"/>
                          <w:maxLength w:val="4"/>
                        </w:textInput>
                      </w:ffData>
                    </w:fldChar>
                  </w:r>
                  <w:r w:rsidR="00315292" w:rsidRPr="00325A1F">
                    <w:rPr>
                      <w:b/>
                      <w:szCs w:val="24"/>
                      <w:u w:val="single"/>
                    </w:rPr>
                    <w:instrText xml:space="preserve"> FORMTEXT </w:instrText>
                  </w:r>
                  <w:r w:rsidR="00315292" w:rsidRPr="00325A1F">
                    <w:rPr>
                      <w:b/>
                      <w:szCs w:val="24"/>
                      <w:u w:val="single"/>
                    </w:rPr>
                  </w:r>
                  <w:r w:rsidR="00315292" w:rsidRPr="00325A1F">
                    <w:rPr>
                      <w:b/>
                      <w:szCs w:val="24"/>
                      <w:u w:val="single"/>
                    </w:rPr>
                    <w:fldChar w:fldCharType="separate"/>
                  </w:r>
                  <w:r w:rsidR="00315292" w:rsidRPr="00325A1F">
                    <w:rPr>
                      <w:b/>
                      <w:noProof/>
                      <w:szCs w:val="24"/>
                      <w:u w:val="single"/>
                    </w:rPr>
                    <w:t>2</w:t>
                  </w:r>
                  <w:r w:rsidR="00315292" w:rsidRPr="00325A1F">
                    <w:rPr>
                      <w:b/>
                      <w:szCs w:val="24"/>
                      <w:u w:val="single"/>
                    </w:rPr>
                    <w:fldChar w:fldCharType="end"/>
                  </w:r>
                </w:p>
              </w:tc>
              <w:tc>
                <w:tcPr>
                  <w:tcW w:w="3149" w:type="dxa"/>
                  <w:shd w:val="clear" w:color="auto" w:fill="D9D9D9" w:themeFill="background1" w:themeFillShade="D9"/>
                </w:tcPr>
                <w:p w14:paraId="360FF1FF" w14:textId="0987F3A1" w:rsidR="00CA40EE" w:rsidRPr="00325A1F" w:rsidRDefault="00CA40EE" w:rsidP="00A74AB5">
                  <w:pPr>
                    <w:framePr w:hSpace="187" w:wrap="around" w:vAnchor="page" w:hAnchor="margin" w:y="1758"/>
                    <w:spacing w:line="276" w:lineRule="auto"/>
                    <w:suppressOverlap/>
                    <w:jc w:val="center"/>
                    <w:rPr>
                      <w:b/>
                      <w:szCs w:val="24"/>
                    </w:rPr>
                  </w:pPr>
                  <w:r w:rsidRPr="00325A1F">
                    <w:rPr>
                      <w:b/>
                      <w:szCs w:val="24"/>
                    </w:rPr>
                    <w:t xml:space="preserve">Viti </w:t>
                  </w:r>
                  <w:r w:rsidR="00315292" w:rsidRPr="00325A1F">
                    <w:rPr>
                      <w:b/>
                      <w:szCs w:val="24"/>
                      <w:u w:val="single"/>
                    </w:rPr>
                    <w:fldChar w:fldCharType="begin">
                      <w:ffData>
                        <w:name w:val=""/>
                        <w:enabled/>
                        <w:calcOnExit w:val="0"/>
                        <w:textInput>
                          <w:type w:val="number"/>
                          <w:default w:val="3"/>
                          <w:maxLength w:val="4"/>
                        </w:textInput>
                      </w:ffData>
                    </w:fldChar>
                  </w:r>
                  <w:r w:rsidR="00315292" w:rsidRPr="00325A1F">
                    <w:rPr>
                      <w:b/>
                      <w:szCs w:val="24"/>
                      <w:u w:val="single"/>
                    </w:rPr>
                    <w:instrText xml:space="preserve"> FORMTEXT </w:instrText>
                  </w:r>
                  <w:r w:rsidR="00315292" w:rsidRPr="00325A1F">
                    <w:rPr>
                      <w:b/>
                      <w:szCs w:val="24"/>
                      <w:u w:val="single"/>
                    </w:rPr>
                  </w:r>
                  <w:r w:rsidR="00315292" w:rsidRPr="00325A1F">
                    <w:rPr>
                      <w:b/>
                      <w:szCs w:val="24"/>
                      <w:u w:val="single"/>
                    </w:rPr>
                    <w:fldChar w:fldCharType="separate"/>
                  </w:r>
                  <w:r w:rsidR="00315292" w:rsidRPr="00325A1F">
                    <w:rPr>
                      <w:b/>
                      <w:noProof/>
                      <w:szCs w:val="24"/>
                      <w:u w:val="single"/>
                    </w:rPr>
                    <w:t>3</w:t>
                  </w:r>
                  <w:r w:rsidR="00315292" w:rsidRPr="00325A1F">
                    <w:rPr>
                      <w:b/>
                      <w:szCs w:val="24"/>
                      <w:u w:val="single"/>
                    </w:rPr>
                    <w:fldChar w:fldCharType="end"/>
                  </w:r>
                </w:p>
              </w:tc>
            </w:tr>
            <w:tr w:rsidR="00CA40EE" w:rsidRPr="00325A1F" w14:paraId="34733A01" w14:textId="77777777" w:rsidTr="00006A97">
              <w:trPr>
                <w:trHeight w:val="460"/>
              </w:trPr>
              <w:tc>
                <w:tcPr>
                  <w:tcW w:w="3147" w:type="dxa"/>
                </w:tcPr>
                <w:p w14:paraId="15FBF453" w14:textId="34EDEDF1" w:rsidR="00CA40EE" w:rsidRPr="006B3BEE" w:rsidRDefault="00006A97" w:rsidP="00A74AB5">
                  <w:pPr>
                    <w:framePr w:hSpace="187" w:wrap="around" w:vAnchor="page" w:hAnchor="margin" w:y="1758"/>
                    <w:tabs>
                      <w:tab w:val="center" w:pos="1356"/>
                      <w:tab w:val="right" w:pos="2712"/>
                    </w:tabs>
                    <w:spacing w:line="276" w:lineRule="auto"/>
                    <w:suppressOverlap/>
                    <w:jc w:val="center"/>
                    <w:rPr>
                      <w:bCs/>
                      <w:color w:val="4F81BD" w:themeColor="accent1"/>
                      <w:szCs w:val="24"/>
                    </w:rPr>
                  </w:pPr>
                  <w:r w:rsidRPr="006B3BEE">
                    <w:rPr>
                      <w:bCs/>
                      <w:color w:val="4F81BD" w:themeColor="accent1"/>
                      <w:szCs w:val="24"/>
                    </w:rPr>
                    <w:t>18 012 977</w:t>
                  </w:r>
                </w:p>
              </w:tc>
              <w:tc>
                <w:tcPr>
                  <w:tcW w:w="3147" w:type="dxa"/>
                </w:tcPr>
                <w:p w14:paraId="7DD8D650" w14:textId="423747CE" w:rsidR="00CA40EE" w:rsidRPr="006B3BEE" w:rsidRDefault="00006A97" w:rsidP="00A74AB5">
                  <w:pPr>
                    <w:framePr w:hSpace="187" w:wrap="around" w:vAnchor="page" w:hAnchor="margin" w:y="1758"/>
                    <w:tabs>
                      <w:tab w:val="left" w:pos="600"/>
                      <w:tab w:val="right" w:pos="2712"/>
                    </w:tabs>
                    <w:spacing w:line="276" w:lineRule="auto"/>
                    <w:suppressOverlap/>
                    <w:jc w:val="center"/>
                    <w:rPr>
                      <w:bCs/>
                      <w:color w:val="4F81BD" w:themeColor="accent1"/>
                      <w:szCs w:val="24"/>
                    </w:rPr>
                  </w:pPr>
                  <w:r w:rsidRPr="006B3BEE">
                    <w:rPr>
                      <w:bCs/>
                      <w:color w:val="4F81BD" w:themeColor="accent1"/>
                      <w:szCs w:val="24"/>
                    </w:rPr>
                    <w:t>18 518 135</w:t>
                  </w:r>
                </w:p>
              </w:tc>
              <w:tc>
                <w:tcPr>
                  <w:tcW w:w="3149" w:type="dxa"/>
                </w:tcPr>
                <w:p w14:paraId="02A2A3D1" w14:textId="57484393" w:rsidR="00CA40EE" w:rsidRPr="006B3BEE" w:rsidRDefault="001E0D36" w:rsidP="00A74AB5">
                  <w:pPr>
                    <w:framePr w:hSpace="187" w:wrap="around" w:vAnchor="page" w:hAnchor="margin" w:y="1758"/>
                    <w:tabs>
                      <w:tab w:val="center" w:pos="1356"/>
                      <w:tab w:val="right" w:pos="2713"/>
                    </w:tabs>
                    <w:spacing w:line="276" w:lineRule="auto"/>
                    <w:suppressOverlap/>
                    <w:rPr>
                      <w:bCs/>
                      <w:color w:val="4F81BD" w:themeColor="accent1"/>
                      <w:szCs w:val="24"/>
                    </w:rPr>
                  </w:pPr>
                  <w:r w:rsidRPr="006B3BEE">
                    <w:rPr>
                      <w:bCs/>
                      <w:color w:val="4F81BD" w:themeColor="accent1"/>
                      <w:szCs w:val="24"/>
                    </w:rPr>
                    <w:tab/>
                  </w:r>
                  <w:r w:rsidR="00006A97" w:rsidRPr="006B3BEE">
                    <w:rPr>
                      <w:bCs/>
                      <w:color w:val="4F81BD" w:themeColor="accent1"/>
                      <w:szCs w:val="24"/>
                    </w:rPr>
                    <w:t xml:space="preserve"> 19 591 829</w:t>
                  </w:r>
                  <w:r w:rsidRPr="006B3BEE">
                    <w:rPr>
                      <w:bCs/>
                      <w:color w:val="4F81BD" w:themeColor="accent1"/>
                      <w:szCs w:val="24"/>
                    </w:rPr>
                    <w:tab/>
                  </w:r>
                </w:p>
              </w:tc>
            </w:tr>
          </w:tbl>
          <w:p w14:paraId="4385113B" w14:textId="77777777" w:rsidR="00CA40EE" w:rsidRPr="00325A1F" w:rsidRDefault="00CA40EE" w:rsidP="007B6556">
            <w:pPr>
              <w:spacing w:line="276" w:lineRule="auto"/>
              <w:jc w:val="both"/>
              <w:rPr>
                <w:b/>
                <w:szCs w:val="24"/>
              </w:rPr>
            </w:pPr>
          </w:p>
        </w:tc>
      </w:tr>
      <w:tr w:rsidR="00CA40EE" w:rsidRPr="004045D6" w14:paraId="03094400" w14:textId="77777777" w:rsidTr="00887D11">
        <w:tc>
          <w:tcPr>
            <w:tcW w:w="9715" w:type="dxa"/>
            <w:gridSpan w:val="2"/>
            <w:tcBorders>
              <w:top w:val="single" w:sz="4" w:space="0" w:color="000000"/>
              <w:left w:val="single" w:sz="4" w:space="0" w:color="000000"/>
              <w:bottom w:val="single" w:sz="4" w:space="0" w:color="000000"/>
              <w:right w:val="single" w:sz="4" w:space="0" w:color="000000"/>
            </w:tcBorders>
          </w:tcPr>
          <w:p w14:paraId="2C8F5F2A" w14:textId="77777777" w:rsidR="00CA40EE" w:rsidRPr="00325A1F" w:rsidRDefault="00CA40EE" w:rsidP="007B6556">
            <w:pPr>
              <w:spacing w:line="276" w:lineRule="auto"/>
              <w:jc w:val="both"/>
              <w:rPr>
                <w:b/>
                <w:szCs w:val="24"/>
              </w:rPr>
            </w:pPr>
            <w:r w:rsidRPr="00325A1F">
              <w:rPr>
                <w:b/>
                <w:szCs w:val="24"/>
              </w:rPr>
              <w:t>KONSULTIMI</w:t>
            </w:r>
          </w:p>
          <w:p w14:paraId="7D6731AE" w14:textId="3241217C" w:rsidR="00E675C0" w:rsidRDefault="001E0D36" w:rsidP="00E675C0">
            <w:pPr>
              <w:spacing w:line="276" w:lineRule="auto"/>
              <w:jc w:val="both"/>
              <w:rPr>
                <w:i/>
                <w:szCs w:val="24"/>
              </w:rPr>
            </w:pPr>
            <w:r>
              <w:rPr>
                <w:i/>
                <w:szCs w:val="24"/>
              </w:rPr>
              <w:fldChar w:fldCharType="begin">
                <w:ffData>
                  <w:name w:val=""/>
                  <w:enabled/>
                  <w:calcOnExit w:val="0"/>
                  <w:textInput>
                    <w:default w:val="Jepni një përmbledhje të çdo konsultimi të kryer (me kë dhe si jeni konsultuar? (jo më shumë se 5 rreshta)"/>
                    <w:maxLength w:val="462"/>
                  </w:textInput>
                </w:ffData>
              </w:fldChar>
            </w:r>
            <w:r w:rsidRPr="000D5974">
              <w:rPr>
                <w:i/>
                <w:szCs w:val="24"/>
              </w:rPr>
              <w:instrText xml:space="preserve"> FORMTEXT </w:instrText>
            </w:r>
            <w:r>
              <w:rPr>
                <w:i/>
                <w:szCs w:val="24"/>
              </w:rPr>
            </w:r>
            <w:r>
              <w:rPr>
                <w:i/>
                <w:szCs w:val="24"/>
              </w:rPr>
              <w:fldChar w:fldCharType="separate"/>
            </w:r>
            <w:r w:rsidRPr="000D5974">
              <w:rPr>
                <w:i/>
                <w:noProof/>
                <w:szCs w:val="24"/>
              </w:rPr>
              <w:t xml:space="preserve">Jepni një përmbledhje të çdo konsultimi të kryer (me kë dhe si jeni konsultuar? </w:t>
            </w:r>
            <w:r>
              <w:rPr>
                <w:i/>
                <w:noProof/>
                <w:szCs w:val="24"/>
              </w:rPr>
              <w:t>(jo më shumë se 5 rreshta)</w:t>
            </w:r>
            <w:r>
              <w:rPr>
                <w:i/>
                <w:szCs w:val="24"/>
              </w:rPr>
              <w:fldChar w:fldCharType="end"/>
            </w:r>
          </w:p>
          <w:p w14:paraId="07AE4FB7" w14:textId="77777777" w:rsidR="001F62D3" w:rsidRDefault="001F62D3" w:rsidP="00E675C0">
            <w:pPr>
              <w:spacing w:line="276" w:lineRule="auto"/>
              <w:jc w:val="both"/>
              <w:rPr>
                <w:i/>
                <w:szCs w:val="24"/>
              </w:rPr>
            </w:pPr>
          </w:p>
          <w:p w14:paraId="5FA61F3D" w14:textId="238628C6" w:rsidR="00CF0382" w:rsidRPr="000B7935" w:rsidRDefault="00E675C0" w:rsidP="00CF0382">
            <w:pPr>
              <w:spacing w:line="276" w:lineRule="auto"/>
              <w:jc w:val="both"/>
              <w:rPr>
                <w:szCs w:val="24"/>
              </w:rPr>
            </w:pPr>
            <w:r w:rsidRPr="00E675C0">
              <w:rPr>
                <w:bCs/>
                <w:iCs/>
                <w:szCs w:val="24"/>
              </w:rPr>
              <w:t>Pas hartimit të projektligjit, do të vijohet me publikimin e tij në regjistrin elektronik për njoftimet dhe konsultimet publike, si dhe me organizimin e takimeve konsultativ</w:t>
            </w:r>
            <w:r w:rsidR="00253FB0">
              <w:rPr>
                <w:bCs/>
                <w:iCs/>
                <w:szCs w:val="24"/>
              </w:rPr>
              <w:t xml:space="preserve">e </w:t>
            </w:r>
            <w:r w:rsidRPr="00E675C0">
              <w:rPr>
                <w:bCs/>
                <w:iCs/>
                <w:szCs w:val="24"/>
              </w:rPr>
              <w:t>me grupet e interesit.</w:t>
            </w:r>
            <w:r w:rsidR="00914213">
              <w:rPr>
                <w:bCs/>
                <w:iCs/>
                <w:szCs w:val="24"/>
              </w:rPr>
              <w:t xml:space="preserve"> </w:t>
            </w:r>
            <w:r>
              <w:rPr>
                <w:szCs w:val="24"/>
              </w:rPr>
              <w:t>Nëpërmjet këtij procesi,</w:t>
            </w:r>
            <w:r w:rsidR="00914213">
              <w:rPr>
                <w:szCs w:val="24"/>
              </w:rPr>
              <w:t xml:space="preserve"> </w:t>
            </w:r>
            <w:r w:rsidR="001C55D1" w:rsidRPr="001C55D1">
              <w:rPr>
                <w:szCs w:val="24"/>
              </w:rPr>
              <w:t>Ministria e Drejtësisë</w:t>
            </w:r>
            <w:r w:rsidR="004E5E4E">
              <w:rPr>
                <w:szCs w:val="24"/>
              </w:rPr>
              <w:t xml:space="preserve"> do të</w:t>
            </w:r>
            <w:r w:rsidR="001C55D1" w:rsidRPr="001C55D1">
              <w:rPr>
                <w:szCs w:val="24"/>
              </w:rPr>
              <w:t xml:space="preserve"> </w:t>
            </w:r>
            <w:r w:rsidR="00914213">
              <w:rPr>
                <w:szCs w:val="24"/>
              </w:rPr>
              <w:t>shqyrto</w:t>
            </w:r>
            <w:r w:rsidR="004E5E4E">
              <w:rPr>
                <w:szCs w:val="24"/>
              </w:rPr>
              <w:t>jë</w:t>
            </w:r>
            <w:r w:rsidR="00914213">
              <w:rPr>
                <w:szCs w:val="24"/>
              </w:rPr>
              <w:t xml:space="preserve"> dhe vlerëso</w:t>
            </w:r>
            <w:r w:rsidR="004E5E4E">
              <w:rPr>
                <w:szCs w:val="24"/>
              </w:rPr>
              <w:t>jë</w:t>
            </w:r>
            <w:r w:rsidR="00914213">
              <w:rPr>
                <w:szCs w:val="24"/>
              </w:rPr>
              <w:t xml:space="preserve"> propozime</w:t>
            </w:r>
            <w:r w:rsidR="00253FB0">
              <w:rPr>
                <w:szCs w:val="24"/>
              </w:rPr>
              <w:t>t</w:t>
            </w:r>
            <w:r w:rsidR="00BA0298">
              <w:rPr>
                <w:szCs w:val="24"/>
              </w:rPr>
              <w:t xml:space="preserve"> e </w:t>
            </w:r>
            <w:r w:rsidR="00CF0382">
              <w:rPr>
                <w:szCs w:val="24"/>
              </w:rPr>
              <w:t xml:space="preserve">përcjella </w:t>
            </w:r>
            <w:r w:rsidR="00914213">
              <w:rPr>
                <w:szCs w:val="24"/>
              </w:rPr>
              <w:t xml:space="preserve">nga </w:t>
            </w:r>
            <w:r w:rsidR="001C55D1" w:rsidRPr="001C55D1">
              <w:rPr>
                <w:szCs w:val="24"/>
              </w:rPr>
              <w:t>qytetarët apo subjekte të tjera</w:t>
            </w:r>
            <w:r w:rsidR="00914213">
              <w:rPr>
                <w:szCs w:val="24"/>
              </w:rPr>
              <w:t xml:space="preserve">, për ndryshime në ligjin </w:t>
            </w:r>
            <w:r w:rsidR="001C55D1" w:rsidRPr="001C55D1">
              <w:rPr>
                <w:szCs w:val="24"/>
              </w:rPr>
              <w:t xml:space="preserve">për </w:t>
            </w:r>
            <w:r w:rsidR="009371EA">
              <w:rPr>
                <w:szCs w:val="24"/>
              </w:rPr>
              <w:t>ndihmën juridike të garantuar nga shteti</w:t>
            </w:r>
            <w:r w:rsidR="00CF0382">
              <w:rPr>
                <w:szCs w:val="24"/>
              </w:rPr>
              <w:t xml:space="preserve">. </w:t>
            </w:r>
          </w:p>
        </w:tc>
      </w:tr>
      <w:tr w:rsidR="00CA40EE" w:rsidRPr="00325A1F" w14:paraId="351492B2" w14:textId="77777777" w:rsidTr="00887D11">
        <w:tc>
          <w:tcPr>
            <w:tcW w:w="9715" w:type="dxa"/>
            <w:gridSpan w:val="2"/>
            <w:tcBorders>
              <w:top w:val="single" w:sz="4" w:space="0" w:color="000000"/>
              <w:left w:val="single" w:sz="4" w:space="0" w:color="000000"/>
              <w:bottom w:val="single" w:sz="4" w:space="0" w:color="000000"/>
              <w:right w:val="single" w:sz="4" w:space="0" w:color="000000"/>
            </w:tcBorders>
          </w:tcPr>
          <w:p w14:paraId="15826980" w14:textId="77777777" w:rsidR="00CA40EE" w:rsidRPr="001171C2" w:rsidRDefault="00CA40EE" w:rsidP="007B6556">
            <w:pPr>
              <w:spacing w:line="276" w:lineRule="auto"/>
              <w:jc w:val="both"/>
              <w:rPr>
                <w:b/>
                <w:szCs w:val="24"/>
              </w:rPr>
            </w:pPr>
            <w:r w:rsidRPr="001171C2">
              <w:rPr>
                <w:b/>
                <w:szCs w:val="24"/>
              </w:rPr>
              <w:t>ZBATIMI DHE MONITORIMI</w:t>
            </w:r>
          </w:p>
          <w:p w14:paraId="49E239E6" w14:textId="17872A47" w:rsidR="00C818B7" w:rsidRDefault="00CC4D9E" w:rsidP="00C818B7">
            <w:pPr>
              <w:spacing w:line="276" w:lineRule="auto"/>
              <w:jc w:val="both"/>
              <w:rPr>
                <w:i/>
                <w:szCs w:val="24"/>
              </w:rPr>
            </w:pPr>
            <w:r w:rsidRPr="001171C2">
              <w:rPr>
                <w:i/>
                <w:szCs w:val="24"/>
              </w:rPr>
              <w:fldChar w:fldCharType="begin">
                <w:ffData>
                  <w:name w:val="ZbatimiMonitorimi"/>
                  <w:enabled w:val="0"/>
                  <w:calcOnExit w:val="0"/>
                  <w:textInput>
                    <w:default w:val="Si do të organizohen zbatimi dhe monitorimi?(jo më shumë se 5 rreshta)"/>
                    <w:maxLength w:val="462"/>
                  </w:textInput>
                </w:ffData>
              </w:fldChar>
            </w:r>
            <w:bookmarkStart w:id="9" w:name="ZbatimiMonitorimi"/>
            <w:r w:rsidRPr="001171C2">
              <w:rPr>
                <w:i/>
                <w:szCs w:val="24"/>
              </w:rPr>
              <w:instrText xml:space="preserve"> FORMTEXT </w:instrText>
            </w:r>
            <w:r w:rsidRPr="001171C2">
              <w:rPr>
                <w:i/>
                <w:szCs w:val="24"/>
              </w:rPr>
            </w:r>
            <w:r w:rsidRPr="001171C2">
              <w:rPr>
                <w:i/>
                <w:szCs w:val="24"/>
              </w:rPr>
              <w:fldChar w:fldCharType="separate"/>
            </w:r>
            <w:r w:rsidRPr="001171C2">
              <w:rPr>
                <w:i/>
                <w:noProof/>
                <w:szCs w:val="24"/>
              </w:rPr>
              <w:t>Si do të organizohen zbatimi dhe monitorimi?(jo më shumë se 5 rreshta)</w:t>
            </w:r>
            <w:r w:rsidRPr="001171C2">
              <w:rPr>
                <w:i/>
                <w:szCs w:val="24"/>
              </w:rPr>
              <w:fldChar w:fldCharType="end"/>
            </w:r>
            <w:bookmarkEnd w:id="9"/>
          </w:p>
          <w:p w14:paraId="376DA243" w14:textId="77777777" w:rsidR="009C5599" w:rsidRPr="001171C2" w:rsidRDefault="009C5599" w:rsidP="00C818B7">
            <w:pPr>
              <w:spacing w:line="276" w:lineRule="auto"/>
              <w:jc w:val="both"/>
              <w:rPr>
                <w:i/>
                <w:szCs w:val="24"/>
              </w:rPr>
            </w:pPr>
          </w:p>
          <w:p w14:paraId="009D7EC2" w14:textId="3A50E892" w:rsidR="00950EF5" w:rsidRPr="001171C2" w:rsidRDefault="00E675C0" w:rsidP="00E675C0">
            <w:pPr>
              <w:spacing w:line="276" w:lineRule="auto"/>
              <w:jc w:val="both"/>
              <w:rPr>
                <w:szCs w:val="24"/>
              </w:rPr>
            </w:pPr>
            <w:r w:rsidRPr="0045310C">
              <w:rPr>
                <w:szCs w:val="24"/>
              </w:rPr>
              <w:lastRenderedPageBreak/>
              <w:t>Zbatimi i nismës për ndryshimet në ligjin për ndihmën juridike falas do të organizohet në bashkëpunim midis aktorëve kryesorë</w:t>
            </w:r>
            <w:r w:rsidR="00253FB0" w:rsidRPr="0045310C">
              <w:rPr>
                <w:szCs w:val="24"/>
              </w:rPr>
              <w:t>,</w:t>
            </w:r>
            <w:r w:rsidR="008D6035" w:rsidRPr="0045310C">
              <w:rPr>
                <w:szCs w:val="24"/>
              </w:rPr>
              <w:t xml:space="preserve"> </w:t>
            </w:r>
            <w:r w:rsidR="00AC7B7B">
              <w:rPr>
                <w:szCs w:val="24"/>
              </w:rPr>
              <w:t>përkatësisht me</w:t>
            </w:r>
            <w:r w:rsidR="008D6035" w:rsidRPr="001171C2">
              <w:rPr>
                <w:szCs w:val="24"/>
              </w:rPr>
              <w:t xml:space="preserve"> Ministri</w:t>
            </w:r>
            <w:r w:rsidR="00AC7B7B">
              <w:rPr>
                <w:szCs w:val="24"/>
              </w:rPr>
              <w:t>në e</w:t>
            </w:r>
            <w:r w:rsidR="008D6035" w:rsidRPr="001171C2">
              <w:rPr>
                <w:szCs w:val="24"/>
              </w:rPr>
              <w:t xml:space="preserve"> Drejtësisë, Drejtori</w:t>
            </w:r>
            <w:r w:rsidR="00AC7B7B">
              <w:rPr>
                <w:szCs w:val="24"/>
              </w:rPr>
              <w:t>në e</w:t>
            </w:r>
            <w:r w:rsidR="008D6035" w:rsidRPr="001171C2">
              <w:rPr>
                <w:szCs w:val="24"/>
              </w:rPr>
              <w:t xml:space="preserve"> Ndihmës Juridike Falas, Dhom</w:t>
            </w:r>
            <w:r w:rsidR="00AC7B7B">
              <w:rPr>
                <w:szCs w:val="24"/>
              </w:rPr>
              <w:t>ën</w:t>
            </w:r>
            <w:r w:rsidR="008D6035" w:rsidRPr="001171C2">
              <w:rPr>
                <w:szCs w:val="24"/>
              </w:rPr>
              <w:t xml:space="preserve"> Kombëtare </w:t>
            </w:r>
            <w:r w:rsidR="00AC7B7B">
              <w:rPr>
                <w:szCs w:val="24"/>
              </w:rPr>
              <w:t>të</w:t>
            </w:r>
            <w:r w:rsidR="008D6035" w:rsidRPr="001171C2">
              <w:rPr>
                <w:szCs w:val="24"/>
              </w:rPr>
              <w:t xml:space="preserve"> Avokatisë dhe njësitë e vetëqeverisjes vendor</w:t>
            </w:r>
            <w:r w:rsidR="009C5599">
              <w:rPr>
                <w:szCs w:val="24"/>
              </w:rPr>
              <w:t>e.</w:t>
            </w:r>
            <w:r w:rsidR="008D6035" w:rsidRPr="001171C2">
              <w:rPr>
                <w:szCs w:val="24"/>
              </w:rPr>
              <w:t xml:space="preserve"> Brenda tre muajve nga hyrja në fuqi, do të miratohen aktet nënligjore të nevojshme, përfshir</w:t>
            </w:r>
            <w:r w:rsidR="009C5599">
              <w:rPr>
                <w:szCs w:val="24"/>
              </w:rPr>
              <w:t>ë</w:t>
            </w:r>
            <w:r w:rsidR="008D6035" w:rsidRPr="001171C2">
              <w:rPr>
                <w:szCs w:val="24"/>
              </w:rPr>
              <w:t xml:space="preserve"> formularët standardë, procedurat e pagesës së shpenzimeve të ekspertëve dhe formatin </w:t>
            </w:r>
            <w:r w:rsidR="001171C2" w:rsidRPr="001171C2">
              <w:rPr>
                <w:rFonts w:eastAsia="Calibri"/>
                <w:szCs w:val="24"/>
                <w:lang w:eastAsia="en-US"/>
              </w:rPr>
              <w:t xml:space="preserve"> standard të vendimit për caktimin e avokatit në rastet e procedurës së përshpejtuar</w:t>
            </w:r>
            <w:r w:rsidR="00AC7B7B">
              <w:rPr>
                <w:szCs w:val="24"/>
              </w:rPr>
              <w:t xml:space="preserve">. </w:t>
            </w:r>
            <w:r w:rsidRPr="001171C2">
              <w:rPr>
                <w:szCs w:val="24"/>
              </w:rPr>
              <w:t>Monitorimi do të kryhet nga Ministria e Drejtësisë dhe Drejtoria e Ndihmës Juridike Falas, nëpërmjet statistikave dhe analizës së ndikimit të politikës së propozuar në bazë periodike vjetore</w:t>
            </w:r>
            <w:r w:rsidR="00AC7B7B">
              <w:rPr>
                <w:szCs w:val="24"/>
              </w:rPr>
              <w:t xml:space="preserve">. </w:t>
            </w:r>
          </w:p>
        </w:tc>
      </w:tr>
    </w:tbl>
    <w:p w14:paraId="0C6DF655" w14:textId="77777777" w:rsidR="00C133FC" w:rsidRDefault="00C133FC" w:rsidP="009D13F4">
      <w:pPr>
        <w:pStyle w:val="Heading1"/>
        <w:spacing w:line="276" w:lineRule="auto"/>
        <w:rPr>
          <w:rFonts w:ascii="Times New Roman" w:hAnsi="Times New Roman" w:cs="Times New Roman"/>
          <w:sz w:val="24"/>
          <w:szCs w:val="24"/>
        </w:rPr>
      </w:pPr>
      <w:bookmarkStart w:id="10" w:name="_Toc50691973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C133FC" w:rsidRPr="009C75E3" w14:paraId="1AEFD50A" w14:textId="77777777" w:rsidTr="00C133FC">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C80836" w14:textId="77777777" w:rsidR="00C133FC" w:rsidRPr="009C75E3" w:rsidRDefault="00C133FC" w:rsidP="00C133FC">
            <w:pPr>
              <w:jc w:val="both"/>
              <w:rPr>
                <w:b/>
              </w:rPr>
            </w:pPr>
            <w:r w:rsidRPr="009C75E3">
              <w:rPr>
                <w:b/>
              </w:rPr>
              <w:t xml:space="preserve">PJESA 2: BAZA KRYESORE E ANALIZËS DHE E PROVAVE </w:t>
            </w:r>
          </w:p>
        </w:tc>
      </w:tr>
    </w:tbl>
    <w:p w14:paraId="51D5A819" w14:textId="77777777" w:rsidR="00C133FC" w:rsidRPr="00C133FC" w:rsidRDefault="00C133FC" w:rsidP="00B17990"/>
    <w:p w14:paraId="373E349F" w14:textId="77777777" w:rsidR="002125B7" w:rsidRPr="00325A1F" w:rsidRDefault="002125B7" w:rsidP="009D13F4">
      <w:pPr>
        <w:pStyle w:val="Heading1"/>
        <w:spacing w:line="276" w:lineRule="auto"/>
        <w:rPr>
          <w:rFonts w:ascii="Times New Roman" w:hAnsi="Times New Roman" w:cs="Times New Roman"/>
          <w:sz w:val="24"/>
          <w:szCs w:val="24"/>
        </w:rPr>
      </w:pPr>
      <w:r w:rsidRPr="00325A1F">
        <w:rPr>
          <w:rFonts w:ascii="Times New Roman" w:hAnsi="Times New Roman" w:cs="Times New Roman"/>
          <w:sz w:val="24"/>
          <w:szCs w:val="24"/>
        </w:rPr>
        <w:t>Historik</w:t>
      </w:r>
      <w:bookmarkEnd w:id="10"/>
    </w:p>
    <w:sdt>
      <w:sdtPr>
        <w:rPr>
          <w:i/>
          <w:szCs w:val="24"/>
        </w:rPr>
        <w:id w:val="-1879696236"/>
        <w:lock w:val="contentLocked"/>
        <w:placeholder>
          <w:docPart w:val="DefaultPlaceholder_-1854013440"/>
        </w:placeholder>
      </w:sdtPr>
      <w:sdtEndPr/>
      <w:sdtContent>
        <w:p w14:paraId="65B5F973" w14:textId="3ECEF7A3" w:rsidR="002125B7" w:rsidRPr="00BC6D7D" w:rsidRDefault="007F435A" w:rsidP="009D13F4">
          <w:pPr>
            <w:spacing w:line="276" w:lineRule="auto"/>
            <w:rPr>
              <w:i/>
              <w:szCs w:val="24"/>
            </w:rPr>
          </w:pPr>
          <w:r w:rsidRPr="00BC6D7D">
            <w:rPr>
              <w:i/>
              <w:szCs w:val="24"/>
            </w:rPr>
            <w:t>Jepni kontekstin e politikës</w:t>
          </w:r>
          <w:r w:rsidR="00FA63FD">
            <w:rPr>
              <w:i/>
              <w:szCs w:val="24"/>
            </w:rPr>
            <w:t>.</w:t>
          </w:r>
        </w:p>
      </w:sdtContent>
    </w:sdt>
    <w:sdt>
      <w:sdtPr>
        <w:id w:val="1083723407"/>
        <w:placeholder>
          <w:docPart w:val="DefaultPlaceholder_1081868574"/>
        </w:placeholder>
      </w:sdtPr>
      <w:sdtEndPr/>
      <w:sdtContent>
        <w:p w14:paraId="6744B94A" w14:textId="77777777" w:rsidR="00611071" w:rsidRDefault="00AD606C" w:rsidP="00531613">
          <w:pPr>
            <w:spacing w:line="276" w:lineRule="auto"/>
            <w:jc w:val="both"/>
          </w:pPr>
          <w:r>
            <w:t xml:space="preserve"> </w:t>
          </w:r>
        </w:p>
        <w:p w14:paraId="267BEC04" w14:textId="344C1EC2" w:rsidR="00531613" w:rsidRPr="00531613" w:rsidRDefault="00531613" w:rsidP="00531613">
          <w:pPr>
            <w:spacing w:line="276" w:lineRule="auto"/>
            <w:jc w:val="both"/>
          </w:pPr>
          <w:r w:rsidRPr="00531613">
            <w:t>E drejta për akses efektiv në drejtësi dhe për një proces të rregullt ligjor përbën një nga parimet themelore të shtetit të së drejtës</w:t>
          </w:r>
          <w:r w:rsidR="00067B53">
            <w:t xml:space="preserve"> t</w:t>
          </w:r>
          <w:r w:rsidR="009D4F00">
            <w:t>ë</w:t>
          </w:r>
          <w:r w:rsidR="00067B53">
            <w:t xml:space="preserve"> garantuar nga Kushtetuta dhe neni 6 i </w:t>
          </w:r>
          <w:r w:rsidRPr="00531613">
            <w:t xml:space="preserve">Konventës Evropiane për të Drejtat e Njeriut. </w:t>
          </w:r>
        </w:p>
        <w:p w14:paraId="79ABCEB9" w14:textId="1935506E" w:rsidR="00825AE2" w:rsidRDefault="00531613" w:rsidP="00531613">
          <w:pPr>
            <w:spacing w:line="276" w:lineRule="auto"/>
            <w:jc w:val="both"/>
          </w:pPr>
          <w:r w:rsidRPr="00531613">
            <w:t>Në zbatim të këtyre parimeve</w:t>
          </w:r>
          <w:r w:rsidR="00701B24">
            <w:t>,</w:t>
          </w:r>
          <w:r w:rsidR="0034461C">
            <w:t xml:space="preserve"> </w:t>
          </w:r>
          <w:r w:rsidR="0034461C" w:rsidRPr="0034461C">
            <w:t>në përmbushje të detyrimeve ndërkombëtare të Republikës së Shqipërisë</w:t>
          </w:r>
          <w:r w:rsidR="0034461C">
            <w:t xml:space="preserve">, si dhe në kuadër të </w:t>
          </w:r>
          <w:r w:rsidR="0034461C" w:rsidRPr="0034461C">
            <w:t xml:space="preserve">Reformës në Drejtësi, </w:t>
          </w:r>
          <w:r w:rsidR="0034461C">
            <w:t xml:space="preserve">u miratua ligji </w:t>
          </w:r>
          <w:r w:rsidR="0034461C" w:rsidRPr="0034461C">
            <w:t>nr. 111/2017 “Për ndihmën juridike të garantuar nga shteti”, i cili ka hyrë në fuqi më 1 qershor 2018</w:t>
          </w:r>
          <w:r w:rsidR="00825AE2">
            <w:t xml:space="preserve">. </w:t>
          </w:r>
        </w:p>
        <w:p w14:paraId="2D5B5937" w14:textId="77777777" w:rsidR="00D45719" w:rsidRDefault="00D45719" w:rsidP="00531613">
          <w:pPr>
            <w:spacing w:line="276" w:lineRule="auto"/>
            <w:jc w:val="both"/>
          </w:pPr>
        </w:p>
        <w:p w14:paraId="7E9A7A0A" w14:textId="091C7BDE" w:rsidR="0034461C" w:rsidRDefault="00825AE2" w:rsidP="00531613">
          <w:pPr>
            <w:spacing w:line="276" w:lineRule="auto"/>
            <w:jc w:val="both"/>
          </w:pPr>
          <w:r>
            <w:t xml:space="preserve">Ky ligj ofroi </w:t>
          </w:r>
          <w:r w:rsidR="0034461C" w:rsidRPr="0034461C">
            <w:t>një frymë të re, në sinkron me kërkesat dhe legjislacionin e Bashkimit Evropian</w:t>
          </w:r>
          <w:r>
            <w:t xml:space="preserve">, ku një nga risitë kryesore të tij ishte </w:t>
          </w:r>
          <w:r w:rsidRPr="00825AE2">
            <w:t xml:space="preserve">krijimi i një rrjeti institucional </w:t>
          </w:r>
          <w:r>
            <w:t xml:space="preserve">që </w:t>
          </w:r>
          <w:r w:rsidRPr="00825AE2">
            <w:t>ngarkohen me përgjegjësinë e ofrimit të shërbimeve të ndihmës juridike për secilën formë të ndihmës juridike,</w:t>
          </w:r>
          <w:r w:rsidR="008525F7">
            <w:t xml:space="preserve"> përkatësisht </w:t>
          </w:r>
          <w:r w:rsidRPr="00825AE2">
            <w:t xml:space="preserve">ndihmën juridike parësore, dytësore, përjashtimin nga të gjitha shpenzimet e procesit gjyqësor deri </w:t>
          </w:r>
          <w:r w:rsidR="003C04B8">
            <w:t>në</w:t>
          </w:r>
          <w:r w:rsidRPr="00825AE2">
            <w:t xml:space="preserve"> ekzekutimin e vendimit.</w:t>
          </w:r>
        </w:p>
        <w:p w14:paraId="13776211" w14:textId="77777777" w:rsidR="00396C5E" w:rsidRPr="0034461C" w:rsidRDefault="00396C5E" w:rsidP="00531613">
          <w:pPr>
            <w:spacing w:line="276" w:lineRule="auto"/>
            <w:jc w:val="both"/>
          </w:pPr>
        </w:p>
        <w:p w14:paraId="37737844" w14:textId="4C36E2A8" w:rsidR="00563378" w:rsidRPr="00611071" w:rsidRDefault="00531613" w:rsidP="0056470B">
          <w:pPr>
            <w:spacing w:line="276" w:lineRule="auto"/>
            <w:jc w:val="both"/>
            <w:rPr>
              <w:bCs/>
            </w:rPr>
          </w:pPr>
          <w:r w:rsidRPr="00531613">
            <w:t xml:space="preserve">Megjithatë, </w:t>
          </w:r>
          <w:r w:rsidR="009A25D0" w:rsidRPr="008525F7">
            <w:rPr>
              <w:bCs/>
            </w:rPr>
            <w:t>krahas efekteve pozitive</w:t>
          </w:r>
          <w:r w:rsidR="009A25D0">
            <w:rPr>
              <w:bCs/>
            </w:rPr>
            <w:t xml:space="preserve"> që ka sjellë</w:t>
          </w:r>
          <w:r w:rsidR="008525F7" w:rsidRPr="008525F7">
            <w:rPr>
              <w:bCs/>
            </w:rPr>
            <w:t xml:space="preserve"> zbatimi</w:t>
          </w:r>
          <w:r w:rsidR="009A25D0">
            <w:rPr>
              <w:bCs/>
            </w:rPr>
            <w:t xml:space="preserve"> i </w:t>
          </w:r>
          <w:r w:rsidR="008525F7" w:rsidRPr="008525F7">
            <w:rPr>
              <w:bCs/>
            </w:rPr>
            <w:t xml:space="preserve">ligjit për </w:t>
          </w:r>
          <w:r w:rsidR="008525F7">
            <w:rPr>
              <w:bCs/>
            </w:rPr>
            <w:t xml:space="preserve">ndihmën juridike të garantuar nga shteti, </w:t>
          </w:r>
          <w:r w:rsidR="003B381F">
            <w:rPr>
              <w:bCs/>
            </w:rPr>
            <w:t xml:space="preserve">në ofrimin </w:t>
          </w:r>
          <w:r w:rsidR="003B381F" w:rsidRPr="003B381F">
            <w:rPr>
              <w:bCs/>
            </w:rPr>
            <w:t>një shërbimi ligjor cilësor</w:t>
          </w:r>
          <w:r w:rsidR="009A25D0">
            <w:rPr>
              <w:bCs/>
            </w:rPr>
            <w:t xml:space="preserve"> </w:t>
          </w:r>
          <w:r w:rsidR="003B381F">
            <w:rPr>
              <w:bCs/>
            </w:rPr>
            <w:t>dhe garantimin e</w:t>
          </w:r>
          <w:r w:rsidR="003B381F" w:rsidRPr="003B381F">
            <w:rPr>
              <w:bCs/>
            </w:rPr>
            <w:t xml:space="preserve"> parimi</w:t>
          </w:r>
          <w:r w:rsidR="003B381F">
            <w:rPr>
              <w:bCs/>
            </w:rPr>
            <w:t>t të</w:t>
          </w:r>
          <w:r w:rsidR="003B381F" w:rsidRPr="003B381F">
            <w:rPr>
              <w:bCs/>
            </w:rPr>
            <w:t xml:space="preserve"> barazisë së armëve midis palëve</w:t>
          </w:r>
          <w:r w:rsidR="003B381F">
            <w:rPr>
              <w:bCs/>
            </w:rPr>
            <w:t xml:space="preserve">, </w:t>
          </w:r>
          <w:r w:rsidR="00D45719" w:rsidRPr="00D45719">
            <w:rPr>
              <w:bCs/>
            </w:rPr>
            <w:t>përvoja e fituar nga zbatimi i tij praktik, si dhe monitorimet dhe auditimet institucionale</w:t>
          </w:r>
          <w:r w:rsidR="009C5599">
            <w:rPr>
              <w:bCs/>
            </w:rPr>
            <w:t xml:space="preserve">, </w:t>
          </w:r>
          <w:r w:rsidR="00D45719" w:rsidRPr="00D45719">
            <w:rPr>
              <w:bCs/>
            </w:rPr>
            <w:t>kanë evidentuar mangësi dhe boshllëqe ligjore</w:t>
          </w:r>
          <w:r w:rsidR="00D45719">
            <w:rPr>
              <w:bCs/>
            </w:rPr>
            <w:t xml:space="preserve">. Gjithashtu, </w:t>
          </w:r>
          <w:r w:rsidR="00611071">
            <w:rPr>
              <w:bCs/>
            </w:rPr>
            <w:t xml:space="preserve">nevoja për </w:t>
          </w:r>
          <w:r w:rsidR="00D45719">
            <w:rPr>
              <w:bCs/>
            </w:rPr>
            <w:t>nd</w:t>
          </w:r>
          <w:r w:rsidR="00611071">
            <w:rPr>
              <w:bCs/>
            </w:rPr>
            <w:t>ë</w:t>
          </w:r>
          <w:r w:rsidR="00D45719">
            <w:rPr>
              <w:bCs/>
            </w:rPr>
            <w:t>rhyrje n</w:t>
          </w:r>
          <w:r w:rsidR="00611071">
            <w:rPr>
              <w:bCs/>
            </w:rPr>
            <w:t>ë</w:t>
          </w:r>
          <w:r w:rsidR="00D45719">
            <w:rPr>
              <w:bCs/>
            </w:rPr>
            <w:t xml:space="preserve"> ligjin nr. 111/2017</w:t>
          </w:r>
          <w:r w:rsidR="00611071">
            <w:rPr>
              <w:bCs/>
            </w:rPr>
            <w:t xml:space="preserve"> lind edhe me qëllim garantimin </w:t>
          </w:r>
          <w:r w:rsidR="009A25D0">
            <w:rPr>
              <w:bCs/>
            </w:rPr>
            <w:t>e përputhshmërisë</w:t>
          </w:r>
          <w:r w:rsidR="00611071">
            <w:rPr>
              <w:bCs/>
            </w:rPr>
            <w:t xml:space="preserve"> së</w:t>
          </w:r>
          <w:r w:rsidR="00D45719">
            <w:rPr>
              <w:bCs/>
            </w:rPr>
            <w:t xml:space="preserve"> legjislacioni</w:t>
          </w:r>
          <w:r w:rsidR="00611071">
            <w:rPr>
              <w:bCs/>
            </w:rPr>
            <w:t xml:space="preserve">t </w:t>
          </w:r>
          <w:r w:rsidR="00D45719">
            <w:rPr>
              <w:bCs/>
            </w:rPr>
            <w:t xml:space="preserve">shqiptar me </w:t>
          </w:r>
          <w:r w:rsidR="00D45719" w:rsidRPr="00A341D1">
            <w:rPr>
              <w:bCs/>
              <w:i/>
            </w:rPr>
            <w:t>a</w:t>
          </w:r>
          <w:r w:rsidR="00611071" w:rsidRPr="00A341D1">
            <w:rPr>
              <w:bCs/>
              <w:i/>
            </w:rPr>
            <w:t>c</w:t>
          </w:r>
          <w:r w:rsidR="00D45719" w:rsidRPr="00A341D1">
            <w:rPr>
              <w:bCs/>
              <w:i/>
            </w:rPr>
            <w:t>qui</w:t>
          </w:r>
          <w:r w:rsidR="00611071" w:rsidRPr="00A341D1">
            <w:rPr>
              <w:bCs/>
              <w:i/>
            </w:rPr>
            <w:t>s</w:t>
          </w:r>
          <w:r w:rsidR="00D45719">
            <w:rPr>
              <w:bCs/>
            </w:rPr>
            <w:t xml:space="preserve"> e Bashkimit e Evropian. </w:t>
          </w:r>
        </w:p>
      </w:sdtContent>
    </w:sdt>
    <w:p w14:paraId="3A394B8F" w14:textId="48550E26" w:rsidR="009E64A4" w:rsidRPr="009D13F4" w:rsidRDefault="002125B7" w:rsidP="009D13F4">
      <w:pPr>
        <w:pStyle w:val="Heading1"/>
        <w:spacing w:line="276" w:lineRule="auto"/>
        <w:rPr>
          <w:rFonts w:ascii="Times New Roman" w:hAnsi="Times New Roman" w:cs="Times New Roman"/>
          <w:sz w:val="24"/>
          <w:szCs w:val="24"/>
        </w:rPr>
      </w:pPr>
      <w:r w:rsidRPr="00325A1F">
        <w:rPr>
          <w:rFonts w:ascii="Times New Roman" w:hAnsi="Times New Roman" w:cs="Times New Roman"/>
          <w:sz w:val="24"/>
          <w:szCs w:val="24"/>
        </w:rPr>
        <w:t>Problemi në shqyrtim</w:t>
      </w:r>
    </w:p>
    <w:bookmarkStart w:id="11" w:name="_Toc506919734" w:displacedByCustomXml="next"/>
    <w:sdt>
      <w:sdtPr>
        <w:id w:val="5332828"/>
        <w:lock w:val="contentLocked"/>
        <w:placeholder>
          <w:docPart w:val="873E64307E5F40099245506EC819755B"/>
        </w:placeholder>
      </w:sdtPr>
      <w:sdtEndPr/>
      <w:sdtContent>
        <w:p w14:paraId="101CBF4C" w14:textId="54202AE6" w:rsidR="00372979" w:rsidRPr="00372979" w:rsidRDefault="00372979">
          <w:pPr>
            <w:pStyle w:val="ListParagraph"/>
            <w:numPr>
              <w:ilvl w:val="0"/>
              <w:numId w:val="13"/>
            </w:numPr>
            <w:spacing w:after="0" w:line="276" w:lineRule="auto"/>
            <w:jc w:val="both"/>
            <w:rPr>
              <w:rFonts w:ascii="Times New Roman" w:hAnsi="Times New Roman"/>
              <w:i/>
              <w:sz w:val="24"/>
              <w:szCs w:val="24"/>
            </w:rPr>
          </w:pPr>
          <w:r w:rsidRPr="00372979">
            <w:rPr>
              <w:rFonts w:ascii="Times New Roman" w:hAnsi="Times New Roman"/>
              <w:i/>
              <w:sz w:val="24"/>
              <w:szCs w:val="24"/>
            </w:rPr>
            <w:t>Përshkruani natyrën e problemit.</w:t>
          </w:r>
        </w:p>
        <w:p w14:paraId="39E386F9" w14:textId="77777777" w:rsidR="00372979" w:rsidRPr="00372979" w:rsidRDefault="00372979">
          <w:pPr>
            <w:pStyle w:val="ListParagraph"/>
            <w:numPr>
              <w:ilvl w:val="0"/>
              <w:numId w:val="13"/>
            </w:numPr>
            <w:spacing w:after="0" w:line="276" w:lineRule="auto"/>
            <w:jc w:val="both"/>
            <w:rPr>
              <w:rFonts w:ascii="Times New Roman" w:hAnsi="Times New Roman"/>
              <w:i/>
              <w:sz w:val="24"/>
              <w:szCs w:val="24"/>
            </w:rPr>
          </w:pPr>
          <w:r w:rsidRPr="00372979">
            <w:rPr>
              <w:rFonts w:ascii="Times New Roman" w:hAnsi="Times New Roman"/>
              <w:i/>
              <w:sz w:val="24"/>
              <w:szCs w:val="24"/>
            </w:rPr>
            <w:t>Identifikoni shkaqet e problemit.</w:t>
          </w:r>
        </w:p>
        <w:p w14:paraId="68BDD96B" w14:textId="77777777" w:rsidR="00372979" w:rsidRPr="00372979" w:rsidRDefault="00372979">
          <w:pPr>
            <w:pStyle w:val="ListParagraph"/>
            <w:numPr>
              <w:ilvl w:val="0"/>
              <w:numId w:val="13"/>
            </w:numPr>
            <w:spacing w:after="0" w:line="276" w:lineRule="auto"/>
            <w:jc w:val="both"/>
            <w:rPr>
              <w:rFonts w:ascii="Times New Roman" w:hAnsi="Times New Roman"/>
              <w:i/>
              <w:sz w:val="24"/>
              <w:szCs w:val="24"/>
            </w:rPr>
          </w:pPr>
          <w:r w:rsidRPr="00372979">
            <w:rPr>
              <w:rFonts w:ascii="Times New Roman" w:hAnsi="Times New Roman"/>
              <w:i/>
              <w:sz w:val="24"/>
              <w:szCs w:val="24"/>
            </w:rPr>
            <w:t>Përshkruani shtrirjen e problemit.</w:t>
          </w:r>
        </w:p>
        <w:p w14:paraId="564ACB57" w14:textId="77777777" w:rsidR="00372979" w:rsidRPr="00372979" w:rsidRDefault="00372979">
          <w:pPr>
            <w:pStyle w:val="ListParagraph"/>
            <w:numPr>
              <w:ilvl w:val="0"/>
              <w:numId w:val="13"/>
            </w:numPr>
            <w:spacing w:after="0" w:line="276" w:lineRule="auto"/>
            <w:jc w:val="both"/>
            <w:rPr>
              <w:rFonts w:ascii="Times New Roman" w:hAnsi="Times New Roman"/>
              <w:i/>
              <w:sz w:val="24"/>
              <w:szCs w:val="24"/>
            </w:rPr>
          </w:pPr>
          <w:r w:rsidRPr="00372979">
            <w:rPr>
              <w:rFonts w:ascii="Times New Roman" w:hAnsi="Times New Roman"/>
              <w:i/>
              <w:sz w:val="24"/>
              <w:szCs w:val="24"/>
            </w:rPr>
            <w:t>Identifikoni grupet e prekura nga ky problem - qeveria / biznesi / shoqëria civile / qytetarët.</w:t>
          </w:r>
        </w:p>
        <w:p w14:paraId="0D251324" w14:textId="48AB228E" w:rsidR="009D13F4" w:rsidRPr="00372979" w:rsidRDefault="00372979">
          <w:pPr>
            <w:pStyle w:val="ListParagraph"/>
            <w:numPr>
              <w:ilvl w:val="0"/>
              <w:numId w:val="13"/>
            </w:numPr>
            <w:spacing w:after="0" w:line="276" w:lineRule="auto"/>
            <w:jc w:val="both"/>
            <w:rPr>
              <w:rFonts w:ascii="Times New Roman" w:hAnsi="Times New Roman"/>
              <w:i/>
              <w:sz w:val="24"/>
              <w:szCs w:val="24"/>
            </w:rPr>
          </w:pPr>
          <w:r w:rsidRPr="00372979">
            <w:rPr>
              <w:rFonts w:ascii="Times New Roman" w:hAnsi="Times New Roman"/>
              <w:i/>
              <w:sz w:val="24"/>
              <w:szCs w:val="24"/>
            </w:rPr>
            <w:t>Vlerësoni nëse problemi mund të trajtohet ose jo përmes një ndryshimi të politikave.</w:t>
          </w:r>
        </w:p>
      </w:sdtContent>
    </w:sdt>
    <w:p w14:paraId="69668F81" w14:textId="3B912D36" w:rsidR="001B7099" w:rsidRPr="002D248F" w:rsidRDefault="001B7099" w:rsidP="006A39F0">
      <w:pPr>
        <w:pStyle w:val="NoSpacing"/>
        <w:tabs>
          <w:tab w:val="left" w:pos="720"/>
        </w:tabs>
        <w:spacing w:line="276" w:lineRule="auto"/>
        <w:jc w:val="both"/>
        <w:rPr>
          <w:rFonts w:ascii="Times New Roman" w:eastAsia="Calibri" w:hAnsi="Times New Roman"/>
          <w:color w:val="000000" w:themeColor="text1"/>
          <w:sz w:val="24"/>
          <w:szCs w:val="24"/>
          <w:lang w:val="sq-AL"/>
        </w:rPr>
      </w:pPr>
    </w:p>
    <w:p w14:paraId="5491C7DA" w14:textId="7E05CFD8" w:rsidR="007B5F77" w:rsidRDefault="00806F86" w:rsidP="00E60D56">
      <w:pPr>
        <w:tabs>
          <w:tab w:val="left" w:pos="683"/>
        </w:tabs>
        <w:spacing w:line="276" w:lineRule="auto"/>
        <w:jc w:val="both"/>
        <w:rPr>
          <w:rFonts w:eastAsia="MS Mincho"/>
          <w:color w:val="000000" w:themeColor="text1"/>
        </w:rPr>
      </w:pPr>
      <w:r w:rsidRPr="00AE14C6">
        <w:rPr>
          <w:rFonts w:eastAsia="Calibri"/>
          <w:b/>
          <w:bCs/>
          <w:color w:val="000000" w:themeColor="text1"/>
          <w:szCs w:val="24"/>
        </w:rPr>
        <w:t>Natyra e problemit</w:t>
      </w:r>
      <w:r w:rsidRPr="002D248F">
        <w:rPr>
          <w:rFonts w:eastAsia="Calibri"/>
          <w:color w:val="000000" w:themeColor="text1"/>
          <w:szCs w:val="24"/>
        </w:rPr>
        <w:t xml:space="preserve"> lidhet </w:t>
      </w:r>
      <w:r w:rsidR="0073517D" w:rsidRPr="002D248F">
        <w:rPr>
          <w:rFonts w:eastAsia="Calibri"/>
          <w:color w:val="000000" w:themeColor="text1"/>
          <w:szCs w:val="24"/>
        </w:rPr>
        <w:t>me vakumin ligjor</w:t>
      </w:r>
      <w:r w:rsidR="007B5F77" w:rsidRPr="002D248F">
        <w:rPr>
          <w:rFonts w:eastAsia="Calibri"/>
          <w:color w:val="000000" w:themeColor="text1"/>
          <w:szCs w:val="24"/>
        </w:rPr>
        <w:t xml:space="preserve">, me </w:t>
      </w:r>
      <w:r w:rsidRPr="002D248F">
        <w:rPr>
          <w:rFonts w:eastAsia="Calibri"/>
          <w:color w:val="000000" w:themeColor="text1"/>
          <w:szCs w:val="24"/>
        </w:rPr>
        <w:t>problematikat e hasura gjatë zbatimit të ligjit deri më tani</w:t>
      </w:r>
      <w:r w:rsidR="007B5F77" w:rsidRPr="002D248F">
        <w:rPr>
          <w:rFonts w:eastAsia="Calibri"/>
          <w:color w:val="000000" w:themeColor="text1"/>
          <w:szCs w:val="24"/>
        </w:rPr>
        <w:t xml:space="preserve">, </w:t>
      </w:r>
      <w:r w:rsidR="007B5F77" w:rsidRPr="0045310C">
        <w:rPr>
          <w:rFonts w:eastAsia="MS Mincho"/>
          <w:color w:val="000000" w:themeColor="text1"/>
        </w:rPr>
        <w:t>me nevojën për harmonizimin e tij të plotë me direktivat dhe standardet e Bashkimit Evropian, si dhe me masat e parashikuara në strategjitë kombëtare.</w:t>
      </w:r>
    </w:p>
    <w:p w14:paraId="63D24B27" w14:textId="59785A19" w:rsidR="00951271" w:rsidRPr="0045310C" w:rsidRDefault="00452BDC" w:rsidP="00E60D56">
      <w:pPr>
        <w:pStyle w:val="NormalWeb"/>
        <w:spacing w:line="276" w:lineRule="auto"/>
        <w:jc w:val="both"/>
        <w:rPr>
          <w:color w:val="000000" w:themeColor="text1"/>
          <w:lang w:val="sq-AL"/>
        </w:rPr>
      </w:pPr>
      <w:r w:rsidRPr="00AE14C6">
        <w:rPr>
          <w:b/>
          <w:bCs/>
          <w:lang w:val="sq-AL"/>
        </w:rPr>
        <w:t xml:space="preserve">Shkaqet </w:t>
      </w:r>
      <w:r w:rsidRPr="0045310C">
        <w:rPr>
          <w:lang w:val="sq-AL"/>
        </w:rPr>
        <w:t>e këtij problemi janë të shumëfishta dhe të ndërlidhura. Së pari, kuadri ligjor ekzistues nuk mbulon kategori të rëndësishme përfituesish, si viktimat e terrorizmit, sinjalizuesit e shkeljeve të së drejtës së BE-</w:t>
      </w:r>
      <w:r w:rsidRPr="0045310C">
        <w:rPr>
          <w:lang w:val="sq-AL"/>
        </w:rPr>
        <w:lastRenderedPageBreak/>
        <w:t>së dhe personat që kërkojnë njohjen e statusit të aftësisë së kufizuar. Së dyti, procedurat ekzistuese janë të ngadalta dhe të papërshtatshme për situata që kërkojnë mbrojtje të menjëhershme, si rastet e dhunës në familje dhe trafikimit. Së treti, mbulimi i pamjaftueshëm i shpenzimeve kadastrale, noteriale dhe përmbarimore në fazën e ekzekutimit të vendimeve gjyqësore i ekspozon përfituesit ndaj barrëve financiare edhe pasi u është njohur e drejta për ndihmë juridike falas. Së katërti, barra e lartë administrative dhe niveli i ulët i informimit të publikut, veçanërisht i grupeve vulnerabël, pengojnë aksesin në shërbime juridike. Së fundi, mungesa e koordinimit ndërinstitucional dhe e specializimit të avokatëve për kategori të veçanta çështjesh ul ndjeshëm cilësinë e mbrojtjes juridike të ofruar.</w:t>
      </w:r>
      <w:r w:rsidRPr="0045310C">
        <w:rPr>
          <w:color w:val="000000" w:themeColor="text1"/>
          <w:lang w:val="sq-AL"/>
        </w:rPr>
        <w:t xml:space="preserve"> </w:t>
      </w:r>
    </w:p>
    <w:p w14:paraId="0CF1F5A3" w14:textId="73D0F14A" w:rsidR="0094517E" w:rsidRPr="0045310C" w:rsidRDefault="0094517E" w:rsidP="00452BDC">
      <w:pPr>
        <w:pStyle w:val="NormalWeb"/>
        <w:spacing w:line="276" w:lineRule="auto"/>
        <w:jc w:val="both"/>
        <w:rPr>
          <w:color w:val="000000" w:themeColor="text1"/>
          <w:lang w:val="sq-AL"/>
        </w:rPr>
      </w:pPr>
      <w:r w:rsidRPr="0045310C">
        <w:rPr>
          <w:color w:val="000000" w:themeColor="text1"/>
          <w:lang w:val="sq-AL"/>
        </w:rPr>
        <w:t xml:space="preserve">Problemi ka shtrirje kombëtare dhe prek funksionimin e përgjithshëm të </w:t>
      </w:r>
      <w:r w:rsidR="00AC0EB6" w:rsidRPr="0045310C">
        <w:rPr>
          <w:color w:val="000000" w:themeColor="text1"/>
          <w:lang w:val="sq-AL"/>
        </w:rPr>
        <w:t>ofrimit t</w:t>
      </w:r>
      <w:r w:rsidRPr="0045310C">
        <w:rPr>
          <w:color w:val="000000" w:themeColor="text1"/>
          <w:lang w:val="sq-AL"/>
        </w:rPr>
        <w:t>ë ndihmës juridike të garantuar nga shteti në të gjitha fazat e procesi</w:t>
      </w:r>
      <w:r w:rsidR="00452BDC" w:rsidRPr="0045310C">
        <w:rPr>
          <w:color w:val="000000" w:themeColor="text1"/>
          <w:lang w:val="sq-AL"/>
        </w:rPr>
        <w:t>t gjyqësor</w:t>
      </w:r>
      <w:r w:rsidRPr="0045310C">
        <w:rPr>
          <w:color w:val="000000" w:themeColor="text1"/>
          <w:lang w:val="sq-AL"/>
        </w:rPr>
        <w:t xml:space="preserve">. </w:t>
      </w:r>
      <w:r w:rsidR="00452BDC" w:rsidRPr="0045310C">
        <w:rPr>
          <w:lang w:val="sq-AL"/>
        </w:rPr>
        <w:t>Nga pikëpamja kohore, mangësitë janë evidentuar gjatë gjithë periudhës së zbatimit të ligjit që nga miratimi i tij në vitin 2017, deri më tani.</w:t>
      </w:r>
    </w:p>
    <w:p w14:paraId="50493680" w14:textId="294DABA2" w:rsidR="00CD2D82" w:rsidRPr="00010AD1" w:rsidRDefault="004C599F" w:rsidP="00E60D56">
      <w:pPr>
        <w:pStyle w:val="NormalWeb"/>
        <w:spacing w:line="276" w:lineRule="auto"/>
        <w:rPr>
          <w:color w:val="000000" w:themeColor="text1"/>
          <w:lang w:val="it-IT"/>
        </w:rPr>
      </w:pPr>
      <w:r w:rsidRPr="00AE14C6">
        <w:rPr>
          <w:b/>
          <w:bCs/>
          <w:color w:val="000000" w:themeColor="text1"/>
          <w:lang w:val="it-IT"/>
        </w:rPr>
        <w:t>Grupet e prekura nga ky problem janë</w:t>
      </w:r>
      <w:r w:rsidRPr="00010AD1">
        <w:rPr>
          <w:color w:val="000000" w:themeColor="text1"/>
          <w:lang w:val="it-IT"/>
        </w:rPr>
        <w:t>:</w:t>
      </w:r>
    </w:p>
    <w:p w14:paraId="4C6E16DA" w14:textId="584D2F10" w:rsidR="002F0CC1" w:rsidRPr="0045310C" w:rsidRDefault="00F551BF" w:rsidP="002F0CC1">
      <w:pPr>
        <w:pStyle w:val="NormalWeb"/>
        <w:spacing w:line="276" w:lineRule="auto"/>
        <w:jc w:val="both"/>
        <w:rPr>
          <w:lang w:val="it-IT"/>
        </w:rPr>
      </w:pPr>
      <w:r w:rsidRPr="00010AD1">
        <w:rPr>
          <w:b/>
          <w:bCs/>
          <w:color w:val="000000" w:themeColor="text1"/>
          <w:lang w:val="sq-AL"/>
        </w:rPr>
        <w:t xml:space="preserve">Qytetarët dhe </w:t>
      </w:r>
      <w:r w:rsidR="00854859">
        <w:rPr>
          <w:b/>
          <w:bCs/>
          <w:color w:val="000000" w:themeColor="text1"/>
          <w:lang w:val="sq-AL"/>
        </w:rPr>
        <w:t>g</w:t>
      </w:r>
      <w:r w:rsidRPr="00010AD1">
        <w:rPr>
          <w:b/>
          <w:bCs/>
          <w:color w:val="000000" w:themeColor="text1"/>
          <w:lang w:val="sq-AL"/>
        </w:rPr>
        <w:t xml:space="preserve">rupet </w:t>
      </w:r>
      <w:r w:rsidR="00607F58" w:rsidRPr="00010AD1">
        <w:rPr>
          <w:b/>
          <w:bCs/>
          <w:color w:val="000000" w:themeColor="text1"/>
          <w:lang w:val="sq-AL"/>
        </w:rPr>
        <w:t>vulnerabël</w:t>
      </w:r>
      <w:r w:rsidR="00607F58" w:rsidRPr="00010AD1">
        <w:rPr>
          <w:b/>
          <w:color w:val="000000" w:themeColor="text1"/>
          <w:lang w:val="sq-AL"/>
        </w:rPr>
        <w:t xml:space="preserve">: </w:t>
      </w:r>
      <w:r w:rsidR="00607F58" w:rsidRPr="00010AD1">
        <w:rPr>
          <w:color w:val="000000" w:themeColor="text1"/>
          <w:lang w:val="sq-AL"/>
        </w:rPr>
        <w:t>t</w:t>
      </w:r>
      <w:r w:rsidRPr="0045310C">
        <w:rPr>
          <w:lang w:val="it-IT"/>
        </w:rPr>
        <w:t>ë cilët përballen drejtpërdrejt me aksesin e kufizuar në drejtësi, me barrën financiare të shpenzimeve gjyqësore dhe të ekzekutimit, si dhe me mbrojtje të vonuar në situata emergjente ku çdo vonesë mund të ketë pasoja të rënda për jetën dhe sigurinë e tyre</w:t>
      </w:r>
      <w:r w:rsidR="00607F58" w:rsidRPr="0045310C">
        <w:rPr>
          <w:lang w:val="it-IT"/>
        </w:rPr>
        <w:t>.</w:t>
      </w:r>
    </w:p>
    <w:p w14:paraId="51031436" w14:textId="1388CCA6" w:rsidR="00F551BF" w:rsidRPr="00010AD1" w:rsidRDefault="002F0CC1" w:rsidP="002F0CC1">
      <w:pPr>
        <w:pStyle w:val="NormalWeb"/>
        <w:spacing w:line="276" w:lineRule="auto"/>
        <w:jc w:val="both"/>
        <w:rPr>
          <w:color w:val="000000" w:themeColor="text1"/>
          <w:lang w:val="it-IT"/>
        </w:rPr>
      </w:pPr>
      <w:r w:rsidRPr="00010AD1">
        <w:rPr>
          <w:b/>
          <w:color w:val="000000" w:themeColor="text1"/>
          <w:lang w:val="it-IT"/>
        </w:rPr>
        <w:t xml:space="preserve">Qeveria </w:t>
      </w:r>
      <w:r w:rsidRPr="0045310C">
        <w:rPr>
          <w:rFonts w:eastAsia="MS Mincho"/>
          <w:b/>
          <w:lang w:val="it-IT" w:eastAsia="en-GB"/>
        </w:rPr>
        <w:t>dhe institucionet publike</w:t>
      </w:r>
      <w:r w:rsidRPr="00010AD1">
        <w:rPr>
          <w:b/>
          <w:color w:val="000000" w:themeColor="text1"/>
          <w:lang w:val="it-IT"/>
        </w:rPr>
        <w:t xml:space="preserve"> - </w:t>
      </w:r>
      <w:r w:rsidRPr="00010AD1">
        <w:rPr>
          <w:color w:val="000000" w:themeColor="text1"/>
          <w:lang w:val="it-IT"/>
        </w:rPr>
        <w:t>I</w:t>
      </w:r>
      <w:r w:rsidRPr="00010AD1">
        <w:rPr>
          <w:color w:val="000000" w:themeColor="text1"/>
          <w:lang w:val="sq-AL"/>
        </w:rPr>
        <w:t>nstitucionet shtetërore përgjegjëse për hartimin, zbatimin dhe monitorimin e politikës së ndihmës juridike falas, si Drejtoria e Ndihmës Juridike Falas dhe Ministria e Drejtësisë,</w:t>
      </w:r>
      <w:r w:rsidRPr="0045310C">
        <w:rPr>
          <w:lang w:val="it-IT"/>
        </w:rPr>
        <w:t xml:space="preserve"> preken nga ky problem pasi vakumi ligjor prek fushën e veprimtarisë së tyre dhe cenon përmbushjen e detyrimeve për përafrim me </w:t>
      </w:r>
      <w:r w:rsidRPr="00A341D1">
        <w:rPr>
          <w:i/>
          <w:lang w:val="it-IT"/>
        </w:rPr>
        <w:t>acquis</w:t>
      </w:r>
      <w:r w:rsidRPr="0045310C">
        <w:rPr>
          <w:lang w:val="it-IT"/>
        </w:rPr>
        <w:t xml:space="preserve"> e Bashkimit Evropian.</w:t>
      </w:r>
      <w:r w:rsidRPr="00010AD1">
        <w:rPr>
          <w:color w:val="000000" w:themeColor="text1"/>
          <w:lang w:val="sq-AL"/>
        </w:rPr>
        <w:t xml:space="preserve"> </w:t>
      </w:r>
    </w:p>
    <w:p w14:paraId="7E2B3B13" w14:textId="3313F5E7" w:rsidR="00F551BF" w:rsidRPr="00010AD1" w:rsidRDefault="00F551BF" w:rsidP="00F551BF">
      <w:pPr>
        <w:pStyle w:val="NormalWeb"/>
        <w:spacing w:line="276" w:lineRule="auto"/>
        <w:rPr>
          <w:color w:val="000000" w:themeColor="text1"/>
          <w:lang w:val="sq-AL"/>
        </w:rPr>
      </w:pPr>
      <w:r w:rsidRPr="00010AD1">
        <w:rPr>
          <w:b/>
          <w:bCs/>
          <w:color w:val="000000" w:themeColor="text1"/>
          <w:lang w:val="sq-AL"/>
        </w:rPr>
        <w:t>Avokatët</w:t>
      </w:r>
      <w:r w:rsidRPr="00010AD1">
        <w:rPr>
          <w:b/>
          <w:color w:val="000000" w:themeColor="text1"/>
          <w:lang w:val="sq-AL"/>
        </w:rPr>
        <w:t>:</w:t>
      </w:r>
      <w:r w:rsidRPr="00010AD1">
        <w:rPr>
          <w:color w:val="000000" w:themeColor="text1"/>
          <w:lang w:val="sq-AL"/>
        </w:rPr>
        <w:t xml:space="preserve"> </w:t>
      </w:r>
      <w:r w:rsidR="002F0CC1" w:rsidRPr="0045310C">
        <w:rPr>
          <w:lang w:val="it-IT"/>
        </w:rPr>
        <w:t>Avokatët që ofrojnë ndihmë juridike dytësore preken nga mungesa e trajnimit të specializuar dhe fragmentarizimi i përfaqësimit juridik ndër fazat e ndryshme procedurale, çka ul cilësinë e shërbimit të ofruar.</w:t>
      </w:r>
    </w:p>
    <w:p w14:paraId="2832FE69" w14:textId="379CB8FD" w:rsidR="00AE14C6" w:rsidRDefault="00010AD1" w:rsidP="00AE14C6">
      <w:pPr>
        <w:spacing w:after="160" w:line="259" w:lineRule="auto"/>
        <w:jc w:val="both"/>
      </w:pPr>
      <w:r w:rsidRPr="002A5FF4">
        <w:rPr>
          <w:b/>
          <w:bCs/>
          <w:szCs w:val="24"/>
        </w:rPr>
        <w:t xml:space="preserve">Gjykatat dhe shërbimi përmbarimor: </w:t>
      </w:r>
      <w:r w:rsidR="00AE14C6" w:rsidRPr="00AE14C6">
        <w:t>Mangësitë e kuadrit ligjor ekzistues ndikojnë drejtpërdrejt në efektivitetin e proceseve gjyqësore dhe përmbarimore. Barra financiare që u imponohet përfituesve të ndihmës juridike falas në fazën e ekzekutimit të vendimeve</w:t>
      </w:r>
      <w:r w:rsidR="00AE14C6">
        <w:t>, duke përfshirë</w:t>
      </w:r>
      <w:r w:rsidR="00AE14C6" w:rsidRPr="00AE14C6">
        <w:t xml:space="preserve"> shpenzimet kadastrale, noteriale, përmbarimore dhe tarifat e ekspertëve kur prania e tyre është e detyrueshme sipas legjislacionit procedural</w:t>
      </w:r>
      <w:r w:rsidR="00AE14C6">
        <w:t xml:space="preserve"> </w:t>
      </w:r>
      <w:r w:rsidR="00AE14C6" w:rsidRPr="00AE14C6">
        <w:t xml:space="preserve">sjell zvarritje procedurale dhe pamundësi në realizimin e plotë të vendimeve gjyqësore. Kjo situatë cenon thelbin e aksesit efektiv në drejtësi, pasi një vendim gjyqësor i pashfrytëzueshëm për shkak të barrëve financiare të ekzekutimit e bën të drejtën formale të fituar në gjykatë praktikisht të pavlefshme. </w:t>
      </w:r>
    </w:p>
    <w:p w14:paraId="5E45068D" w14:textId="7246FBB3" w:rsidR="00EE6A74" w:rsidRPr="00885A2B" w:rsidRDefault="00C067A1" w:rsidP="00AE14C6">
      <w:pPr>
        <w:spacing w:after="160" w:line="259" w:lineRule="auto"/>
        <w:jc w:val="both"/>
        <w:rPr>
          <w:color w:val="000000" w:themeColor="text1"/>
        </w:rPr>
      </w:pPr>
      <w:r w:rsidRPr="0045310C">
        <w:t>Problemi i identifikuar është i tillë që mund të trajtohet në mënyrë efektive vetëm përmes një ndryshimi të politikave, konkretisht përmes ndërhyrjes në kuadrin ligjor në fuqi. Kjo për faktin se mangësitë dhe boshllëqet e evidentuara kanë natyrë</w:t>
      </w:r>
      <w:r w:rsidR="00861155" w:rsidRPr="0045310C">
        <w:t xml:space="preserve"> </w:t>
      </w:r>
      <w:r w:rsidRPr="0045310C">
        <w:t>legjislative dhe burojnë drejtpërdrejt nga përmbajtja e ligjit nr. 111/2017 “Për ndihmën juridike të garantuar nga shteti”.</w:t>
      </w:r>
      <w:r w:rsidR="005A04C4">
        <w:rPr>
          <w:color w:val="000000" w:themeColor="text1"/>
        </w:rPr>
        <w:t xml:space="preserve"> </w:t>
      </w:r>
      <w:r w:rsidRPr="00C067A1">
        <w:rPr>
          <w:color w:val="000000" w:themeColor="text1"/>
        </w:rPr>
        <w:t>Alternativa</w:t>
      </w:r>
      <w:r w:rsidR="00ED352C">
        <w:rPr>
          <w:color w:val="000000" w:themeColor="text1"/>
        </w:rPr>
        <w:t xml:space="preserve"> e </w:t>
      </w:r>
      <w:r w:rsidRPr="00C067A1">
        <w:rPr>
          <w:color w:val="000000" w:themeColor="text1"/>
        </w:rPr>
        <w:t>ruajtj</w:t>
      </w:r>
      <w:r w:rsidR="00ED352C">
        <w:rPr>
          <w:color w:val="000000" w:themeColor="text1"/>
        </w:rPr>
        <w:t xml:space="preserve">es së </w:t>
      </w:r>
      <w:r w:rsidRPr="00C067A1">
        <w:rPr>
          <w:color w:val="000000" w:themeColor="text1"/>
        </w:rPr>
        <w:t>status quo-së</w:t>
      </w:r>
      <w:r w:rsidR="00ED352C">
        <w:rPr>
          <w:color w:val="000000" w:themeColor="text1"/>
        </w:rPr>
        <w:t xml:space="preserve"> </w:t>
      </w:r>
      <w:r w:rsidRPr="00C067A1">
        <w:rPr>
          <w:color w:val="000000" w:themeColor="text1"/>
        </w:rPr>
        <w:t>nuk adreson</w:t>
      </w:r>
      <w:r w:rsidR="00ED352C">
        <w:rPr>
          <w:color w:val="000000" w:themeColor="text1"/>
        </w:rPr>
        <w:t xml:space="preserve"> </w:t>
      </w:r>
      <w:r w:rsidR="00FE7BCE">
        <w:rPr>
          <w:color w:val="000000" w:themeColor="text1"/>
        </w:rPr>
        <w:t>shkaqet</w:t>
      </w:r>
      <w:r w:rsidRPr="00C067A1">
        <w:rPr>
          <w:color w:val="000000" w:themeColor="text1"/>
        </w:rPr>
        <w:t xml:space="preserve"> </w:t>
      </w:r>
      <w:r w:rsidR="00FE7BCE">
        <w:rPr>
          <w:color w:val="000000" w:themeColor="text1"/>
        </w:rPr>
        <w:t>e</w:t>
      </w:r>
      <w:r w:rsidRPr="00C067A1">
        <w:rPr>
          <w:color w:val="000000" w:themeColor="text1"/>
        </w:rPr>
        <w:t xml:space="preserve"> problemit</w:t>
      </w:r>
      <w:r w:rsidR="00ED352C">
        <w:rPr>
          <w:color w:val="000000" w:themeColor="text1"/>
        </w:rPr>
        <w:t xml:space="preserve"> dhe </w:t>
      </w:r>
      <w:r w:rsidRPr="00C067A1">
        <w:rPr>
          <w:color w:val="000000" w:themeColor="text1"/>
        </w:rPr>
        <w:t>mosndërhyrja do të sillte kosto më të larta sociale, përfshirë rrezikun e cenimit të të drejtave themelore dhe të mosrealizimit të detyrimeve ndërkombëtare të shtetit.</w:t>
      </w:r>
      <w:r w:rsidR="00FE7BCE">
        <w:rPr>
          <w:color w:val="000000" w:themeColor="text1"/>
        </w:rPr>
        <w:t xml:space="preserve"> </w:t>
      </w:r>
      <w:r w:rsidRPr="00C067A1">
        <w:rPr>
          <w:color w:val="000000" w:themeColor="text1"/>
        </w:rPr>
        <w:t>Në përfundim, duke marrë në konsideratë natyrën legjislative të problemit, shkaqet e tij</w:t>
      </w:r>
      <w:r w:rsidR="00FE7BCE">
        <w:rPr>
          <w:color w:val="000000" w:themeColor="text1"/>
        </w:rPr>
        <w:t xml:space="preserve"> </w:t>
      </w:r>
      <w:r w:rsidRPr="00C067A1">
        <w:rPr>
          <w:color w:val="000000" w:themeColor="text1"/>
        </w:rPr>
        <w:t xml:space="preserve">dhe nevojën për harmonizim me </w:t>
      </w:r>
      <w:r w:rsidRPr="00C067A1">
        <w:rPr>
          <w:i/>
          <w:iCs/>
          <w:color w:val="000000" w:themeColor="text1"/>
        </w:rPr>
        <w:t>acquis</w:t>
      </w:r>
      <w:r w:rsidRPr="00C067A1">
        <w:rPr>
          <w:color w:val="000000" w:themeColor="text1"/>
        </w:rPr>
        <w:t xml:space="preserve"> të Bashkimit Evropian, konstatohet se problemi</w:t>
      </w:r>
      <w:r w:rsidR="00FE7BCE">
        <w:rPr>
          <w:color w:val="000000" w:themeColor="text1"/>
        </w:rPr>
        <w:t xml:space="preserve"> </w:t>
      </w:r>
      <w:r w:rsidRPr="00C067A1">
        <w:rPr>
          <w:color w:val="000000" w:themeColor="text1"/>
        </w:rPr>
        <w:t xml:space="preserve">kërkon domosdoshmërisht ndryshim të politikave publike përmes ndërhyrjes ligjore. Një ndërhyrje e tillë konsiderohet e nevojshme, e përshtatshme dhe proporcionale për të garantuar funksionimin efektiv të </w:t>
      </w:r>
      <w:r w:rsidR="00861155">
        <w:rPr>
          <w:color w:val="000000" w:themeColor="text1"/>
        </w:rPr>
        <w:t>ofrimit t</w:t>
      </w:r>
      <w:r w:rsidRPr="00C067A1">
        <w:rPr>
          <w:color w:val="000000" w:themeColor="text1"/>
        </w:rPr>
        <w:t>ë ndihmës juridike dhe për të siguruar akses real dhe të barabartë në drejtësi.</w:t>
      </w:r>
    </w:p>
    <w:p w14:paraId="3B35E27A" w14:textId="1D3E2C0D" w:rsidR="00563378" w:rsidRPr="00563378" w:rsidRDefault="002125B7" w:rsidP="00563378">
      <w:pPr>
        <w:pStyle w:val="Heading1"/>
        <w:spacing w:line="276" w:lineRule="auto"/>
        <w:rPr>
          <w:rFonts w:ascii="Times New Roman" w:hAnsi="Times New Roman" w:cs="Times New Roman"/>
          <w:sz w:val="24"/>
          <w:szCs w:val="24"/>
        </w:rPr>
      </w:pPr>
      <w:r w:rsidRPr="00325A1F">
        <w:rPr>
          <w:rFonts w:ascii="Times New Roman" w:hAnsi="Times New Roman" w:cs="Times New Roman"/>
          <w:sz w:val="24"/>
          <w:szCs w:val="24"/>
        </w:rPr>
        <w:t xml:space="preserve">Arsyeja e ndërhyrjes </w:t>
      </w:r>
      <w:bookmarkEnd w:id="11"/>
    </w:p>
    <w:p w14:paraId="34CBFEE4" w14:textId="52C50C59" w:rsidR="00372979" w:rsidRPr="00372979" w:rsidRDefault="00372979" w:rsidP="0075002E">
      <w:pPr>
        <w:pStyle w:val="ListParagraph"/>
        <w:numPr>
          <w:ilvl w:val="0"/>
          <w:numId w:val="42"/>
        </w:numPr>
        <w:spacing w:after="0" w:line="276" w:lineRule="auto"/>
        <w:jc w:val="both"/>
        <w:rPr>
          <w:rFonts w:ascii="Times New Roman" w:eastAsiaTheme="majorEastAsia" w:hAnsi="Times New Roman"/>
          <w:i/>
          <w:sz w:val="24"/>
          <w:szCs w:val="24"/>
        </w:rPr>
      </w:pPr>
      <w:r w:rsidRPr="00372979">
        <w:rPr>
          <w:rFonts w:ascii="Times New Roman" w:eastAsiaTheme="majorEastAsia" w:hAnsi="Times New Roman"/>
          <w:i/>
          <w:sz w:val="24"/>
          <w:szCs w:val="24"/>
        </w:rPr>
        <w:t>Shpjegoni pse qeveria e sheh të nevojshme të ndërhyjë.</w:t>
      </w:r>
    </w:p>
    <w:p w14:paraId="10FE35C4" w14:textId="77777777" w:rsidR="00372979" w:rsidRPr="00372979" w:rsidRDefault="00372979" w:rsidP="0075002E">
      <w:pPr>
        <w:pStyle w:val="ListParagraph"/>
        <w:numPr>
          <w:ilvl w:val="0"/>
          <w:numId w:val="42"/>
        </w:numPr>
        <w:spacing w:after="0" w:line="276" w:lineRule="auto"/>
        <w:jc w:val="both"/>
        <w:rPr>
          <w:rFonts w:ascii="Times New Roman" w:eastAsiaTheme="majorEastAsia" w:hAnsi="Times New Roman"/>
          <w:i/>
          <w:sz w:val="24"/>
          <w:szCs w:val="24"/>
        </w:rPr>
      </w:pPr>
      <w:r w:rsidRPr="00372979">
        <w:rPr>
          <w:rFonts w:ascii="Times New Roman" w:eastAsiaTheme="majorEastAsia" w:hAnsi="Times New Roman"/>
          <w:i/>
          <w:sz w:val="24"/>
          <w:szCs w:val="24"/>
        </w:rPr>
        <w:lastRenderedPageBreak/>
        <w:t>Shpjegoni se çfarë shpreson të trajtojë qeveria nëpërmjet kësaj ndërhyrjeje.</w:t>
      </w:r>
    </w:p>
    <w:p w14:paraId="036157E1" w14:textId="77777777" w:rsidR="00372979" w:rsidRPr="00372979" w:rsidRDefault="00372979" w:rsidP="0075002E">
      <w:pPr>
        <w:pStyle w:val="ListParagraph"/>
        <w:numPr>
          <w:ilvl w:val="0"/>
          <w:numId w:val="42"/>
        </w:numPr>
        <w:spacing w:after="0" w:line="276" w:lineRule="auto"/>
        <w:jc w:val="both"/>
        <w:rPr>
          <w:rFonts w:ascii="Times New Roman" w:eastAsiaTheme="majorEastAsia" w:hAnsi="Times New Roman"/>
          <w:i/>
          <w:sz w:val="24"/>
          <w:szCs w:val="24"/>
        </w:rPr>
      </w:pPr>
      <w:r w:rsidRPr="00372979">
        <w:rPr>
          <w:rFonts w:ascii="Times New Roman" w:eastAsiaTheme="majorEastAsia" w:hAnsi="Times New Roman"/>
          <w:i/>
          <w:sz w:val="24"/>
          <w:szCs w:val="24"/>
        </w:rPr>
        <w:t>Shpjegoni se si i mbështet kjo ndërhyrje objektivat e nivelit të lartë të qeverisë.</w:t>
      </w:r>
    </w:p>
    <w:p w14:paraId="796883EF" w14:textId="247C61EA" w:rsidR="009E64A4" w:rsidRPr="00372979" w:rsidRDefault="00372979" w:rsidP="0075002E">
      <w:pPr>
        <w:pStyle w:val="ListParagraph"/>
        <w:numPr>
          <w:ilvl w:val="0"/>
          <w:numId w:val="42"/>
        </w:numPr>
        <w:spacing w:after="0" w:line="276" w:lineRule="auto"/>
        <w:jc w:val="both"/>
        <w:rPr>
          <w:rFonts w:ascii="Times New Roman" w:eastAsiaTheme="majorEastAsia" w:hAnsi="Times New Roman"/>
          <w:i/>
          <w:sz w:val="24"/>
          <w:szCs w:val="24"/>
        </w:rPr>
      </w:pPr>
      <w:r w:rsidRPr="00372979">
        <w:rPr>
          <w:rFonts w:ascii="Times New Roman" w:eastAsiaTheme="majorEastAsia" w:hAnsi="Times New Roman"/>
          <w:i/>
          <w:sz w:val="24"/>
          <w:szCs w:val="24"/>
        </w:rPr>
        <w:t>Rendisni punën ekzistuese që është realizuar tashmë.</w:t>
      </w:r>
    </w:p>
    <w:p w14:paraId="16B28835" w14:textId="28AF80E5" w:rsidR="00083F35" w:rsidRPr="0045310C" w:rsidRDefault="00083F35" w:rsidP="00CD53DC">
      <w:pPr>
        <w:pStyle w:val="NormalWeb"/>
        <w:jc w:val="both"/>
        <w:rPr>
          <w:lang w:val="sq-AL"/>
        </w:rPr>
      </w:pPr>
      <w:bookmarkStart w:id="12" w:name="_Toc506919735"/>
      <w:r w:rsidRPr="0045310C">
        <w:rPr>
          <w:lang w:val="sq-AL"/>
        </w:rPr>
        <w:t xml:space="preserve">Ndërhyrja e qeverisë është e nevojshme për shkak </w:t>
      </w:r>
      <w:r w:rsidRPr="00083F35">
        <w:rPr>
          <w:lang w:val="sq-AL"/>
        </w:rPr>
        <w:t xml:space="preserve">se aksesi në drejtësi përbën një të drejtë themelore kushtetuese, garantimi i së cilës është detyrim i drejtpërdrejtë i shtetit. Zbatimi praktik i ligjit </w:t>
      </w:r>
      <w:r>
        <w:rPr>
          <w:lang w:val="sq-AL"/>
        </w:rPr>
        <w:t>n</w:t>
      </w:r>
      <w:r w:rsidRPr="00083F35">
        <w:rPr>
          <w:lang w:val="sq-AL"/>
        </w:rPr>
        <w:t>r. 111/2017 ka dëshmuar se kuadri ligjor ekzistues nuk arrin të sigurojë mbrojtje reale për grupet më vulnerabël të shoqërisë, duke krijuar një hendek të qartë midis të drejtës formale dhe aksesit efektiv në drejtësi. Ky hendek manifestohet në disa dimensione të ndërlidhura</w:t>
      </w:r>
      <w:r>
        <w:rPr>
          <w:lang w:val="sq-AL"/>
        </w:rPr>
        <w:t xml:space="preserve">, ku disa </w:t>
      </w:r>
      <w:r w:rsidRPr="00083F35">
        <w:rPr>
          <w:lang w:val="sq-AL"/>
        </w:rPr>
        <w:t>kategori individësh mbeten jashtë mbulimit ligjor</w:t>
      </w:r>
      <w:r>
        <w:rPr>
          <w:lang w:val="sq-AL"/>
        </w:rPr>
        <w:t>,</w:t>
      </w:r>
      <w:r w:rsidRPr="00083F35">
        <w:rPr>
          <w:lang w:val="sq-AL"/>
        </w:rPr>
        <w:t xml:space="preserve"> procedurat ekzistuese janë të papërshtatshme për situata urgjente</w:t>
      </w:r>
      <w:r>
        <w:rPr>
          <w:lang w:val="sq-AL"/>
        </w:rPr>
        <w:t xml:space="preserve"> dhe </w:t>
      </w:r>
      <w:r w:rsidRPr="00083F35">
        <w:rPr>
          <w:lang w:val="sq-AL"/>
        </w:rPr>
        <w:t>barra financiare e shpenzimeve kadastrale, noteriale, përmbarimore dhe e tarifave të ekspertëve gjatë fazës së ekzekutimit e bën të drejtën e fituar në gjykatë praktikisht të pavlefshme</w:t>
      </w:r>
      <w:r>
        <w:rPr>
          <w:lang w:val="sq-AL"/>
        </w:rPr>
        <w:t xml:space="preserve">. </w:t>
      </w:r>
      <w:r w:rsidRPr="00083F35">
        <w:rPr>
          <w:lang w:val="sq-AL"/>
        </w:rPr>
        <w:t>Për më tepër, detyrimet që rrjedhin nga procesi i integrimit evropian dhe nevoja për transpozimin e direktivave të BE-së e bëjnë ndërhyrjen legjislative</w:t>
      </w:r>
      <w:r>
        <w:rPr>
          <w:lang w:val="sq-AL"/>
        </w:rPr>
        <w:t xml:space="preserve"> të domosdoshme.</w:t>
      </w:r>
    </w:p>
    <w:p w14:paraId="6E6E8351" w14:textId="6062DEEA" w:rsidR="00083F35" w:rsidRPr="00083F35" w:rsidRDefault="00083F35" w:rsidP="00083F35">
      <w:pPr>
        <w:pStyle w:val="font-claude-response-body"/>
        <w:jc w:val="both"/>
      </w:pPr>
      <w:r>
        <w:t>Nëpërmjet kësaj ndërhyrjeje, qeveria synon të trajtojë katër dimensione kryesore të problemit. Dimensioni i parë është zgjerimi i mbrojtjes juridike duke përfshirë kategoritë e reja përfituese të tilla si: viktimat e terrorizmit, sinjalizuesit, personat me aftësi të kufizuara dhe komunitetin rom e egjiptian dhe duke siguruar vijueshmëri të përfaqësimit nga i njëjti avokat në të gjitha fazat procedurale. Dimensioni i dytë është eliminimi i barrëve financiare që pengojnë aksesin efektiv në drejtësi, veçanërisht në fazën e ekzekutimit të vendimeve gjyqësore, duke mbuluar shpenzimet kadastrale, noteriale, përmbarimore dhe tarifat e ekspertëve kur prania e tyre është e detyrueshme sipas legjislacionit procedural. Dimensioni i tretë është modernizimi i sistemit të ofrimit të ndihmës juridike nëpërmjet krijimit të procedurave të përshpejtuara për rastet emergjente dhe specializimit të avokatëve për kategori të veçanta çështjesh, duke garantuar mbrojtje të menjëhershme dhe cilësore për grupet vulnerabël. Dimensioni i katërt është forcimi i koordinimit ndërinstitucional nëpërmjet përfshirjes së njësive të vetëqeverisjes vendore dhe rritjes së rolit të DNJF-së, duke e kthyer ndihmën juridike nga një e drejtë formale në një shërbim real dhe të aksesueshëm për të gjithë.</w:t>
      </w:r>
    </w:p>
    <w:p w14:paraId="242D6A7C" w14:textId="64F4137E" w:rsidR="0096120E" w:rsidRDefault="0096120E" w:rsidP="0096120E">
      <w:pPr>
        <w:pStyle w:val="NormalWeb"/>
        <w:shd w:val="clear" w:color="auto" w:fill="FFFFFF"/>
        <w:spacing w:line="276" w:lineRule="auto"/>
        <w:jc w:val="both"/>
        <w:textAlignment w:val="baseline"/>
        <w:rPr>
          <w:rFonts w:eastAsia="Calibri"/>
          <w:color w:val="000000"/>
          <w:lang w:val="sq-AL" w:eastAsia="en-GB"/>
        </w:rPr>
      </w:pPr>
      <w:r w:rsidRPr="0096120E">
        <w:rPr>
          <w:rFonts w:eastAsia="Calibri"/>
          <w:color w:val="000000"/>
          <w:lang w:val="sq-AL" w:eastAsia="en-GB"/>
        </w:rPr>
        <w:t xml:space="preserve">Kjo ndërhyrje mbështet drejtpërdrejt objektivat e nivelit të lartë të qeverisë për forcimin e shtetit të së drejtës, garantimin e të drejtave themelore të njeriut dhe përmirësimin e aksesit në drejtësi për të gjithë qytetarët, veçanërisht për grupet në nevojë dhe kategoritë vulnerabël. Gjithashtu, ndërhyrja kontribuon në përmbushjen e angazhimeve të procesit të integrimit evropian, duke përmirësuar përputhshmërinë e legjislacionit kombëtar me </w:t>
      </w:r>
      <w:r w:rsidRPr="00A341D1">
        <w:rPr>
          <w:rFonts w:eastAsia="Calibri"/>
          <w:i/>
          <w:color w:val="000000"/>
          <w:lang w:val="sq-AL" w:eastAsia="en-GB"/>
        </w:rPr>
        <w:t>acquis</w:t>
      </w:r>
      <w:r w:rsidRPr="0096120E">
        <w:rPr>
          <w:rFonts w:eastAsia="Calibri"/>
          <w:color w:val="000000"/>
          <w:lang w:val="sq-AL" w:eastAsia="en-GB"/>
        </w:rPr>
        <w:t xml:space="preserve"> të Bashkimit Evropian dhe duke mbështetur zbatimin </w:t>
      </w:r>
      <w:r w:rsidR="003669AB">
        <w:rPr>
          <w:rFonts w:eastAsia="Calibri"/>
          <w:color w:val="000000"/>
          <w:lang w:val="sq-AL" w:eastAsia="en-GB"/>
        </w:rPr>
        <w:t xml:space="preserve"> </w:t>
      </w:r>
      <w:r w:rsidRPr="0096120E">
        <w:rPr>
          <w:rFonts w:eastAsia="Calibri"/>
          <w:color w:val="000000"/>
          <w:lang w:val="sq-AL" w:eastAsia="en-GB"/>
        </w:rPr>
        <w:t>strategjive kombëtare përkatëse. Në këtë mënyrë, projektligji ndihmon në rritjen e besimit të publikut në sistemin e drejtësisë dhe në institucionet shtetërore.</w:t>
      </w:r>
    </w:p>
    <w:p w14:paraId="15383391" w14:textId="5FB7180A" w:rsidR="00083F35" w:rsidRPr="0096120E" w:rsidRDefault="00083F35" w:rsidP="0096120E">
      <w:pPr>
        <w:pStyle w:val="NormalWeb"/>
        <w:shd w:val="clear" w:color="auto" w:fill="FFFFFF"/>
        <w:spacing w:line="276" w:lineRule="auto"/>
        <w:jc w:val="both"/>
        <w:textAlignment w:val="baseline"/>
        <w:rPr>
          <w:rFonts w:eastAsia="Calibri"/>
          <w:color w:val="000000"/>
          <w:lang w:val="sq-AL" w:eastAsia="en-GB"/>
        </w:rPr>
      </w:pPr>
      <w:r w:rsidRPr="00083F35">
        <w:rPr>
          <w:lang w:val="sq-AL"/>
        </w:rPr>
        <w:t>Ndërhyrja është në përputhje të plotë me objektivat strategjike të qeverisë</w:t>
      </w:r>
      <w:r>
        <w:rPr>
          <w:lang w:val="sq-AL"/>
        </w:rPr>
        <w:t xml:space="preserve"> me qëllim </w:t>
      </w:r>
      <w:r w:rsidRPr="0096120E">
        <w:rPr>
          <w:rFonts w:eastAsia="Calibri"/>
          <w:color w:val="000000"/>
          <w:lang w:val="sq-AL" w:eastAsia="en-GB"/>
        </w:rPr>
        <w:t xml:space="preserve">forcimin e shtetit të së drejtës, garantimin e të drejtave themelore të njeriut dhe përmirësimin e aksesit në drejtësi për të gjithë qytetarët, veçanërisht për grupet në nevojë dhe kategoritë </w:t>
      </w:r>
      <w:r>
        <w:rPr>
          <w:rFonts w:eastAsia="Calibri"/>
          <w:color w:val="000000"/>
          <w:lang w:val="sq-AL" w:eastAsia="en-GB"/>
        </w:rPr>
        <w:t xml:space="preserve">vulnerabël. </w:t>
      </w:r>
      <w:r w:rsidRPr="00083F35">
        <w:rPr>
          <w:lang w:val="sq-AL"/>
        </w:rPr>
        <w:t>Së pari, projektligji është i parashikuar shprehimisht në Programin e Përgjithshëm Analitik të Projektakteve për vitin 2026, miratuar me vendimin nr. 812, datë 30.12.2025 të Këshillit të Ministrave, duke përbërë kështu një detyrim të programuar qeveritar. Së dyti, ndërhyrja mbështet drejtpërdrejt objektivat e Strategjisë Ndërsektoriale të Drejtësisë 2024-2030, miratuar me vendimin nr. 787, datë 18.12.2024</w:t>
      </w:r>
      <w:r>
        <w:rPr>
          <w:lang w:val="sq-AL"/>
        </w:rPr>
        <w:t xml:space="preserve">, të </w:t>
      </w:r>
      <w:r w:rsidRPr="00083F35">
        <w:rPr>
          <w:lang w:val="sq-AL"/>
        </w:rPr>
        <w:t>Këshillit të Ministrave. Së treti, projektligji është në përputhje të plotë me Planin Kombëtar për Integrimin Evropian 2024-2026, miratuar me vendimin nr. 16, datë 11.1.2024, Këshillit të Ministrave</w:t>
      </w:r>
      <w:r>
        <w:rPr>
          <w:lang w:val="sq-AL"/>
        </w:rPr>
        <w:t xml:space="preserve">, </w:t>
      </w:r>
      <w:r w:rsidRPr="00083F35">
        <w:rPr>
          <w:lang w:val="sq-AL"/>
        </w:rPr>
        <w:t xml:space="preserve">sipas të cilit ky projektligj është i përfshirë ndër aktet për përafrimin me </w:t>
      </w:r>
      <w:r w:rsidRPr="00A457BB">
        <w:rPr>
          <w:i/>
          <w:lang w:val="sq-AL"/>
        </w:rPr>
        <w:t>acquis</w:t>
      </w:r>
      <w:r w:rsidRPr="00083F35">
        <w:rPr>
          <w:lang w:val="sq-AL"/>
        </w:rPr>
        <w:t xml:space="preserve"> të BE-së në grup-kapitullin 1 </w:t>
      </w:r>
      <w:r w:rsidR="00F8273F">
        <w:rPr>
          <w:lang w:val="sq-AL"/>
        </w:rPr>
        <w:t>“</w:t>
      </w:r>
      <w:r w:rsidRPr="00083F35">
        <w:rPr>
          <w:lang w:val="sq-AL"/>
        </w:rPr>
        <w:t>Themelorët</w:t>
      </w:r>
      <w:r w:rsidR="00F8273F">
        <w:rPr>
          <w:lang w:val="sq-AL"/>
        </w:rPr>
        <w:t>”</w:t>
      </w:r>
      <w:r w:rsidRPr="00083F35">
        <w:rPr>
          <w:lang w:val="sq-AL"/>
        </w:rPr>
        <w:t>, duke kontribuar konkretisht në transpozimin e Direktivave 2012/29</w:t>
      </w:r>
      <w:r w:rsidR="00F8273F">
        <w:rPr>
          <w:lang w:val="sq-AL"/>
        </w:rPr>
        <w:t>/BE</w:t>
      </w:r>
      <w:r w:rsidRPr="00083F35">
        <w:rPr>
          <w:lang w:val="sq-AL"/>
        </w:rPr>
        <w:t>, 2017/541</w:t>
      </w:r>
      <w:r w:rsidR="00F8273F">
        <w:rPr>
          <w:lang w:val="sq-AL"/>
        </w:rPr>
        <w:t>/BE</w:t>
      </w:r>
      <w:r w:rsidRPr="00083F35">
        <w:rPr>
          <w:lang w:val="sq-AL"/>
        </w:rPr>
        <w:t xml:space="preserve"> dhe 2019/1937</w:t>
      </w:r>
      <w:r w:rsidR="00F8273F">
        <w:rPr>
          <w:lang w:val="sq-AL"/>
        </w:rPr>
        <w:t>/BE, 2016/1919/BE.</w:t>
      </w:r>
    </w:p>
    <w:p w14:paraId="36824EAA" w14:textId="72FAF0A5" w:rsidR="00CD53DC" w:rsidRPr="00F8273F" w:rsidRDefault="0096120E" w:rsidP="0096120E">
      <w:pPr>
        <w:pStyle w:val="NormalWeb"/>
        <w:shd w:val="clear" w:color="auto" w:fill="FFFFFF"/>
        <w:spacing w:before="0" w:beforeAutospacing="0" w:after="0" w:afterAutospacing="0" w:line="276" w:lineRule="auto"/>
        <w:jc w:val="both"/>
        <w:textAlignment w:val="baseline"/>
        <w:rPr>
          <w:rFonts w:eastAsia="Calibri"/>
          <w:color w:val="000000"/>
          <w:lang w:val="sq-AL" w:eastAsia="en-GB"/>
        </w:rPr>
      </w:pPr>
      <w:r w:rsidRPr="0096120E">
        <w:rPr>
          <w:rFonts w:eastAsia="Calibri"/>
          <w:color w:val="000000"/>
          <w:lang w:val="sq-AL" w:eastAsia="en-GB"/>
        </w:rPr>
        <w:t>Në kuadër të këtij procesi</w:t>
      </w:r>
      <w:r w:rsidR="008F09AF">
        <w:rPr>
          <w:rFonts w:eastAsia="Calibri"/>
          <w:color w:val="000000"/>
          <w:lang w:val="sq-AL" w:eastAsia="en-GB"/>
        </w:rPr>
        <w:t xml:space="preserve">, deri më tani </w:t>
      </w:r>
      <w:r w:rsidR="00321E39">
        <w:rPr>
          <w:rFonts w:eastAsia="Calibri"/>
          <w:color w:val="000000"/>
          <w:lang w:val="sq-AL" w:eastAsia="en-GB"/>
        </w:rPr>
        <w:t xml:space="preserve"> </w:t>
      </w:r>
      <w:r w:rsidRPr="0096120E">
        <w:rPr>
          <w:rFonts w:eastAsia="Calibri"/>
          <w:color w:val="000000"/>
          <w:lang w:val="sq-AL" w:eastAsia="en-GB"/>
        </w:rPr>
        <w:t>janë ndërmarrë një sërë veprimesh paraprake</w:t>
      </w:r>
      <w:r w:rsidR="00321E39">
        <w:rPr>
          <w:rFonts w:eastAsia="Calibri"/>
          <w:color w:val="000000"/>
          <w:lang w:val="sq-AL" w:eastAsia="en-GB"/>
        </w:rPr>
        <w:t xml:space="preserve"> me q</w:t>
      </w:r>
      <w:r w:rsidR="006C4B54">
        <w:rPr>
          <w:rFonts w:eastAsia="Calibri"/>
          <w:color w:val="000000"/>
          <w:lang w:val="sq-AL" w:eastAsia="en-GB"/>
        </w:rPr>
        <w:t>ë</w:t>
      </w:r>
      <w:r w:rsidR="00321E39">
        <w:rPr>
          <w:rFonts w:eastAsia="Calibri"/>
          <w:color w:val="000000"/>
          <w:lang w:val="sq-AL" w:eastAsia="en-GB"/>
        </w:rPr>
        <w:t>llim analizimin dhe vler</w:t>
      </w:r>
      <w:r w:rsidR="006C4B54">
        <w:rPr>
          <w:rFonts w:eastAsia="Calibri"/>
          <w:color w:val="000000"/>
          <w:lang w:val="sq-AL" w:eastAsia="en-GB"/>
        </w:rPr>
        <w:t>ë</w:t>
      </w:r>
      <w:r w:rsidR="00321E39">
        <w:rPr>
          <w:rFonts w:eastAsia="Calibri"/>
          <w:color w:val="000000"/>
          <w:lang w:val="sq-AL" w:eastAsia="en-GB"/>
        </w:rPr>
        <w:t>simin e nevoj</w:t>
      </w:r>
      <w:r w:rsidR="006C4B54">
        <w:rPr>
          <w:rFonts w:eastAsia="Calibri"/>
          <w:color w:val="000000"/>
          <w:lang w:val="sq-AL" w:eastAsia="en-GB"/>
        </w:rPr>
        <w:t>ë</w:t>
      </w:r>
      <w:r w:rsidR="00321E39">
        <w:rPr>
          <w:rFonts w:eastAsia="Calibri"/>
          <w:color w:val="000000"/>
          <w:lang w:val="sq-AL" w:eastAsia="en-GB"/>
        </w:rPr>
        <w:t>s s</w:t>
      </w:r>
      <w:r w:rsidR="006C4B54">
        <w:rPr>
          <w:rFonts w:eastAsia="Calibri"/>
          <w:color w:val="000000"/>
          <w:lang w:val="sq-AL" w:eastAsia="en-GB"/>
        </w:rPr>
        <w:t>ë</w:t>
      </w:r>
      <w:r w:rsidR="00321E39">
        <w:rPr>
          <w:rFonts w:eastAsia="Calibri"/>
          <w:color w:val="000000"/>
          <w:lang w:val="sq-AL" w:eastAsia="en-GB"/>
        </w:rPr>
        <w:t xml:space="preserve"> ndryshimit t</w:t>
      </w:r>
      <w:r w:rsidR="006C4B54">
        <w:rPr>
          <w:rFonts w:eastAsia="Calibri"/>
          <w:color w:val="000000"/>
          <w:lang w:val="sq-AL" w:eastAsia="en-GB"/>
        </w:rPr>
        <w:t>ë</w:t>
      </w:r>
      <w:r w:rsidR="00321E39">
        <w:rPr>
          <w:rFonts w:eastAsia="Calibri"/>
          <w:color w:val="000000"/>
          <w:lang w:val="sq-AL" w:eastAsia="en-GB"/>
        </w:rPr>
        <w:t xml:space="preserve"> ligjit nr. 111/2017 “P</w:t>
      </w:r>
      <w:r w:rsidR="006C4B54">
        <w:rPr>
          <w:rFonts w:eastAsia="Calibri"/>
          <w:color w:val="000000"/>
          <w:lang w:val="sq-AL" w:eastAsia="en-GB"/>
        </w:rPr>
        <w:t>ë</w:t>
      </w:r>
      <w:r w:rsidR="00321E39">
        <w:rPr>
          <w:rFonts w:eastAsia="Calibri"/>
          <w:color w:val="000000"/>
          <w:lang w:val="sq-AL" w:eastAsia="en-GB"/>
        </w:rPr>
        <w:t>r ndihm</w:t>
      </w:r>
      <w:r w:rsidR="006C4B54">
        <w:rPr>
          <w:rFonts w:eastAsia="Calibri"/>
          <w:color w:val="000000"/>
          <w:lang w:val="sq-AL" w:eastAsia="en-GB"/>
        </w:rPr>
        <w:t>ë</w:t>
      </w:r>
      <w:r w:rsidR="00321E39">
        <w:rPr>
          <w:rFonts w:eastAsia="Calibri"/>
          <w:color w:val="000000"/>
          <w:lang w:val="sq-AL" w:eastAsia="en-GB"/>
        </w:rPr>
        <w:t>n juridike t</w:t>
      </w:r>
      <w:r w:rsidR="006C4B54">
        <w:rPr>
          <w:rFonts w:eastAsia="Calibri"/>
          <w:color w:val="000000"/>
          <w:lang w:val="sq-AL" w:eastAsia="en-GB"/>
        </w:rPr>
        <w:t>ë</w:t>
      </w:r>
      <w:r w:rsidR="00321E39">
        <w:rPr>
          <w:rFonts w:eastAsia="Calibri"/>
          <w:color w:val="000000"/>
          <w:lang w:val="sq-AL" w:eastAsia="en-GB"/>
        </w:rPr>
        <w:t xml:space="preserve"> garantuar nga shteti”. </w:t>
      </w:r>
      <w:r w:rsidR="00321E39">
        <w:rPr>
          <w:rFonts w:eastAsia="Calibri"/>
          <w:color w:val="000000"/>
          <w:lang w:val="sq-AL" w:eastAsia="en-GB"/>
        </w:rPr>
        <w:lastRenderedPageBreak/>
        <w:t>Me urdhrin e Ministrit t</w:t>
      </w:r>
      <w:r w:rsidR="006C4B54">
        <w:rPr>
          <w:rFonts w:eastAsia="Calibri"/>
          <w:color w:val="000000"/>
          <w:lang w:val="sq-AL" w:eastAsia="en-GB"/>
        </w:rPr>
        <w:t>ë</w:t>
      </w:r>
      <w:r w:rsidR="00321E39">
        <w:rPr>
          <w:rFonts w:eastAsia="Calibri"/>
          <w:color w:val="000000"/>
          <w:lang w:val="sq-AL" w:eastAsia="en-GB"/>
        </w:rPr>
        <w:t xml:space="preserve"> Drejt</w:t>
      </w:r>
      <w:r w:rsidR="006C4B54">
        <w:rPr>
          <w:rFonts w:eastAsia="Calibri"/>
          <w:color w:val="000000"/>
          <w:lang w:val="sq-AL" w:eastAsia="en-GB"/>
        </w:rPr>
        <w:t>ë</w:t>
      </w:r>
      <w:r w:rsidR="00321E39">
        <w:rPr>
          <w:rFonts w:eastAsia="Calibri"/>
          <w:color w:val="000000"/>
          <w:lang w:val="sq-AL" w:eastAsia="en-GB"/>
        </w:rPr>
        <w:t>sis</w:t>
      </w:r>
      <w:r w:rsidR="006C4B54">
        <w:rPr>
          <w:rFonts w:eastAsia="Calibri"/>
          <w:color w:val="000000"/>
          <w:lang w:val="sq-AL" w:eastAsia="en-GB"/>
        </w:rPr>
        <w:t>ë</w:t>
      </w:r>
      <w:r w:rsidR="00321E39">
        <w:rPr>
          <w:rFonts w:eastAsia="Calibri"/>
          <w:color w:val="000000"/>
          <w:lang w:val="sq-AL" w:eastAsia="en-GB"/>
        </w:rPr>
        <w:t xml:space="preserve"> nr. 52, dat</w:t>
      </w:r>
      <w:r w:rsidR="006C4B54">
        <w:rPr>
          <w:rFonts w:eastAsia="Calibri"/>
          <w:color w:val="000000"/>
          <w:lang w:val="sq-AL" w:eastAsia="en-GB"/>
        </w:rPr>
        <w:t>ë</w:t>
      </w:r>
      <w:r w:rsidR="00321E39">
        <w:rPr>
          <w:rFonts w:eastAsia="Calibri"/>
          <w:color w:val="000000"/>
          <w:lang w:val="sq-AL" w:eastAsia="en-GB"/>
        </w:rPr>
        <w:t xml:space="preserve"> 29.04.2025</w:t>
      </w:r>
      <w:r w:rsidR="00CE2CA9">
        <w:rPr>
          <w:rFonts w:eastAsia="Calibri"/>
          <w:color w:val="000000"/>
          <w:lang w:val="sq-AL" w:eastAsia="en-GB"/>
        </w:rPr>
        <w:t xml:space="preserve">, </w:t>
      </w:r>
      <w:r w:rsidR="006C4B54">
        <w:rPr>
          <w:rFonts w:eastAsia="Calibri"/>
          <w:color w:val="000000"/>
          <w:lang w:val="sq-AL" w:eastAsia="en-GB"/>
        </w:rPr>
        <w:t>ë</w:t>
      </w:r>
      <w:r w:rsidR="00321E39">
        <w:rPr>
          <w:rFonts w:eastAsia="Calibri"/>
          <w:color w:val="000000"/>
          <w:lang w:val="sq-AL" w:eastAsia="en-GB"/>
        </w:rPr>
        <w:t>sht</w:t>
      </w:r>
      <w:r w:rsidR="006C4B54">
        <w:rPr>
          <w:rFonts w:eastAsia="Calibri"/>
          <w:color w:val="000000"/>
          <w:lang w:val="sq-AL" w:eastAsia="en-GB"/>
        </w:rPr>
        <w:t>ë</w:t>
      </w:r>
      <w:r w:rsidR="00321E39">
        <w:rPr>
          <w:rFonts w:eastAsia="Calibri"/>
          <w:color w:val="000000"/>
          <w:lang w:val="sq-AL" w:eastAsia="en-GB"/>
        </w:rPr>
        <w:t xml:space="preserve"> ngritur grupi i pun</w:t>
      </w:r>
      <w:r w:rsidR="006C4B54">
        <w:rPr>
          <w:rFonts w:eastAsia="Calibri"/>
          <w:color w:val="000000"/>
          <w:lang w:val="sq-AL" w:eastAsia="en-GB"/>
        </w:rPr>
        <w:t>ë</w:t>
      </w:r>
      <w:r w:rsidR="00321E39">
        <w:rPr>
          <w:rFonts w:eastAsia="Calibri"/>
          <w:color w:val="000000"/>
          <w:lang w:val="sq-AL" w:eastAsia="en-GB"/>
        </w:rPr>
        <w:t>s i cili</w:t>
      </w:r>
      <w:r w:rsidR="00CE2CA9">
        <w:rPr>
          <w:rFonts w:eastAsia="Calibri"/>
          <w:color w:val="000000"/>
          <w:lang w:val="sq-AL" w:eastAsia="en-GB"/>
        </w:rPr>
        <w:t xml:space="preserve"> ka vlerësuar</w:t>
      </w:r>
      <w:r w:rsidR="00321E39">
        <w:rPr>
          <w:rFonts w:eastAsia="Calibri"/>
          <w:color w:val="000000"/>
          <w:lang w:val="sq-AL" w:eastAsia="en-GB"/>
        </w:rPr>
        <w:t xml:space="preserve"> nevoj</w:t>
      </w:r>
      <w:r w:rsidR="006C4B54">
        <w:rPr>
          <w:rFonts w:eastAsia="Calibri"/>
          <w:color w:val="000000"/>
          <w:lang w:val="sq-AL" w:eastAsia="en-GB"/>
        </w:rPr>
        <w:t>ë</w:t>
      </w:r>
      <w:r w:rsidR="00321E39">
        <w:rPr>
          <w:rFonts w:eastAsia="Calibri"/>
          <w:color w:val="000000"/>
          <w:lang w:val="sq-AL" w:eastAsia="en-GB"/>
        </w:rPr>
        <w:t>n p</w:t>
      </w:r>
      <w:r w:rsidR="006C4B54">
        <w:rPr>
          <w:rFonts w:eastAsia="Calibri"/>
          <w:color w:val="000000"/>
          <w:lang w:val="sq-AL" w:eastAsia="en-GB"/>
        </w:rPr>
        <w:t>ë</w:t>
      </w:r>
      <w:r w:rsidR="00321E39">
        <w:rPr>
          <w:rFonts w:eastAsia="Calibri"/>
          <w:color w:val="000000"/>
          <w:lang w:val="sq-AL" w:eastAsia="en-GB"/>
        </w:rPr>
        <w:t>r ndryshim</w:t>
      </w:r>
      <w:r w:rsidR="006C4B54">
        <w:rPr>
          <w:rFonts w:eastAsia="Calibri"/>
          <w:color w:val="000000"/>
          <w:lang w:val="sq-AL" w:eastAsia="en-GB"/>
        </w:rPr>
        <w:t>,</w:t>
      </w:r>
      <w:r w:rsidR="00321E39">
        <w:rPr>
          <w:rFonts w:eastAsia="Calibri"/>
          <w:color w:val="000000"/>
          <w:lang w:val="sq-AL" w:eastAsia="en-GB"/>
        </w:rPr>
        <w:t xml:space="preserve"> n</w:t>
      </w:r>
      <w:r w:rsidR="006C4B54">
        <w:rPr>
          <w:rFonts w:eastAsia="Calibri"/>
          <w:color w:val="000000"/>
          <w:lang w:val="sq-AL" w:eastAsia="en-GB"/>
        </w:rPr>
        <w:t>ë</w:t>
      </w:r>
      <w:r w:rsidR="00321E39">
        <w:rPr>
          <w:rFonts w:eastAsia="Calibri"/>
          <w:color w:val="000000"/>
          <w:lang w:val="sq-AL" w:eastAsia="en-GB"/>
        </w:rPr>
        <w:t xml:space="preserve"> zbatim edhe t</w:t>
      </w:r>
      <w:r w:rsidR="006C4B54">
        <w:rPr>
          <w:rFonts w:eastAsia="Calibri"/>
          <w:color w:val="000000"/>
          <w:lang w:val="sq-AL" w:eastAsia="en-GB"/>
        </w:rPr>
        <w:t>ë</w:t>
      </w:r>
      <w:r w:rsidR="008F09AF">
        <w:rPr>
          <w:rFonts w:eastAsia="Calibri"/>
          <w:color w:val="000000"/>
          <w:lang w:val="sq-AL" w:eastAsia="en-GB"/>
        </w:rPr>
        <w:t xml:space="preserve"> rekomandimeve t</w:t>
      </w:r>
      <w:r w:rsidR="006C4B54">
        <w:rPr>
          <w:rFonts w:eastAsia="Calibri"/>
          <w:color w:val="000000"/>
          <w:lang w:val="sq-AL" w:eastAsia="en-GB"/>
        </w:rPr>
        <w:t>ë</w:t>
      </w:r>
      <w:r w:rsidR="008F09AF">
        <w:rPr>
          <w:rFonts w:eastAsia="Calibri"/>
          <w:color w:val="000000"/>
          <w:lang w:val="sq-AL" w:eastAsia="en-GB"/>
        </w:rPr>
        <w:t xml:space="preserve"> Kontrollit t</w:t>
      </w:r>
      <w:r w:rsidR="006C4B54">
        <w:rPr>
          <w:rFonts w:eastAsia="Calibri"/>
          <w:color w:val="000000"/>
          <w:lang w:val="sq-AL" w:eastAsia="en-GB"/>
        </w:rPr>
        <w:t>ë</w:t>
      </w:r>
      <w:r w:rsidR="008F09AF">
        <w:rPr>
          <w:rFonts w:eastAsia="Calibri"/>
          <w:color w:val="000000"/>
          <w:lang w:val="sq-AL" w:eastAsia="en-GB"/>
        </w:rPr>
        <w:t xml:space="preserve"> Lart</w:t>
      </w:r>
      <w:r w:rsidR="006C4B54">
        <w:rPr>
          <w:rFonts w:eastAsia="Calibri"/>
          <w:color w:val="000000"/>
          <w:lang w:val="sq-AL" w:eastAsia="en-GB"/>
        </w:rPr>
        <w:t>ë</w:t>
      </w:r>
      <w:r w:rsidR="008F09AF">
        <w:rPr>
          <w:rFonts w:eastAsia="Calibri"/>
          <w:color w:val="000000"/>
          <w:lang w:val="sq-AL" w:eastAsia="en-GB"/>
        </w:rPr>
        <w:t xml:space="preserve"> t</w:t>
      </w:r>
      <w:r w:rsidR="006C4B54">
        <w:rPr>
          <w:rFonts w:eastAsia="Calibri"/>
          <w:color w:val="000000"/>
          <w:lang w:val="sq-AL" w:eastAsia="en-GB"/>
        </w:rPr>
        <w:t>ë</w:t>
      </w:r>
      <w:r w:rsidR="008F09AF">
        <w:rPr>
          <w:rFonts w:eastAsia="Calibri"/>
          <w:color w:val="000000"/>
          <w:lang w:val="sq-AL" w:eastAsia="en-GB"/>
        </w:rPr>
        <w:t xml:space="preserve"> Shtetit.</w:t>
      </w:r>
      <w:r w:rsidR="00CE2CA9">
        <w:rPr>
          <w:rFonts w:eastAsia="Calibri"/>
          <w:color w:val="000000"/>
          <w:lang w:val="sq-AL" w:eastAsia="en-GB"/>
        </w:rPr>
        <w:t xml:space="preserve"> </w:t>
      </w:r>
      <w:r w:rsidR="006C4B54">
        <w:rPr>
          <w:rFonts w:eastAsia="Calibri"/>
          <w:color w:val="000000"/>
          <w:lang w:val="sq-AL" w:eastAsia="en-GB"/>
        </w:rPr>
        <w:t>J</w:t>
      </w:r>
      <w:r w:rsidR="008F09AF">
        <w:rPr>
          <w:rFonts w:eastAsia="Calibri"/>
          <w:color w:val="000000"/>
          <w:lang w:val="sq-AL" w:eastAsia="en-GB"/>
        </w:rPr>
        <w:t>an</w:t>
      </w:r>
      <w:r w:rsidR="006C4B54">
        <w:rPr>
          <w:rFonts w:eastAsia="Calibri"/>
          <w:color w:val="000000"/>
          <w:lang w:val="sq-AL" w:eastAsia="en-GB"/>
        </w:rPr>
        <w:t>ë</w:t>
      </w:r>
      <w:r w:rsidR="008F09AF">
        <w:rPr>
          <w:rFonts w:eastAsia="Calibri"/>
          <w:color w:val="000000"/>
          <w:lang w:val="sq-AL" w:eastAsia="en-GB"/>
        </w:rPr>
        <w:t xml:space="preserve"> p</w:t>
      </w:r>
      <w:r w:rsidR="006C4B54">
        <w:rPr>
          <w:rFonts w:eastAsia="Calibri"/>
          <w:color w:val="000000"/>
          <w:lang w:val="sq-AL" w:eastAsia="en-GB"/>
        </w:rPr>
        <w:t>ë</w:t>
      </w:r>
      <w:r w:rsidR="008F09AF">
        <w:rPr>
          <w:rFonts w:eastAsia="Calibri"/>
          <w:color w:val="000000"/>
          <w:lang w:val="sq-AL" w:eastAsia="en-GB"/>
        </w:rPr>
        <w:t>rgatitur tabelat e p</w:t>
      </w:r>
      <w:r w:rsidR="006C4B54">
        <w:rPr>
          <w:rFonts w:eastAsia="Calibri"/>
          <w:color w:val="000000"/>
          <w:lang w:val="sq-AL" w:eastAsia="en-GB"/>
        </w:rPr>
        <w:t>ë</w:t>
      </w:r>
      <w:r w:rsidR="008F09AF">
        <w:rPr>
          <w:rFonts w:eastAsia="Calibri"/>
          <w:color w:val="000000"/>
          <w:lang w:val="sq-AL" w:eastAsia="en-GB"/>
        </w:rPr>
        <w:t>rputhshm</w:t>
      </w:r>
      <w:r w:rsidR="006C4B54">
        <w:rPr>
          <w:rFonts w:eastAsia="Calibri"/>
          <w:color w:val="000000"/>
          <w:lang w:val="sq-AL" w:eastAsia="en-GB"/>
        </w:rPr>
        <w:t>ë</w:t>
      </w:r>
      <w:r w:rsidR="008F09AF">
        <w:rPr>
          <w:rFonts w:eastAsia="Calibri"/>
          <w:color w:val="000000"/>
          <w:lang w:val="sq-AL" w:eastAsia="en-GB"/>
        </w:rPr>
        <w:t>ris</w:t>
      </w:r>
      <w:r w:rsidR="006C4B54">
        <w:rPr>
          <w:rFonts w:eastAsia="Calibri"/>
          <w:color w:val="000000"/>
          <w:lang w:val="sq-AL" w:eastAsia="en-GB"/>
        </w:rPr>
        <w:t>ë</w:t>
      </w:r>
      <w:r w:rsidR="008F09AF">
        <w:rPr>
          <w:rFonts w:eastAsia="Calibri"/>
          <w:color w:val="000000"/>
          <w:lang w:val="sq-AL" w:eastAsia="en-GB"/>
        </w:rPr>
        <w:t xml:space="preserve"> dhe tabelat e vler</w:t>
      </w:r>
      <w:r w:rsidR="006C4B54">
        <w:rPr>
          <w:rFonts w:eastAsia="Calibri"/>
          <w:color w:val="000000"/>
          <w:lang w:val="sq-AL" w:eastAsia="en-GB"/>
        </w:rPr>
        <w:t>ë</w:t>
      </w:r>
      <w:r w:rsidR="008F09AF">
        <w:rPr>
          <w:rFonts w:eastAsia="Calibri"/>
          <w:color w:val="000000"/>
          <w:lang w:val="sq-AL" w:eastAsia="en-GB"/>
        </w:rPr>
        <w:t>simit t</w:t>
      </w:r>
      <w:r w:rsidR="006C4B54">
        <w:rPr>
          <w:rFonts w:eastAsia="Calibri"/>
          <w:color w:val="000000"/>
          <w:lang w:val="sq-AL" w:eastAsia="en-GB"/>
        </w:rPr>
        <w:t>ë</w:t>
      </w:r>
      <w:r w:rsidR="008F09AF">
        <w:rPr>
          <w:rFonts w:eastAsia="Calibri"/>
          <w:color w:val="000000"/>
          <w:lang w:val="sq-AL" w:eastAsia="en-GB"/>
        </w:rPr>
        <w:t xml:space="preserve"> boshlliqeve n</w:t>
      </w:r>
      <w:r w:rsidR="006C4B54">
        <w:rPr>
          <w:rFonts w:eastAsia="Calibri"/>
          <w:color w:val="000000"/>
          <w:lang w:val="sq-AL" w:eastAsia="en-GB"/>
        </w:rPr>
        <w:t>ë</w:t>
      </w:r>
      <w:r w:rsidR="008F09AF">
        <w:rPr>
          <w:rFonts w:eastAsia="Calibri"/>
          <w:color w:val="000000"/>
          <w:lang w:val="sq-AL" w:eastAsia="en-GB"/>
        </w:rPr>
        <w:t xml:space="preserve"> legjislacion me q</w:t>
      </w:r>
      <w:r w:rsidR="006C4B54">
        <w:rPr>
          <w:rFonts w:eastAsia="Calibri"/>
          <w:color w:val="000000"/>
          <w:lang w:val="sq-AL" w:eastAsia="en-GB"/>
        </w:rPr>
        <w:t>ë</w:t>
      </w:r>
      <w:r w:rsidR="008F09AF">
        <w:rPr>
          <w:rFonts w:eastAsia="Calibri"/>
          <w:color w:val="000000"/>
          <w:lang w:val="sq-AL" w:eastAsia="en-GB"/>
        </w:rPr>
        <w:t>llim</w:t>
      </w:r>
      <w:r w:rsidRPr="0096120E">
        <w:rPr>
          <w:rFonts w:eastAsia="Calibri"/>
          <w:color w:val="000000"/>
          <w:lang w:val="sq-AL" w:eastAsia="en-GB"/>
        </w:rPr>
        <w:t xml:space="preserve"> harmonizim</w:t>
      </w:r>
      <w:r w:rsidR="008F09AF">
        <w:rPr>
          <w:rFonts w:eastAsia="Calibri"/>
          <w:color w:val="000000"/>
          <w:lang w:val="sq-AL" w:eastAsia="en-GB"/>
        </w:rPr>
        <w:t>in</w:t>
      </w:r>
      <w:r w:rsidRPr="0096120E">
        <w:rPr>
          <w:rFonts w:eastAsia="Calibri"/>
          <w:color w:val="000000"/>
          <w:lang w:val="sq-AL" w:eastAsia="en-GB"/>
        </w:rPr>
        <w:t xml:space="preserve"> </w:t>
      </w:r>
      <w:r w:rsidR="00CE2CA9">
        <w:rPr>
          <w:rFonts w:eastAsia="Calibri"/>
          <w:color w:val="000000"/>
          <w:lang w:val="sq-AL" w:eastAsia="en-GB"/>
        </w:rPr>
        <w:t xml:space="preserve">e legjislacionit shqiptar </w:t>
      </w:r>
      <w:r w:rsidRPr="0096120E">
        <w:rPr>
          <w:rFonts w:eastAsia="Calibri"/>
          <w:color w:val="000000"/>
          <w:lang w:val="sq-AL" w:eastAsia="en-GB"/>
        </w:rPr>
        <w:t xml:space="preserve">me direktivat Bashkimit Evropian. Gjithashtu, janë marrë në konsideratë </w:t>
      </w:r>
      <w:r w:rsidR="008F09AF">
        <w:rPr>
          <w:rFonts w:eastAsia="Calibri"/>
          <w:color w:val="000000"/>
          <w:lang w:val="sq-AL" w:eastAsia="en-GB"/>
        </w:rPr>
        <w:t>propozimet e p</w:t>
      </w:r>
      <w:r w:rsidR="006C4B54">
        <w:rPr>
          <w:rFonts w:eastAsia="Calibri"/>
          <w:color w:val="000000"/>
          <w:lang w:val="sq-AL" w:eastAsia="en-GB"/>
        </w:rPr>
        <w:t>ë</w:t>
      </w:r>
      <w:r w:rsidR="008F09AF">
        <w:rPr>
          <w:rFonts w:eastAsia="Calibri"/>
          <w:color w:val="000000"/>
          <w:lang w:val="sq-AL" w:eastAsia="en-GB"/>
        </w:rPr>
        <w:t xml:space="preserve">rcjella nga </w:t>
      </w:r>
      <w:r w:rsidRPr="0096120E">
        <w:rPr>
          <w:rFonts w:eastAsia="Calibri"/>
          <w:color w:val="000000"/>
          <w:lang w:val="sq-AL" w:eastAsia="en-GB"/>
        </w:rPr>
        <w:t>Drejtori</w:t>
      </w:r>
      <w:r w:rsidR="00CE2CA9">
        <w:rPr>
          <w:rFonts w:eastAsia="Calibri"/>
          <w:color w:val="000000"/>
          <w:lang w:val="sq-AL" w:eastAsia="en-GB"/>
        </w:rPr>
        <w:t>a</w:t>
      </w:r>
      <w:r w:rsidRPr="0096120E">
        <w:rPr>
          <w:rFonts w:eastAsia="Calibri"/>
          <w:color w:val="000000"/>
          <w:lang w:val="sq-AL" w:eastAsia="en-GB"/>
        </w:rPr>
        <w:t xml:space="preserve"> e Ndihmës Juridike Falas</w:t>
      </w:r>
      <w:r w:rsidR="008F09AF">
        <w:rPr>
          <w:rFonts w:eastAsia="Calibri"/>
          <w:color w:val="000000"/>
          <w:lang w:val="sq-AL" w:eastAsia="en-GB"/>
        </w:rPr>
        <w:t xml:space="preserve">, si institucioni që zbaton </w:t>
      </w:r>
      <w:r w:rsidR="008F09AF" w:rsidRPr="008F09AF">
        <w:rPr>
          <w:rFonts w:eastAsia="Calibri"/>
          <w:color w:val="000000"/>
          <w:lang w:val="sq-AL" w:eastAsia="en-GB"/>
        </w:rPr>
        <w:t>politikën shtetërore në fushën e ndihmës juridike</w:t>
      </w:r>
      <w:r w:rsidR="00F8273F">
        <w:rPr>
          <w:rFonts w:eastAsia="Calibri"/>
          <w:color w:val="000000"/>
          <w:lang w:val="sq-AL" w:eastAsia="en-GB"/>
        </w:rPr>
        <w:t>,</w:t>
      </w:r>
      <w:r w:rsidR="00F8273F">
        <w:rPr>
          <w:sz w:val="28"/>
          <w:szCs w:val="28"/>
          <w:lang w:val="sq-AL"/>
        </w:rPr>
        <w:t xml:space="preserve"> </w:t>
      </w:r>
      <w:r w:rsidR="00F8273F" w:rsidRPr="00F8273F">
        <w:rPr>
          <w:lang w:val="sq-AL"/>
        </w:rPr>
        <w:t>e cila është asistuar nga UNDP.</w:t>
      </w:r>
    </w:p>
    <w:p w14:paraId="5BB153F5" w14:textId="77777777" w:rsidR="00CD53DC" w:rsidRDefault="00CD53DC" w:rsidP="00074463">
      <w:pPr>
        <w:pStyle w:val="NormalWeb"/>
        <w:shd w:val="clear" w:color="auto" w:fill="FFFFFF"/>
        <w:spacing w:before="0" w:beforeAutospacing="0" w:after="0" w:afterAutospacing="0" w:line="276" w:lineRule="auto"/>
        <w:jc w:val="both"/>
        <w:textAlignment w:val="baseline"/>
        <w:rPr>
          <w:rFonts w:eastAsia="Calibri"/>
          <w:color w:val="000000"/>
          <w:lang w:val="sq-AL" w:eastAsia="en-GB"/>
        </w:rPr>
      </w:pPr>
    </w:p>
    <w:p w14:paraId="6B360632" w14:textId="4163EF48" w:rsidR="002125B7" w:rsidRPr="00325A1F" w:rsidRDefault="00FF616D" w:rsidP="009D13F4">
      <w:pPr>
        <w:pStyle w:val="Heading1"/>
        <w:spacing w:line="276" w:lineRule="auto"/>
        <w:rPr>
          <w:rFonts w:ascii="Times New Roman" w:hAnsi="Times New Roman" w:cs="Times New Roman"/>
          <w:sz w:val="24"/>
          <w:szCs w:val="24"/>
        </w:rPr>
      </w:pPr>
      <w:r w:rsidRPr="00325A1F">
        <w:rPr>
          <w:rFonts w:ascii="Times New Roman" w:hAnsi="Times New Roman" w:cs="Times New Roman"/>
          <w:sz w:val="24"/>
          <w:szCs w:val="24"/>
        </w:rPr>
        <w:t>Objektivi i pol</w:t>
      </w:r>
      <w:r w:rsidR="009E64A4" w:rsidRPr="00325A1F">
        <w:rPr>
          <w:rFonts w:ascii="Times New Roman" w:hAnsi="Times New Roman" w:cs="Times New Roman"/>
          <w:sz w:val="24"/>
          <w:szCs w:val="24"/>
        </w:rPr>
        <w:t>i</w:t>
      </w:r>
      <w:r w:rsidR="002125B7" w:rsidRPr="00325A1F">
        <w:rPr>
          <w:rFonts w:ascii="Times New Roman" w:hAnsi="Times New Roman" w:cs="Times New Roman"/>
          <w:sz w:val="24"/>
          <w:szCs w:val="24"/>
        </w:rPr>
        <w:t>tikës</w:t>
      </w:r>
      <w:bookmarkEnd w:id="12"/>
    </w:p>
    <w:sdt>
      <w:sdtPr>
        <w:rPr>
          <w:rFonts w:ascii="Times New Roman" w:hAnsi="Times New Roman"/>
          <w:sz w:val="24"/>
          <w:szCs w:val="24"/>
        </w:rPr>
        <w:id w:val="-531503755"/>
        <w:lock w:val="contentLocked"/>
        <w:placeholder>
          <w:docPart w:val="DefaultPlaceholder_1081868574"/>
        </w:placeholder>
      </w:sdtPr>
      <w:sdtEndPr/>
      <w:sdtContent>
        <w:p w14:paraId="741CBAEE" w14:textId="77777777" w:rsidR="009E64A4" w:rsidRPr="0032145B" w:rsidRDefault="009E64A4">
          <w:pPr>
            <w:pStyle w:val="ListParagraph"/>
            <w:numPr>
              <w:ilvl w:val="0"/>
              <w:numId w:val="14"/>
            </w:numPr>
            <w:spacing w:after="0" w:line="276" w:lineRule="auto"/>
            <w:rPr>
              <w:rFonts w:ascii="Times New Roman" w:hAnsi="Times New Roman"/>
              <w:i/>
              <w:sz w:val="24"/>
              <w:szCs w:val="24"/>
            </w:rPr>
          </w:pPr>
          <w:r w:rsidRPr="0032145B">
            <w:rPr>
              <w:rFonts w:ascii="Times New Roman" w:hAnsi="Times New Roman"/>
              <w:i/>
              <w:sz w:val="24"/>
              <w:szCs w:val="24"/>
            </w:rPr>
            <w:t>Vendosni objektiva që korrespondojnë me problemin dhe shkaqet e tij.</w:t>
          </w:r>
        </w:p>
        <w:p w14:paraId="0D3C43DC" w14:textId="77777777" w:rsidR="009E64A4" w:rsidRPr="0032145B" w:rsidRDefault="009E64A4">
          <w:pPr>
            <w:pStyle w:val="ListParagraph"/>
            <w:numPr>
              <w:ilvl w:val="0"/>
              <w:numId w:val="14"/>
            </w:numPr>
            <w:spacing w:after="0" w:line="276" w:lineRule="auto"/>
            <w:rPr>
              <w:rFonts w:ascii="Times New Roman" w:hAnsi="Times New Roman"/>
              <w:i/>
              <w:sz w:val="24"/>
              <w:szCs w:val="24"/>
            </w:rPr>
          </w:pPr>
          <w:r w:rsidRPr="0032145B">
            <w:rPr>
              <w:rFonts w:ascii="Times New Roman" w:hAnsi="Times New Roman"/>
              <w:i/>
              <w:sz w:val="24"/>
              <w:szCs w:val="24"/>
            </w:rPr>
            <w:t xml:space="preserve">Sigurohuni që objektivat e vendosur të korrespondojnë me ato të dhëna në përmbledhjen ekzekutive, por më të detajuara. </w:t>
          </w:r>
        </w:p>
        <w:p w14:paraId="7A8705C6" w14:textId="3E5C82C2" w:rsidR="009E64A4" w:rsidRPr="00325A1F" w:rsidRDefault="009E64A4">
          <w:pPr>
            <w:pStyle w:val="ListParagraph"/>
            <w:numPr>
              <w:ilvl w:val="0"/>
              <w:numId w:val="14"/>
            </w:numPr>
            <w:spacing w:after="0" w:line="276" w:lineRule="auto"/>
            <w:rPr>
              <w:rFonts w:ascii="Times New Roman" w:hAnsi="Times New Roman"/>
              <w:sz w:val="24"/>
              <w:szCs w:val="24"/>
            </w:rPr>
          </w:pPr>
          <w:r w:rsidRPr="0032145B">
            <w:rPr>
              <w:rFonts w:ascii="Times New Roman" w:hAnsi="Times New Roman"/>
              <w:i/>
              <w:sz w:val="24"/>
              <w:szCs w:val="24"/>
            </w:rPr>
            <w:t>Sigurohuni që objektivat janë specifikë, të matshëm, të arritshëm, realë dhe në kohë.</w:t>
          </w:r>
        </w:p>
      </w:sdtContent>
    </w:sdt>
    <w:p w14:paraId="4DFCA0C1" w14:textId="33E0D74B" w:rsidR="006A484B" w:rsidRPr="006A484B" w:rsidRDefault="006A484B" w:rsidP="006A484B">
      <w:pPr>
        <w:pStyle w:val="font-claude-response-body"/>
        <w:jc w:val="both"/>
        <w:rPr>
          <w:lang w:val="en-US"/>
        </w:rPr>
      </w:pPr>
      <w:r>
        <w:rPr>
          <w:rStyle w:val="Strong"/>
        </w:rPr>
        <w:t>Objektivi 1: Zgjerimi i kategorive të veçanta përfituese</w:t>
      </w:r>
    </w:p>
    <w:p w14:paraId="6FAFDF22" w14:textId="45116024" w:rsidR="006A484B" w:rsidRDefault="006A484B" w:rsidP="006A484B">
      <w:pPr>
        <w:pStyle w:val="font-claude-response-body"/>
        <w:jc w:val="both"/>
      </w:pPr>
      <w:r>
        <w:t>Shtimi i kategorive të reja përfituese</w:t>
      </w:r>
      <w:r w:rsidR="00181BA0">
        <w:t xml:space="preserve"> </w:t>
      </w:r>
      <w:r>
        <w:t>duke përfshirë viktimat e terrorizmit, sinjalizuesit e shkeljeve të së drejtës së BE-së, personat që kërkojnë njohjen e statusit të aftësisë së kufizuar dhe komuniteti rom e egjiptian, në nenin 11 të ligjit, me efekt nga data 1 janar 2027.</w:t>
      </w:r>
    </w:p>
    <w:p w14:paraId="5B8D28A9" w14:textId="0161D1FC" w:rsidR="006A484B" w:rsidRPr="006A484B" w:rsidRDefault="006A484B" w:rsidP="006A484B">
      <w:pPr>
        <w:pStyle w:val="font-claude-response-body"/>
        <w:rPr>
          <w:lang w:val="en-US"/>
        </w:rPr>
      </w:pPr>
      <w:r>
        <w:rPr>
          <w:rStyle w:val="Strong"/>
        </w:rPr>
        <w:t>Objektivi 2: Thjeshtimi i procedurave administrative për ndihmën juridike parësore</w:t>
      </w:r>
    </w:p>
    <w:p w14:paraId="515DBB01" w14:textId="474E242B" w:rsidR="006A484B" w:rsidRDefault="006A484B" w:rsidP="00562014">
      <w:pPr>
        <w:pStyle w:val="font-claude-response-body"/>
        <w:jc w:val="both"/>
      </w:pPr>
      <w:r>
        <w:t xml:space="preserve">Reduktimi i barrës administrative për kërkuesit e ndihmës juridike parësore nëpërmjet </w:t>
      </w:r>
      <w:r w:rsidR="00537C85">
        <w:t xml:space="preserve">ndryshimit të nenit 17, ku </w:t>
      </w:r>
      <w:r>
        <w:t>zëvendës</w:t>
      </w:r>
      <w:r w:rsidR="00537C85">
        <w:t xml:space="preserve">ohet </w:t>
      </w:r>
      <w:r>
        <w:t>dokumentacioni justifikues me vetëdeklarim të thjeshtuar të shoqëruar vetëm me dokument identifikimi, me efekt nga data 1 janar 2027.</w:t>
      </w:r>
    </w:p>
    <w:p w14:paraId="66BC0A4C" w14:textId="6D149658" w:rsidR="00562014" w:rsidRPr="00007F7E" w:rsidRDefault="00562014" w:rsidP="00562014">
      <w:pPr>
        <w:pStyle w:val="font-claude-response-body"/>
        <w:jc w:val="both"/>
        <w:rPr>
          <w:b/>
        </w:rPr>
      </w:pPr>
      <w:r>
        <w:rPr>
          <w:rStyle w:val="Strong"/>
        </w:rPr>
        <w:t xml:space="preserve">Objektivi </w:t>
      </w:r>
      <w:r w:rsidR="00181BA0">
        <w:rPr>
          <w:rStyle w:val="Strong"/>
        </w:rPr>
        <w:t>3</w:t>
      </w:r>
      <w:r>
        <w:rPr>
          <w:rStyle w:val="Strong"/>
        </w:rPr>
        <w:t>: Zgjerimi i mbulimit të shpenzimeve</w:t>
      </w:r>
      <w:r w:rsidR="00181BA0">
        <w:rPr>
          <w:rStyle w:val="Strong"/>
        </w:rPr>
        <w:t xml:space="preserve"> </w:t>
      </w:r>
      <w:r w:rsidR="00181BA0" w:rsidRPr="00181BA0">
        <w:rPr>
          <w:b/>
        </w:rPr>
        <w:t>kadastrale, noteriale, përmbarimore dhe tarifave të ekspertëve</w:t>
      </w:r>
    </w:p>
    <w:p w14:paraId="16FC3EDE" w14:textId="77777777" w:rsidR="00537C85" w:rsidRDefault="00562014" w:rsidP="00537C85">
      <w:pPr>
        <w:pStyle w:val="font-claude-response-body"/>
        <w:jc w:val="both"/>
      </w:pPr>
      <w:r>
        <w:t xml:space="preserve">Mbulimi i plotë i shpenzimeve kadastrale, noteriale, përmbarimore dhe tarifave të ekspertëve gjatë fazës së ekzekutimit të vendimeve gjyqësore për të gjithë përfituesit e ndihmës juridike dytësore, duke eliminuar </w:t>
      </w:r>
      <w:r w:rsidRPr="001A33B2">
        <w:t>barrierat financiare që pengojnë realizimin efektiv të vendimeve gjyqësore, me efekt nga data 1 janar 2027.</w:t>
      </w:r>
      <w:r w:rsidR="00537C85">
        <w:t xml:space="preserve"> </w:t>
      </w:r>
    </w:p>
    <w:p w14:paraId="010B38EB" w14:textId="07EC8022" w:rsidR="00562014" w:rsidRPr="001A33B2" w:rsidRDefault="00537C85" w:rsidP="00537C85">
      <w:pPr>
        <w:pStyle w:val="font-claude-response-body"/>
        <w:jc w:val="both"/>
      </w:pPr>
      <w:r>
        <w:t>S</w:t>
      </w:r>
      <w:r w:rsidR="00562014" w:rsidRPr="001A33B2">
        <w:t>htimi i përkufizimeve të reja në nenin 3 dhe zgjerimi i përjashtimeve në nenet 5, 25 dhe 29 të ligjit; parashikimi i detyrimit të Agjencisë Shtetërore të Kadastrës dhe dhomave vendore të noterisë për të vënë në dispozicion aktet e nevojshme pa pagesë.</w:t>
      </w:r>
    </w:p>
    <w:p w14:paraId="1684B5E4" w14:textId="560CFD95" w:rsidR="00562014" w:rsidRPr="00562014" w:rsidRDefault="00562014" w:rsidP="00562014">
      <w:pPr>
        <w:pStyle w:val="font-claude-response-body"/>
        <w:jc w:val="both"/>
      </w:pPr>
      <w:r>
        <w:rPr>
          <w:rStyle w:val="Strong"/>
        </w:rPr>
        <w:t xml:space="preserve">Objektivi </w:t>
      </w:r>
      <w:r w:rsidR="00181BA0">
        <w:rPr>
          <w:rStyle w:val="Strong"/>
        </w:rPr>
        <w:t>4</w:t>
      </w:r>
      <w:r>
        <w:rPr>
          <w:rStyle w:val="Strong"/>
        </w:rPr>
        <w:t xml:space="preserve">: Harmonizimi me </w:t>
      </w:r>
      <w:r w:rsidRPr="00A341D1">
        <w:rPr>
          <w:rStyle w:val="Strong"/>
          <w:i/>
        </w:rPr>
        <w:t>acquis</w:t>
      </w:r>
      <w:r>
        <w:rPr>
          <w:rStyle w:val="Strong"/>
        </w:rPr>
        <w:t xml:space="preserve"> të Bashkimit Evropian</w:t>
      </w:r>
    </w:p>
    <w:p w14:paraId="25F141F6" w14:textId="55059FA6" w:rsidR="00562014" w:rsidRPr="00537C85" w:rsidRDefault="00562014" w:rsidP="00537C85">
      <w:pPr>
        <w:pStyle w:val="NormalWeb"/>
        <w:shd w:val="clear" w:color="auto" w:fill="FFFFFF"/>
        <w:spacing w:line="276" w:lineRule="auto"/>
        <w:jc w:val="both"/>
        <w:textAlignment w:val="baseline"/>
        <w:rPr>
          <w:rFonts w:eastAsia="Calibri"/>
          <w:color w:val="000000"/>
          <w:lang w:val="sq-AL" w:eastAsia="en-GB"/>
        </w:rPr>
      </w:pPr>
      <w:r w:rsidRPr="00007F7E">
        <w:rPr>
          <w:lang w:val="sq-AL"/>
        </w:rPr>
        <w:t xml:space="preserve">Përafrimi i plotë i ligjit Nr. 111/2017 me Direktivat e BE-së </w:t>
      </w:r>
      <w:r w:rsidRPr="00083F35">
        <w:rPr>
          <w:lang w:val="sq-AL"/>
        </w:rPr>
        <w:t>2012/29</w:t>
      </w:r>
      <w:r>
        <w:rPr>
          <w:lang w:val="sq-AL"/>
        </w:rPr>
        <w:t>/BE</w:t>
      </w:r>
      <w:r w:rsidRPr="00083F35">
        <w:rPr>
          <w:lang w:val="sq-AL"/>
        </w:rPr>
        <w:t>, 2017/541</w:t>
      </w:r>
      <w:r>
        <w:rPr>
          <w:lang w:val="sq-AL"/>
        </w:rPr>
        <w:t>/BE</w:t>
      </w:r>
      <w:r w:rsidRPr="00083F35">
        <w:rPr>
          <w:lang w:val="sq-AL"/>
        </w:rPr>
        <w:t xml:space="preserve"> dhe 2019/1937</w:t>
      </w:r>
      <w:r>
        <w:rPr>
          <w:lang w:val="sq-AL"/>
        </w:rPr>
        <w:t>/BE, 2016/1919/BE</w:t>
      </w:r>
      <w:r w:rsidR="00181BA0">
        <w:rPr>
          <w:lang w:val="sq-AL"/>
        </w:rPr>
        <w:t xml:space="preserve"> </w:t>
      </w:r>
      <w:r w:rsidRPr="00007F7E">
        <w:rPr>
          <w:lang w:val="sq-AL"/>
        </w:rPr>
        <w:t>në përputhje me detyrimet e Planit Kombëtar për Integrimin Evropian 2024-2026, me efekt nga data 1 janar 2027</w:t>
      </w:r>
      <w:r w:rsidR="00537C85" w:rsidRPr="00007F7E">
        <w:rPr>
          <w:lang w:val="sq-AL"/>
        </w:rPr>
        <w:t xml:space="preserve">, nëpërmjet </w:t>
      </w:r>
      <w:r w:rsidRPr="00007F7E">
        <w:rPr>
          <w:lang w:val="sq-AL"/>
        </w:rPr>
        <w:t>transpozimi</w:t>
      </w:r>
      <w:r w:rsidR="00537C85" w:rsidRPr="00007F7E">
        <w:rPr>
          <w:lang w:val="sq-AL"/>
        </w:rPr>
        <w:t xml:space="preserve">t të </w:t>
      </w:r>
      <w:r w:rsidRPr="00007F7E">
        <w:rPr>
          <w:lang w:val="sq-AL"/>
        </w:rPr>
        <w:t>kërkesave të direktivave të BE-së, duke adresuar boshllëqet e identifikuara në kategorinë e përfituesve, procedurat e përshpejtuara dhe mbrojtjen e sinjalizuesve.</w:t>
      </w:r>
    </w:p>
    <w:p w14:paraId="7B42B565" w14:textId="5538AE45" w:rsidR="002125B7" w:rsidRPr="00325A1F" w:rsidRDefault="002125B7" w:rsidP="00A457BB">
      <w:pPr>
        <w:pStyle w:val="ListParagraph"/>
        <w:shd w:val="clear" w:color="auto" w:fill="FFFFFF"/>
        <w:tabs>
          <w:tab w:val="clear" w:pos="567"/>
          <w:tab w:val="left" w:pos="0"/>
        </w:tabs>
        <w:spacing w:before="240" w:line="276" w:lineRule="auto"/>
        <w:ind w:left="0" w:firstLine="0"/>
        <w:contextualSpacing/>
        <w:jc w:val="both"/>
        <w:rPr>
          <w:rFonts w:ascii="Times New Roman" w:hAnsi="Times New Roman"/>
          <w:sz w:val="24"/>
          <w:szCs w:val="24"/>
        </w:rPr>
      </w:pPr>
      <w:r w:rsidRPr="00325A1F">
        <w:rPr>
          <w:rFonts w:ascii="Times New Roman" w:hAnsi="Times New Roman"/>
          <w:sz w:val="24"/>
          <w:szCs w:val="24"/>
        </w:rPr>
        <w:t>Përshkrimi i opsioneve të shqyrtuara</w:t>
      </w:r>
    </w:p>
    <w:sdt>
      <w:sdtPr>
        <w:rPr>
          <w:rFonts w:ascii="Times New Roman" w:hAnsi="Times New Roman"/>
          <w:sz w:val="24"/>
          <w:szCs w:val="24"/>
        </w:rPr>
        <w:id w:val="483215"/>
        <w:lock w:val="contentLocked"/>
        <w:placeholder>
          <w:docPart w:val="DefaultPlaceholder_1081868574"/>
        </w:placeholder>
      </w:sdtPr>
      <w:sdtEndPr>
        <w:rPr>
          <w:i/>
        </w:rPr>
      </w:sdtEndPr>
      <w:sdtContent>
        <w:p w14:paraId="023513BA" w14:textId="77777777" w:rsidR="009E64A4" w:rsidRPr="0032145B" w:rsidRDefault="009E64A4">
          <w:pPr>
            <w:pStyle w:val="ListParagraph"/>
            <w:numPr>
              <w:ilvl w:val="0"/>
              <w:numId w:val="15"/>
            </w:numPr>
            <w:spacing w:after="0" w:line="276" w:lineRule="auto"/>
            <w:jc w:val="both"/>
            <w:rPr>
              <w:rFonts w:ascii="Times New Roman" w:hAnsi="Times New Roman"/>
              <w:i/>
              <w:sz w:val="24"/>
              <w:szCs w:val="24"/>
            </w:rPr>
          </w:pPr>
          <w:r w:rsidRPr="0032145B">
            <w:rPr>
              <w:rFonts w:ascii="Times New Roman" w:hAnsi="Times New Roman"/>
              <w:i/>
              <w:sz w:val="24"/>
              <w:szCs w:val="24"/>
            </w:rPr>
            <w:t xml:space="preserve">Përshkruani opsionin e status quo-së. </w:t>
          </w:r>
        </w:p>
        <w:p w14:paraId="49427CE5" w14:textId="77777777" w:rsidR="009E64A4" w:rsidRPr="0032145B" w:rsidRDefault="009E64A4">
          <w:pPr>
            <w:pStyle w:val="ListParagraph"/>
            <w:numPr>
              <w:ilvl w:val="0"/>
              <w:numId w:val="15"/>
            </w:numPr>
            <w:spacing w:after="0" w:line="276" w:lineRule="auto"/>
            <w:jc w:val="both"/>
            <w:rPr>
              <w:rFonts w:ascii="Times New Roman" w:hAnsi="Times New Roman"/>
              <w:i/>
              <w:sz w:val="24"/>
              <w:szCs w:val="24"/>
            </w:rPr>
          </w:pPr>
          <w:r w:rsidRPr="0032145B">
            <w:rPr>
              <w:rFonts w:ascii="Times New Roman" w:hAnsi="Times New Roman"/>
              <w:i/>
              <w:sz w:val="24"/>
              <w:szCs w:val="24"/>
            </w:rPr>
            <w:t>Identifikoni dhe përshkruani të gjitha opsionet e politikave që keni marrë parasysh.</w:t>
          </w:r>
        </w:p>
        <w:p w14:paraId="75A3EFFB" w14:textId="7716EBDA" w:rsidR="009E64A4" w:rsidRPr="0032145B" w:rsidRDefault="009E64A4">
          <w:pPr>
            <w:pStyle w:val="ListParagraph"/>
            <w:numPr>
              <w:ilvl w:val="0"/>
              <w:numId w:val="15"/>
            </w:numPr>
            <w:spacing w:after="0" w:line="276" w:lineRule="auto"/>
            <w:jc w:val="both"/>
            <w:rPr>
              <w:rFonts w:ascii="Times New Roman" w:hAnsi="Times New Roman"/>
              <w:i/>
              <w:sz w:val="24"/>
              <w:szCs w:val="24"/>
            </w:rPr>
          </w:pPr>
          <w:r w:rsidRPr="0032145B">
            <w:rPr>
              <w:rFonts w:ascii="Times New Roman" w:hAnsi="Times New Roman"/>
              <w:i/>
              <w:sz w:val="24"/>
              <w:szCs w:val="24"/>
            </w:rPr>
            <w:t xml:space="preserve">Shpjegoni se si janë identifikuar opsionet e politikës.  </w:t>
          </w:r>
        </w:p>
      </w:sdtContent>
    </w:sdt>
    <w:p w14:paraId="6D2C482C" w14:textId="77777777" w:rsidR="008E3CFB" w:rsidRPr="008E6391" w:rsidRDefault="008E3CFB" w:rsidP="008E3CFB">
      <w:pPr>
        <w:tabs>
          <w:tab w:val="left" w:pos="10080"/>
        </w:tabs>
        <w:spacing w:line="276" w:lineRule="auto"/>
        <w:jc w:val="both"/>
        <w:rPr>
          <w:color w:val="000000"/>
          <w:szCs w:val="24"/>
        </w:rPr>
      </w:pPr>
      <w:r w:rsidRPr="008E6391">
        <w:rPr>
          <w:color w:val="000000"/>
          <w:szCs w:val="24"/>
        </w:rPr>
        <w:t>Opsionet e mëposhtme janë vlerësuar në funksion të arritjes së objektivave të politikave:</w:t>
      </w:r>
    </w:p>
    <w:p w14:paraId="48D1FCEE" w14:textId="77777777" w:rsidR="005045B7" w:rsidRPr="00C611D8" w:rsidRDefault="005045B7" w:rsidP="005045B7">
      <w:pPr>
        <w:tabs>
          <w:tab w:val="left" w:pos="10080"/>
        </w:tabs>
        <w:ind w:left="34"/>
        <w:jc w:val="both"/>
        <w:rPr>
          <w:color w:val="000000"/>
          <w:szCs w:val="24"/>
        </w:rPr>
      </w:pPr>
    </w:p>
    <w:p w14:paraId="3AE11A1E" w14:textId="4C8E577E" w:rsidR="005045B7" w:rsidRDefault="005045B7" w:rsidP="005045B7">
      <w:pPr>
        <w:tabs>
          <w:tab w:val="left" w:pos="10080"/>
        </w:tabs>
        <w:ind w:left="34"/>
        <w:jc w:val="both"/>
        <w:rPr>
          <w:color w:val="000000"/>
          <w:szCs w:val="24"/>
        </w:rPr>
      </w:pPr>
      <w:r w:rsidRPr="00C611D8">
        <w:rPr>
          <w:b/>
          <w:color w:val="000000"/>
          <w:szCs w:val="24"/>
        </w:rPr>
        <w:lastRenderedPageBreak/>
        <w:t>Opsioni 0</w:t>
      </w:r>
      <w:r w:rsidRPr="00C611D8">
        <w:rPr>
          <w:color w:val="000000"/>
          <w:szCs w:val="24"/>
        </w:rPr>
        <w:t xml:space="preserve"> – </w:t>
      </w:r>
      <w:r w:rsidR="00296D20">
        <w:rPr>
          <w:color w:val="000000"/>
          <w:szCs w:val="24"/>
        </w:rPr>
        <w:t>Ruajtja e s</w:t>
      </w:r>
      <w:r w:rsidRPr="00C611D8">
        <w:rPr>
          <w:color w:val="000000"/>
          <w:szCs w:val="24"/>
        </w:rPr>
        <w:t>tatus quo-ja</w:t>
      </w:r>
      <w:r w:rsidR="00113F78">
        <w:rPr>
          <w:color w:val="000000"/>
          <w:szCs w:val="24"/>
        </w:rPr>
        <w:t xml:space="preserve"> ose</w:t>
      </w:r>
      <w:r w:rsidRPr="00C611D8">
        <w:rPr>
          <w:color w:val="000000"/>
          <w:szCs w:val="24"/>
        </w:rPr>
        <w:t xml:space="preserve"> mos ndryshimi i gjendjes aktuale</w:t>
      </w:r>
      <w:r w:rsidR="00113F78">
        <w:rPr>
          <w:color w:val="000000"/>
          <w:szCs w:val="24"/>
        </w:rPr>
        <w:t xml:space="preserve"> </w:t>
      </w:r>
      <w:r w:rsidR="00AC5C07">
        <w:rPr>
          <w:color w:val="000000"/>
          <w:szCs w:val="24"/>
        </w:rPr>
        <w:t>duke vijuar me kuadrin ligjor ekzistues</w:t>
      </w:r>
      <w:r w:rsidRPr="00C611D8">
        <w:rPr>
          <w:color w:val="000000"/>
          <w:szCs w:val="24"/>
        </w:rPr>
        <w:t>;</w:t>
      </w:r>
      <w:r w:rsidR="00113F78">
        <w:rPr>
          <w:color w:val="000000"/>
          <w:szCs w:val="24"/>
        </w:rPr>
        <w:t xml:space="preserve"> </w:t>
      </w:r>
    </w:p>
    <w:p w14:paraId="10942C0E" w14:textId="3D0F0837" w:rsidR="00AC5C07" w:rsidRDefault="005045B7" w:rsidP="005045B7">
      <w:pPr>
        <w:tabs>
          <w:tab w:val="left" w:pos="5310"/>
          <w:tab w:val="left" w:pos="10080"/>
        </w:tabs>
        <w:ind w:left="34"/>
        <w:jc w:val="both"/>
        <w:rPr>
          <w:color w:val="000000"/>
          <w:szCs w:val="24"/>
        </w:rPr>
      </w:pPr>
      <w:r w:rsidRPr="00C611D8">
        <w:rPr>
          <w:b/>
          <w:color w:val="000000"/>
          <w:szCs w:val="24"/>
        </w:rPr>
        <w:t>Opsioni 1</w:t>
      </w:r>
      <w:r w:rsidRPr="00C611D8">
        <w:rPr>
          <w:color w:val="000000"/>
          <w:szCs w:val="24"/>
        </w:rPr>
        <w:t xml:space="preserve"> </w:t>
      </w:r>
      <w:r w:rsidR="00AC5C07">
        <w:rPr>
          <w:color w:val="000000"/>
          <w:szCs w:val="24"/>
        </w:rPr>
        <w:t xml:space="preserve"> </w:t>
      </w:r>
      <w:r w:rsidR="00AC5C07" w:rsidRPr="00AC5C07">
        <w:rPr>
          <w:b/>
          <w:color w:val="000000"/>
          <w:szCs w:val="24"/>
        </w:rPr>
        <w:t>(jo rregullator)</w:t>
      </w:r>
      <w:r w:rsidR="00AC5C07">
        <w:rPr>
          <w:color w:val="000000"/>
          <w:szCs w:val="24"/>
        </w:rPr>
        <w:t xml:space="preserve"> </w:t>
      </w:r>
      <w:r w:rsidRPr="00C611D8">
        <w:rPr>
          <w:color w:val="000000"/>
          <w:szCs w:val="24"/>
        </w:rPr>
        <w:t>–</w:t>
      </w:r>
      <w:r w:rsidR="00AC5C07">
        <w:rPr>
          <w:color w:val="000000"/>
          <w:szCs w:val="24"/>
        </w:rPr>
        <w:t xml:space="preserve"> Vetërregullimi;</w:t>
      </w:r>
    </w:p>
    <w:p w14:paraId="68B3BAB3" w14:textId="4F852D74" w:rsidR="005045B7" w:rsidRPr="00AC5C07" w:rsidRDefault="00AC5C07" w:rsidP="005045B7">
      <w:pPr>
        <w:tabs>
          <w:tab w:val="left" w:pos="5310"/>
          <w:tab w:val="left" w:pos="10080"/>
        </w:tabs>
        <w:ind w:left="34"/>
        <w:jc w:val="both"/>
        <w:rPr>
          <w:b/>
          <w:color w:val="000000"/>
          <w:szCs w:val="24"/>
        </w:rPr>
      </w:pPr>
      <w:r w:rsidRPr="00AC5C07">
        <w:rPr>
          <w:b/>
          <w:color w:val="000000"/>
          <w:szCs w:val="24"/>
        </w:rPr>
        <w:t>Opsioni 2</w:t>
      </w:r>
      <w:r>
        <w:rPr>
          <w:b/>
          <w:color w:val="000000"/>
          <w:szCs w:val="24"/>
        </w:rPr>
        <w:t xml:space="preserve"> –</w:t>
      </w:r>
      <w:r w:rsidRPr="00AC5C07">
        <w:rPr>
          <w:color w:val="000000"/>
          <w:szCs w:val="24"/>
        </w:rPr>
        <w:t xml:space="preserve"> </w:t>
      </w:r>
      <w:r>
        <w:rPr>
          <w:color w:val="000000"/>
          <w:szCs w:val="24"/>
        </w:rPr>
        <w:t xml:space="preserve">Ndryshimi </w:t>
      </w:r>
      <w:r w:rsidRPr="00C611D8">
        <w:rPr>
          <w:color w:val="000000"/>
          <w:szCs w:val="24"/>
        </w:rPr>
        <w:t>i ligjit</w:t>
      </w:r>
      <w:r>
        <w:rPr>
          <w:color w:val="000000"/>
          <w:szCs w:val="24"/>
        </w:rPr>
        <w:t xml:space="preserve"> nr. </w:t>
      </w:r>
      <w:r w:rsidR="00CA13EE" w:rsidRPr="00CA13EE">
        <w:rPr>
          <w:color w:val="000000"/>
          <w:szCs w:val="24"/>
        </w:rPr>
        <w:t xml:space="preserve">111/2017 </w:t>
      </w:r>
      <w:r w:rsidR="00CA13EE">
        <w:rPr>
          <w:color w:val="000000"/>
          <w:szCs w:val="24"/>
        </w:rPr>
        <w:t>“</w:t>
      </w:r>
      <w:r w:rsidR="00CA13EE" w:rsidRPr="00CA13EE">
        <w:rPr>
          <w:color w:val="000000"/>
          <w:szCs w:val="24"/>
        </w:rPr>
        <w:t>Për ndihmën juridike të garantuar nga shteti</w:t>
      </w:r>
      <w:r>
        <w:rPr>
          <w:color w:val="000000"/>
          <w:szCs w:val="24"/>
        </w:rPr>
        <w:t>”;</w:t>
      </w:r>
      <w:r w:rsidR="005045B7" w:rsidRPr="00AC5C07">
        <w:rPr>
          <w:b/>
          <w:color w:val="000000"/>
          <w:szCs w:val="24"/>
        </w:rPr>
        <w:tab/>
      </w:r>
    </w:p>
    <w:p w14:paraId="520E6202" w14:textId="7C4131BD" w:rsidR="005045B7" w:rsidRDefault="00AC5C07" w:rsidP="005045B7">
      <w:pPr>
        <w:tabs>
          <w:tab w:val="left" w:pos="10080"/>
        </w:tabs>
        <w:ind w:left="34"/>
        <w:jc w:val="both"/>
        <w:rPr>
          <w:color w:val="000000"/>
          <w:szCs w:val="24"/>
        </w:rPr>
      </w:pPr>
      <w:r>
        <w:rPr>
          <w:b/>
          <w:color w:val="000000"/>
          <w:szCs w:val="24"/>
        </w:rPr>
        <w:t>Opsioni 3</w:t>
      </w:r>
      <w:r w:rsidR="005045B7" w:rsidRPr="00C611D8">
        <w:rPr>
          <w:color w:val="000000"/>
          <w:szCs w:val="24"/>
        </w:rPr>
        <w:t xml:space="preserve"> – </w:t>
      </w:r>
      <w:r w:rsidRPr="00C611D8">
        <w:rPr>
          <w:color w:val="000000"/>
          <w:szCs w:val="24"/>
        </w:rPr>
        <w:t>Miratimi i një ligji të ri</w:t>
      </w:r>
      <w:r>
        <w:rPr>
          <w:color w:val="000000"/>
          <w:szCs w:val="24"/>
        </w:rPr>
        <w:t>.</w:t>
      </w:r>
    </w:p>
    <w:p w14:paraId="206D2E2A" w14:textId="77777777" w:rsidR="00370920" w:rsidRDefault="00370920" w:rsidP="00370920">
      <w:pPr>
        <w:tabs>
          <w:tab w:val="left" w:pos="10080"/>
        </w:tabs>
        <w:jc w:val="both"/>
        <w:rPr>
          <w:color w:val="000000"/>
          <w:szCs w:val="24"/>
        </w:rPr>
      </w:pPr>
    </w:p>
    <w:p w14:paraId="10EA98DC" w14:textId="2915C75D" w:rsidR="00370920" w:rsidRDefault="00370920" w:rsidP="00370920">
      <w:pPr>
        <w:tabs>
          <w:tab w:val="left" w:pos="10080"/>
        </w:tabs>
        <w:ind w:left="34"/>
        <w:jc w:val="both"/>
        <w:rPr>
          <w:color w:val="000000"/>
          <w:szCs w:val="24"/>
        </w:rPr>
      </w:pPr>
      <w:r>
        <w:t>Opsionet e politikave janë identifikuar në bazë të analizës së problemit dhe shkaqeve të tij, duke u mbështetur në propozimet e DNJF-së, rekomandimet e KLSH, analizat e kryera gjatë zbatimit të ligjit nr. 111/2017 që nga miratimi i tij në vitin 2017. Gjatë procesit të identifikimit janë shqyrtuar katër opsione kryesore, duke vlerësuar për secilin prej tyre shkallën e adresimit të problemit, koston e zbatimit</w:t>
      </w:r>
      <w:r w:rsidR="00DD073E">
        <w:t xml:space="preserve"> </w:t>
      </w:r>
      <w:r>
        <w:t>dhe përputhshmërinë me detyrimet e integrimit evropian të parashikuara në Planin Kombëtar për Integrimin Evropian 2024-2026.</w:t>
      </w:r>
    </w:p>
    <w:p w14:paraId="7E0301D6" w14:textId="1534F45F" w:rsidR="00370920" w:rsidRPr="00370920" w:rsidRDefault="00370920" w:rsidP="00370920">
      <w:pPr>
        <w:pStyle w:val="font-claude-response-body"/>
      </w:pPr>
      <w:r>
        <w:rPr>
          <w:rStyle w:val="Strong"/>
        </w:rPr>
        <w:t>Opsioni 0: Ruajtja e status quo-së</w:t>
      </w:r>
    </w:p>
    <w:p w14:paraId="546A5924" w14:textId="77777777" w:rsidR="00370920" w:rsidRDefault="00370920" w:rsidP="00370920">
      <w:pPr>
        <w:pStyle w:val="font-claude-response-body"/>
        <w:jc w:val="both"/>
      </w:pPr>
      <w:r>
        <w:t>Ky opsion parashikon vijimin e zbatimit të kuadrit ligjor ekzistues të ligjit Nr. 111/2017 pa ndërhyrje të reja normative. Në kushtet e status quo-së, sistemi i ndihmës juridike do të vazhdonte të funksiononte me të gjitha mangësitë e identifikuara gjatë zbatimit praktik të ligjit. Konkretisht:</w:t>
      </w:r>
    </w:p>
    <w:p w14:paraId="0EEA9139" w14:textId="282A277D" w:rsidR="00370920" w:rsidRDefault="00370920" w:rsidP="00A457BB">
      <w:pPr>
        <w:pStyle w:val="font-claude-response-body"/>
        <w:numPr>
          <w:ilvl w:val="0"/>
          <w:numId w:val="28"/>
        </w:numPr>
        <w:ind w:left="360"/>
        <w:jc w:val="both"/>
      </w:pPr>
      <w:r>
        <w:t>Kategori të rëndësishme si viktimat e terrorizmit, sinjalizuesit e shkeljeve të së drejtës së BE-së dhe personat që kërkojnë njohjen e statusit të aftësisë së kufizuar do të mbeteshin jashtë mbulimit ligjor;</w:t>
      </w:r>
    </w:p>
    <w:p w14:paraId="57D1F4B3" w14:textId="7439A113" w:rsidR="00370920" w:rsidRDefault="00370920" w:rsidP="00A457BB">
      <w:pPr>
        <w:pStyle w:val="font-claude-response-body"/>
        <w:numPr>
          <w:ilvl w:val="0"/>
          <w:numId w:val="28"/>
        </w:numPr>
        <w:ind w:left="360"/>
        <w:jc w:val="both"/>
      </w:pPr>
      <w:r>
        <w:t>Procedurat e ngadalta do të vazhdонin të ishin të papërshtatshme për situatat emergjente që kërkojnë mbrojtje të menjëhershme;</w:t>
      </w:r>
    </w:p>
    <w:p w14:paraId="2CA54B53" w14:textId="10DEF1B7" w:rsidR="00370920" w:rsidRDefault="00370920" w:rsidP="00A457BB">
      <w:pPr>
        <w:pStyle w:val="font-claude-response-body"/>
        <w:numPr>
          <w:ilvl w:val="0"/>
          <w:numId w:val="28"/>
        </w:numPr>
        <w:ind w:left="360"/>
        <w:jc w:val="both"/>
      </w:pPr>
      <w:r>
        <w:t>Barra financiare e shpenzimeve kadastrale, noteriale dhe përmbarimore do të rëndonte mbi përfituesit, duke i lënë vendime gjyqësore të pashfrytëzueshme;</w:t>
      </w:r>
    </w:p>
    <w:p w14:paraId="5C476FE4" w14:textId="53EBA1B7" w:rsidR="00370920" w:rsidRDefault="00370920" w:rsidP="00A457BB">
      <w:pPr>
        <w:pStyle w:val="font-claude-response-body"/>
        <w:numPr>
          <w:ilvl w:val="0"/>
          <w:numId w:val="28"/>
        </w:numPr>
        <w:ind w:left="360"/>
        <w:jc w:val="both"/>
      </w:pPr>
      <w:r>
        <w:t>Mungesa e koordinimit ndërinstitucional me njësitë e vetëqeverisjes vendore do të vazhdonte të ulte efektivitetin e sistemit;</w:t>
      </w:r>
    </w:p>
    <w:p w14:paraId="3B9C5545" w14:textId="11A7D814" w:rsidR="00370920" w:rsidRDefault="00370920" w:rsidP="00A457BB">
      <w:pPr>
        <w:pStyle w:val="font-claude-response-body"/>
        <w:numPr>
          <w:ilvl w:val="0"/>
          <w:numId w:val="28"/>
        </w:numPr>
        <w:ind w:left="360"/>
        <w:jc w:val="both"/>
      </w:pPr>
      <w:r>
        <w:t>Shqipëria nuk do të përmbushte detyrimet e transpozimit të direktivave të BE-së të parashikuara në Planin Kombëtar për Integrimin Evropian 2024-2026.</w:t>
      </w:r>
    </w:p>
    <w:p w14:paraId="62312F06" w14:textId="4057FDAB" w:rsidR="00370920" w:rsidRPr="00370920" w:rsidRDefault="00370920" w:rsidP="00370920">
      <w:pPr>
        <w:pStyle w:val="font-claude-response-body"/>
        <w:jc w:val="both"/>
      </w:pPr>
      <w:r>
        <w:t>Për këto arsye, opsioni i status quo-së është vlerësuar si i papranueshëm për të adresuar problematikat e identifikuara.</w:t>
      </w:r>
    </w:p>
    <w:p w14:paraId="6E063957" w14:textId="5178F21E" w:rsidR="00370920" w:rsidRPr="00370920" w:rsidRDefault="00370920" w:rsidP="00370920">
      <w:pPr>
        <w:pStyle w:val="font-claude-response-body"/>
        <w:jc w:val="both"/>
        <w:rPr>
          <w:lang w:val="en-US"/>
        </w:rPr>
      </w:pPr>
      <w:r>
        <w:rPr>
          <w:rStyle w:val="Strong"/>
        </w:rPr>
        <w:t>Opsioni 1</w:t>
      </w:r>
      <w:r w:rsidR="00DD073E">
        <w:rPr>
          <w:rStyle w:val="Strong"/>
        </w:rPr>
        <w:t xml:space="preserve">: </w:t>
      </w:r>
      <w:r>
        <w:rPr>
          <w:rStyle w:val="Strong"/>
        </w:rPr>
        <w:t>Vetërregullimi (opsion jo rregullator)</w:t>
      </w:r>
    </w:p>
    <w:p w14:paraId="7FD2B91C" w14:textId="623E79E8" w:rsidR="00370920" w:rsidRDefault="00370920" w:rsidP="00370920">
      <w:pPr>
        <w:pStyle w:val="font-claude-response-body"/>
        <w:jc w:val="both"/>
      </w:pPr>
      <w:r>
        <w:t>Ky opsion parashikon përmirësimin e zbatimit të kuadrit ekzistues ligjor nëpërmjet masave jo normative, si monitorimi i cilësisë së shërbimit, fushatat e informimit të publikut dhe rritja e kapaciteteve institucionale, pa ndërhyrje në tekstin e ligjit. Ky opsion do të adresonte pjesërisht problemin e nivelit të ulët të informimit të publikut dhe do të përmirësonte koordinimin administrativ ndërmjet institucioneve ekzistuese. Megjithatë, ky opsion paraqet kufizimet e mëposhtme të rëndësishme:</w:t>
      </w:r>
    </w:p>
    <w:p w14:paraId="521466C6" w14:textId="11D7ABA0" w:rsidR="00370920" w:rsidRDefault="00370920" w:rsidP="00A457BB">
      <w:pPr>
        <w:pStyle w:val="font-claude-response-body"/>
        <w:numPr>
          <w:ilvl w:val="0"/>
          <w:numId w:val="29"/>
        </w:numPr>
        <w:ind w:left="360"/>
        <w:jc w:val="both"/>
      </w:pPr>
      <w:r>
        <w:t>Nuk mund të zgjerojë kategorinë e përfituesve pa bazë ligjore;</w:t>
      </w:r>
    </w:p>
    <w:p w14:paraId="73B7A0A7" w14:textId="19DFD3A6" w:rsidR="00370920" w:rsidRDefault="00370920" w:rsidP="00A457BB">
      <w:pPr>
        <w:pStyle w:val="font-claude-response-body"/>
        <w:numPr>
          <w:ilvl w:val="0"/>
          <w:numId w:val="29"/>
        </w:numPr>
        <w:ind w:left="360"/>
        <w:jc w:val="both"/>
      </w:pPr>
      <w:r>
        <w:t>Nuk mund të krijojë procedura të përshpejtuara me efekt juridik të detyrueshëm;</w:t>
      </w:r>
    </w:p>
    <w:p w14:paraId="669B27FE" w14:textId="3AC73576" w:rsidR="00370920" w:rsidRDefault="00370920" w:rsidP="00A457BB">
      <w:pPr>
        <w:pStyle w:val="font-claude-response-body"/>
        <w:numPr>
          <w:ilvl w:val="0"/>
          <w:numId w:val="29"/>
        </w:numPr>
        <w:ind w:left="360"/>
        <w:jc w:val="both"/>
      </w:pPr>
      <w:r>
        <w:t>Nuk mund të mbulojë shpenzimet kadastrale, noteriale dhe përmbarimore pa parashikim shprehimisht ligjor;</w:t>
      </w:r>
    </w:p>
    <w:p w14:paraId="695A28E4" w14:textId="0B29E28A" w:rsidR="00370920" w:rsidRDefault="00370920" w:rsidP="00A457BB">
      <w:pPr>
        <w:pStyle w:val="font-claude-response-body"/>
        <w:numPr>
          <w:ilvl w:val="0"/>
          <w:numId w:val="29"/>
        </w:numPr>
        <w:ind w:left="360"/>
        <w:jc w:val="both"/>
      </w:pPr>
      <w:r>
        <w:t>Nuk mund të plotësojë detyrimet e transpozimit të direktivave të BE-së nëpërmjet masave administrative</w:t>
      </w:r>
      <w:r w:rsidR="00A457BB">
        <w:t>.</w:t>
      </w:r>
    </w:p>
    <w:p w14:paraId="01C1E82F" w14:textId="77777777" w:rsidR="00DD073E" w:rsidRDefault="00370920" w:rsidP="00DD073E">
      <w:pPr>
        <w:pStyle w:val="font-claude-response-body"/>
        <w:jc w:val="both"/>
      </w:pPr>
      <w:r>
        <w:t>Për këto arsye, ky opsion është vlerësuar si i pamjaftueshëm për arritjen e objektivave të vendosur.</w:t>
      </w:r>
    </w:p>
    <w:p w14:paraId="1EE07D1A" w14:textId="5A883FE5" w:rsidR="00370920" w:rsidRPr="00DD073E" w:rsidRDefault="00370920" w:rsidP="00DD073E">
      <w:pPr>
        <w:pStyle w:val="font-claude-response-body"/>
        <w:jc w:val="both"/>
      </w:pPr>
      <w:r>
        <w:rPr>
          <w:rStyle w:val="Strong"/>
        </w:rPr>
        <w:t>Opsioni 2</w:t>
      </w:r>
      <w:r w:rsidR="00DD073E">
        <w:rPr>
          <w:rStyle w:val="Strong"/>
        </w:rPr>
        <w:t xml:space="preserve">: </w:t>
      </w:r>
      <w:r>
        <w:rPr>
          <w:rStyle w:val="Strong"/>
        </w:rPr>
        <w:t xml:space="preserve">Ndryshimi i ligjit </w:t>
      </w:r>
      <w:r w:rsidR="0024644D">
        <w:rPr>
          <w:rStyle w:val="Strong"/>
        </w:rPr>
        <w:t>n</w:t>
      </w:r>
      <w:r>
        <w:rPr>
          <w:rStyle w:val="Strong"/>
        </w:rPr>
        <w:t>r. 111/2017 (opsioni i preferuar)</w:t>
      </w:r>
    </w:p>
    <w:p w14:paraId="252C1481" w14:textId="4BD37C11" w:rsidR="00370920" w:rsidRDefault="00370920" w:rsidP="00370920">
      <w:pPr>
        <w:pStyle w:val="font-claude-response-body"/>
        <w:jc w:val="both"/>
      </w:pPr>
      <w:r>
        <w:t xml:space="preserve">Ky opsion parashikon ndërhyrje në ligjin ekzistues </w:t>
      </w:r>
      <w:r w:rsidR="00DD073E">
        <w:t>n</w:t>
      </w:r>
      <w:r>
        <w:t>r. 111/2017, duke adresuar shprehimisht problematikat e identifikuara pa e zëvendësuar kuadrin bazë ligjor. Ndërhyrjet kryesore përfshijnë:</w:t>
      </w:r>
    </w:p>
    <w:p w14:paraId="271B6C56" w14:textId="0B4B6402" w:rsidR="00370920" w:rsidRDefault="00370920" w:rsidP="00A457BB">
      <w:pPr>
        <w:pStyle w:val="font-claude-response-body"/>
        <w:numPr>
          <w:ilvl w:val="0"/>
          <w:numId w:val="30"/>
        </w:numPr>
        <w:ind w:left="360"/>
        <w:jc w:val="both"/>
      </w:pPr>
      <w:r>
        <w:lastRenderedPageBreak/>
        <w:t>Zgjerimin e kategorive të veçanta përfituese duke përfshirë viktimat e terrorizmit, sinjalizuesit, personat me aftësi të kufizuara dhe komunitetin rom e egjiptian</w:t>
      </w:r>
      <w:r w:rsidR="00DD073E">
        <w:t>;</w:t>
      </w:r>
    </w:p>
    <w:p w14:paraId="6217E00E" w14:textId="66484D4F" w:rsidR="00370920" w:rsidRDefault="00370920" w:rsidP="00A457BB">
      <w:pPr>
        <w:pStyle w:val="font-claude-response-body"/>
        <w:numPr>
          <w:ilvl w:val="0"/>
          <w:numId w:val="30"/>
        </w:numPr>
        <w:ind w:left="360"/>
        <w:jc w:val="both"/>
      </w:pPr>
      <w:r>
        <w:t>Thjeshtimin e procedurave administrative për ndihmën juridike parësore nëpërmjet vetëdeklarimit të thjeshtuar</w:t>
      </w:r>
      <w:r w:rsidR="00DD073E">
        <w:t>;</w:t>
      </w:r>
    </w:p>
    <w:p w14:paraId="48FB577F" w14:textId="61AB46A2" w:rsidR="00370920" w:rsidRDefault="00370920" w:rsidP="00A457BB">
      <w:pPr>
        <w:pStyle w:val="font-claude-response-body"/>
        <w:numPr>
          <w:ilvl w:val="0"/>
          <w:numId w:val="30"/>
        </w:numPr>
        <w:ind w:left="360"/>
        <w:jc w:val="both"/>
      </w:pPr>
      <w:r>
        <w:t>Krijimin e procedurave të përshpejtuara për rastet emergjente nëpërmjet neneve 20, 22/1</w:t>
      </w:r>
      <w:r w:rsidR="00DD073E">
        <w:t>;</w:t>
      </w:r>
    </w:p>
    <w:p w14:paraId="6D5877E1" w14:textId="02C1967D" w:rsidR="00370920" w:rsidRDefault="00370920" w:rsidP="00A457BB">
      <w:pPr>
        <w:pStyle w:val="font-claude-response-body"/>
        <w:numPr>
          <w:ilvl w:val="0"/>
          <w:numId w:val="30"/>
        </w:numPr>
        <w:ind w:left="360"/>
        <w:jc w:val="both"/>
      </w:pPr>
      <w:r>
        <w:t>Mbulimin e shpenzimeve kadastrale, noteriale, përmbarimore dhe tarifave të ekspertëve gjatë fazës së ekzekutimit</w:t>
      </w:r>
      <w:r w:rsidR="00DD073E">
        <w:t>;</w:t>
      </w:r>
    </w:p>
    <w:p w14:paraId="75FBDD49" w14:textId="24A13593" w:rsidR="00370920" w:rsidRDefault="00370920" w:rsidP="00A457BB">
      <w:pPr>
        <w:pStyle w:val="font-claude-response-body"/>
        <w:numPr>
          <w:ilvl w:val="0"/>
          <w:numId w:val="30"/>
        </w:numPr>
        <w:ind w:left="360"/>
        <w:jc w:val="both"/>
      </w:pPr>
      <w:r>
        <w:t>Forcimin e specializimit të avokatëve dhe vijueshmërinë e përfaqësimit juridi</w:t>
      </w:r>
      <w:r w:rsidR="00DD073E">
        <w:t>k;</w:t>
      </w:r>
    </w:p>
    <w:p w14:paraId="5A651EBF" w14:textId="579105D8" w:rsidR="00370920" w:rsidRDefault="00370920" w:rsidP="00A457BB">
      <w:pPr>
        <w:pStyle w:val="font-claude-response-body"/>
        <w:numPr>
          <w:ilvl w:val="0"/>
          <w:numId w:val="30"/>
        </w:numPr>
        <w:ind w:left="360"/>
        <w:jc w:val="both"/>
      </w:pPr>
      <w:r>
        <w:t>Përfshirjen e njësive të vetëqeverisjes vendore si aktorë mbështetës në sistemin e ndihmës juridike</w:t>
      </w:r>
      <w:r w:rsidR="00DD073E">
        <w:t>.</w:t>
      </w:r>
    </w:p>
    <w:p w14:paraId="7C06F3AE" w14:textId="77777777" w:rsidR="00DD073E" w:rsidRDefault="00DD073E" w:rsidP="00DD073E">
      <w:pPr>
        <w:tabs>
          <w:tab w:val="left" w:pos="10080"/>
        </w:tabs>
        <w:spacing w:line="276" w:lineRule="auto"/>
        <w:ind w:left="34"/>
        <w:jc w:val="both"/>
        <w:rPr>
          <w:szCs w:val="24"/>
        </w:rPr>
      </w:pPr>
      <w:r>
        <w:rPr>
          <w:color w:val="000000"/>
          <w:szCs w:val="24"/>
        </w:rPr>
        <w:t>Ky është opsioni i preferuar</w:t>
      </w:r>
      <w:r w:rsidRPr="002621C7">
        <w:rPr>
          <w:szCs w:val="24"/>
        </w:rPr>
        <w:t xml:space="preserve"> </w:t>
      </w:r>
      <w:r>
        <w:rPr>
          <w:szCs w:val="24"/>
        </w:rPr>
        <w:t xml:space="preserve">dhe është </w:t>
      </w:r>
      <w:r w:rsidRPr="00C12E81">
        <w:rPr>
          <w:color w:val="000000" w:themeColor="text1"/>
          <w:szCs w:val="24"/>
        </w:rPr>
        <w:t>një m</w:t>
      </w:r>
      <w:r>
        <w:rPr>
          <w:color w:val="000000" w:themeColor="text1"/>
          <w:szCs w:val="24"/>
        </w:rPr>
        <w:t>jet</w:t>
      </w:r>
      <w:r w:rsidRPr="00C12E81">
        <w:rPr>
          <w:color w:val="000000" w:themeColor="text1"/>
          <w:szCs w:val="24"/>
        </w:rPr>
        <w:t xml:space="preserve"> </w:t>
      </w:r>
      <w:r>
        <w:rPr>
          <w:color w:val="000000" w:themeColor="text1"/>
          <w:szCs w:val="24"/>
        </w:rPr>
        <w:t>i</w:t>
      </w:r>
      <w:r w:rsidRPr="00C12E81">
        <w:rPr>
          <w:color w:val="000000" w:themeColor="text1"/>
          <w:szCs w:val="24"/>
        </w:rPr>
        <w:t xml:space="preserve"> mjaftuesh</w:t>
      </w:r>
      <w:r>
        <w:rPr>
          <w:color w:val="000000" w:themeColor="text1"/>
          <w:szCs w:val="24"/>
        </w:rPr>
        <w:t>ë</w:t>
      </w:r>
      <w:r w:rsidRPr="00C12E81">
        <w:rPr>
          <w:color w:val="000000" w:themeColor="text1"/>
          <w:szCs w:val="24"/>
        </w:rPr>
        <w:t xml:space="preserve">m dhe </w:t>
      </w:r>
      <w:r>
        <w:rPr>
          <w:color w:val="000000" w:themeColor="text1"/>
          <w:szCs w:val="24"/>
        </w:rPr>
        <w:t>i</w:t>
      </w:r>
      <w:r w:rsidRPr="00C12E81">
        <w:rPr>
          <w:color w:val="000000" w:themeColor="text1"/>
          <w:szCs w:val="24"/>
        </w:rPr>
        <w:t xml:space="preserve"> përshtatsh</w:t>
      </w:r>
      <w:r>
        <w:rPr>
          <w:color w:val="000000" w:themeColor="text1"/>
          <w:szCs w:val="24"/>
        </w:rPr>
        <w:t>ë</w:t>
      </w:r>
      <w:r w:rsidRPr="00C12E81">
        <w:rPr>
          <w:color w:val="000000" w:themeColor="text1"/>
          <w:szCs w:val="24"/>
        </w:rPr>
        <w:t>m</w:t>
      </w:r>
      <w:r>
        <w:rPr>
          <w:color w:val="000000" w:themeColor="text1"/>
          <w:szCs w:val="24"/>
        </w:rPr>
        <w:t>,</w:t>
      </w:r>
      <w:r>
        <w:rPr>
          <w:color w:val="000000"/>
          <w:szCs w:val="24"/>
        </w:rPr>
        <w:t xml:space="preserve"> pasi përmes tij </w:t>
      </w:r>
      <w:r>
        <w:rPr>
          <w:szCs w:val="24"/>
        </w:rPr>
        <w:t xml:space="preserve">arrihen objektivat dhe adresohen problemet që diktojnë nevojën për ndërhyrje dhe paraqet kosto më të ulët. Edhe nga pikëpamja e teknikës legjislative ky opsion është opsioni i preferuar për shkak se nuk parashikohet të kryhen ndryshime që prekin më shumë se 50% të dispozitave të ligjit. </w:t>
      </w:r>
    </w:p>
    <w:p w14:paraId="13DA1365" w14:textId="77777777" w:rsidR="00DD073E" w:rsidRDefault="00DD073E" w:rsidP="00DD073E">
      <w:pPr>
        <w:tabs>
          <w:tab w:val="left" w:pos="10080"/>
        </w:tabs>
        <w:spacing w:line="276" w:lineRule="auto"/>
        <w:ind w:left="34"/>
        <w:jc w:val="both"/>
        <w:rPr>
          <w:szCs w:val="24"/>
        </w:rPr>
      </w:pPr>
    </w:p>
    <w:p w14:paraId="64D0544C" w14:textId="31BF52D9" w:rsidR="00DD073E" w:rsidRPr="00DD073E" w:rsidRDefault="00DD073E" w:rsidP="00DD073E">
      <w:pPr>
        <w:tabs>
          <w:tab w:val="left" w:pos="10080"/>
        </w:tabs>
        <w:spacing w:line="276" w:lineRule="auto"/>
        <w:ind w:left="34"/>
        <w:jc w:val="both"/>
        <w:rPr>
          <w:szCs w:val="24"/>
        </w:rPr>
      </w:pPr>
      <w:r>
        <w:rPr>
          <w:rStyle w:val="Strong"/>
        </w:rPr>
        <w:t>Opsioni 3: Miratimi i një ligji të ri</w:t>
      </w:r>
    </w:p>
    <w:p w14:paraId="273ED8C1" w14:textId="4563252E" w:rsidR="00DD073E" w:rsidRDefault="00DD073E" w:rsidP="0075002E">
      <w:pPr>
        <w:pStyle w:val="font-claude-response-body"/>
        <w:spacing w:after="0" w:afterAutospacing="0"/>
        <w:jc w:val="both"/>
      </w:pPr>
      <w:r>
        <w:t>Ky opsion parashikon hartimin dhe miratimin e një ligji krejtësisht të ri për ndihmën juridike të garantuar nga shteti, duke zëvendësuar në tërësi ligjin nr. 111/2017. Pavarësisht kësaj, ky opsion paraqet një sërë pengesash të rëndësishme:</w:t>
      </w:r>
    </w:p>
    <w:p w14:paraId="310E223B" w14:textId="028F1322" w:rsidR="00DD073E" w:rsidRDefault="00DD073E" w:rsidP="00A457BB">
      <w:pPr>
        <w:pStyle w:val="font-claude-response-body"/>
        <w:numPr>
          <w:ilvl w:val="0"/>
          <w:numId w:val="31"/>
        </w:numPr>
        <w:ind w:left="360"/>
        <w:jc w:val="both"/>
      </w:pPr>
      <w:r>
        <w:t>Kërkon kosto ndjeshëm më të larta hartimi, konsultimi dhe zbatimi krahasuar me opsionin 2;</w:t>
      </w:r>
    </w:p>
    <w:p w14:paraId="0643FB2B" w14:textId="45DDB886" w:rsidR="00DD073E" w:rsidRDefault="00DD073E" w:rsidP="00A457BB">
      <w:pPr>
        <w:pStyle w:val="font-claude-response-body"/>
        <w:numPr>
          <w:ilvl w:val="0"/>
          <w:numId w:val="31"/>
        </w:numPr>
        <w:ind w:left="360"/>
        <w:jc w:val="both"/>
      </w:pPr>
      <w:r>
        <w:t>Kërkon një periudhë të gjatë përgatitjeje që do të vononte zgjidhjen e problemeve të identifikuara;</w:t>
      </w:r>
    </w:p>
    <w:p w14:paraId="27AB2658" w14:textId="65FCB6DC" w:rsidR="00DD073E" w:rsidRDefault="00DD073E" w:rsidP="0075002E">
      <w:pPr>
        <w:pStyle w:val="font-claude-response-body"/>
        <w:numPr>
          <w:ilvl w:val="0"/>
          <w:numId w:val="31"/>
        </w:numPr>
        <w:ind w:left="360"/>
        <w:jc w:val="both"/>
      </w:pPr>
      <w:r>
        <w:t>Përfitimet e pritshme do të ishin të njëjta me ato të opsionit 2, por me kosto dhe rreziqe zbatimi ndjeshëm më të larta.</w:t>
      </w:r>
    </w:p>
    <w:p w14:paraId="38FF568F" w14:textId="04F63C27" w:rsidR="008E3CFB" w:rsidRPr="00DD073E" w:rsidRDefault="00DD073E" w:rsidP="00DD073E">
      <w:pPr>
        <w:pStyle w:val="font-claude-response-body"/>
        <w:jc w:val="both"/>
      </w:pPr>
      <w:r>
        <w:t>Për këto arsye, ky opsion është vlerësuar si i pajustifikueshëm nga pikëpamja e proporcionalitetit të ndërhyrjes dhe efikasitetit në përdorimin e burimeve publike.</w:t>
      </w:r>
    </w:p>
    <w:p w14:paraId="38233EFF" w14:textId="45DC09F9" w:rsidR="00D3286E" w:rsidRPr="00325A1F" w:rsidRDefault="002125B7" w:rsidP="009D13F4">
      <w:pPr>
        <w:pStyle w:val="Heading1"/>
        <w:spacing w:line="276" w:lineRule="auto"/>
        <w:rPr>
          <w:rFonts w:ascii="Times New Roman" w:hAnsi="Times New Roman" w:cs="Times New Roman"/>
          <w:sz w:val="24"/>
          <w:szCs w:val="24"/>
        </w:rPr>
      </w:pPr>
      <w:r w:rsidRPr="00325A1F">
        <w:rPr>
          <w:rFonts w:ascii="Times New Roman" w:hAnsi="Times New Roman" w:cs="Times New Roman"/>
          <w:sz w:val="24"/>
          <w:szCs w:val="24"/>
        </w:rPr>
        <w:t>Vlerësimi i opsioneve/analizimi i ndikimeve</w:t>
      </w:r>
      <w:r w:rsidR="00D3286E" w:rsidRPr="00325A1F">
        <w:rPr>
          <w:rFonts w:ascii="Times New Roman" w:hAnsi="Times New Roman" w:cs="Times New Roman"/>
          <w:sz w:val="24"/>
          <w:szCs w:val="24"/>
        </w:rPr>
        <w:fldChar w:fldCharType="begin">
          <w:ffData>
            <w:name w:val=""/>
            <w:enabled/>
            <w:calcOnExit w:val="0"/>
            <w:textInput>
              <w:default w:val="•   Për ndikimet e drejtpërdrejta:"/>
              <w:maxLength w:val="5000"/>
            </w:textInput>
          </w:ffData>
        </w:fldChar>
      </w:r>
      <w:r w:rsidR="00D3286E" w:rsidRPr="00325A1F">
        <w:rPr>
          <w:rFonts w:ascii="Times New Roman" w:hAnsi="Times New Roman" w:cs="Times New Roman"/>
          <w:sz w:val="24"/>
          <w:szCs w:val="24"/>
        </w:rPr>
        <w:instrText xml:space="preserve"> FORMTEXT </w:instrText>
      </w:r>
      <w:r w:rsidR="00D3286E" w:rsidRPr="00325A1F">
        <w:rPr>
          <w:rFonts w:ascii="Times New Roman" w:hAnsi="Times New Roman" w:cs="Times New Roman"/>
          <w:sz w:val="24"/>
          <w:szCs w:val="24"/>
        </w:rPr>
      </w:r>
      <w:r w:rsidR="00D3286E" w:rsidRPr="00325A1F">
        <w:rPr>
          <w:rFonts w:ascii="Times New Roman" w:hAnsi="Times New Roman" w:cs="Times New Roman"/>
          <w:sz w:val="24"/>
          <w:szCs w:val="24"/>
        </w:rPr>
        <w:fldChar w:fldCharType="separate"/>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noProof/>
          <w:sz w:val="24"/>
          <w:szCs w:val="24"/>
        </w:rPr>
        <w:t> </w:t>
      </w:r>
      <w:r w:rsidR="00D3286E" w:rsidRPr="00325A1F">
        <w:rPr>
          <w:rFonts w:ascii="Times New Roman" w:hAnsi="Times New Roman" w:cs="Times New Roman"/>
          <w:sz w:val="24"/>
          <w:szCs w:val="24"/>
        </w:rPr>
        <w:fldChar w:fldCharType="end"/>
      </w:r>
    </w:p>
    <w:p w14:paraId="5E8560EB" w14:textId="77777777" w:rsidR="0075002E" w:rsidRDefault="0097570D" w:rsidP="0075002E">
      <w:pPr>
        <w:pStyle w:val="BodyText"/>
        <w:numPr>
          <w:ilvl w:val="0"/>
          <w:numId w:val="16"/>
        </w:numPr>
        <w:tabs>
          <w:tab w:val="left" w:pos="567"/>
        </w:tabs>
        <w:spacing w:after="0" w:line="276" w:lineRule="auto"/>
        <w:jc w:val="both"/>
        <w:rPr>
          <w:rFonts w:cs="Times New Roman"/>
          <w:i/>
          <w:sz w:val="24"/>
          <w:szCs w:val="24"/>
        </w:rPr>
      </w:pPr>
      <w:bookmarkStart w:id="13" w:name="_Hlk506916825"/>
      <w:r w:rsidRPr="0032145B">
        <w:rPr>
          <w:rFonts w:cs="Times New Roman"/>
          <w:i/>
          <w:sz w:val="24"/>
          <w:szCs w:val="24"/>
        </w:rPr>
        <w:t>Identifikoni grupet e prekura.</w:t>
      </w:r>
    </w:p>
    <w:p w14:paraId="0EEE4232" w14:textId="66B23AC4" w:rsidR="0097570D" w:rsidRPr="0075002E" w:rsidRDefault="0097570D" w:rsidP="0075002E">
      <w:pPr>
        <w:pStyle w:val="BodyText"/>
        <w:numPr>
          <w:ilvl w:val="0"/>
          <w:numId w:val="16"/>
        </w:numPr>
        <w:tabs>
          <w:tab w:val="left" w:pos="567"/>
        </w:tabs>
        <w:spacing w:after="0" w:line="276" w:lineRule="auto"/>
        <w:jc w:val="both"/>
        <w:rPr>
          <w:rFonts w:cs="Times New Roman"/>
          <w:i/>
          <w:sz w:val="24"/>
          <w:szCs w:val="24"/>
        </w:rPr>
      </w:pPr>
      <w:r w:rsidRPr="0075002E">
        <w:rPr>
          <w:rFonts w:cs="Times New Roman"/>
          <w:i/>
          <w:sz w:val="24"/>
          <w:szCs w:val="24"/>
        </w:rPr>
        <w:t>Identifikoni llojet e ndikimeve për secilin grup të prekur, bëni dallimin midis ndikimeve të drejtpërdrejta dhe jo të drejtpërdrejta.</w:t>
      </w:r>
    </w:p>
    <w:p w14:paraId="506D0EA7" w14:textId="5434D279" w:rsidR="0097570D" w:rsidRPr="0075002E" w:rsidRDefault="0097570D" w:rsidP="0075002E">
      <w:pPr>
        <w:pStyle w:val="BodyText"/>
        <w:numPr>
          <w:ilvl w:val="0"/>
          <w:numId w:val="16"/>
        </w:numPr>
        <w:tabs>
          <w:tab w:val="left" w:pos="567"/>
        </w:tabs>
        <w:spacing w:after="0" w:line="276" w:lineRule="auto"/>
        <w:jc w:val="both"/>
        <w:rPr>
          <w:rFonts w:cs="Times New Roman"/>
          <w:i/>
          <w:sz w:val="24"/>
          <w:szCs w:val="24"/>
        </w:rPr>
      </w:pPr>
      <w:r w:rsidRPr="0032145B">
        <w:rPr>
          <w:rFonts w:cs="Times New Roman"/>
          <w:i/>
          <w:sz w:val="24"/>
          <w:szCs w:val="24"/>
        </w:rPr>
        <w:t>Për ndikimet e drejtpërdrejta:</w:t>
      </w:r>
    </w:p>
    <w:p w14:paraId="02D7F862" w14:textId="77777777" w:rsidR="0097570D" w:rsidRPr="0032145B" w:rsidRDefault="0097570D" w:rsidP="0075002E">
      <w:pPr>
        <w:pStyle w:val="BodyText"/>
        <w:numPr>
          <w:ilvl w:val="1"/>
          <w:numId w:val="16"/>
        </w:numPr>
        <w:tabs>
          <w:tab w:val="left" w:pos="567"/>
        </w:tabs>
        <w:spacing w:after="0" w:line="276" w:lineRule="auto"/>
        <w:ind w:left="1224"/>
        <w:jc w:val="both"/>
        <w:rPr>
          <w:rFonts w:eastAsiaTheme="majorEastAsia" w:cs="Times New Roman"/>
          <w:i/>
          <w:sz w:val="24"/>
          <w:szCs w:val="24"/>
        </w:rPr>
      </w:pPr>
      <w:r w:rsidRPr="0032145B">
        <w:rPr>
          <w:rFonts w:eastAsiaTheme="majorEastAsia" w:cs="Times New Roman"/>
          <w:i/>
          <w:sz w:val="24"/>
          <w:szCs w:val="24"/>
        </w:rPr>
        <w:t>Përshkruani nga ana cilësore ndikimet e drejtpërdrejta mbi grupet e prekura.</w:t>
      </w:r>
    </w:p>
    <w:p w14:paraId="326087AB" w14:textId="77777777" w:rsidR="0097570D" w:rsidRPr="0032145B" w:rsidRDefault="0097570D" w:rsidP="0075002E">
      <w:pPr>
        <w:pStyle w:val="BodyText"/>
        <w:numPr>
          <w:ilvl w:val="1"/>
          <w:numId w:val="16"/>
        </w:numPr>
        <w:tabs>
          <w:tab w:val="left" w:pos="567"/>
        </w:tabs>
        <w:spacing w:after="0" w:line="276" w:lineRule="auto"/>
        <w:ind w:left="1224"/>
        <w:jc w:val="both"/>
        <w:rPr>
          <w:rFonts w:eastAsiaTheme="majorEastAsia" w:cs="Times New Roman"/>
          <w:i/>
          <w:sz w:val="24"/>
          <w:szCs w:val="24"/>
        </w:rPr>
      </w:pPr>
      <w:r w:rsidRPr="0032145B">
        <w:rPr>
          <w:rFonts w:eastAsiaTheme="majorEastAsia" w:cs="Times New Roman"/>
          <w:i/>
          <w:sz w:val="24"/>
          <w:szCs w:val="24"/>
        </w:rPr>
        <w:t>Analizoni nga ana sasiore ndikimet më të rëndësishme të drejtpërdrejta.</w:t>
      </w:r>
    </w:p>
    <w:p w14:paraId="3C416A37" w14:textId="6ED3752E" w:rsidR="0097570D" w:rsidRPr="0032145B" w:rsidRDefault="0097570D" w:rsidP="0075002E">
      <w:pPr>
        <w:pStyle w:val="BodyText"/>
        <w:numPr>
          <w:ilvl w:val="1"/>
          <w:numId w:val="16"/>
        </w:numPr>
        <w:tabs>
          <w:tab w:val="left" w:pos="567"/>
        </w:tabs>
        <w:spacing w:after="0" w:line="276" w:lineRule="auto"/>
        <w:ind w:left="1224"/>
        <w:jc w:val="both"/>
        <w:rPr>
          <w:rFonts w:eastAsiaTheme="majorEastAsia" w:cs="Times New Roman"/>
          <w:i/>
          <w:sz w:val="24"/>
          <w:szCs w:val="24"/>
        </w:rPr>
      </w:pPr>
      <w:r w:rsidRPr="0032145B">
        <w:rPr>
          <w:rFonts w:eastAsiaTheme="majorEastAsia" w:cs="Times New Roman"/>
          <w:i/>
          <w:sz w:val="24"/>
          <w:szCs w:val="24"/>
        </w:rPr>
        <w:t xml:space="preserve">Përcaktoni vlerën monetare të ndikimeve më të rëndësishme të drejtpërdrejta aty ku është e mundur (përdor tabelën në </w:t>
      </w:r>
      <w:r w:rsidR="00BD1479">
        <w:rPr>
          <w:rFonts w:eastAsiaTheme="majorEastAsia" w:cs="Times New Roman"/>
          <w:i/>
          <w:sz w:val="24"/>
          <w:szCs w:val="24"/>
        </w:rPr>
        <w:t>A</w:t>
      </w:r>
      <w:r w:rsidRPr="0032145B">
        <w:rPr>
          <w:rFonts w:eastAsiaTheme="majorEastAsia" w:cs="Times New Roman"/>
          <w:i/>
          <w:sz w:val="24"/>
          <w:szCs w:val="24"/>
        </w:rPr>
        <w:t>neksin 2/a të këtij dokumenti).</w:t>
      </w:r>
    </w:p>
    <w:p w14:paraId="413A5D5A" w14:textId="3C5CE3FC" w:rsidR="0097570D" w:rsidRPr="0032145B" w:rsidRDefault="0097570D" w:rsidP="0075002E">
      <w:pPr>
        <w:pStyle w:val="BodyText"/>
        <w:numPr>
          <w:ilvl w:val="1"/>
          <w:numId w:val="16"/>
        </w:numPr>
        <w:tabs>
          <w:tab w:val="left" w:pos="567"/>
        </w:tabs>
        <w:spacing w:after="0" w:line="276" w:lineRule="auto"/>
        <w:ind w:left="1224"/>
        <w:jc w:val="both"/>
        <w:rPr>
          <w:rFonts w:cs="Times New Roman"/>
          <w:i/>
          <w:sz w:val="24"/>
          <w:szCs w:val="24"/>
        </w:rPr>
      </w:pPr>
      <w:r w:rsidRPr="0032145B">
        <w:rPr>
          <w:rFonts w:eastAsiaTheme="majorEastAsia" w:cs="Times New Roman"/>
          <w:i/>
          <w:sz w:val="24"/>
          <w:szCs w:val="24"/>
        </w:rPr>
        <w:t>Analizoni ndikimin mbi ndërmarrjet e vogla dhe të mesme (nëse ka).</w:t>
      </w:r>
    </w:p>
    <w:p w14:paraId="0E48AD0E" w14:textId="076371C2" w:rsidR="0097570D" w:rsidRPr="0032145B" w:rsidRDefault="0097570D" w:rsidP="0075002E">
      <w:pPr>
        <w:pStyle w:val="BodyText"/>
        <w:numPr>
          <w:ilvl w:val="0"/>
          <w:numId w:val="16"/>
        </w:numPr>
        <w:tabs>
          <w:tab w:val="left" w:pos="567"/>
        </w:tabs>
        <w:spacing w:after="0" w:line="276" w:lineRule="auto"/>
        <w:jc w:val="both"/>
        <w:rPr>
          <w:rFonts w:cs="Times New Roman"/>
          <w:i/>
          <w:sz w:val="24"/>
          <w:szCs w:val="24"/>
        </w:rPr>
      </w:pPr>
      <w:r w:rsidRPr="0032145B">
        <w:rPr>
          <w:rFonts w:cs="Times New Roman"/>
          <w:i/>
          <w:sz w:val="24"/>
          <w:szCs w:val="24"/>
        </w:rPr>
        <w:t>Për ndikimet jo të drejtpërdrejta:</w:t>
      </w:r>
    </w:p>
    <w:p w14:paraId="1523AD82" w14:textId="77777777" w:rsidR="0097570D" w:rsidRPr="0032145B" w:rsidRDefault="0097570D" w:rsidP="0075002E">
      <w:pPr>
        <w:pStyle w:val="BodyText"/>
        <w:numPr>
          <w:ilvl w:val="1"/>
          <w:numId w:val="16"/>
        </w:numPr>
        <w:tabs>
          <w:tab w:val="left" w:pos="567"/>
        </w:tabs>
        <w:spacing w:after="0" w:line="276" w:lineRule="auto"/>
        <w:ind w:left="1224"/>
        <w:jc w:val="both"/>
        <w:rPr>
          <w:rFonts w:cs="Times New Roman"/>
          <w:i/>
          <w:sz w:val="24"/>
          <w:szCs w:val="24"/>
        </w:rPr>
      </w:pPr>
      <w:r w:rsidRPr="0032145B">
        <w:rPr>
          <w:rFonts w:eastAsiaTheme="majorEastAsia" w:cs="Times New Roman"/>
          <w:i/>
          <w:sz w:val="24"/>
          <w:szCs w:val="24"/>
        </w:rPr>
        <w:t>Përshkruani nga ana cilësore ndikimet jo të drejtpërdrejta mbi grupet e prekura.</w:t>
      </w:r>
    </w:p>
    <w:p w14:paraId="3FA4B359" w14:textId="2BC6772B" w:rsidR="0097570D" w:rsidRPr="0032145B" w:rsidRDefault="0097570D" w:rsidP="0075002E">
      <w:pPr>
        <w:pStyle w:val="BodyText"/>
        <w:numPr>
          <w:ilvl w:val="1"/>
          <w:numId w:val="16"/>
        </w:numPr>
        <w:tabs>
          <w:tab w:val="left" w:pos="567"/>
        </w:tabs>
        <w:spacing w:after="0" w:line="276" w:lineRule="auto"/>
        <w:ind w:left="1224"/>
        <w:jc w:val="both"/>
        <w:rPr>
          <w:rFonts w:cs="Times New Roman"/>
          <w:i/>
          <w:sz w:val="24"/>
          <w:szCs w:val="24"/>
        </w:rPr>
      </w:pPr>
      <w:r w:rsidRPr="0032145B">
        <w:rPr>
          <w:rFonts w:eastAsiaTheme="majorEastAsia" w:cs="Times New Roman"/>
          <w:i/>
          <w:sz w:val="24"/>
          <w:szCs w:val="24"/>
        </w:rPr>
        <w:t>Analizoni ndikimin mbi konkurrencën.</w:t>
      </w:r>
      <w:r w:rsidRPr="0032145B">
        <w:rPr>
          <w:rFonts w:cs="Times New Roman"/>
          <w:i/>
          <w:sz w:val="24"/>
          <w:szCs w:val="24"/>
        </w:rPr>
        <w:t xml:space="preserve">  </w:t>
      </w:r>
    </w:p>
    <w:p w14:paraId="72A4965F" w14:textId="352220CF" w:rsidR="0097570D" w:rsidRPr="0032145B" w:rsidRDefault="0097570D" w:rsidP="0075002E">
      <w:pPr>
        <w:pStyle w:val="BodyText"/>
        <w:numPr>
          <w:ilvl w:val="0"/>
          <w:numId w:val="16"/>
        </w:numPr>
        <w:tabs>
          <w:tab w:val="left" w:pos="567"/>
        </w:tabs>
        <w:spacing w:after="0" w:line="276" w:lineRule="auto"/>
        <w:jc w:val="both"/>
        <w:rPr>
          <w:rFonts w:cs="Times New Roman"/>
          <w:i/>
          <w:sz w:val="24"/>
          <w:szCs w:val="24"/>
        </w:rPr>
      </w:pPr>
      <w:r w:rsidRPr="0032145B">
        <w:rPr>
          <w:rFonts w:cs="Times New Roman"/>
          <w:i/>
          <w:sz w:val="24"/>
          <w:szCs w:val="24"/>
        </w:rPr>
        <w:t>Diskutoni</w:t>
      </w:r>
      <w:bookmarkStart w:id="14" w:name="_Hlk221096399"/>
      <w:r w:rsidRPr="0032145B">
        <w:rPr>
          <w:rFonts w:cs="Times New Roman"/>
          <w:i/>
          <w:sz w:val="24"/>
          <w:szCs w:val="24"/>
        </w:rPr>
        <w:t xml:space="preserve"> kufizimin e analizës</w:t>
      </w:r>
      <w:bookmarkEnd w:id="14"/>
      <w:r w:rsidRPr="0032145B">
        <w:rPr>
          <w:rFonts w:cs="Times New Roman"/>
          <w:i/>
          <w:sz w:val="24"/>
          <w:szCs w:val="24"/>
        </w:rPr>
        <w:t>:</w:t>
      </w:r>
    </w:p>
    <w:p w14:paraId="2F29AF67" w14:textId="77777777" w:rsidR="0097570D" w:rsidRPr="0032145B" w:rsidRDefault="0097570D" w:rsidP="0075002E">
      <w:pPr>
        <w:pStyle w:val="BodyText"/>
        <w:numPr>
          <w:ilvl w:val="1"/>
          <w:numId w:val="16"/>
        </w:numPr>
        <w:tabs>
          <w:tab w:val="left" w:pos="567"/>
        </w:tabs>
        <w:spacing w:after="0" w:line="276" w:lineRule="auto"/>
        <w:ind w:left="1224"/>
        <w:jc w:val="both"/>
        <w:rPr>
          <w:rFonts w:cs="Times New Roman"/>
          <w:i/>
          <w:sz w:val="24"/>
          <w:szCs w:val="24"/>
        </w:rPr>
      </w:pPr>
      <w:bookmarkStart w:id="15" w:name="_Hlk506917230"/>
      <w:bookmarkEnd w:id="13"/>
      <w:r w:rsidRPr="0032145B">
        <w:rPr>
          <w:rFonts w:cs="Times New Roman"/>
          <w:i/>
          <w:sz w:val="24"/>
          <w:szCs w:val="24"/>
        </w:rPr>
        <w:t>Jepni supozimet në të cilat janë bazuar parashikimet dhe risqet, të cilave ato u nënshtrohen.</w:t>
      </w:r>
    </w:p>
    <w:p w14:paraId="0271CC12" w14:textId="6A4CCF7F" w:rsidR="0097570D" w:rsidRPr="0032145B" w:rsidRDefault="0097570D" w:rsidP="0075002E">
      <w:pPr>
        <w:pStyle w:val="BodyText"/>
        <w:numPr>
          <w:ilvl w:val="1"/>
          <w:numId w:val="16"/>
        </w:numPr>
        <w:tabs>
          <w:tab w:val="left" w:pos="567"/>
        </w:tabs>
        <w:spacing w:after="0" w:line="276" w:lineRule="auto"/>
        <w:ind w:left="1224"/>
        <w:jc w:val="both"/>
        <w:rPr>
          <w:rFonts w:cs="Times New Roman"/>
          <w:i/>
          <w:sz w:val="24"/>
          <w:szCs w:val="24"/>
        </w:rPr>
      </w:pPr>
      <w:r w:rsidRPr="0032145B">
        <w:rPr>
          <w:rFonts w:cs="Times New Roman"/>
          <w:i/>
          <w:sz w:val="24"/>
          <w:szCs w:val="24"/>
        </w:rPr>
        <w:t>Tregoni se çfarë mund të pengojë realizimin e përfitimeve, të rrisë kostot ose të sjellë pasoja të papritura.</w:t>
      </w:r>
    </w:p>
    <w:p w14:paraId="5D0C1620" w14:textId="3C215225" w:rsidR="0097570D" w:rsidRPr="0032145B" w:rsidRDefault="0097570D" w:rsidP="0075002E">
      <w:pPr>
        <w:pStyle w:val="BodyText"/>
        <w:numPr>
          <w:ilvl w:val="0"/>
          <w:numId w:val="16"/>
        </w:numPr>
        <w:tabs>
          <w:tab w:val="left" w:pos="567"/>
        </w:tabs>
        <w:spacing w:after="0" w:line="276" w:lineRule="auto"/>
        <w:jc w:val="both"/>
        <w:rPr>
          <w:rFonts w:cs="Times New Roman"/>
          <w:i/>
          <w:sz w:val="24"/>
          <w:szCs w:val="24"/>
        </w:rPr>
      </w:pPr>
      <w:r w:rsidRPr="0032145B">
        <w:rPr>
          <w:rFonts w:cs="Times New Roman"/>
          <w:i/>
          <w:sz w:val="24"/>
          <w:szCs w:val="24"/>
        </w:rPr>
        <w:t>Përmblidhni vlerësimin e opsioneve:</w:t>
      </w:r>
    </w:p>
    <w:p w14:paraId="33B9A856" w14:textId="77777777" w:rsidR="0097570D" w:rsidRPr="0032145B" w:rsidRDefault="0097570D" w:rsidP="0075002E">
      <w:pPr>
        <w:pStyle w:val="BodyText"/>
        <w:numPr>
          <w:ilvl w:val="1"/>
          <w:numId w:val="16"/>
        </w:numPr>
        <w:tabs>
          <w:tab w:val="left" w:pos="567"/>
        </w:tabs>
        <w:spacing w:after="0" w:line="276" w:lineRule="auto"/>
        <w:ind w:left="1224"/>
        <w:jc w:val="both"/>
        <w:rPr>
          <w:rFonts w:cs="Times New Roman"/>
          <w:i/>
          <w:sz w:val="24"/>
          <w:szCs w:val="24"/>
        </w:rPr>
      </w:pPr>
      <w:r w:rsidRPr="0032145B">
        <w:rPr>
          <w:rFonts w:cs="Times New Roman"/>
          <w:i/>
          <w:sz w:val="24"/>
          <w:szCs w:val="24"/>
        </w:rPr>
        <w:t>Paraqisni një pasqyrë përmbledhëse të të gjitha ndikimeve të opsioneve të analizuara.</w:t>
      </w:r>
    </w:p>
    <w:p w14:paraId="747BB57E" w14:textId="77777777" w:rsidR="0097570D" w:rsidRPr="0032145B" w:rsidRDefault="0097570D" w:rsidP="0075002E">
      <w:pPr>
        <w:pStyle w:val="BodyText"/>
        <w:numPr>
          <w:ilvl w:val="1"/>
          <w:numId w:val="16"/>
        </w:numPr>
        <w:tabs>
          <w:tab w:val="left" w:pos="567"/>
        </w:tabs>
        <w:spacing w:after="0" w:line="276" w:lineRule="auto"/>
        <w:ind w:left="1224"/>
        <w:jc w:val="both"/>
        <w:rPr>
          <w:rFonts w:cs="Times New Roman"/>
          <w:i/>
          <w:sz w:val="24"/>
          <w:szCs w:val="24"/>
        </w:rPr>
      </w:pPr>
      <w:r w:rsidRPr="0032145B">
        <w:rPr>
          <w:rFonts w:cs="Times New Roman"/>
          <w:i/>
          <w:sz w:val="24"/>
          <w:szCs w:val="24"/>
        </w:rPr>
        <w:t>Shpjegoni se si ndikimet e të gjitha opsioneve të analizuara krahasohen me njëra-tjetrën.</w:t>
      </w:r>
    </w:p>
    <w:p w14:paraId="01586808" w14:textId="41B8978F" w:rsidR="002125B7" w:rsidRPr="0032145B" w:rsidRDefault="0097570D" w:rsidP="0075002E">
      <w:pPr>
        <w:pStyle w:val="BodyText"/>
        <w:numPr>
          <w:ilvl w:val="1"/>
          <w:numId w:val="16"/>
        </w:numPr>
        <w:tabs>
          <w:tab w:val="left" w:pos="567"/>
        </w:tabs>
        <w:spacing w:after="0" w:line="276" w:lineRule="auto"/>
        <w:ind w:left="1224"/>
        <w:jc w:val="both"/>
        <w:rPr>
          <w:rFonts w:cs="Times New Roman"/>
          <w:i/>
          <w:sz w:val="24"/>
          <w:szCs w:val="24"/>
        </w:rPr>
      </w:pPr>
      <w:r w:rsidRPr="0032145B">
        <w:rPr>
          <w:rFonts w:cs="Times New Roman"/>
          <w:i/>
          <w:sz w:val="24"/>
          <w:szCs w:val="24"/>
        </w:rPr>
        <w:lastRenderedPageBreak/>
        <w:t xml:space="preserve">Paraqisni përllogaritjet më të mira të përgjithshme neto të ndikimit me vlerë monetare të përcaktuar për çdo opsion </w:t>
      </w:r>
      <w:r w:rsidR="00372979">
        <w:rPr>
          <w:rFonts w:eastAsiaTheme="majorEastAsia" w:cs="Times New Roman"/>
          <w:i/>
          <w:sz w:val="24"/>
          <w:szCs w:val="24"/>
        </w:rPr>
        <w:t>(përdor tabelën në A</w:t>
      </w:r>
      <w:r w:rsidRPr="0032145B">
        <w:rPr>
          <w:rFonts w:eastAsiaTheme="majorEastAsia" w:cs="Times New Roman"/>
          <w:i/>
          <w:sz w:val="24"/>
          <w:szCs w:val="24"/>
        </w:rPr>
        <w:t>neksin 2/b të këtij dokumenti).</w:t>
      </w:r>
      <w:bookmarkStart w:id="16" w:name="_Toc506919738"/>
      <w:bookmarkEnd w:id="15"/>
    </w:p>
    <w:bookmarkEnd w:id="16"/>
    <w:p w14:paraId="515B1460" w14:textId="77777777" w:rsidR="00F62D17" w:rsidRDefault="00F62D17" w:rsidP="00B60454">
      <w:pPr>
        <w:spacing w:line="276" w:lineRule="auto"/>
        <w:jc w:val="both"/>
        <w:rPr>
          <w:szCs w:val="24"/>
          <w:lang w:eastAsia="x-none"/>
        </w:rPr>
      </w:pPr>
    </w:p>
    <w:p w14:paraId="470CA0F4" w14:textId="27C1D026" w:rsidR="00FF4BF6" w:rsidRPr="006F694F" w:rsidRDefault="006F694F" w:rsidP="00B60454">
      <w:pPr>
        <w:spacing w:line="276" w:lineRule="auto"/>
        <w:jc w:val="both"/>
        <w:rPr>
          <w:szCs w:val="24"/>
          <w:lang w:eastAsia="x-none"/>
        </w:rPr>
      </w:pPr>
      <w:r>
        <w:t xml:space="preserve">Projektligji shtrin efektet e tij mbi një sërë subjektesh juridike dhe institucionale, </w:t>
      </w:r>
      <w:r w:rsidRPr="00935FDB">
        <w:t>të cilat preken në mënyra dhe shkallë të ndryshme nga ndryshimet normative të propozuara.</w:t>
      </w:r>
      <w:r w:rsidRPr="00935FDB">
        <w:rPr>
          <w:szCs w:val="24"/>
          <w:lang w:eastAsia="x-none"/>
        </w:rPr>
        <w:t xml:space="preserve"> </w:t>
      </w:r>
      <w:r w:rsidR="00FF4BF6" w:rsidRPr="00935FDB">
        <w:rPr>
          <w:szCs w:val="24"/>
          <w:lang w:eastAsia="x-none"/>
        </w:rPr>
        <w:t>Grupet e prekura nga opsioni 2 janë qytetarët</w:t>
      </w:r>
      <w:r w:rsidRPr="00935FDB">
        <w:rPr>
          <w:b/>
          <w:bCs/>
          <w:szCs w:val="24"/>
          <w:lang w:eastAsia="x-none"/>
        </w:rPr>
        <w:t>/</w:t>
      </w:r>
      <w:r w:rsidRPr="00935FDB">
        <w:rPr>
          <w:szCs w:val="24"/>
          <w:lang w:eastAsia="x-none"/>
        </w:rPr>
        <w:t>përfituesit e ndihmës juridike të garantuar nga shteti</w:t>
      </w:r>
      <w:r w:rsidR="00FF4BF6" w:rsidRPr="00935FDB">
        <w:rPr>
          <w:szCs w:val="24"/>
          <w:lang w:eastAsia="x-none"/>
        </w:rPr>
        <w:t xml:space="preserve">, </w:t>
      </w:r>
      <w:r w:rsidR="00FF4BF6" w:rsidRPr="00935FDB">
        <w:t>qeveria</w:t>
      </w:r>
      <w:r w:rsidRPr="00935FDB">
        <w:rPr>
          <w:color w:val="000000"/>
          <w:szCs w:val="24"/>
        </w:rPr>
        <w:t xml:space="preserve"> dhe institucionet publike</w:t>
      </w:r>
      <w:r w:rsidR="00FF4BF6" w:rsidRPr="00935FDB">
        <w:t xml:space="preserve">, </w:t>
      </w:r>
      <w:r w:rsidR="009B6724" w:rsidRPr="00935FDB">
        <w:t>avokatët që ofrojnë shërbime në kuadër të</w:t>
      </w:r>
      <w:r w:rsidR="00C66208" w:rsidRPr="00935FDB">
        <w:t xml:space="preserve"> </w:t>
      </w:r>
      <w:r w:rsidR="009B6724" w:rsidRPr="00935FDB">
        <w:t>ndihmës juridike,</w:t>
      </w:r>
      <w:bookmarkStart w:id="17" w:name="_Hlk221095595"/>
      <w:r w:rsidR="002864EF" w:rsidRPr="00935FDB">
        <w:t xml:space="preserve"> </w:t>
      </w:r>
      <w:r w:rsidR="009B6724" w:rsidRPr="00935FDB">
        <w:t xml:space="preserve">gjykatat dhe </w:t>
      </w:r>
      <w:bookmarkEnd w:id="17"/>
      <w:r w:rsidR="006A7509" w:rsidRPr="00935FDB">
        <w:t>shërbimi përmbarimor</w:t>
      </w:r>
      <w:r w:rsidR="009B6724" w:rsidRPr="00935FDB">
        <w:t>.</w:t>
      </w:r>
    </w:p>
    <w:p w14:paraId="11C050B0" w14:textId="77777777" w:rsidR="009B6724" w:rsidRDefault="009B6724" w:rsidP="00B60454">
      <w:pPr>
        <w:spacing w:line="276" w:lineRule="auto"/>
        <w:jc w:val="both"/>
        <w:rPr>
          <w:szCs w:val="24"/>
          <w:lang w:eastAsia="x-none"/>
        </w:rPr>
      </w:pPr>
    </w:p>
    <w:p w14:paraId="4A1533A8" w14:textId="3336ED79" w:rsidR="009B6724" w:rsidRDefault="00833215" w:rsidP="009B6724">
      <w:pPr>
        <w:spacing w:line="276" w:lineRule="auto"/>
        <w:jc w:val="both"/>
        <w:rPr>
          <w:b/>
          <w:bCs/>
          <w:szCs w:val="24"/>
          <w:lang w:eastAsia="x-none"/>
        </w:rPr>
      </w:pPr>
      <w:r>
        <w:rPr>
          <w:b/>
          <w:bCs/>
          <w:szCs w:val="24"/>
          <w:lang w:eastAsia="x-none"/>
        </w:rPr>
        <w:t>Qytetarët</w:t>
      </w:r>
      <w:r w:rsidR="006F694F">
        <w:rPr>
          <w:b/>
          <w:bCs/>
          <w:szCs w:val="24"/>
          <w:lang w:eastAsia="x-none"/>
        </w:rPr>
        <w:t xml:space="preserve">/Përfituesit e ndihmës juridike të </w:t>
      </w:r>
      <w:r w:rsidR="006F694F" w:rsidRPr="006F694F">
        <w:rPr>
          <w:b/>
          <w:bCs/>
          <w:szCs w:val="24"/>
          <w:lang w:eastAsia="x-none"/>
        </w:rPr>
        <w:t>garantuar nga shteti</w:t>
      </w:r>
      <w:r w:rsidR="006F694F">
        <w:rPr>
          <w:b/>
          <w:bCs/>
          <w:szCs w:val="24"/>
          <w:lang w:eastAsia="x-none"/>
        </w:rPr>
        <w:t>:</w:t>
      </w:r>
    </w:p>
    <w:p w14:paraId="64E6FEF6" w14:textId="49EE429A" w:rsidR="00833215" w:rsidRDefault="00833215" w:rsidP="00833215">
      <w:pPr>
        <w:spacing w:line="276" w:lineRule="auto"/>
        <w:jc w:val="both"/>
        <w:rPr>
          <w:szCs w:val="24"/>
          <w:lang w:eastAsia="x-none"/>
        </w:rPr>
      </w:pPr>
      <w:r w:rsidRPr="00833215">
        <w:rPr>
          <w:szCs w:val="24"/>
          <w:lang w:eastAsia="x-none"/>
        </w:rPr>
        <w:t xml:space="preserve">Ndikimet e drejtpërdrejta për </w:t>
      </w:r>
      <w:r>
        <w:rPr>
          <w:szCs w:val="24"/>
          <w:lang w:eastAsia="x-none"/>
        </w:rPr>
        <w:t>qytetarët j</w:t>
      </w:r>
      <w:r w:rsidRPr="00833215">
        <w:rPr>
          <w:szCs w:val="24"/>
          <w:lang w:eastAsia="x-none"/>
        </w:rPr>
        <w:t xml:space="preserve">anë: </w:t>
      </w:r>
    </w:p>
    <w:p w14:paraId="2A6B7DFD" w14:textId="3BC4F7DD" w:rsidR="009B6724" w:rsidRPr="009B6724" w:rsidRDefault="009B6724" w:rsidP="00A341D1">
      <w:pPr>
        <w:numPr>
          <w:ilvl w:val="0"/>
          <w:numId w:val="5"/>
        </w:numPr>
        <w:spacing w:line="276" w:lineRule="auto"/>
        <w:ind w:left="360"/>
        <w:jc w:val="both"/>
        <w:rPr>
          <w:szCs w:val="24"/>
          <w:lang w:eastAsia="x-none"/>
        </w:rPr>
      </w:pPr>
      <w:r w:rsidRPr="009B6724">
        <w:rPr>
          <w:szCs w:val="24"/>
          <w:lang w:eastAsia="x-none"/>
        </w:rPr>
        <w:t>Përmirësim i aksesit efektiv në drejtësi</w:t>
      </w:r>
      <w:r w:rsidR="00833215">
        <w:rPr>
          <w:szCs w:val="24"/>
          <w:lang w:eastAsia="x-none"/>
        </w:rPr>
        <w:t xml:space="preserve"> dhe në ndihmë juridike</w:t>
      </w:r>
      <w:r w:rsidRPr="009B6724">
        <w:rPr>
          <w:szCs w:val="24"/>
          <w:lang w:eastAsia="x-none"/>
        </w:rPr>
        <w:t xml:space="preserve"> për personat me të ardhura dhe pasuri të pamjaftueshme;</w:t>
      </w:r>
    </w:p>
    <w:p w14:paraId="78CD1119" w14:textId="744FD809" w:rsidR="009B6724" w:rsidRPr="009B6724" w:rsidRDefault="009B6724" w:rsidP="00A341D1">
      <w:pPr>
        <w:numPr>
          <w:ilvl w:val="0"/>
          <w:numId w:val="5"/>
        </w:numPr>
        <w:spacing w:line="276" w:lineRule="auto"/>
        <w:ind w:left="360"/>
        <w:jc w:val="both"/>
        <w:rPr>
          <w:szCs w:val="24"/>
          <w:lang w:eastAsia="x-none"/>
        </w:rPr>
      </w:pPr>
      <w:r w:rsidRPr="009B6724">
        <w:rPr>
          <w:szCs w:val="24"/>
          <w:lang w:eastAsia="x-none"/>
        </w:rPr>
        <w:t>Ulje e barrës financiare për përfituesit e ndihmës juridike, përfshirë mbulimin e shpenzimeve</w:t>
      </w:r>
      <w:r w:rsidR="00286786">
        <w:rPr>
          <w:szCs w:val="24"/>
          <w:lang w:eastAsia="x-none"/>
        </w:rPr>
        <w:t xml:space="preserve"> kadastarle, noteriale dhe</w:t>
      </w:r>
      <w:r w:rsidRPr="009B6724">
        <w:rPr>
          <w:szCs w:val="24"/>
          <w:lang w:eastAsia="x-none"/>
        </w:rPr>
        <w:t xml:space="preserve"> të ekspertëve në fazën e ekzekutimit të vendimeve gjyqësore;</w:t>
      </w:r>
    </w:p>
    <w:p w14:paraId="6EB2EB77" w14:textId="2A95CDB0" w:rsidR="00833215" w:rsidRDefault="009B6724" w:rsidP="00A341D1">
      <w:pPr>
        <w:numPr>
          <w:ilvl w:val="0"/>
          <w:numId w:val="5"/>
        </w:numPr>
        <w:spacing w:line="276" w:lineRule="auto"/>
        <w:ind w:left="360"/>
        <w:jc w:val="both"/>
        <w:rPr>
          <w:szCs w:val="24"/>
          <w:lang w:eastAsia="x-none"/>
        </w:rPr>
      </w:pPr>
      <w:r w:rsidRPr="009B6724">
        <w:rPr>
          <w:szCs w:val="24"/>
          <w:lang w:eastAsia="x-none"/>
        </w:rPr>
        <w:t>Forcim i garancive procedurale për përfituesit e ndihmës juridike, nëpërmjet garantimit të së drejtës për të kërkuar zëvendësimin e avokatit të caktua</w:t>
      </w:r>
      <w:r w:rsidR="00286786">
        <w:rPr>
          <w:szCs w:val="24"/>
          <w:lang w:eastAsia="x-none"/>
        </w:rPr>
        <w:t>r.</w:t>
      </w:r>
    </w:p>
    <w:p w14:paraId="1428A5D4" w14:textId="766E825D" w:rsidR="00833215" w:rsidRDefault="00833215" w:rsidP="00CF0382">
      <w:pPr>
        <w:spacing w:line="276" w:lineRule="auto"/>
        <w:jc w:val="both"/>
        <w:rPr>
          <w:szCs w:val="24"/>
          <w:lang w:eastAsia="x-none"/>
        </w:rPr>
      </w:pPr>
    </w:p>
    <w:p w14:paraId="7FE899D6" w14:textId="076C68A7" w:rsidR="006F694F" w:rsidRDefault="00833215" w:rsidP="006F694F">
      <w:pPr>
        <w:spacing w:line="276" w:lineRule="auto"/>
        <w:jc w:val="both"/>
        <w:rPr>
          <w:szCs w:val="24"/>
          <w:lang w:eastAsia="x-none"/>
        </w:rPr>
      </w:pPr>
      <w:r w:rsidRPr="00833215">
        <w:rPr>
          <w:szCs w:val="24"/>
          <w:lang w:eastAsia="x-none"/>
        </w:rPr>
        <w:t>Ndikim</w:t>
      </w:r>
      <w:r w:rsidR="006F694F">
        <w:rPr>
          <w:szCs w:val="24"/>
          <w:lang w:eastAsia="x-none"/>
        </w:rPr>
        <w:t>i</w:t>
      </w:r>
      <w:r w:rsidRPr="00833215">
        <w:rPr>
          <w:szCs w:val="24"/>
          <w:lang w:eastAsia="x-none"/>
        </w:rPr>
        <w:t xml:space="preserve"> jo </w:t>
      </w:r>
      <w:r w:rsidR="006F694F">
        <w:rPr>
          <w:szCs w:val="24"/>
          <w:lang w:eastAsia="x-none"/>
        </w:rPr>
        <w:t xml:space="preserve">i </w:t>
      </w:r>
      <w:r w:rsidRPr="00833215">
        <w:rPr>
          <w:szCs w:val="24"/>
          <w:lang w:eastAsia="x-none"/>
        </w:rPr>
        <w:t>drejtpërdrejt</w:t>
      </w:r>
      <w:r w:rsidR="006F694F">
        <w:rPr>
          <w:szCs w:val="24"/>
          <w:lang w:eastAsia="x-none"/>
        </w:rPr>
        <w:t xml:space="preserve">ë </w:t>
      </w:r>
      <w:r w:rsidR="00A95D97" w:rsidRPr="00833215">
        <w:rPr>
          <w:szCs w:val="24"/>
          <w:lang w:eastAsia="x-none"/>
        </w:rPr>
        <w:t xml:space="preserve">për </w:t>
      </w:r>
      <w:r w:rsidR="00A95D97">
        <w:rPr>
          <w:szCs w:val="24"/>
          <w:lang w:eastAsia="x-none"/>
        </w:rPr>
        <w:t>qytetarët</w:t>
      </w:r>
      <w:r w:rsidR="006F694F">
        <w:rPr>
          <w:szCs w:val="24"/>
          <w:lang w:eastAsia="x-none"/>
        </w:rPr>
        <w:t>/</w:t>
      </w:r>
      <w:r w:rsidR="006F694F" w:rsidRPr="006F694F">
        <w:rPr>
          <w:szCs w:val="24"/>
          <w:lang w:eastAsia="x-none"/>
        </w:rPr>
        <w:t>përfituesit e ndihmës juridike të garantuar nga shteti</w:t>
      </w:r>
      <w:r w:rsidR="00A95D97">
        <w:rPr>
          <w:szCs w:val="24"/>
          <w:lang w:eastAsia="x-none"/>
        </w:rPr>
        <w:t xml:space="preserve"> </w:t>
      </w:r>
      <w:bookmarkStart w:id="18" w:name="_Toc506919739"/>
      <w:r w:rsidR="006F694F" w:rsidRPr="006F694F">
        <w:rPr>
          <w:szCs w:val="24"/>
          <w:lang w:eastAsia="x-none"/>
        </w:rPr>
        <w:t>lidhet me</w:t>
      </w:r>
      <w:r w:rsidR="006F694F">
        <w:rPr>
          <w:szCs w:val="24"/>
          <w:lang w:eastAsia="x-none"/>
        </w:rPr>
        <w:t xml:space="preserve"> </w:t>
      </w:r>
      <w:r w:rsidR="006F694F" w:rsidRPr="006F694F">
        <w:rPr>
          <w:szCs w:val="24"/>
          <w:lang w:eastAsia="x-none"/>
        </w:rPr>
        <w:t>rritjen e besimit në sistemin e drejtësisë dhe efektet pozitive shoqërore afatgjata</w:t>
      </w:r>
      <w:r w:rsidR="006F694F">
        <w:rPr>
          <w:szCs w:val="24"/>
          <w:lang w:eastAsia="x-none"/>
        </w:rPr>
        <w:t>.</w:t>
      </w:r>
      <w:r w:rsidR="00E30DD7">
        <w:rPr>
          <w:szCs w:val="24"/>
          <w:lang w:eastAsia="x-none"/>
        </w:rPr>
        <w:t xml:space="preserve"> </w:t>
      </w:r>
      <w:bookmarkStart w:id="19" w:name="_Hlk230938948"/>
      <w:r w:rsidR="00E30DD7">
        <w:rPr>
          <w:szCs w:val="24"/>
          <w:lang w:eastAsia="x-none"/>
        </w:rPr>
        <w:t>Nuk parashikohen ndikime mbi konkurrencën.</w:t>
      </w:r>
    </w:p>
    <w:bookmarkEnd w:id="19"/>
    <w:p w14:paraId="6FA9A169" w14:textId="1C1700E8" w:rsidR="006F694F" w:rsidRDefault="006F694F" w:rsidP="006F694F">
      <w:pPr>
        <w:spacing w:line="276" w:lineRule="auto"/>
        <w:jc w:val="both"/>
        <w:rPr>
          <w:szCs w:val="24"/>
          <w:lang w:eastAsia="x-none"/>
        </w:rPr>
      </w:pPr>
    </w:p>
    <w:p w14:paraId="398A7AC1" w14:textId="77777777" w:rsidR="0075002E" w:rsidRDefault="0075002E" w:rsidP="006F694F">
      <w:pPr>
        <w:spacing w:line="276" w:lineRule="auto"/>
        <w:jc w:val="both"/>
        <w:rPr>
          <w:szCs w:val="24"/>
          <w:lang w:eastAsia="x-none"/>
        </w:rPr>
      </w:pPr>
    </w:p>
    <w:p w14:paraId="440C1B68" w14:textId="35E727A4" w:rsidR="00413A54" w:rsidRPr="00C66208" w:rsidRDefault="00413A54" w:rsidP="006F694F">
      <w:pPr>
        <w:spacing w:line="276" w:lineRule="auto"/>
        <w:jc w:val="both"/>
        <w:rPr>
          <w:b/>
          <w:color w:val="000000"/>
          <w:szCs w:val="24"/>
        </w:rPr>
      </w:pPr>
      <w:r w:rsidRPr="00C66208">
        <w:rPr>
          <w:b/>
          <w:color w:val="000000"/>
          <w:szCs w:val="24"/>
        </w:rPr>
        <w:t>Qev</w:t>
      </w:r>
      <w:r w:rsidR="00C66208" w:rsidRPr="00C66208">
        <w:rPr>
          <w:b/>
          <w:color w:val="000000"/>
          <w:szCs w:val="24"/>
        </w:rPr>
        <w:t>e</w:t>
      </w:r>
      <w:r w:rsidRPr="00C66208">
        <w:rPr>
          <w:b/>
          <w:color w:val="000000"/>
          <w:szCs w:val="24"/>
        </w:rPr>
        <w:t>ria</w:t>
      </w:r>
      <w:r w:rsidR="002864EF">
        <w:rPr>
          <w:b/>
          <w:color w:val="000000"/>
          <w:szCs w:val="24"/>
        </w:rPr>
        <w:t xml:space="preserve"> dhe Institucionet Publike</w:t>
      </w:r>
      <w:r w:rsidRPr="00C66208">
        <w:rPr>
          <w:b/>
          <w:color w:val="000000"/>
          <w:szCs w:val="24"/>
        </w:rPr>
        <w:t>:</w:t>
      </w:r>
    </w:p>
    <w:p w14:paraId="5AC935A8" w14:textId="1FE41658" w:rsidR="00EC52ED" w:rsidRPr="00C66208" w:rsidRDefault="00413A54" w:rsidP="00EC52ED">
      <w:pPr>
        <w:spacing w:line="276" w:lineRule="auto"/>
        <w:jc w:val="both"/>
        <w:rPr>
          <w:color w:val="000000"/>
          <w:szCs w:val="24"/>
        </w:rPr>
      </w:pPr>
      <w:r w:rsidRPr="00C66208">
        <w:rPr>
          <w:color w:val="000000"/>
          <w:szCs w:val="24"/>
        </w:rPr>
        <w:t xml:space="preserve">Ndikimet e drejtpërdrejta për qeverinë </w:t>
      </w:r>
      <w:r w:rsidR="00A95D97">
        <w:rPr>
          <w:color w:val="000000"/>
          <w:szCs w:val="24"/>
        </w:rPr>
        <w:t xml:space="preserve">dhe institucionet publike </w:t>
      </w:r>
      <w:r w:rsidRPr="00C66208">
        <w:rPr>
          <w:color w:val="000000"/>
          <w:szCs w:val="24"/>
        </w:rPr>
        <w:t xml:space="preserve">janë: </w:t>
      </w:r>
    </w:p>
    <w:p w14:paraId="1A0C6FE7" w14:textId="05D1822E" w:rsidR="007F3983" w:rsidRPr="007F3983" w:rsidRDefault="007F3983" w:rsidP="00A341D1">
      <w:pPr>
        <w:pStyle w:val="NormalWeb"/>
        <w:numPr>
          <w:ilvl w:val="0"/>
          <w:numId w:val="6"/>
        </w:numPr>
        <w:shd w:val="clear" w:color="auto" w:fill="FFFFFF"/>
        <w:spacing w:before="0" w:beforeAutospacing="0" w:after="0" w:afterAutospacing="0" w:line="276" w:lineRule="auto"/>
        <w:ind w:left="360"/>
        <w:jc w:val="both"/>
        <w:textAlignment w:val="baseline"/>
        <w:rPr>
          <w:rFonts w:eastAsia="Calibri"/>
          <w:color w:val="000000"/>
          <w:lang w:val="sq-AL"/>
        </w:rPr>
      </w:pPr>
      <w:r w:rsidRPr="007F3983">
        <w:rPr>
          <w:rFonts w:eastAsia="Calibri"/>
          <w:color w:val="000000"/>
          <w:lang w:val="sq-AL"/>
        </w:rPr>
        <w:t>Për DNJF-në, ndikimi i drejtpërdrejtë lidhet me</w:t>
      </w:r>
      <w:r w:rsidR="00E30DD7">
        <w:rPr>
          <w:rFonts w:eastAsia="Calibri"/>
          <w:color w:val="000000"/>
          <w:lang w:val="sq-AL"/>
        </w:rPr>
        <w:t xml:space="preserve"> zgjerimin e </w:t>
      </w:r>
      <w:r w:rsidRPr="007F3983">
        <w:rPr>
          <w:rFonts w:eastAsia="Calibri"/>
          <w:color w:val="000000"/>
          <w:lang w:val="sq-AL"/>
        </w:rPr>
        <w:t>kompetenca</w:t>
      </w:r>
      <w:r w:rsidR="00E30DD7">
        <w:rPr>
          <w:rFonts w:eastAsia="Calibri"/>
          <w:color w:val="000000"/>
          <w:lang w:val="sq-AL"/>
        </w:rPr>
        <w:t>ve të saj</w:t>
      </w:r>
      <w:r>
        <w:rPr>
          <w:rFonts w:eastAsia="Calibri"/>
          <w:color w:val="000000"/>
          <w:lang w:val="sq-AL"/>
        </w:rPr>
        <w:t>.</w:t>
      </w:r>
    </w:p>
    <w:p w14:paraId="0F271823" w14:textId="07305F56" w:rsidR="007F3983" w:rsidRDefault="007F3983" w:rsidP="00A341D1">
      <w:pPr>
        <w:pStyle w:val="NormalWeb"/>
        <w:numPr>
          <w:ilvl w:val="0"/>
          <w:numId w:val="6"/>
        </w:numPr>
        <w:shd w:val="clear" w:color="auto" w:fill="FFFFFF"/>
        <w:spacing w:before="0" w:beforeAutospacing="0" w:after="0" w:afterAutospacing="0" w:line="276" w:lineRule="auto"/>
        <w:ind w:left="360"/>
        <w:jc w:val="both"/>
        <w:textAlignment w:val="baseline"/>
        <w:rPr>
          <w:rFonts w:eastAsia="Calibri"/>
          <w:color w:val="000000"/>
          <w:lang w:val="sq-AL"/>
        </w:rPr>
      </w:pPr>
      <w:r w:rsidRPr="007F3983">
        <w:rPr>
          <w:lang w:val="sq-AL"/>
        </w:rPr>
        <w:t xml:space="preserve">Për njësitë </w:t>
      </w:r>
      <w:r w:rsidR="00E30DD7">
        <w:rPr>
          <w:lang w:val="sq-AL"/>
        </w:rPr>
        <w:t xml:space="preserve">e vetëqeverisjes </w:t>
      </w:r>
      <w:r w:rsidRPr="007F3983">
        <w:rPr>
          <w:lang w:val="sq-AL"/>
        </w:rPr>
        <w:t>vendore, ndikimi i drejtpërdrejtë lidhet me detyrimet e reja të informimit dhe koordinimit</w:t>
      </w:r>
      <w:r>
        <w:rPr>
          <w:lang w:val="sq-AL"/>
        </w:rPr>
        <w:t>.</w:t>
      </w:r>
    </w:p>
    <w:p w14:paraId="6A0A515D" w14:textId="1AC83F0A" w:rsidR="00B837DF" w:rsidRPr="00C66208" w:rsidRDefault="002840A5" w:rsidP="00A341D1">
      <w:pPr>
        <w:pStyle w:val="NormalWeb"/>
        <w:numPr>
          <w:ilvl w:val="0"/>
          <w:numId w:val="6"/>
        </w:numPr>
        <w:shd w:val="clear" w:color="auto" w:fill="FFFFFF"/>
        <w:spacing w:before="0" w:beforeAutospacing="0" w:after="0" w:afterAutospacing="0" w:line="276" w:lineRule="auto"/>
        <w:ind w:left="360"/>
        <w:jc w:val="both"/>
        <w:textAlignment w:val="baseline"/>
        <w:rPr>
          <w:rFonts w:eastAsia="Calibri"/>
          <w:color w:val="000000"/>
          <w:lang w:val="sq-AL"/>
        </w:rPr>
      </w:pPr>
      <w:r w:rsidRPr="00C66208">
        <w:rPr>
          <w:lang w:val="sq-AL"/>
        </w:rPr>
        <w:t xml:space="preserve">Progres në </w:t>
      </w:r>
      <w:r w:rsidR="006776CC" w:rsidRPr="00C66208">
        <w:rPr>
          <w:lang w:val="sq-AL"/>
        </w:rPr>
        <w:t xml:space="preserve">përmbushjen e detyrimeve të integrimit evropian dhe të përafrimit të legjislacionit me </w:t>
      </w:r>
      <w:r w:rsidR="006776CC" w:rsidRPr="00A341D1">
        <w:rPr>
          <w:i/>
          <w:lang w:val="sq-AL"/>
        </w:rPr>
        <w:t>acquis</w:t>
      </w:r>
      <w:r w:rsidR="006776CC" w:rsidRPr="00C66208">
        <w:rPr>
          <w:lang w:val="sq-AL"/>
        </w:rPr>
        <w:t xml:space="preserve"> të BE-së</w:t>
      </w:r>
      <w:r w:rsidR="002864EF">
        <w:rPr>
          <w:lang w:val="sq-AL"/>
        </w:rPr>
        <w:t>.</w:t>
      </w:r>
    </w:p>
    <w:p w14:paraId="3D3D8A9A" w14:textId="7D0DCAE0" w:rsidR="00413A54" w:rsidRPr="00C66208" w:rsidRDefault="00413A54" w:rsidP="00A341D1">
      <w:pPr>
        <w:pStyle w:val="NormalWeb"/>
        <w:numPr>
          <w:ilvl w:val="0"/>
          <w:numId w:val="6"/>
        </w:numPr>
        <w:shd w:val="clear" w:color="auto" w:fill="FFFFFF"/>
        <w:spacing w:before="0" w:beforeAutospacing="0" w:after="0" w:afterAutospacing="0" w:line="276" w:lineRule="auto"/>
        <w:ind w:left="360"/>
        <w:jc w:val="both"/>
        <w:textAlignment w:val="baseline"/>
        <w:rPr>
          <w:lang w:val="sq-AL"/>
        </w:rPr>
      </w:pPr>
      <w:r w:rsidRPr="00C66208">
        <w:rPr>
          <w:lang w:val="sq-AL"/>
        </w:rPr>
        <w:t>Efekte financiare në buxhetin e shtetit duke q</w:t>
      </w:r>
      <w:r w:rsidR="002840A5" w:rsidRPr="00C66208">
        <w:rPr>
          <w:lang w:val="sq-AL"/>
        </w:rPr>
        <w:t>e</w:t>
      </w:r>
      <w:r w:rsidRPr="00C66208">
        <w:rPr>
          <w:lang w:val="sq-AL"/>
        </w:rPr>
        <w:t xml:space="preserve">në se </w:t>
      </w:r>
      <w:r w:rsidR="00EC52ED" w:rsidRPr="00C66208">
        <w:rPr>
          <w:lang w:val="sq-AL"/>
        </w:rPr>
        <w:t>do të zgjerohet kategoria e përfituesve të ndihmës juridike dhe mbulimit të shpenzimeve përkatëse.</w:t>
      </w:r>
    </w:p>
    <w:p w14:paraId="0FBE7C66" w14:textId="39372B9E" w:rsidR="006C3B3E" w:rsidRPr="00C66208" w:rsidRDefault="006C3B3E" w:rsidP="00413A54">
      <w:pPr>
        <w:pStyle w:val="NormalWeb"/>
        <w:shd w:val="clear" w:color="auto" w:fill="FFFFFF"/>
        <w:spacing w:before="0" w:beforeAutospacing="0" w:after="0" w:afterAutospacing="0" w:line="276" w:lineRule="auto"/>
        <w:jc w:val="both"/>
        <w:textAlignment w:val="baseline"/>
        <w:rPr>
          <w:lang w:val="sq-AL"/>
        </w:rPr>
      </w:pPr>
    </w:p>
    <w:p w14:paraId="149123B1" w14:textId="42C8866C" w:rsidR="006C3B3E" w:rsidRPr="00C66208" w:rsidRDefault="006C3B3E" w:rsidP="00413A54">
      <w:pPr>
        <w:pStyle w:val="NormalWeb"/>
        <w:shd w:val="clear" w:color="auto" w:fill="FFFFFF"/>
        <w:spacing w:before="0" w:beforeAutospacing="0" w:after="0" w:afterAutospacing="0" w:line="276" w:lineRule="auto"/>
        <w:jc w:val="both"/>
        <w:textAlignment w:val="baseline"/>
        <w:rPr>
          <w:lang w:val="sq-AL"/>
        </w:rPr>
      </w:pPr>
      <w:bookmarkStart w:id="20" w:name="_Hlk221090359"/>
      <w:r w:rsidRPr="00C66208">
        <w:rPr>
          <w:lang w:val="sq-AL"/>
        </w:rPr>
        <w:t>Ndikimet jo të drejtpërdrejta</w:t>
      </w:r>
      <w:r w:rsidR="00A95D97">
        <w:rPr>
          <w:lang w:val="sq-AL"/>
        </w:rPr>
        <w:t xml:space="preserve"> </w:t>
      </w:r>
      <w:r w:rsidR="00A95D97" w:rsidRPr="0045310C">
        <w:rPr>
          <w:color w:val="000000"/>
          <w:lang w:val="sq-AL"/>
        </w:rPr>
        <w:t>për qeverinë dhe institucionet publike</w:t>
      </w:r>
      <w:r w:rsidRPr="00C66208">
        <w:rPr>
          <w:lang w:val="sq-AL"/>
        </w:rPr>
        <w:t xml:space="preserve"> janë:</w:t>
      </w:r>
    </w:p>
    <w:bookmarkEnd w:id="20"/>
    <w:p w14:paraId="76454A06" w14:textId="7866FF01" w:rsidR="007F3983" w:rsidRDefault="007F3983" w:rsidP="00A341D1">
      <w:pPr>
        <w:pStyle w:val="NormalWeb"/>
        <w:numPr>
          <w:ilvl w:val="0"/>
          <w:numId w:val="7"/>
        </w:numPr>
        <w:shd w:val="clear" w:color="auto" w:fill="FFFFFF"/>
        <w:spacing w:before="0" w:beforeAutospacing="0" w:after="0" w:afterAutospacing="0" w:line="276" w:lineRule="auto"/>
        <w:ind w:left="360"/>
        <w:jc w:val="both"/>
        <w:textAlignment w:val="baseline"/>
        <w:rPr>
          <w:lang w:val="sq-AL"/>
        </w:rPr>
      </w:pPr>
      <w:r>
        <w:rPr>
          <w:lang w:val="sq-AL"/>
        </w:rPr>
        <w:t>F</w:t>
      </w:r>
      <w:r w:rsidRPr="007F3983">
        <w:rPr>
          <w:lang w:val="sq-AL"/>
        </w:rPr>
        <w:t>orcimi</w:t>
      </w:r>
      <w:r>
        <w:rPr>
          <w:lang w:val="sq-AL"/>
        </w:rPr>
        <w:t xml:space="preserve"> i</w:t>
      </w:r>
      <w:r w:rsidRPr="007F3983">
        <w:rPr>
          <w:lang w:val="sq-AL"/>
        </w:rPr>
        <w:t xml:space="preserve"> rolit socia</w:t>
      </w:r>
      <w:r>
        <w:rPr>
          <w:lang w:val="sq-AL"/>
        </w:rPr>
        <w:t>l të njësive të vetëqeverisjes vendore</w:t>
      </w:r>
      <w:r w:rsidR="00E30DD7">
        <w:rPr>
          <w:lang w:val="sq-AL"/>
        </w:rPr>
        <w:t>.</w:t>
      </w:r>
    </w:p>
    <w:p w14:paraId="4087D10E" w14:textId="264A7F03" w:rsidR="000E1FF4" w:rsidRDefault="007F3983" w:rsidP="00A341D1">
      <w:pPr>
        <w:pStyle w:val="NormalWeb"/>
        <w:numPr>
          <w:ilvl w:val="0"/>
          <w:numId w:val="7"/>
        </w:numPr>
        <w:shd w:val="clear" w:color="auto" w:fill="FFFFFF"/>
        <w:spacing w:before="0" w:beforeAutospacing="0" w:after="0" w:afterAutospacing="0" w:line="276" w:lineRule="auto"/>
        <w:ind w:left="360"/>
        <w:jc w:val="both"/>
        <w:textAlignment w:val="baseline"/>
        <w:rPr>
          <w:lang w:val="sq-AL"/>
        </w:rPr>
      </w:pPr>
      <w:r>
        <w:rPr>
          <w:lang w:val="sq-AL"/>
        </w:rPr>
        <w:t>Nevoja për rritjen e kapacitetit institucional t</w:t>
      </w:r>
      <w:r w:rsidRPr="007F3983">
        <w:rPr>
          <w:lang w:val="sq-AL"/>
        </w:rPr>
        <w:t>rritjen e kapacitetit institucional</w:t>
      </w:r>
      <w:r>
        <w:rPr>
          <w:lang w:val="sq-AL"/>
        </w:rPr>
        <w:t xml:space="preserve"> të DNJF-së</w:t>
      </w:r>
      <w:r w:rsidR="00E30DD7">
        <w:rPr>
          <w:lang w:val="sq-AL"/>
        </w:rPr>
        <w:t>.</w:t>
      </w:r>
    </w:p>
    <w:p w14:paraId="26BE4CF8" w14:textId="77777777" w:rsidR="00E30DD7" w:rsidRDefault="00E30DD7" w:rsidP="00E30DD7">
      <w:pPr>
        <w:spacing w:line="276" w:lineRule="auto"/>
        <w:jc w:val="both"/>
        <w:rPr>
          <w:szCs w:val="24"/>
          <w:lang w:eastAsia="x-none"/>
        </w:rPr>
      </w:pPr>
      <w:r>
        <w:rPr>
          <w:szCs w:val="24"/>
          <w:lang w:eastAsia="x-none"/>
        </w:rPr>
        <w:t>Nuk parashikohen ndikime mbi konkurrencën.</w:t>
      </w:r>
    </w:p>
    <w:p w14:paraId="12F7655E" w14:textId="77777777" w:rsidR="00E30DD7" w:rsidRPr="000E1FF4" w:rsidRDefault="00E30DD7" w:rsidP="00E30DD7">
      <w:pPr>
        <w:pStyle w:val="NormalWeb"/>
        <w:shd w:val="clear" w:color="auto" w:fill="FFFFFF"/>
        <w:spacing w:before="0" w:beforeAutospacing="0" w:after="0" w:afterAutospacing="0" w:line="276" w:lineRule="auto"/>
        <w:ind w:left="720"/>
        <w:jc w:val="both"/>
        <w:textAlignment w:val="baseline"/>
        <w:rPr>
          <w:lang w:val="sq-AL"/>
        </w:rPr>
      </w:pPr>
    </w:p>
    <w:p w14:paraId="22AD5F79" w14:textId="3EF2A8FF" w:rsidR="00986DE8" w:rsidRPr="00EA3842" w:rsidRDefault="00C66208" w:rsidP="00986DE8">
      <w:pPr>
        <w:pStyle w:val="NormalWeb"/>
        <w:shd w:val="clear" w:color="auto" w:fill="FFFFFF"/>
        <w:spacing w:before="0" w:beforeAutospacing="0" w:after="0" w:afterAutospacing="0" w:line="276" w:lineRule="auto"/>
        <w:jc w:val="both"/>
        <w:textAlignment w:val="baseline"/>
        <w:rPr>
          <w:rFonts w:eastAsia="Calibri"/>
          <w:b/>
          <w:color w:val="000000"/>
          <w:lang w:val="sq-AL" w:eastAsia="en-GB"/>
        </w:rPr>
      </w:pPr>
      <w:r w:rsidRPr="00EA3842">
        <w:rPr>
          <w:rFonts w:eastAsia="Calibri"/>
          <w:b/>
          <w:color w:val="000000"/>
          <w:lang w:val="sq-AL" w:eastAsia="en-GB"/>
        </w:rPr>
        <w:t>Avokatët që ofrojnë shërbime në kuadër të ndihmës juridike</w:t>
      </w:r>
    </w:p>
    <w:p w14:paraId="6088483E" w14:textId="1AD89603" w:rsidR="00986DE8" w:rsidRPr="0045310C" w:rsidRDefault="00986DE8" w:rsidP="00986DE8">
      <w:pPr>
        <w:pStyle w:val="NormalWeb"/>
        <w:shd w:val="clear" w:color="auto" w:fill="FFFFFF"/>
        <w:spacing w:before="0" w:beforeAutospacing="0" w:after="0" w:afterAutospacing="0" w:line="276" w:lineRule="auto"/>
        <w:jc w:val="both"/>
        <w:textAlignment w:val="baseline"/>
        <w:rPr>
          <w:rFonts w:eastAsia="Calibri"/>
          <w:color w:val="000000"/>
          <w:lang w:val="sq-AL"/>
        </w:rPr>
      </w:pPr>
      <w:r w:rsidRPr="0045310C">
        <w:rPr>
          <w:color w:val="000000"/>
          <w:lang w:val="sq-AL"/>
        </w:rPr>
        <w:t xml:space="preserve">Ndikimet e drejtpërdrejta për </w:t>
      </w:r>
      <w:r w:rsidRPr="00EA3842">
        <w:rPr>
          <w:rFonts w:eastAsia="Calibri"/>
          <w:color w:val="000000"/>
          <w:lang w:val="sq-AL" w:eastAsia="en-GB"/>
        </w:rPr>
        <w:t>avokatët që ofrojnë shërbime në kuadër të ndihmës juridike</w:t>
      </w:r>
      <w:r w:rsidRPr="0045310C">
        <w:rPr>
          <w:color w:val="000000"/>
          <w:lang w:val="sq-AL"/>
        </w:rPr>
        <w:t xml:space="preserve"> janë</w:t>
      </w:r>
      <w:r w:rsidRPr="0045310C">
        <w:rPr>
          <w:rFonts w:eastAsia="Calibri"/>
          <w:color w:val="000000"/>
          <w:lang w:val="sq-AL"/>
        </w:rPr>
        <w:t>:</w:t>
      </w:r>
    </w:p>
    <w:p w14:paraId="28677DBA" w14:textId="2DE70C88" w:rsidR="00986DE8" w:rsidRPr="00EA3842" w:rsidRDefault="00986DE8" w:rsidP="00A341D1">
      <w:pPr>
        <w:pStyle w:val="NormalWeb"/>
        <w:numPr>
          <w:ilvl w:val="0"/>
          <w:numId w:val="8"/>
        </w:numPr>
        <w:shd w:val="clear" w:color="auto" w:fill="FFFFFF"/>
        <w:spacing w:before="0" w:beforeAutospacing="0" w:after="0" w:afterAutospacing="0" w:line="276" w:lineRule="auto"/>
        <w:ind w:left="360"/>
        <w:jc w:val="both"/>
        <w:textAlignment w:val="baseline"/>
        <w:rPr>
          <w:rFonts w:eastAsia="Calibri"/>
          <w:b/>
          <w:color w:val="000000"/>
          <w:lang w:val="sq-AL" w:eastAsia="en-GB"/>
        </w:rPr>
      </w:pPr>
      <w:r w:rsidRPr="0045310C">
        <w:rPr>
          <w:rFonts w:eastAsia="Calibri"/>
          <w:color w:val="000000"/>
          <w:lang w:val="sq-AL"/>
        </w:rPr>
        <w:t>Rritje e kërkesës për shërbimet e avokatëve për shkak të zgjerimit të kategorive të përfituesve.</w:t>
      </w:r>
    </w:p>
    <w:p w14:paraId="5216828A" w14:textId="3D2A2577" w:rsidR="0077596B" w:rsidRDefault="00986DE8" w:rsidP="00A341D1">
      <w:pPr>
        <w:pStyle w:val="NormalWeb"/>
        <w:numPr>
          <w:ilvl w:val="0"/>
          <w:numId w:val="8"/>
        </w:numPr>
        <w:shd w:val="clear" w:color="auto" w:fill="FFFFFF"/>
        <w:spacing w:before="0" w:beforeAutospacing="0" w:after="0" w:afterAutospacing="0" w:line="276" w:lineRule="auto"/>
        <w:ind w:left="360"/>
        <w:jc w:val="both"/>
        <w:textAlignment w:val="baseline"/>
        <w:rPr>
          <w:rFonts w:eastAsia="Calibri"/>
          <w:color w:val="000000"/>
          <w:lang w:val="sq-AL"/>
        </w:rPr>
      </w:pPr>
      <w:r w:rsidRPr="0045310C">
        <w:rPr>
          <w:rFonts w:eastAsia="Calibri"/>
          <w:color w:val="000000"/>
          <w:lang w:val="sq-AL"/>
        </w:rPr>
        <w:t>Përmirësim i standardeve profesionale dhe i transparencës në përfaqësimin ligjor</w:t>
      </w:r>
      <w:r w:rsidR="0077596B" w:rsidRPr="0045310C">
        <w:rPr>
          <w:rFonts w:eastAsia="Calibri"/>
          <w:color w:val="000000"/>
          <w:lang w:val="sq-AL"/>
        </w:rPr>
        <w:t xml:space="preserve"> për shkak të </w:t>
      </w:r>
      <w:r w:rsidRPr="0045310C">
        <w:rPr>
          <w:rFonts w:eastAsia="Calibri"/>
          <w:color w:val="000000"/>
          <w:lang w:val="sq-AL"/>
        </w:rPr>
        <w:t xml:space="preserve">mundësisë për zëvendësimin e avokatit </w:t>
      </w:r>
      <w:r w:rsidR="0077596B" w:rsidRPr="0045310C">
        <w:rPr>
          <w:rFonts w:eastAsia="Calibri"/>
          <w:color w:val="000000"/>
          <w:lang w:val="sq-AL"/>
        </w:rPr>
        <w:t>.</w:t>
      </w:r>
    </w:p>
    <w:p w14:paraId="22E7826F" w14:textId="4013EC38" w:rsidR="007F3983" w:rsidRPr="0045310C" w:rsidRDefault="007F3983" w:rsidP="00A341D1">
      <w:pPr>
        <w:pStyle w:val="NormalWeb"/>
        <w:numPr>
          <w:ilvl w:val="0"/>
          <w:numId w:val="8"/>
        </w:numPr>
        <w:shd w:val="clear" w:color="auto" w:fill="FFFFFF"/>
        <w:spacing w:before="0" w:beforeAutospacing="0" w:after="0" w:afterAutospacing="0" w:line="276" w:lineRule="auto"/>
        <w:ind w:left="360"/>
        <w:jc w:val="both"/>
        <w:textAlignment w:val="baseline"/>
        <w:rPr>
          <w:rFonts w:eastAsia="Calibri"/>
          <w:color w:val="000000"/>
          <w:lang w:val="sq-AL"/>
        </w:rPr>
      </w:pPr>
      <w:r>
        <w:rPr>
          <w:rFonts w:eastAsia="Calibri"/>
          <w:color w:val="000000"/>
          <w:lang w:val="sq-AL"/>
        </w:rPr>
        <w:t>D</w:t>
      </w:r>
      <w:r w:rsidRPr="007F3983">
        <w:rPr>
          <w:rFonts w:eastAsia="Calibri"/>
          <w:color w:val="000000"/>
          <w:lang w:val="sq-AL"/>
        </w:rPr>
        <w:t>etyrim</w:t>
      </w:r>
      <w:r w:rsidR="00E30DD7">
        <w:rPr>
          <w:rFonts w:eastAsia="Calibri"/>
          <w:color w:val="000000"/>
          <w:lang w:val="sq-AL"/>
        </w:rPr>
        <w:t>i për</w:t>
      </w:r>
      <w:r w:rsidRPr="007F3983">
        <w:rPr>
          <w:rFonts w:eastAsia="Calibri"/>
          <w:color w:val="000000"/>
          <w:lang w:val="sq-AL"/>
        </w:rPr>
        <w:t xml:space="preserve"> trajnim</w:t>
      </w:r>
      <w:r w:rsidR="00E30DD7">
        <w:rPr>
          <w:rFonts w:eastAsia="Calibri"/>
          <w:color w:val="000000"/>
          <w:lang w:val="sq-AL"/>
        </w:rPr>
        <w:t xml:space="preserve"> dhe specializim</w:t>
      </w:r>
      <w:r>
        <w:rPr>
          <w:rFonts w:eastAsia="Calibri"/>
          <w:color w:val="000000"/>
          <w:lang w:val="sq-AL"/>
        </w:rPr>
        <w:t>.</w:t>
      </w:r>
    </w:p>
    <w:p w14:paraId="14EC211F" w14:textId="77777777" w:rsidR="0077596B" w:rsidRPr="0045310C" w:rsidRDefault="0077596B" w:rsidP="0077596B">
      <w:pPr>
        <w:pStyle w:val="NormalWeb"/>
        <w:shd w:val="clear" w:color="auto" w:fill="FFFFFF"/>
        <w:spacing w:before="0" w:beforeAutospacing="0" w:after="0" w:afterAutospacing="0" w:line="276" w:lineRule="auto"/>
        <w:ind w:left="720"/>
        <w:jc w:val="both"/>
        <w:textAlignment w:val="baseline"/>
        <w:rPr>
          <w:rFonts w:eastAsia="Calibri"/>
          <w:color w:val="000000"/>
          <w:lang w:val="sq-AL"/>
        </w:rPr>
      </w:pPr>
    </w:p>
    <w:p w14:paraId="24D263D7" w14:textId="017824AC" w:rsidR="0077596B" w:rsidRPr="0045310C" w:rsidRDefault="0077596B" w:rsidP="0077596B">
      <w:pPr>
        <w:pStyle w:val="NormalWeb"/>
        <w:shd w:val="clear" w:color="auto" w:fill="FFFFFF"/>
        <w:spacing w:before="0" w:beforeAutospacing="0" w:after="0" w:afterAutospacing="0" w:line="276" w:lineRule="auto"/>
        <w:jc w:val="both"/>
        <w:textAlignment w:val="baseline"/>
        <w:rPr>
          <w:rFonts w:eastAsia="Calibri"/>
          <w:color w:val="000000"/>
          <w:lang w:val="sq-AL"/>
        </w:rPr>
      </w:pPr>
      <w:r w:rsidRPr="00EA3842">
        <w:rPr>
          <w:rFonts w:eastAsia="Calibri"/>
          <w:color w:val="000000"/>
          <w:lang w:val="sq-AL"/>
        </w:rPr>
        <w:t>Ndikime</w:t>
      </w:r>
      <w:r w:rsidR="00A95D97">
        <w:rPr>
          <w:rFonts w:eastAsia="Calibri"/>
          <w:color w:val="000000"/>
          <w:lang w:val="sq-AL"/>
        </w:rPr>
        <w:t>t</w:t>
      </w:r>
      <w:r w:rsidRPr="00EA3842">
        <w:rPr>
          <w:rFonts w:eastAsia="Calibri"/>
          <w:color w:val="000000"/>
          <w:lang w:val="sq-AL"/>
        </w:rPr>
        <w:t xml:space="preserve"> jo të drejtpërdrejta</w:t>
      </w:r>
      <w:r w:rsidR="00A95D97">
        <w:rPr>
          <w:rFonts w:eastAsia="Calibri"/>
          <w:color w:val="000000"/>
          <w:lang w:val="sq-AL"/>
        </w:rPr>
        <w:t xml:space="preserve"> </w:t>
      </w:r>
      <w:r w:rsidR="00A95D97" w:rsidRPr="0045310C">
        <w:rPr>
          <w:color w:val="000000"/>
          <w:lang w:val="sq-AL"/>
        </w:rPr>
        <w:t xml:space="preserve">për </w:t>
      </w:r>
      <w:r w:rsidR="00A95D97" w:rsidRPr="00EA3842">
        <w:rPr>
          <w:rFonts w:eastAsia="Calibri"/>
          <w:color w:val="000000"/>
          <w:lang w:val="sq-AL" w:eastAsia="en-GB"/>
        </w:rPr>
        <w:t>avokatët që ofrojnë shërbime në kuadër të ndihmës juridike</w:t>
      </w:r>
      <w:r w:rsidR="00A95D97" w:rsidRPr="0045310C">
        <w:rPr>
          <w:color w:val="000000"/>
          <w:lang w:val="sq-AL"/>
        </w:rPr>
        <w:t xml:space="preserve"> janë</w:t>
      </w:r>
      <w:r w:rsidRPr="00EA3842">
        <w:rPr>
          <w:rFonts w:eastAsia="Calibri"/>
          <w:color w:val="000000"/>
          <w:lang w:val="sq-AL"/>
        </w:rPr>
        <w:t>:</w:t>
      </w:r>
    </w:p>
    <w:p w14:paraId="23F10E5F" w14:textId="07A2176F" w:rsidR="00986DE8" w:rsidRPr="0045310C" w:rsidRDefault="00986DE8" w:rsidP="00A341D1">
      <w:pPr>
        <w:pStyle w:val="NormalWeb"/>
        <w:numPr>
          <w:ilvl w:val="0"/>
          <w:numId w:val="9"/>
        </w:numPr>
        <w:shd w:val="clear" w:color="auto" w:fill="FFFFFF"/>
        <w:spacing w:before="0" w:beforeAutospacing="0" w:after="0" w:afterAutospacing="0" w:line="276" w:lineRule="auto"/>
        <w:ind w:left="360"/>
        <w:jc w:val="both"/>
        <w:textAlignment w:val="baseline"/>
        <w:rPr>
          <w:rFonts w:eastAsia="Calibri"/>
          <w:color w:val="000000"/>
          <w:lang w:val="sq-AL"/>
        </w:rPr>
      </w:pPr>
      <w:r w:rsidRPr="0045310C">
        <w:rPr>
          <w:rFonts w:eastAsia="Calibri"/>
          <w:color w:val="000000"/>
          <w:lang w:val="sq-AL"/>
        </w:rPr>
        <w:t>Rritje e cilësisë së përfaqësimit juridik dhe e mbrojtjes së të drejtave të klientëve</w:t>
      </w:r>
      <w:r w:rsidR="00333348" w:rsidRPr="0045310C">
        <w:rPr>
          <w:rFonts w:eastAsia="Calibri"/>
          <w:color w:val="000000"/>
          <w:lang w:val="sq-AL"/>
        </w:rPr>
        <w:t>.</w:t>
      </w:r>
    </w:p>
    <w:p w14:paraId="0A200E24" w14:textId="77777777" w:rsidR="00A341D1" w:rsidRDefault="00A341D1" w:rsidP="00E30DD7">
      <w:pPr>
        <w:spacing w:line="276" w:lineRule="auto"/>
        <w:jc w:val="both"/>
        <w:rPr>
          <w:szCs w:val="24"/>
          <w:lang w:eastAsia="x-none"/>
        </w:rPr>
      </w:pPr>
    </w:p>
    <w:p w14:paraId="42466F70" w14:textId="23763D72" w:rsidR="00E30DD7" w:rsidRDefault="00E30DD7" w:rsidP="00E30DD7">
      <w:pPr>
        <w:spacing w:line="276" w:lineRule="auto"/>
        <w:jc w:val="both"/>
        <w:rPr>
          <w:szCs w:val="24"/>
          <w:lang w:eastAsia="x-none"/>
        </w:rPr>
      </w:pPr>
      <w:r>
        <w:rPr>
          <w:szCs w:val="24"/>
          <w:lang w:eastAsia="x-none"/>
        </w:rPr>
        <w:lastRenderedPageBreak/>
        <w:t>Nuk parashikohen ndikime mbi konkurrencën.</w:t>
      </w:r>
    </w:p>
    <w:p w14:paraId="2C3494E9" w14:textId="77777777" w:rsidR="007F3983" w:rsidRDefault="007F3983" w:rsidP="005045B7">
      <w:pPr>
        <w:pStyle w:val="BodyText"/>
        <w:tabs>
          <w:tab w:val="left" w:pos="1165"/>
          <w:tab w:val="left" w:pos="10080"/>
        </w:tabs>
        <w:spacing w:after="0" w:line="276" w:lineRule="auto"/>
        <w:ind w:right="26"/>
        <w:jc w:val="both"/>
        <w:rPr>
          <w:b/>
          <w:sz w:val="24"/>
          <w:szCs w:val="24"/>
        </w:rPr>
      </w:pPr>
    </w:p>
    <w:p w14:paraId="6746339B" w14:textId="56B1403D" w:rsidR="008C65E8" w:rsidRPr="00EA3842" w:rsidRDefault="008C65E8" w:rsidP="005045B7">
      <w:pPr>
        <w:pStyle w:val="BodyText"/>
        <w:tabs>
          <w:tab w:val="left" w:pos="1165"/>
          <w:tab w:val="left" w:pos="10080"/>
        </w:tabs>
        <w:spacing w:after="0" w:line="276" w:lineRule="auto"/>
        <w:ind w:right="26"/>
        <w:jc w:val="both"/>
        <w:rPr>
          <w:b/>
          <w:sz w:val="24"/>
          <w:szCs w:val="24"/>
          <w:lang w:val="it-IT"/>
        </w:rPr>
      </w:pPr>
      <w:r w:rsidRPr="00EA3842">
        <w:rPr>
          <w:b/>
          <w:sz w:val="24"/>
          <w:szCs w:val="24"/>
        </w:rPr>
        <w:t xml:space="preserve">Gjykatat dhe </w:t>
      </w:r>
      <w:r w:rsidR="0075002E">
        <w:rPr>
          <w:b/>
          <w:sz w:val="24"/>
          <w:szCs w:val="24"/>
        </w:rPr>
        <w:t xml:space="preserve">shërbimi </w:t>
      </w:r>
      <w:r w:rsidR="002864EF">
        <w:rPr>
          <w:b/>
          <w:sz w:val="24"/>
          <w:szCs w:val="24"/>
        </w:rPr>
        <w:t>përmbarimor</w:t>
      </w:r>
      <w:r w:rsidRPr="00EA3842">
        <w:rPr>
          <w:b/>
          <w:sz w:val="24"/>
          <w:szCs w:val="24"/>
        </w:rPr>
        <w:t xml:space="preserve">: </w:t>
      </w:r>
    </w:p>
    <w:p w14:paraId="778819C4" w14:textId="38081FDD" w:rsidR="00935FDB" w:rsidRPr="0024644D" w:rsidRDefault="008C65E8" w:rsidP="0075002E">
      <w:pPr>
        <w:pStyle w:val="BodyText"/>
        <w:tabs>
          <w:tab w:val="left" w:pos="1165"/>
          <w:tab w:val="left" w:pos="10080"/>
        </w:tabs>
        <w:spacing w:after="0"/>
        <w:ind w:right="26"/>
        <w:rPr>
          <w:sz w:val="24"/>
          <w:szCs w:val="24"/>
        </w:rPr>
      </w:pPr>
      <w:r w:rsidRPr="00EA3842">
        <w:rPr>
          <w:sz w:val="24"/>
          <w:szCs w:val="24"/>
        </w:rPr>
        <w:t xml:space="preserve">Ndikimet e drejtpërdrejta për gjykatat dhe </w:t>
      </w:r>
      <w:r w:rsidR="006A7509" w:rsidRPr="002864EF">
        <w:rPr>
          <w:sz w:val="24"/>
          <w:szCs w:val="24"/>
        </w:rPr>
        <w:t>shërbimin përmbarimor</w:t>
      </w:r>
      <w:r w:rsidR="006A7509" w:rsidRPr="00EA3842">
        <w:rPr>
          <w:sz w:val="24"/>
          <w:szCs w:val="24"/>
        </w:rPr>
        <w:t xml:space="preserve"> </w:t>
      </w:r>
      <w:r w:rsidRPr="00EA3842">
        <w:rPr>
          <w:sz w:val="24"/>
          <w:szCs w:val="24"/>
        </w:rPr>
        <w:t xml:space="preserve">janë: </w:t>
      </w:r>
    </w:p>
    <w:p w14:paraId="3B515D07" w14:textId="77777777" w:rsidR="00935FDB" w:rsidRPr="00935FDB" w:rsidRDefault="00935FDB" w:rsidP="0075002E">
      <w:pPr>
        <w:numPr>
          <w:ilvl w:val="0"/>
          <w:numId w:val="32"/>
        </w:numPr>
        <w:spacing w:after="100" w:afterAutospacing="1"/>
        <w:ind w:left="360"/>
        <w:jc w:val="both"/>
        <w:rPr>
          <w:szCs w:val="24"/>
          <w:lang w:eastAsia="sq-AL"/>
        </w:rPr>
      </w:pPr>
      <w:r w:rsidRPr="00935FDB">
        <w:rPr>
          <w:szCs w:val="24"/>
          <w:lang w:eastAsia="sq-AL"/>
        </w:rPr>
        <w:t>Rritje e efikasitetit të proceseve gjyqësore nëpërmjet zgjerimit të aksesit në përfaqësim ligjor, duke mundësuar ekzekutimin më të shpejtë dhe më efektiv të vendimeve gjyqësore për përfituesit e ndihmës juridike falas.</w:t>
      </w:r>
    </w:p>
    <w:p w14:paraId="3B6AB3E1" w14:textId="24727247" w:rsidR="00935FDB" w:rsidRPr="00935FDB" w:rsidRDefault="00935FDB" w:rsidP="00A341D1">
      <w:pPr>
        <w:numPr>
          <w:ilvl w:val="0"/>
          <w:numId w:val="32"/>
        </w:numPr>
        <w:spacing w:before="100" w:beforeAutospacing="1" w:after="100" w:afterAutospacing="1"/>
        <w:ind w:left="360"/>
        <w:jc w:val="both"/>
        <w:rPr>
          <w:szCs w:val="24"/>
          <w:lang w:eastAsia="sq-AL"/>
        </w:rPr>
      </w:pPr>
      <w:r w:rsidRPr="00935FDB">
        <w:rPr>
          <w:szCs w:val="24"/>
          <w:lang w:eastAsia="sq-AL"/>
        </w:rPr>
        <w:t>Rritje</w:t>
      </w:r>
      <w:r w:rsidR="00E30DD7">
        <w:rPr>
          <w:szCs w:val="24"/>
          <w:lang w:eastAsia="sq-AL"/>
        </w:rPr>
        <w:t xml:space="preserve"> </w:t>
      </w:r>
      <w:r w:rsidRPr="00935FDB">
        <w:rPr>
          <w:szCs w:val="24"/>
          <w:lang w:eastAsia="sq-AL"/>
        </w:rPr>
        <w:t>e ngarkesës së punës për gjykatat dhe organet proceduese si pasojë e zgjerimit të kategorive përfituese dhe zbatimit të procedurave të përshpejtuara, e cila kërkon përshtatje organizative dhe vendimmarrje të menjëhershme nga gjyqtari i caktuar.</w:t>
      </w:r>
    </w:p>
    <w:p w14:paraId="07838C85" w14:textId="77777777" w:rsidR="00935FDB" w:rsidRPr="00935FDB" w:rsidRDefault="00935FDB" w:rsidP="00A341D1">
      <w:pPr>
        <w:numPr>
          <w:ilvl w:val="0"/>
          <w:numId w:val="32"/>
        </w:numPr>
        <w:spacing w:before="100" w:beforeAutospacing="1" w:after="100" w:afterAutospacing="1"/>
        <w:ind w:left="360"/>
        <w:jc w:val="both"/>
        <w:rPr>
          <w:szCs w:val="24"/>
          <w:lang w:eastAsia="sq-AL"/>
        </w:rPr>
      </w:pPr>
      <w:r w:rsidRPr="00935FDB">
        <w:rPr>
          <w:szCs w:val="24"/>
          <w:lang w:eastAsia="sq-AL"/>
        </w:rPr>
        <w:t>Eliminim i pengesave praktike në realizimin e procedurave përmbarimore nëpërmjet mbulimit të shpenzimeve të ekspertëve gjatë fazës së ekzekutimit, duke mundësuar kryerjen e plotë dhe efektive të veprimeve përmbarimore për përfituesit e ndihmës juridike falas.</w:t>
      </w:r>
    </w:p>
    <w:p w14:paraId="5CB26C42" w14:textId="77777777" w:rsidR="00935FDB" w:rsidRPr="00935FDB" w:rsidRDefault="00935FDB" w:rsidP="00A341D1">
      <w:pPr>
        <w:numPr>
          <w:ilvl w:val="0"/>
          <w:numId w:val="32"/>
        </w:numPr>
        <w:spacing w:before="100" w:beforeAutospacing="1" w:after="100" w:afterAutospacing="1"/>
        <w:ind w:left="360"/>
        <w:jc w:val="both"/>
        <w:rPr>
          <w:szCs w:val="24"/>
          <w:lang w:eastAsia="sq-AL"/>
        </w:rPr>
      </w:pPr>
      <w:r w:rsidRPr="00935FDB">
        <w:rPr>
          <w:szCs w:val="24"/>
          <w:lang w:eastAsia="sq-AL"/>
        </w:rPr>
        <w:t>Forcim i cilësisë së vendimmarrjes gjyqësore dhe reduktim i rrezikut të ankimeve të bazuara në shkelje procedurale, nëpërmjet garantimit të mbrojtjes së të drejtave procedurale të përfituesve gjatë të gjithë procesit gjyqësor dhe përmbarimor.</w:t>
      </w:r>
    </w:p>
    <w:p w14:paraId="0E851689" w14:textId="22890842" w:rsidR="008C65E8" w:rsidRPr="00885A2B" w:rsidRDefault="008C65E8" w:rsidP="008C65E8">
      <w:pPr>
        <w:pStyle w:val="NormalWeb"/>
        <w:shd w:val="clear" w:color="auto" w:fill="FFFFFF"/>
        <w:spacing w:before="0" w:beforeAutospacing="0" w:after="0" w:afterAutospacing="0" w:line="276" w:lineRule="auto"/>
        <w:jc w:val="both"/>
        <w:textAlignment w:val="baseline"/>
        <w:rPr>
          <w:rFonts w:eastAsia="Calibri"/>
          <w:color w:val="000000"/>
          <w:lang w:val="sq-AL"/>
        </w:rPr>
      </w:pPr>
      <w:r w:rsidRPr="00885A2B">
        <w:rPr>
          <w:rFonts w:eastAsia="Calibri"/>
          <w:color w:val="000000"/>
          <w:lang w:val="sq-AL"/>
        </w:rPr>
        <w:t>Ndikime jo të drejtpërdrejta</w:t>
      </w:r>
      <w:r w:rsidR="00A95D97">
        <w:rPr>
          <w:rFonts w:eastAsia="Calibri"/>
          <w:color w:val="000000"/>
          <w:lang w:val="sq-AL"/>
        </w:rPr>
        <w:t xml:space="preserve"> </w:t>
      </w:r>
      <w:r w:rsidR="00A95D97" w:rsidRPr="0045310C">
        <w:rPr>
          <w:lang w:val="sq-AL"/>
        </w:rPr>
        <w:t>për gjykatat dhe shërbimin përmbarimor janë</w:t>
      </w:r>
      <w:r w:rsidRPr="00885A2B">
        <w:rPr>
          <w:rFonts w:eastAsia="Calibri"/>
          <w:color w:val="000000"/>
          <w:lang w:val="sq-AL"/>
        </w:rPr>
        <w:t>:</w:t>
      </w:r>
    </w:p>
    <w:p w14:paraId="1B3CD8AB" w14:textId="74EDFE98" w:rsidR="008C65E8" w:rsidRPr="00885A2B" w:rsidRDefault="00935FDB" w:rsidP="00A341D1">
      <w:pPr>
        <w:pStyle w:val="NormalWeb"/>
        <w:numPr>
          <w:ilvl w:val="0"/>
          <w:numId w:val="10"/>
        </w:numPr>
        <w:shd w:val="clear" w:color="auto" w:fill="FFFFFF"/>
        <w:spacing w:before="0" w:beforeAutospacing="0" w:after="0" w:afterAutospacing="0" w:line="276" w:lineRule="auto"/>
        <w:ind w:left="360"/>
        <w:jc w:val="both"/>
        <w:textAlignment w:val="baseline"/>
        <w:rPr>
          <w:rFonts w:eastAsia="Calibri"/>
          <w:color w:val="000000"/>
          <w:lang w:val="sq-AL"/>
        </w:rPr>
      </w:pPr>
      <w:r w:rsidRPr="00935FDB">
        <w:rPr>
          <w:rFonts w:eastAsia="Calibri"/>
          <w:bCs/>
          <w:color w:val="000000"/>
          <w:lang w:val="sq-AL"/>
        </w:rPr>
        <w:t>Forcim i parimit të shtetit të së drejtës nëpërmjet garantimit të zbatimit efektiv të vendimeve gjyqësore për të gjithë qytetarët, pavarësisht gjendjes së tyre ekonomike, duke reduktuar pabarazinë procedurale midis palëve në proces</w:t>
      </w:r>
      <w:r w:rsidR="008C65E8" w:rsidRPr="00885A2B">
        <w:rPr>
          <w:rFonts w:eastAsia="Calibri"/>
          <w:color w:val="000000"/>
          <w:lang w:val="sq-AL"/>
        </w:rPr>
        <w:t>.</w:t>
      </w:r>
    </w:p>
    <w:p w14:paraId="56CA2C61" w14:textId="7FA2BD76" w:rsidR="00935FDB" w:rsidRPr="00935FDB" w:rsidRDefault="008C65E8" w:rsidP="00A341D1">
      <w:pPr>
        <w:pStyle w:val="NormalWeb"/>
        <w:numPr>
          <w:ilvl w:val="0"/>
          <w:numId w:val="10"/>
        </w:numPr>
        <w:shd w:val="clear" w:color="auto" w:fill="FFFFFF"/>
        <w:spacing w:before="0" w:beforeAutospacing="0" w:after="0" w:afterAutospacing="0" w:line="276" w:lineRule="auto"/>
        <w:ind w:left="360"/>
        <w:jc w:val="both"/>
        <w:textAlignment w:val="baseline"/>
        <w:rPr>
          <w:rFonts w:eastAsia="Calibri"/>
          <w:color w:val="000000"/>
        </w:rPr>
      </w:pPr>
      <w:r w:rsidRPr="00885A2B">
        <w:rPr>
          <w:rFonts w:eastAsia="Calibri"/>
          <w:bCs/>
          <w:color w:val="000000"/>
          <w:lang w:val="sq-AL"/>
        </w:rPr>
        <w:t>Reduktim i barrës administrative</w:t>
      </w:r>
      <w:r w:rsidRPr="00885A2B">
        <w:rPr>
          <w:rFonts w:eastAsia="Calibri"/>
          <w:color w:val="000000"/>
          <w:lang w:val="sq-AL"/>
        </w:rPr>
        <w:t xml:space="preserve">, </w:t>
      </w:r>
      <w:r w:rsidR="008C7725" w:rsidRPr="00885A2B">
        <w:rPr>
          <w:rFonts w:eastAsia="Calibri"/>
          <w:color w:val="000000"/>
          <w:lang w:val="sq-AL"/>
        </w:rPr>
        <w:t>si pasojë e r</w:t>
      </w:r>
      <w:r w:rsidR="008C7725" w:rsidRPr="00885A2B">
        <w:rPr>
          <w:rFonts w:cs="Arial"/>
          <w:bCs/>
          <w:color w:val="000000"/>
        </w:rPr>
        <w:t>eduktimit të pengesave në ekzekutimin e vendimeve gjyqësore</w:t>
      </w:r>
      <w:r w:rsidR="005636D6" w:rsidRPr="00885A2B">
        <w:rPr>
          <w:rFonts w:cs="Arial"/>
          <w:bCs/>
          <w:color w:val="000000"/>
        </w:rPr>
        <w:t xml:space="preserve">. </w:t>
      </w:r>
    </w:p>
    <w:p w14:paraId="63CA9186" w14:textId="77777777" w:rsidR="00E30DD7" w:rsidRDefault="00E30DD7" w:rsidP="00E30DD7">
      <w:pPr>
        <w:spacing w:line="276" w:lineRule="auto"/>
        <w:jc w:val="both"/>
        <w:rPr>
          <w:szCs w:val="24"/>
          <w:lang w:eastAsia="x-none"/>
        </w:rPr>
      </w:pPr>
      <w:r>
        <w:rPr>
          <w:szCs w:val="24"/>
          <w:lang w:eastAsia="x-none"/>
        </w:rPr>
        <w:t>Nuk parashikohen ndikime mbi konkurrencën.</w:t>
      </w:r>
    </w:p>
    <w:p w14:paraId="6498042D" w14:textId="77777777" w:rsidR="00935FDB" w:rsidRDefault="00935FDB" w:rsidP="00935FDB">
      <w:pPr>
        <w:pStyle w:val="BodyText"/>
        <w:tabs>
          <w:tab w:val="left" w:pos="1165"/>
          <w:tab w:val="left" w:pos="10080"/>
        </w:tabs>
        <w:spacing w:after="0" w:line="276" w:lineRule="auto"/>
        <w:ind w:left="360" w:right="26"/>
        <w:jc w:val="both"/>
        <w:rPr>
          <w:b/>
          <w:sz w:val="24"/>
          <w:szCs w:val="24"/>
        </w:rPr>
      </w:pPr>
    </w:p>
    <w:p w14:paraId="251557D0" w14:textId="36E5164E" w:rsidR="00935FDB" w:rsidRPr="007F3983" w:rsidRDefault="00935FDB" w:rsidP="00935FDB">
      <w:pPr>
        <w:pStyle w:val="BodyText"/>
        <w:tabs>
          <w:tab w:val="left" w:pos="1165"/>
          <w:tab w:val="left" w:pos="10080"/>
        </w:tabs>
        <w:spacing w:after="0" w:line="276" w:lineRule="auto"/>
        <w:ind w:right="26"/>
        <w:jc w:val="both"/>
        <w:rPr>
          <w:sz w:val="24"/>
          <w:szCs w:val="24"/>
        </w:rPr>
      </w:pPr>
      <w:r w:rsidRPr="007F3983">
        <w:rPr>
          <w:b/>
          <w:sz w:val="24"/>
          <w:szCs w:val="24"/>
        </w:rPr>
        <w:t>Ndikimi mbi ndërmarrjet e vogla dhe të mesme</w:t>
      </w:r>
    </w:p>
    <w:p w14:paraId="0BB26B47" w14:textId="74A60FCB" w:rsidR="00935FDB" w:rsidRPr="00F62D17" w:rsidRDefault="00935FDB" w:rsidP="00F62D17">
      <w:pPr>
        <w:pStyle w:val="BodyText"/>
        <w:tabs>
          <w:tab w:val="left" w:pos="1165"/>
          <w:tab w:val="left" w:pos="10080"/>
        </w:tabs>
        <w:spacing w:after="0" w:line="276" w:lineRule="auto"/>
        <w:ind w:right="26"/>
        <w:jc w:val="both"/>
        <w:rPr>
          <w:sz w:val="24"/>
          <w:szCs w:val="24"/>
        </w:rPr>
      </w:pPr>
      <w:r w:rsidRPr="007F3983">
        <w:rPr>
          <w:sz w:val="24"/>
          <w:szCs w:val="24"/>
        </w:rPr>
        <w:t>Projektligji nuk parashikon ndikime të drejtpërdrejta mbi ndërmarrjet e vogla dhe të mesme. Ndikimi i vetëm i mundshëm indirekt lidhet me avokatët që ushtrojnë veprimtari si subjekte të vogla tregtare dhe që do të nënshtrohen detyrimeve të reja të trajnimit dhe specializimit. Këto detyrime sjellin kosto të moderuara kohore dhe financiare, të cilat kompensohen nga rritja e cilësisë profesionale, zgjerimi i mundshëm i bazës së klientëve dhe stimujt e konkurrencës pozitive të krijuar nga e drejta e re e zgjedhjes së avokatit nga ana e përfituesit.</w:t>
      </w:r>
    </w:p>
    <w:p w14:paraId="5AB5A1E4" w14:textId="77777777" w:rsidR="00E30DD7" w:rsidRPr="00935FDB" w:rsidRDefault="00E30DD7" w:rsidP="00E30DD7">
      <w:pPr>
        <w:pStyle w:val="NormalWeb"/>
        <w:shd w:val="clear" w:color="auto" w:fill="FFFFFF"/>
        <w:spacing w:before="0" w:beforeAutospacing="0" w:after="0" w:afterAutospacing="0" w:line="276" w:lineRule="auto"/>
        <w:jc w:val="both"/>
        <w:textAlignment w:val="baseline"/>
        <w:rPr>
          <w:rFonts w:eastAsia="Calibri"/>
          <w:color w:val="000000"/>
          <w:lang w:val="sq-AL"/>
        </w:rPr>
      </w:pPr>
    </w:p>
    <w:p w14:paraId="06C26F89" w14:textId="77777777" w:rsidR="005636D6" w:rsidRPr="00885A2B" w:rsidRDefault="005636D6" w:rsidP="008C65E8">
      <w:pPr>
        <w:pStyle w:val="BodyText"/>
        <w:tabs>
          <w:tab w:val="left" w:pos="1165"/>
          <w:tab w:val="left" w:pos="10080"/>
        </w:tabs>
        <w:ind w:right="26"/>
        <w:rPr>
          <w:b/>
          <w:sz w:val="24"/>
          <w:szCs w:val="24"/>
        </w:rPr>
      </w:pPr>
      <w:r w:rsidRPr="00885A2B">
        <w:rPr>
          <w:b/>
          <w:sz w:val="24"/>
          <w:szCs w:val="24"/>
        </w:rPr>
        <w:t>Kufizimet e analizës</w:t>
      </w:r>
    </w:p>
    <w:p w14:paraId="1ED653D2" w14:textId="05377BDE" w:rsidR="005636D6" w:rsidRPr="00885A2B" w:rsidRDefault="005636D6" w:rsidP="0075002E">
      <w:pPr>
        <w:pStyle w:val="BodyText"/>
        <w:tabs>
          <w:tab w:val="left" w:pos="1165"/>
          <w:tab w:val="left" w:pos="10080"/>
        </w:tabs>
        <w:spacing w:after="0"/>
        <w:ind w:right="26"/>
        <w:rPr>
          <w:sz w:val="24"/>
          <w:szCs w:val="24"/>
          <w:lang w:val="en-US"/>
        </w:rPr>
      </w:pPr>
      <w:r w:rsidRPr="00935FDB">
        <w:rPr>
          <w:b/>
          <w:bCs w:val="0"/>
          <w:sz w:val="24"/>
          <w:szCs w:val="24"/>
          <w:lang w:val="en-US"/>
        </w:rPr>
        <w:t>Supozimet</w:t>
      </w:r>
      <w:r w:rsidRPr="00885A2B">
        <w:rPr>
          <w:sz w:val="24"/>
          <w:szCs w:val="24"/>
          <w:lang w:val="en-US"/>
        </w:rPr>
        <w:t>:</w:t>
      </w:r>
    </w:p>
    <w:p w14:paraId="1F5A5CBC" w14:textId="77777777" w:rsidR="005636D6" w:rsidRPr="00885A2B" w:rsidRDefault="005636D6" w:rsidP="00A341D1">
      <w:pPr>
        <w:pStyle w:val="BodyText"/>
        <w:numPr>
          <w:ilvl w:val="0"/>
          <w:numId w:val="12"/>
        </w:numPr>
        <w:tabs>
          <w:tab w:val="left" w:pos="1165"/>
          <w:tab w:val="left" w:pos="10080"/>
        </w:tabs>
        <w:ind w:left="360"/>
        <w:jc w:val="both"/>
        <w:rPr>
          <w:sz w:val="24"/>
          <w:szCs w:val="24"/>
        </w:rPr>
      </w:pPr>
      <w:r w:rsidRPr="00885A2B">
        <w:rPr>
          <w:sz w:val="24"/>
          <w:szCs w:val="24"/>
        </w:rPr>
        <w:t>Parashikimet e ndikimeve bazohen në supozimin se numri i përfituesve të ndihmës juridike do të rritet gradualisht pas hyrjes në fuqi të ndryshimeve ligjore.</w:t>
      </w:r>
    </w:p>
    <w:p w14:paraId="61E3312A" w14:textId="0861B3B1" w:rsidR="007377D5" w:rsidRDefault="005636D6" w:rsidP="00A341D1">
      <w:pPr>
        <w:pStyle w:val="BodyText"/>
        <w:numPr>
          <w:ilvl w:val="0"/>
          <w:numId w:val="12"/>
        </w:numPr>
        <w:tabs>
          <w:tab w:val="left" w:pos="1165"/>
          <w:tab w:val="left" w:pos="10080"/>
        </w:tabs>
        <w:ind w:left="360"/>
        <w:jc w:val="both"/>
        <w:rPr>
          <w:sz w:val="24"/>
          <w:szCs w:val="24"/>
        </w:rPr>
      </w:pPr>
      <w:r w:rsidRPr="00885A2B">
        <w:rPr>
          <w:sz w:val="24"/>
          <w:szCs w:val="24"/>
        </w:rPr>
        <w:t xml:space="preserve">Supozohet që fondet buxhetore të alokuara për </w:t>
      </w:r>
      <w:r w:rsidR="00FD11FE" w:rsidRPr="00885A2B">
        <w:rPr>
          <w:sz w:val="24"/>
          <w:szCs w:val="24"/>
        </w:rPr>
        <w:t xml:space="preserve">ofrimin </w:t>
      </w:r>
      <w:r w:rsidRPr="00885A2B">
        <w:rPr>
          <w:sz w:val="24"/>
          <w:szCs w:val="24"/>
        </w:rPr>
        <w:t>e ndihmës juridike do të jenë të</w:t>
      </w:r>
      <w:r w:rsidR="00333348">
        <w:rPr>
          <w:sz w:val="24"/>
          <w:szCs w:val="24"/>
        </w:rPr>
        <w:t xml:space="preserve"> </w:t>
      </w:r>
      <w:r w:rsidRPr="00885A2B">
        <w:rPr>
          <w:sz w:val="24"/>
          <w:szCs w:val="24"/>
        </w:rPr>
        <w:t>mjaftueshme për të mbuluar kostot e shtesë të përfaqësimit ligjor dhe të shpenzimeve të ekspertëve.</w:t>
      </w:r>
    </w:p>
    <w:p w14:paraId="1E86643C" w14:textId="657B1C06" w:rsidR="00935FDB" w:rsidRDefault="00935FDB" w:rsidP="00A341D1">
      <w:pPr>
        <w:pStyle w:val="BodyText"/>
        <w:numPr>
          <w:ilvl w:val="0"/>
          <w:numId w:val="12"/>
        </w:numPr>
        <w:tabs>
          <w:tab w:val="left" w:pos="1165"/>
          <w:tab w:val="left" w:pos="10080"/>
        </w:tabs>
        <w:ind w:left="360"/>
        <w:jc w:val="both"/>
        <w:rPr>
          <w:sz w:val="24"/>
          <w:szCs w:val="24"/>
        </w:rPr>
      </w:pPr>
      <w:r w:rsidRPr="00935FDB">
        <w:rPr>
          <w:sz w:val="24"/>
          <w:szCs w:val="24"/>
        </w:rPr>
        <w:t>Supoz</w:t>
      </w:r>
      <w:r>
        <w:rPr>
          <w:sz w:val="24"/>
          <w:szCs w:val="24"/>
        </w:rPr>
        <w:t>ohet</w:t>
      </w:r>
      <w:r w:rsidRPr="00935FDB">
        <w:rPr>
          <w:sz w:val="24"/>
          <w:szCs w:val="24"/>
        </w:rPr>
        <w:t xml:space="preserve"> se aktet nënligjore të nevojshme për zbatimin e projektligjit do të miratohen brenda afatit tre-mujor të parashikuar shprehimisht nga neni 20 i projektligjit.</w:t>
      </w:r>
    </w:p>
    <w:p w14:paraId="70821ABC" w14:textId="67FAD972" w:rsidR="00935FDB" w:rsidRPr="00885A2B" w:rsidRDefault="00935FDB" w:rsidP="00A341D1">
      <w:pPr>
        <w:pStyle w:val="BodyText"/>
        <w:numPr>
          <w:ilvl w:val="0"/>
          <w:numId w:val="12"/>
        </w:numPr>
        <w:tabs>
          <w:tab w:val="left" w:pos="1165"/>
          <w:tab w:val="left" w:pos="10080"/>
        </w:tabs>
        <w:ind w:left="360"/>
        <w:jc w:val="both"/>
        <w:rPr>
          <w:sz w:val="24"/>
          <w:szCs w:val="24"/>
        </w:rPr>
      </w:pPr>
      <w:r>
        <w:rPr>
          <w:sz w:val="24"/>
          <w:szCs w:val="24"/>
        </w:rPr>
        <w:t>A</w:t>
      </w:r>
      <w:r w:rsidRPr="00935FDB">
        <w:rPr>
          <w:sz w:val="24"/>
          <w:szCs w:val="24"/>
        </w:rPr>
        <w:t>vokatët do të pranojnë dhe do të zbatojnë detyrimet e reja të trajnimit dhe specializimit</w:t>
      </w:r>
      <w:r>
        <w:rPr>
          <w:sz w:val="24"/>
          <w:szCs w:val="24"/>
        </w:rPr>
        <w:t>.</w:t>
      </w:r>
    </w:p>
    <w:p w14:paraId="20AF25B8" w14:textId="487D1B39" w:rsidR="00D04716" w:rsidRDefault="005636D6" w:rsidP="00F62D17">
      <w:pPr>
        <w:pStyle w:val="BodyText"/>
        <w:tabs>
          <w:tab w:val="left" w:pos="1165"/>
          <w:tab w:val="left" w:pos="10080"/>
        </w:tabs>
        <w:ind w:right="26"/>
        <w:jc w:val="both"/>
        <w:rPr>
          <w:sz w:val="24"/>
          <w:szCs w:val="24"/>
        </w:rPr>
      </w:pPr>
      <w:r w:rsidRPr="00935FDB">
        <w:rPr>
          <w:b/>
          <w:bCs w:val="0"/>
          <w:sz w:val="24"/>
          <w:szCs w:val="24"/>
        </w:rPr>
        <w:t>Risqet</w:t>
      </w:r>
      <w:r w:rsidRPr="00885A2B">
        <w:rPr>
          <w:sz w:val="24"/>
          <w:szCs w:val="24"/>
        </w:rPr>
        <w:t xml:space="preserve"> kryesore përfshijnë mungesë të burimeve të mjaftueshme njerëzore ose financiare.</w:t>
      </w:r>
    </w:p>
    <w:p w14:paraId="5B1B5E04" w14:textId="20F89AE2" w:rsidR="005636D6" w:rsidRPr="00885A2B" w:rsidRDefault="005636D6" w:rsidP="00333348">
      <w:pPr>
        <w:pStyle w:val="BodyText"/>
        <w:tabs>
          <w:tab w:val="left" w:pos="1165"/>
          <w:tab w:val="left" w:pos="10080"/>
        </w:tabs>
        <w:ind w:right="26"/>
        <w:jc w:val="both"/>
        <w:rPr>
          <w:sz w:val="24"/>
          <w:szCs w:val="24"/>
        </w:rPr>
      </w:pPr>
      <w:r w:rsidRPr="00F62D17">
        <w:rPr>
          <w:b/>
          <w:bCs w:val="0"/>
          <w:sz w:val="24"/>
          <w:szCs w:val="24"/>
        </w:rPr>
        <w:t>Faktorë që mund të pengojnë realizimin e përfitimeve</w:t>
      </w:r>
      <w:r w:rsidRPr="00885A2B">
        <w:rPr>
          <w:sz w:val="24"/>
          <w:szCs w:val="24"/>
        </w:rPr>
        <w:t>, të rrisin kostot ose të sjellin pasoja të papritura:</w:t>
      </w:r>
    </w:p>
    <w:p w14:paraId="2468B9FA" w14:textId="61205975" w:rsidR="00935FDB" w:rsidRDefault="00935FDB" w:rsidP="00A341D1">
      <w:pPr>
        <w:pStyle w:val="BodyText"/>
        <w:numPr>
          <w:ilvl w:val="0"/>
          <w:numId w:val="11"/>
        </w:numPr>
        <w:tabs>
          <w:tab w:val="left" w:pos="1165"/>
          <w:tab w:val="left" w:pos="10080"/>
        </w:tabs>
        <w:ind w:left="360"/>
        <w:jc w:val="both"/>
        <w:rPr>
          <w:sz w:val="24"/>
          <w:szCs w:val="24"/>
        </w:rPr>
      </w:pPr>
      <w:r>
        <w:rPr>
          <w:sz w:val="24"/>
          <w:szCs w:val="24"/>
        </w:rPr>
        <w:t>M</w:t>
      </w:r>
      <w:r w:rsidRPr="00935FDB">
        <w:rPr>
          <w:sz w:val="24"/>
          <w:szCs w:val="24"/>
        </w:rPr>
        <w:t>ungesa e ndërgjegjësimit të kategorive të reja përfituese për të drejtat e tyre të reja.</w:t>
      </w:r>
    </w:p>
    <w:p w14:paraId="43F2AA3A" w14:textId="1D74C9A6" w:rsidR="005636D6" w:rsidRPr="00885A2B" w:rsidRDefault="005636D6" w:rsidP="00A341D1">
      <w:pPr>
        <w:pStyle w:val="BodyText"/>
        <w:numPr>
          <w:ilvl w:val="0"/>
          <w:numId w:val="11"/>
        </w:numPr>
        <w:tabs>
          <w:tab w:val="left" w:pos="1165"/>
          <w:tab w:val="left" w:pos="10080"/>
        </w:tabs>
        <w:ind w:left="360"/>
        <w:jc w:val="both"/>
        <w:rPr>
          <w:sz w:val="24"/>
          <w:szCs w:val="24"/>
        </w:rPr>
      </w:pPr>
      <w:r w:rsidRPr="00885A2B">
        <w:rPr>
          <w:sz w:val="24"/>
          <w:szCs w:val="24"/>
        </w:rPr>
        <w:t>Kapacitete të kufizuara administrative që mund të vonojnë zbatimin e procedurave të reja.</w:t>
      </w:r>
    </w:p>
    <w:p w14:paraId="61FAB9A3" w14:textId="6D3DA7CE" w:rsidR="00885A2B" w:rsidRDefault="005636D6" w:rsidP="00A341D1">
      <w:pPr>
        <w:pStyle w:val="BodyText"/>
        <w:numPr>
          <w:ilvl w:val="0"/>
          <w:numId w:val="11"/>
        </w:numPr>
        <w:tabs>
          <w:tab w:val="left" w:pos="1165"/>
          <w:tab w:val="left" w:pos="10080"/>
        </w:tabs>
        <w:ind w:left="360"/>
        <w:jc w:val="both"/>
        <w:rPr>
          <w:sz w:val="24"/>
          <w:szCs w:val="24"/>
        </w:rPr>
      </w:pPr>
      <w:r w:rsidRPr="00885A2B">
        <w:rPr>
          <w:sz w:val="24"/>
          <w:szCs w:val="24"/>
        </w:rPr>
        <w:lastRenderedPageBreak/>
        <w:t>Faktorë të jashtëm, si rritje e numrit të çështjeve ose kriza ekonomike, që mund të rrisin barrën financiare ose operative mbi institucionet.</w:t>
      </w:r>
    </w:p>
    <w:p w14:paraId="2A2C05B1" w14:textId="016AF1E5" w:rsidR="0024644D" w:rsidRDefault="00AE7890" w:rsidP="001562BB">
      <w:pPr>
        <w:pStyle w:val="BodyText"/>
        <w:tabs>
          <w:tab w:val="left" w:pos="1165"/>
          <w:tab w:val="left" w:pos="10080"/>
        </w:tabs>
        <w:spacing w:after="0" w:line="276" w:lineRule="auto"/>
        <w:ind w:right="26"/>
        <w:jc w:val="both"/>
        <w:rPr>
          <w:sz w:val="24"/>
          <w:szCs w:val="24"/>
        </w:rPr>
      </w:pPr>
      <w:r w:rsidRPr="00672785">
        <w:rPr>
          <w:sz w:val="24"/>
          <w:szCs w:val="24"/>
          <w:lang w:val="it-IT"/>
        </w:rPr>
        <w:t>Në mënyrë të përmbledhur,</w:t>
      </w:r>
      <w:r w:rsidR="008769F2" w:rsidRPr="00672785">
        <w:rPr>
          <w:sz w:val="24"/>
          <w:szCs w:val="24"/>
          <w:lang w:val="it-IT"/>
        </w:rPr>
        <w:t xml:space="preserve"> konkludohet</w:t>
      </w:r>
      <w:r w:rsidRPr="00672785">
        <w:rPr>
          <w:sz w:val="24"/>
          <w:szCs w:val="24"/>
          <w:lang w:val="it-IT"/>
        </w:rPr>
        <w:t xml:space="preserve"> </w:t>
      </w:r>
      <w:r w:rsidR="001562BB" w:rsidRPr="0045310C">
        <w:rPr>
          <w:sz w:val="24"/>
          <w:szCs w:val="24"/>
        </w:rPr>
        <w:t>se opsioni 2 është zgjidhja më e mirë krahasimisht me opsionet e tjera, pasi siguron përfitimet më të mëdha për qytetarët dhe institucionet, forcon të drejtat procedurale, rrit eficiencën e sistemit dhe është më i favorshëm nga pikëpamja financiare. Opsioni 0 dhe 1 nuk adresojnë problematikat kryesore dhe kanë ndikim minimal, ndërsa opsioni 3, megjithëse efektiv, shoqërohet me kosto më të larta pa përfitime të shtuar.</w:t>
      </w:r>
    </w:p>
    <w:p w14:paraId="56BD97F4" w14:textId="77D91861" w:rsidR="00B2691E" w:rsidRPr="00B2691E" w:rsidRDefault="00E43F8C" w:rsidP="00B2691E">
      <w:pPr>
        <w:spacing w:before="240" w:line="276" w:lineRule="auto"/>
        <w:jc w:val="both"/>
        <w:rPr>
          <w:b/>
        </w:rPr>
      </w:pPr>
      <w:r w:rsidRPr="00B2691E">
        <w:rPr>
          <w:b/>
        </w:rPr>
        <w:t xml:space="preserve">Arsyetimi i opsionit të preferuar </w:t>
      </w:r>
    </w:p>
    <w:p w14:paraId="427B5E95" w14:textId="183AFB21" w:rsidR="00B2691E" w:rsidRDefault="00B2691E">
      <w:pPr>
        <w:pStyle w:val="Style1-BodyText"/>
        <w:numPr>
          <w:ilvl w:val="0"/>
          <w:numId w:val="4"/>
        </w:numPr>
        <w:spacing w:after="0" w:line="276" w:lineRule="auto"/>
        <w:rPr>
          <w:rFonts w:cs="Times New Roman"/>
          <w:i/>
          <w:sz w:val="24"/>
          <w:szCs w:val="24"/>
        </w:rPr>
      </w:pPr>
      <w:r>
        <w:rPr>
          <w:rFonts w:cs="Times New Roman"/>
          <w:i/>
          <w:sz w:val="24"/>
          <w:szCs w:val="24"/>
        </w:rPr>
        <w:t>Zgjidhni opsionin e preferuar bazuar në analizë</w:t>
      </w:r>
      <w:r w:rsidRPr="0032145B">
        <w:rPr>
          <w:rFonts w:cs="Times New Roman"/>
          <w:i/>
          <w:sz w:val="24"/>
          <w:szCs w:val="24"/>
        </w:rPr>
        <w:t>.</w:t>
      </w:r>
    </w:p>
    <w:p w14:paraId="58C084C6" w14:textId="343D491B" w:rsidR="00B2691E" w:rsidRDefault="00B2691E">
      <w:pPr>
        <w:pStyle w:val="Style1-BodyText"/>
        <w:numPr>
          <w:ilvl w:val="0"/>
          <w:numId w:val="4"/>
        </w:numPr>
        <w:spacing w:after="0" w:line="276" w:lineRule="auto"/>
        <w:rPr>
          <w:rFonts w:cs="Times New Roman"/>
          <w:i/>
          <w:sz w:val="24"/>
          <w:szCs w:val="24"/>
        </w:rPr>
      </w:pPr>
      <w:r w:rsidRPr="0032145B">
        <w:rPr>
          <w:rFonts w:cs="Times New Roman"/>
          <w:i/>
          <w:sz w:val="24"/>
          <w:szCs w:val="24"/>
        </w:rPr>
        <w:t xml:space="preserve">Shpjegoni </w:t>
      </w:r>
      <w:r>
        <w:rPr>
          <w:rFonts w:cs="Times New Roman"/>
          <w:i/>
          <w:sz w:val="24"/>
          <w:szCs w:val="24"/>
        </w:rPr>
        <w:t>arsyetimin tuaj.</w:t>
      </w:r>
    </w:p>
    <w:p w14:paraId="3A7DE1BE" w14:textId="77777777" w:rsidR="00A341D1" w:rsidRDefault="00A341D1" w:rsidP="00E22E53">
      <w:pPr>
        <w:tabs>
          <w:tab w:val="left" w:pos="10080"/>
        </w:tabs>
        <w:spacing w:line="276" w:lineRule="auto"/>
        <w:ind w:left="34"/>
        <w:jc w:val="both"/>
        <w:rPr>
          <w:color w:val="000000"/>
          <w:szCs w:val="24"/>
        </w:rPr>
      </w:pPr>
    </w:p>
    <w:p w14:paraId="478593EF" w14:textId="1E22DCD0" w:rsidR="005F75A6" w:rsidRDefault="00B2691E" w:rsidP="00E22E53">
      <w:pPr>
        <w:tabs>
          <w:tab w:val="left" w:pos="10080"/>
        </w:tabs>
        <w:spacing w:line="276" w:lineRule="auto"/>
        <w:ind w:left="34"/>
        <w:jc w:val="both"/>
        <w:rPr>
          <w:szCs w:val="24"/>
        </w:rPr>
      </w:pPr>
      <w:r>
        <w:rPr>
          <w:color w:val="000000"/>
          <w:szCs w:val="24"/>
        </w:rPr>
        <w:t>Opsioni i zgjedhur është opsioni nr. 2 që parashikon ndryshimin</w:t>
      </w:r>
      <w:r w:rsidRPr="00C611D8">
        <w:rPr>
          <w:color w:val="000000"/>
          <w:szCs w:val="24"/>
        </w:rPr>
        <w:t xml:space="preserve"> </w:t>
      </w:r>
      <w:r>
        <w:rPr>
          <w:color w:val="000000"/>
          <w:szCs w:val="24"/>
        </w:rPr>
        <w:t>e</w:t>
      </w:r>
      <w:r w:rsidRPr="00C611D8">
        <w:rPr>
          <w:color w:val="000000"/>
          <w:szCs w:val="24"/>
        </w:rPr>
        <w:t xml:space="preserve"> </w:t>
      </w:r>
      <w:r>
        <w:rPr>
          <w:color w:val="000000"/>
          <w:szCs w:val="24"/>
        </w:rPr>
        <w:t xml:space="preserve">ligjit </w:t>
      </w:r>
      <w:r w:rsidRPr="006B2CF9">
        <w:rPr>
          <w:color w:val="000000"/>
          <w:szCs w:val="24"/>
        </w:rPr>
        <w:t>nr.</w:t>
      </w:r>
      <w:r w:rsidR="00E722B4">
        <w:rPr>
          <w:color w:val="000000"/>
          <w:szCs w:val="24"/>
        </w:rPr>
        <w:t xml:space="preserve"> 111/2017 “Për ndihmën juridike të garantuar nga shteti</w:t>
      </w:r>
      <w:r>
        <w:rPr>
          <w:color w:val="000000"/>
          <w:szCs w:val="24"/>
        </w:rPr>
        <w:t>”.</w:t>
      </w:r>
      <w:r w:rsidR="00E722B4">
        <w:rPr>
          <w:color w:val="000000"/>
          <w:szCs w:val="24"/>
        </w:rPr>
        <w:t xml:space="preserve"> </w:t>
      </w:r>
      <w:r>
        <w:rPr>
          <w:color w:val="000000"/>
          <w:szCs w:val="24"/>
        </w:rPr>
        <w:t xml:space="preserve">Ky është parë si opsioni i preferuar, </w:t>
      </w:r>
      <w:r w:rsidRPr="0084399F">
        <w:rPr>
          <w:color w:val="000000"/>
          <w:szCs w:val="24"/>
        </w:rPr>
        <w:t>pasi</w:t>
      </w:r>
      <w:r>
        <w:rPr>
          <w:color w:val="000000"/>
          <w:szCs w:val="24"/>
        </w:rPr>
        <w:t xml:space="preserve"> nëpërmjet ndryshimit dhe shtimit të dispozitave të reja</w:t>
      </w:r>
      <w:r w:rsidRPr="0084399F">
        <w:rPr>
          <w:color w:val="000000"/>
          <w:szCs w:val="24"/>
        </w:rPr>
        <w:t xml:space="preserve"> do të</w:t>
      </w:r>
      <w:r>
        <w:rPr>
          <w:color w:val="000000"/>
          <w:szCs w:val="24"/>
        </w:rPr>
        <w:t xml:space="preserve"> bëhej i mundur adresimi i problematikave me qëllim</w:t>
      </w:r>
      <w:r w:rsidRPr="0084399F">
        <w:rPr>
          <w:color w:val="000000"/>
          <w:szCs w:val="24"/>
        </w:rPr>
        <w:t xml:space="preserve"> </w:t>
      </w:r>
      <w:r w:rsidRPr="0033753B">
        <w:rPr>
          <w:szCs w:val="24"/>
        </w:rPr>
        <w:t>përmirë</w:t>
      </w:r>
      <w:r>
        <w:rPr>
          <w:szCs w:val="24"/>
        </w:rPr>
        <w:t xml:space="preserve">simin e  rregullave dhe procedurave të </w:t>
      </w:r>
      <w:r w:rsidRPr="0033753B">
        <w:rPr>
          <w:szCs w:val="24"/>
        </w:rPr>
        <w:t xml:space="preserve">legjislacionit aktual për </w:t>
      </w:r>
      <w:r w:rsidR="00E722B4">
        <w:rPr>
          <w:color w:val="000000"/>
          <w:szCs w:val="24"/>
        </w:rPr>
        <w:t>ndihmën juridike të garantuar nga shteti</w:t>
      </w:r>
      <w:r w:rsidR="00E722B4">
        <w:rPr>
          <w:szCs w:val="24"/>
        </w:rPr>
        <w:t>.</w:t>
      </w:r>
    </w:p>
    <w:p w14:paraId="28D37392" w14:textId="77777777" w:rsidR="005F75A6" w:rsidRDefault="005F75A6" w:rsidP="00E22E53">
      <w:pPr>
        <w:tabs>
          <w:tab w:val="left" w:pos="10080"/>
        </w:tabs>
        <w:spacing w:line="276" w:lineRule="auto"/>
        <w:ind w:left="34"/>
        <w:jc w:val="both"/>
        <w:rPr>
          <w:szCs w:val="24"/>
        </w:rPr>
      </w:pPr>
    </w:p>
    <w:p w14:paraId="6A2B03D9" w14:textId="233A54BA" w:rsidR="00E22E53" w:rsidRPr="006E7125" w:rsidRDefault="00B2691E" w:rsidP="00E22E53">
      <w:pPr>
        <w:tabs>
          <w:tab w:val="left" w:pos="10080"/>
        </w:tabs>
        <w:spacing w:line="276" w:lineRule="auto"/>
        <w:ind w:left="34"/>
        <w:jc w:val="both"/>
        <w:rPr>
          <w:szCs w:val="24"/>
        </w:rPr>
      </w:pPr>
      <w:r>
        <w:rPr>
          <w:szCs w:val="24"/>
        </w:rPr>
        <w:t>Përmes këtij opsioni arrihen objektivat dhe adresohen problemet që diktojnë nevojën për ndërhyrje dhe</w:t>
      </w:r>
      <w:r w:rsidR="005F75A6">
        <w:rPr>
          <w:szCs w:val="24"/>
        </w:rPr>
        <w:t xml:space="preserve"> </w:t>
      </w:r>
      <w:r>
        <w:rPr>
          <w:szCs w:val="24"/>
        </w:rPr>
        <w:t xml:space="preserve">paraqet kosto më të ulët. Edhe nga pikëpamja e teknikës legjislative ky opsion është opsioni i preferuar për shkak se nuk parashikohet të kryhen ndryshime që prekin më shumë </w:t>
      </w:r>
      <w:r w:rsidR="005F75A6">
        <w:rPr>
          <w:szCs w:val="24"/>
        </w:rPr>
        <w:t xml:space="preserve">se </w:t>
      </w:r>
      <w:r>
        <w:rPr>
          <w:szCs w:val="24"/>
        </w:rPr>
        <w:t xml:space="preserve">50% të dispozitave të ligjit. Ndryshimi i dispozitave aktuale ose shtimi i dispozitave të reja është </w:t>
      </w:r>
      <w:r w:rsidRPr="00C12E81">
        <w:rPr>
          <w:color w:val="000000" w:themeColor="text1"/>
          <w:szCs w:val="24"/>
        </w:rPr>
        <w:t>një m</w:t>
      </w:r>
      <w:r>
        <w:rPr>
          <w:color w:val="000000" w:themeColor="text1"/>
          <w:szCs w:val="24"/>
        </w:rPr>
        <w:t>jet</w:t>
      </w:r>
      <w:r w:rsidRPr="00C12E81">
        <w:rPr>
          <w:color w:val="000000" w:themeColor="text1"/>
          <w:szCs w:val="24"/>
        </w:rPr>
        <w:t xml:space="preserve"> </w:t>
      </w:r>
      <w:r>
        <w:rPr>
          <w:color w:val="000000" w:themeColor="text1"/>
          <w:szCs w:val="24"/>
        </w:rPr>
        <w:t>i</w:t>
      </w:r>
      <w:r w:rsidRPr="00C12E81">
        <w:rPr>
          <w:color w:val="000000" w:themeColor="text1"/>
          <w:szCs w:val="24"/>
        </w:rPr>
        <w:t xml:space="preserve"> mjaftuesh</w:t>
      </w:r>
      <w:r>
        <w:rPr>
          <w:color w:val="000000" w:themeColor="text1"/>
          <w:szCs w:val="24"/>
        </w:rPr>
        <w:t>ë</w:t>
      </w:r>
      <w:r w:rsidRPr="00C12E81">
        <w:rPr>
          <w:color w:val="000000" w:themeColor="text1"/>
          <w:szCs w:val="24"/>
        </w:rPr>
        <w:t xml:space="preserve">m dhe </w:t>
      </w:r>
      <w:r>
        <w:rPr>
          <w:color w:val="000000" w:themeColor="text1"/>
          <w:szCs w:val="24"/>
        </w:rPr>
        <w:t>i</w:t>
      </w:r>
      <w:r w:rsidRPr="00C12E81">
        <w:rPr>
          <w:color w:val="000000" w:themeColor="text1"/>
          <w:szCs w:val="24"/>
        </w:rPr>
        <w:t xml:space="preserve"> përshtatsh</w:t>
      </w:r>
      <w:r>
        <w:rPr>
          <w:color w:val="000000" w:themeColor="text1"/>
          <w:szCs w:val="24"/>
        </w:rPr>
        <w:t>ë</w:t>
      </w:r>
      <w:r w:rsidRPr="00C12E81">
        <w:rPr>
          <w:color w:val="000000" w:themeColor="text1"/>
          <w:szCs w:val="24"/>
        </w:rPr>
        <w:t xml:space="preserve">m për adresimin e problemit </w:t>
      </w:r>
      <w:r>
        <w:rPr>
          <w:szCs w:val="24"/>
        </w:rPr>
        <w:t>dhe arritjen e objektiva</w:t>
      </w:r>
      <w:r w:rsidR="00E22E53">
        <w:rPr>
          <w:szCs w:val="24"/>
        </w:rPr>
        <w:t xml:space="preserve">ve, pasi problematikat e evidentuara mund të adresohen më së miri me </w:t>
      </w:r>
      <w:r w:rsidR="00E22E53" w:rsidRPr="00AA3582">
        <w:rPr>
          <w:szCs w:val="24"/>
        </w:rPr>
        <w:t>ndryshime</w:t>
      </w:r>
      <w:r w:rsidR="00E22E53">
        <w:rPr>
          <w:szCs w:val="24"/>
        </w:rPr>
        <w:t>t</w:t>
      </w:r>
      <w:r w:rsidR="00E22E53" w:rsidRPr="00AA3582">
        <w:rPr>
          <w:szCs w:val="24"/>
        </w:rPr>
        <w:t xml:space="preserve"> n</w:t>
      </w:r>
      <w:r w:rsidR="00E22E53">
        <w:rPr>
          <w:szCs w:val="24"/>
        </w:rPr>
        <w:t xml:space="preserve">ë dispozitat </w:t>
      </w:r>
      <w:r w:rsidR="005F75A6">
        <w:rPr>
          <w:szCs w:val="24"/>
        </w:rPr>
        <w:t>e</w:t>
      </w:r>
      <w:r w:rsidR="00E22E53">
        <w:rPr>
          <w:szCs w:val="24"/>
        </w:rPr>
        <w:t xml:space="preserve"> ligjit në fuqi dhe përfshirjes së dispozitave të reja ku shihet e nevojshme.</w:t>
      </w:r>
      <w:r w:rsidR="00E22E53" w:rsidRPr="00E22E53">
        <w:rPr>
          <w:color w:val="000000" w:themeColor="text1"/>
          <w:szCs w:val="24"/>
        </w:rPr>
        <w:t xml:space="preserve"> </w:t>
      </w:r>
    </w:p>
    <w:p w14:paraId="17D931CF" w14:textId="77777777" w:rsidR="00B2691E" w:rsidRDefault="00B2691E" w:rsidP="00B2691E">
      <w:pPr>
        <w:tabs>
          <w:tab w:val="left" w:pos="10080"/>
        </w:tabs>
        <w:spacing w:line="276" w:lineRule="auto"/>
        <w:ind w:left="34"/>
        <w:jc w:val="both"/>
        <w:rPr>
          <w:color w:val="000000"/>
          <w:szCs w:val="24"/>
        </w:rPr>
      </w:pPr>
    </w:p>
    <w:p w14:paraId="1AC1E3E6" w14:textId="05C3626F" w:rsidR="005F75A6" w:rsidRDefault="00B2691E" w:rsidP="00B2691E">
      <w:pPr>
        <w:tabs>
          <w:tab w:val="left" w:pos="10080"/>
        </w:tabs>
        <w:spacing w:line="276" w:lineRule="auto"/>
        <w:ind w:left="34"/>
        <w:jc w:val="both"/>
        <w:rPr>
          <w:color w:val="000000"/>
          <w:szCs w:val="24"/>
        </w:rPr>
      </w:pPr>
      <w:r>
        <w:rPr>
          <w:color w:val="000000"/>
          <w:szCs w:val="24"/>
        </w:rPr>
        <w:t xml:space="preserve">Ruajtja e </w:t>
      </w:r>
      <w:r w:rsidRPr="00B2691E">
        <w:rPr>
          <w:i/>
          <w:color w:val="000000"/>
          <w:szCs w:val="24"/>
        </w:rPr>
        <w:t>status quo</w:t>
      </w:r>
      <w:r>
        <w:rPr>
          <w:color w:val="000000"/>
          <w:szCs w:val="24"/>
        </w:rPr>
        <w:t>-s</w:t>
      </w:r>
      <w:r w:rsidRPr="00C611D8">
        <w:rPr>
          <w:color w:val="000000"/>
          <w:szCs w:val="24"/>
        </w:rPr>
        <w:t xml:space="preserve"> </w:t>
      </w:r>
      <w:r>
        <w:rPr>
          <w:color w:val="000000"/>
          <w:szCs w:val="24"/>
        </w:rPr>
        <w:t xml:space="preserve">ose ndërhyrja jorregullatore sjell si pasojë që të </w:t>
      </w:r>
      <w:r w:rsidRPr="00FF3FB0">
        <w:rPr>
          <w:color w:val="000000"/>
          <w:szCs w:val="24"/>
        </w:rPr>
        <w:t xml:space="preserve">vijohet me kuadrin ligjor ekzistues e konkretisht me </w:t>
      </w:r>
      <w:r>
        <w:rPr>
          <w:color w:val="000000"/>
          <w:szCs w:val="24"/>
        </w:rPr>
        <w:t>zbatimin e ligjit</w:t>
      </w:r>
      <w:r w:rsidRPr="00FF3FB0">
        <w:rPr>
          <w:color w:val="000000"/>
          <w:szCs w:val="24"/>
        </w:rPr>
        <w:t xml:space="preserve"> nr.</w:t>
      </w:r>
      <w:r w:rsidR="00E722B4" w:rsidRPr="00E722B4">
        <w:rPr>
          <w:color w:val="000000"/>
          <w:szCs w:val="24"/>
        </w:rPr>
        <w:t xml:space="preserve"> </w:t>
      </w:r>
      <w:r w:rsidR="00E722B4">
        <w:rPr>
          <w:color w:val="000000"/>
          <w:szCs w:val="24"/>
        </w:rPr>
        <w:t>111/2017 “Për ndihmën juridike të garantuar nga shteti</w:t>
      </w:r>
      <w:r>
        <w:rPr>
          <w:color w:val="000000"/>
          <w:szCs w:val="24"/>
        </w:rPr>
        <w:t xml:space="preserve">”. Këto opsione nuk janë të opsione të preferuara sepse nuk mund të adresojnë </w:t>
      </w:r>
      <w:r w:rsidR="00E722B4">
        <w:rPr>
          <w:color w:val="000000"/>
          <w:szCs w:val="24"/>
        </w:rPr>
        <w:t xml:space="preserve">boshlliqet </w:t>
      </w:r>
      <w:r w:rsidR="002708FC">
        <w:rPr>
          <w:color w:val="000000"/>
          <w:szCs w:val="24"/>
        </w:rPr>
        <w:t>dhe problemet e evidentuara</w:t>
      </w:r>
      <w:r>
        <w:rPr>
          <w:color w:val="000000"/>
          <w:szCs w:val="24"/>
        </w:rPr>
        <w:t xml:space="preserve">. </w:t>
      </w:r>
      <w:r w:rsidR="00E22E53">
        <w:rPr>
          <w:color w:val="000000"/>
          <w:szCs w:val="24"/>
        </w:rPr>
        <w:t>Veprimtaritë ndërgjegjësuese të qytetarëve dhe autoriteteve publike me qëllim shmangien e problematikave</w:t>
      </w:r>
      <w:r w:rsidR="002708FC">
        <w:rPr>
          <w:color w:val="000000"/>
          <w:szCs w:val="24"/>
        </w:rPr>
        <w:t xml:space="preserve"> </w:t>
      </w:r>
      <w:r w:rsidR="00E22E53">
        <w:rPr>
          <w:color w:val="000000"/>
          <w:szCs w:val="24"/>
        </w:rPr>
        <w:t>nuk mund të sjellin rezultat</w:t>
      </w:r>
      <w:r w:rsidR="0070495F">
        <w:rPr>
          <w:color w:val="000000"/>
          <w:szCs w:val="24"/>
        </w:rPr>
        <w:t>et</w:t>
      </w:r>
      <w:r w:rsidR="00E22E53">
        <w:rPr>
          <w:color w:val="000000"/>
          <w:szCs w:val="24"/>
        </w:rPr>
        <w:t xml:space="preserve"> e dëshiruara. Për këto arsye çdo masë me karakter jorregullator nuk i shërben qëllimit të ndërhyrjes dhe arritjes së objektivave. </w:t>
      </w:r>
      <w:r w:rsidR="002708FC">
        <w:rPr>
          <w:color w:val="000000"/>
          <w:szCs w:val="24"/>
        </w:rPr>
        <w:t xml:space="preserve">Krahas </w:t>
      </w:r>
      <w:r w:rsidR="00E22E53">
        <w:rPr>
          <w:color w:val="000000"/>
          <w:szCs w:val="24"/>
        </w:rPr>
        <w:t xml:space="preserve">kostove që vijnë si rezultat i mosndërhyrjes në ligj, kostot do të shtohen edhe për shkak se, pavarësisht kryerjes së aktiviteteve ndërgjegjësuese apo vetërregullimit, objektivat nuk mund të arrihen. </w:t>
      </w:r>
      <w:r>
        <w:rPr>
          <w:color w:val="000000"/>
          <w:szCs w:val="24"/>
        </w:rPr>
        <w:t>Vlerësohet se sipas këtyre</w:t>
      </w:r>
      <w:r w:rsidR="00E22E53">
        <w:rPr>
          <w:color w:val="000000"/>
          <w:szCs w:val="24"/>
        </w:rPr>
        <w:t xml:space="preserve"> dy</w:t>
      </w:r>
      <w:r>
        <w:rPr>
          <w:color w:val="000000"/>
          <w:szCs w:val="24"/>
        </w:rPr>
        <w:t xml:space="preserve"> opsioneve nuk shënohet ndonjë rritje e nivelit të transparencës dhe as adresim i problematikave të</w:t>
      </w:r>
      <w:r w:rsidR="00E22E53">
        <w:rPr>
          <w:color w:val="000000"/>
          <w:szCs w:val="24"/>
        </w:rPr>
        <w:t xml:space="preserve"> hasura.</w:t>
      </w:r>
      <w:r>
        <w:rPr>
          <w:color w:val="000000"/>
          <w:szCs w:val="24"/>
        </w:rPr>
        <w:t xml:space="preserve"> Sa i përket kostove për qytetarët dhe qeverinë, ato do të jenë të larta dhe eventualisht do të rriten për shkak të mosveprimit.</w:t>
      </w:r>
      <w:r w:rsidR="005F75A6">
        <w:rPr>
          <w:color w:val="000000"/>
          <w:szCs w:val="24"/>
        </w:rPr>
        <w:t xml:space="preserve"> </w:t>
      </w:r>
    </w:p>
    <w:p w14:paraId="391687C5" w14:textId="77777777" w:rsidR="00593540" w:rsidRPr="0050278D" w:rsidRDefault="00593540" w:rsidP="00593540">
      <w:pPr>
        <w:pStyle w:val="BodyText"/>
        <w:tabs>
          <w:tab w:val="left" w:pos="1165"/>
          <w:tab w:val="left" w:pos="10080"/>
        </w:tabs>
        <w:spacing w:after="0" w:line="276" w:lineRule="auto"/>
        <w:ind w:right="26"/>
        <w:jc w:val="both"/>
        <w:rPr>
          <w:b/>
          <w:bCs w:val="0"/>
          <w:sz w:val="24"/>
          <w:szCs w:val="24"/>
        </w:rPr>
      </w:pPr>
    </w:p>
    <w:p w14:paraId="19F66264" w14:textId="1B47251F" w:rsidR="00593540" w:rsidRPr="0050278D" w:rsidRDefault="00593540" w:rsidP="00593540">
      <w:pPr>
        <w:pStyle w:val="BodyText"/>
        <w:tabs>
          <w:tab w:val="left" w:pos="1165"/>
          <w:tab w:val="left" w:pos="10080"/>
        </w:tabs>
        <w:spacing w:after="0" w:line="276" w:lineRule="auto"/>
        <w:ind w:right="26"/>
        <w:jc w:val="both"/>
        <w:rPr>
          <w:b/>
          <w:bCs w:val="0"/>
          <w:sz w:val="24"/>
          <w:szCs w:val="24"/>
          <w:lang w:val="it-IT"/>
        </w:rPr>
      </w:pPr>
      <w:r w:rsidRPr="0050278D">
        <w:rPr>
          <w:b/>
          <w:bCs w:val="0"/>
          <w:sz w:val="24"/>
          <w:szCs w:val="24"/>
          <w:lang w:val="it-IT"/>
        </w:rPr>
        <w:t xml:space="preserve">Analiza e kosto – përfitimit </w:t>
      </w:r>
    </w:p>
    <w:p w14:paraId="7003A89C" w14:textId="1572372D" w:rsidR="00F62D17" w:rsidRDefault="00A859B3" w:rsidP="00A859B3">
      <w:pPr>
        <w:pStyle w:val="NormalWeb"/>
        <w:jc w:val="both"/>
        <w:rPr>
          <w:lang w:val="it-IT"/>
        </w:rPr>
      </w:pPr>
      <w:r w:rsidRPr="0045310C">
        <w:rPr>
          <w:lang w:val="sq-AL"/>
        </w:rPr>
        <w:t xml:space="preserve">Grupet e prekura nga ndryshimet ligjore janë </w:t>
      </w:r>
      <w:r w:rsidR="00F62D17" w:rsidRPr="00F62D17">
        <w:rPr>
          <w:lang w:val="it-IT" w:eastAsia="x-none"/>
        </w:rPr>
        <w:t>qytetarët</w:t>
      </w:r>
      <w:r w:rsidR="00F62D17" w:rsidRPr="00F62D17">
        <w:rPr>
          <w:b/>
          <w:bCs/>
          <w:lang w:val="it-IT" w:eastAsia="x-none"/>
        </w:rPr>
        <w:t>/</w:t>
      </w:r>
      <w:r w:rsidR="00F62D17" w:rsidRPr="00F62D17">
        <w:rPr>
          <w:lang w:val="it-IT" w:eastAsia="x-none"/>
        </w:rPr>
        <w:t xml:space="preserve">përfituesit e ndihmës juridike të garantuar nga shteti, </w:t>
      </w:r>
      <w:r w:rsidR="00F62D17" w:rsidRPr="00F62D17">
        <w:rPr>
          <w:lang w:val="it-IT"/>
        </w:rPr>
        <w:t>qeveria</w:t>
      </w:r>
      <w:r w:rsidR="00F62D17" w:rsidRPr="00F62D17">
        <w:rPr>
          <w:color w:val="000000"/>
          <w:lang w:val="it-IT"/>
        </w:rPr>
        <w:t xml:space="preserve"> dhe institucionet publike</w:t>
      </w:r>
      <w:r w:rsidR="00F62D17" w:rsidRPr="00F62D17">
        <w:rPr>
          <w:lang w:val="it-IT"/>
        </w:rPr>
        <w:t>, avokatët që ofrojnë shërbime në kuadër të ndihmës juridike, gjykatat dhe shërbimi përmbarimo</w:t>
      </w:r>
      <w:r w:rsidR="00F7043A">
        <w:rPr>
          <w:lang w:val="it-IT"/>
        </w:rPr>
        <w:t>r.</w:t>
      </w:r>
    </w:p>
    <w:p w14:paraId="5E47F14A" w14:textId="68797C30" w:rsidR="00A859B3" w:rsidRPr="0045310C" w:rsidRDefault="00A859B3" w:rsidP="00F62D17">
      <w:pPr>
        <w:pStyle w:val="NormalWeb"/>
        <w:jc w:val="both"/>
        <w:rPr>
          <w:lang w:val="sq-AL"/>
        </w:rPr>
      </w:pPr>
      <w:r w:rsidRPr="0045310C">
        <w:rPr>
          <w:lang w:val="sq-AL"/>
        </w:rPr>
        <w:t xml:space="preserve">Sipas </w:t>
      </w:r>
      <w:r w:rsidRPr="0045310C">
        <w:rPr>
          <w:rStyle w:val="Strong"/>
          <w:rFonts w:eastAsiaTheme="majorEastAsia"/>
          <w:lang w:val="sq-AL"/>
        </w:rPr>
        <w:t xml:space="preserve">Opsionit 0 </w:t>
      </w:r>
      <w:r w:rsidR="00346CF7" w:rsidRPr="0045310C">
        <w:rPr>
          <w:rStyle w:val="Strong"/>
          <w:rFonts w:eastAsiaTheme="majorEastAsia"/>
          <w:lang w:val="sq-AL"/>
        </w:rPr>
        <w:t>-</w:t>
      </w:r>
      <w:r w:rsidRPr="0045310C">
        <w:rPr>
          <w:rStyle w:val="Strong"/>
          <w:rFonts w:eastAsiaTheme="majorEastAsia"/>
          <w:lang w:val="sq-AL"/>
        </w:rPr>
        <w:t xml:space="preserve"> </w:t>
      </w:r>
      <w:r w:rsidRPr="0045310C">
        <w:rPr>
          <w:rStyle w:val="Strong"/>
          <w:rFonts w:eastAsiaTheme="majorEastAsia"/>
          <w:b w:val="0"/>
          <w:lang w:val="sq-AL"/>
        </w:rPr>
        <w:t>Status quo</w:t>
      </w:r>
      <w:r w:rsidRPr="0045310C">
        <w:rPr>
          <w:lang w:val="sq-AL"/>
        </w:rPr>
        <w:t xml:space="preserve">, nuk ka kosto të shtuara monetare për grupet e prekura, pasi nuk kryhet asnjë ndërhyrje dhe situata mbetet e njëjtë. Megjithatë, ky opsion nuk adreson mangësitë e identifikuara në zbatimin e ligjit ekzistues, duke kufizuar aksesin efektiv në drejtësi për personat me të ardhura dhe pasuri të pamjaftueshme dhe për kategoritë vulnerabël. Mungesa e mbulimit të shpenzimeve </w:t>
      </w:r>
      <w:r w:rsidR="00F62D17" w:rsidRPr="00F62D17">
        <w:rPr>
          <w:lang w:val="sq-AL"/>
        </w:rPr>
        <w:t>kadastrale dhe noteriale</w:t>
      </w:r>
      <w:r w:rsidR="00F62D17">
        <w:rPr>
          <w:lang w:val="sq-AL"/>
        </w:rPr>
        <w:t xml:space="preserve">, </w:t>
      </w:r>
      <w:r w:rsidR="00F62D17" w:rsidRPr="00F62D17">
        <w:rPr>
          <w:lang w:val="sq-AL"/>
        </w:rPr>
        <w:t>tarif</w:t>
      </w:r>
      <w:r w:rsidR="00F62D17">
        <w:rPr>
          <w:lang w:val="sq-AL"/>
        </w:rPr>
        <w:t>ës</w:t>
      </w:r>
      <w:r w:rsidR="00F62D17" w:rsidRPr="00F62D17">
        <w:rPr>
          <w:lang w:val="sq-AL"/>
        </w:rPr>
        <w:t xml:space="preserve"> për ekspertë, si dhe tarifa</w:t>
      </w:r>
      <w:r w:rsidR="00F62D17">
        <w:rPr>
          <w:lang w:val="sq-AL"/>
        </w:rPr>
        <w:t>ve</w:t>
      </w:r>
      <w:r w:rsidR="00F62D17" w:rsidRPr="00F62D17">
        <w:rPr>
          <w:lang w:val="sq-AL"/>
        </w:rPr>
        <w:t xml:space="preserve"> të tjera që paguhen gjatë ekzekutimit të vendimit </w:t>
      </w:r>
      <w:r w:rsidRPr="00F62D17">
        <w:rPr>
          <w:lang w:val="sq-AL"/>
        </w:rPr>
        <w:t>të ekspertëve</w:t>
      </w:r>
      <w:r w:rsidRPr="0045310C">
        <w:rPr>
          <w:lang w:val="sq-AL"/>
        </w:rPr>
        <w:t xml:space="preserve">, </w:t>
      </w:r>
      <w:r w:rsidRPr="0045310C">
        <w:rPr>
          <w:lang w:val="sq-AL"/>
        </w:rPr>
        <w:lastRenderedPageBreak/>
        <w:t xml:space="preserve">dhe kufizimi i </w:t>
      </w:r>
      <w:r w:rsidR="00F62D17">
        <w:rPr>
          <w:lang w:val="sq-AL"/>
        </w:rPr>
        <w:t xml:space="preserve"> kategorive të </w:t>
      </w:r>
      <w:r w:rsidRPr="0045310C">
        <w:rPr>
          <w:lang w:val="sq-AL"/>
        </w:rPr>
        <w:t xml:space="preserve">përfituesve krijojnë kosto indirekte për qytetarët dhe rrisin barrën administrative për gjykatat dhe </w:t>
      </w:r>
      <w:bookmarkStart w:id="21" w:name="_Hlk222472076"/>
      <w:r w:rsidR="006A7509" w:rsidRPr="0045310C">
        <w:rPr>
          <w:lang w:val="sq-AL"/>
        </w:rPr>
        <w:t>shërbimin përmbarimor</w:t>
      </w:r>
      <w:bookmarkEnd w:id="21"/>
      <w:r w:rsidR="00780CF2" w:rsidRPr="0045310C">
        <w:rPr>
          <w:lang w:val="sq-AL"/>
        </w:rPr>
        <w:t>.</w:t>
      </w:r>
    </w:p>
    <w:p w14:paraId="090084C5" w14:textId="7F53DCF6" w:rsidR="00A859B3" w:rsidRPr="0045310C" w:rsidRDefault="00A859B3" w:rsidP="00A859B3">
      <w:pPr>
        <w:pStyle w:val="NormalWeb"/>
        <w:jc w:val="both"/>
        <w:rPr>
          <w:b/>
          <w:lang w:val="sq-AL"/>
        </w:rPr>
      </w:pPr>
      <w:r w:rsidRPr="0045310C">
        <w:rPr>
          <w:lang w:val="sq-AL"/>
        </w:rPr>
        <w:t xml:space="preserve">Sipas </w:t>
      </w:r>
      <w:r w:rsidRPr="0045310C">
        <w:rPr>
          <w:rStyle w:val="Strong"/>
          <w:rFonts w:eastAsiaTheme="majorEastAsia"/>
          <w:lang w:val="sq-AL"/>
        </w:rPr>
        <w:t xml:space="preserve">Opsionit 1 </w:t>
      </w:r>
      <w:r w:rsidR="00346CF7" w:rsidRPr="0045310C">
        <w:rPr>
          <w:rStyle w:val="Strong"/>
          <w:rFonts w:eastAsiaTheme="majorEastAsia"/>
          <w:lang w:val="sq-AL"/>
        </w:rPr>
        <w:t>-</w:t>
      </w:r>
      <w:r w:rsidRPr="0045310C">
        <w:rPr>
          <w:rStyle w:val="Strong"/>
          <w:rFonts w:eastAsiaTheme="majorEastAsia"/>
          <w:lang w:val="sq-AL"/>
        </w:rPr>
        <w:t xml:space="preserve"> </w:t>
      </w:r>
      <w:r w:rsidRPr="0045310C">
        <w:rPr>
          <w:rStyle w:val="Strong"/>
          <w:rFonts w:eastAsiaTheme="majorEastAsia"/>
          <w:b w:val="0"/>
          <w:lang w:val="sq-AL"/>
        </w:rPr>
        <w:t>Vetërregullimi</w:t>
      </w:r>
      <w:r w:rsidRPr="0045310C">
        <w:rPr>
          <w:lang w:val="sq-AL"/>
        </w:rPr>
        <w:t xml:space="preserve">, </w:t>
      </w:r>
      <w:r w:rsidR="00780CF2" w:rsidRPr="0045310C">
        <w:rPr>
          <w:lang w:val="sq-AL"/>
        </w:rPr>
        <w:t>kostot financiare nuk rriten por</w:t>
      </w:r>
      <w:r w:rsidRPr="0045310C">
        <w:rPr>
          <w:lang w:val="sq-AL"/>
        </w:rPr>
        <w:t xml:space="preserve"> qytetarët </w:t>
      </w:r>
      <w:r w:rsidR="00780CF2" w:rsidRPr="0045310C">
        <w:rPr>
          <w:lang w:val="sq-AL"/>
        </w:rPr>
        <w:t xml:space="preserve">do </w:t>
      </w:r>
      <w:r w:rsidRPr="0045310C">
        <w:rPr>
          <w:lang w:val="sq-AL"/>
        </w:rPr>
        <w:t>të vazhdojnë të përballen me vështirësi në aksesin në ndihmën juridike, dhe efektiviteti i sistemit mbetet i kufizuar</w:t>
      </w:r>
      <w:r w:rsidR="00346CF7" w:rsidRPr="0045310C">
        <w:rPr>
          <w:lang w:val="sq-AL"/>
        </w:rPr>
        <w:t xml:space="preserve"> dhe nuk evidentohet përfitim. </w:t>
      </w:r>
    </w:p>
    <w:p w14:paraId="2D12F13C" w14:textId="1367E204" w:rsidR="006A16FA" w:rsidRDefault="00A859B3" w:rsidP="00A341D1">
      <w:pPr>
        <w:pStyle w:val="font-claude-response-body"/>
      </w:pPr>
      <w:r w:rsidRPr="0045310C">
        <w:t>Sipas</w:t>
      </w:r>
      <w:r w:rsidRPr="0045310C">
        <w:rPr>
          <w:b/>
        </w:rPr>
        <w:t xml:space="preserve"> </w:t>
      </w:r>
      <w:r w:rsidRPr="0045310C">
        <w:rPr>
          <w:rStyle w:val="Strong"/>
          <w:rFonts w:eastAsiaTheme="majorEastAsia"/>
        </w:rPr>
        <w:t>Opsionit 2</w:t>
      </w:r>
      <w:r w:rsidR="00346CF7" w:rsidRPr="0045310C">
        <w:rPr>
          <w:rStyle w:val="Strong"/>
          <w:rFonts w:eastAsiaTheme="majorEastAsia"/>
          <w:b w:val="0"/>
        </w:rPr>
        <w:t xml:space="preserve"> - </w:t>
      </w:r>
      <w:r w:rsidRPr="0045310C">
        <w:rPr>
          <w:rStyle w:val="Strong"/>
          <w:rFonts w:eastAsiaTheme="majorEastAsia"/>
          <w:b w:val="0"/>
        </w:rPr>
        <w:t>Ndryshimi i ligjit nr.111/</w:t>
      </w:r>
      <w:r w:rsidRPr="00F7043A">
        <w:rPr>
          <w:rStyle w:val="Strong"/>
          <w:rFonts w:eastAsiaTheme="majorEastAsia"/>
          <w:b w:val="0"/>
        </w:rPr>
        <w:t>2017</w:t>
      </w:r>
      <w:r w:rsidRPr="00F7043A">
        <w:t>,</w:t>
      </w:r>
      <w:r w:rsidR="00F7043A" w:rsidRPr="00F7043A">
        <w:t xml:space="preserve"> k</w:t>
      </w:r>
      <w:r w:rsidR="006A16FA" w:rsidRPr="00F7043A">
        <w:t>ostot</w:t>
      </w:r>
      <w:r w:rsidR="006A16FA">
        <w:t xml:space="preserve"> e drejtpërdrejta të zbatimit të Opsionit 2 ndahen në tre kategori kryesore.</w:t>
      </w:r>
    </w:p>
    <w:p w14:paraId="4ABD45D7" w14:textId="60D4F2F2" w:rsidR="006A16FA" w:rsidRDefault="006A16FA" w:rsidP="006A16FA">
      <w:pPr>
        <w:pStyle w:val="font-claude-response-body"/>
        <w:jc w:val="both"/>
      </w:pPr>
      <w:r>
        <w:t>Kategoria e parë përfshin kostot për mbulimin e kategorive të reja përfituese. Shtimi i kategorive të reja si viktimat e terrorizmit, sinjalizuesit, personat me aftësi të kufizuara dhe komuniteti rom e egjiptian do të sjellë kosto shtesë të lidhura me shpërblimin e avokatëve të caktuar për përfaqësimin e këtyre kategorive. Vlera e saktë e këtyre kostove varet nga numri i kërkesave të pranuara nga kategoritë e reja, i cili do të bëhet i njohur vetëm pas hyrjes në fuqi të ligjit dhe mbledhjes së të dhënave bazë nga DNJF-ja. Këto kosto parashikohen të përfshihen brenda buxhetit ekzistues të Ministrisë së Drejtësisë.</w:t>
      </w:r>
    </w:p>
    <w:p w14:paraId="5A2D280A" w14:textId="4F30BC43" w:rsidR="006A16FA" w:rsidRDefault="006A16FA" w:rsidP="006A16FA">
      <w:pPr>
        <w:pStyle w:val="font-claude-response-body"/>
        <w:jc w:val="both"/>
      </w:pPr>
      <w:r>
        <w:t>Kategoria e dytë përfshin kostot për mbulimin e shpenzimeve kadastrale, noteriale dhe të ekspertëve gjatë fazës së ekzekutimit. Këto shpenzime përbëjnë një nga risitë kryesore financiare të projektligjit dhe lidhen drejtpërdrejt me numrin e çështjeve që arrijnë në fazën e ekzekutimit. Edhe këtu vlerat e sakta monetare do të përcaktohen pas mbledhjes së të dhënave bazë, por vlerësohen si të moderuara dhe proporcionale, duke pasur parasysh se numri i çështjeve me ekzekutim të titulli ekzekutiv për përfituesit e ndihmës juridike dytësore është i kufizuar dhe i parashikueshëm.</w:t>
      </w:r>
    </w:p>
    <w:p w14:paraId="1165E6CB" w14:textId="307EAD89" w:rsidR="006A16FA" w:rsidRDefault="006A16FA" w:rsidP="006A16FA">
      <w:pPr>
        <w:pStyle w:val="font-claude-response-body"/>
        <w:jc w:val="both"/>
      </w:pPr>
      <w:r>
        <w:t>Kategoria e tretë përfshin kostot administrative të zbatimit, të cilat lidhen me miratimin e akteve nënligjore, trajnimin e avokatëve, përgatitjen e formularëve standardë dhe sistemet e monitorimit. Këto kosto lidhen kryesisht me fazën e zbatimit fillestar të ligjit, dhe vlerësohen si minimale në raport me përfitimet afatgjata të pritshme.</w:t>
      </w:r>
    </w:p>
    <w:p w14:paraId="06D425EF" w14:textId="0FF89A64" w:rsidR="00006A97" w:rsidRDefault="00006A97" w:rsidP="006A16FA">
      <w:pPr>
        <w:pStyle w:val="font-claude-response-body"/>
        <w:jc w:val="both"/>
      </w:pPr>
      <w:r w:rsidRPr="00006A97">
        <w:rPr>
          <w:noProof/>
          <w:lang w:val="en-US" w:eastAsia="en-US"/>
        </w:rPr>
        <w:drawing>
          <wp:inline distT="0" distB="0" distL="0" distR="0" wp14:anchorId="018D8987" wp14:editId="1C391868">
            <wp:extent cx="6416040" cy="2598543"/>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20082" cy="2600180"/>
                    </a:xfrm>
                    <a:prstGeom prst="rect">
                      <a:avLst/>
                    </a:prstGeom>
                    <a:noFill/>
                    <a:ln>
                      <a:noFill/>
                    </a:ln>
                  </pic:spPr>
                </pic:pic>
              </a:graphicData>
            </a:graphic>
          </wp:inline>
        </w:drawing>
      </w:r>
    </w:p>
    <w:p w14:paraId="7B9C2685" w14:textId="77777777" w:rsidR="00006A97" w:rsidRDefault="00006A97" w:rsidP="006A16FA">
      <w:pPr>
        <w:pStyle w:val="font-claude-response-body"/>
        <w:jc w:val="both"/>
      </w:pPr>
    </w:p>
    <w:p w14:paraId="6C5CC690" w14:textId="578CBA43" w:rsidR="00007F7E" w:rsidRDefault="00007F7E" w:rsidP="006A16FA">
      <w:pPr>
        <w:pStyle w:val="font-claude-response-body"/>
        <w:jc w:val="both"/>
      </w:pPr>
      <w:r w:rsidRPr="00007F7E">
        <w:rPr>
          <w:noProof/>
          <w:lang w:val="en-US" w:eastAsia="en-US"/>
        </w:rPr>
        <w:lastRenderedPageBreak/>
        <w:drawing>
          <wp:inline distT="0" distB="0" distL="0" distR="0" wp14:anchorId="79866A0F" wp14:editId="2DE86FD8">
            <wp:extent cx="6480175" cy="26885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0175" cy="2688590"/>
                    </a:xfrm>
                    <a:prstGeom prst="rect">
                      <a:avLst/>
                    </a:prstGeom>
                    <a:noFill/>
                    <a:ln>
                      <a:noFill/>
                    </a:ln>
                  </pic:spPr>
                </pic:pic>
              </a:graphicData>
            </a:graphic>
          </wp:inline>
        </w:drawing>
      </w:r>
    </w:p>
    <w:p w14:paraId="2BEAB9DA" w14:textId="0D53C773" w:rsidR="00A859B3" w:rsidRPr="0045310C" w:rsidRDefault="00A859B3" w:rsidP="00A859B3">
      <w:pPr>
        <w:pStyle w:val="NormalWeb"/>
        <w:jc w:val="both"/>
        <w:rPr>
          <w:lang w:val="sq-AL"/>
        </w:rPr>
      </w:pPr>
      <w:r w:rsidRPr="0045310C">
        <w:rPr>
          <w:lang w:val="sq-AL"/>
        </w:rPr>
        <w:t xml:space="preserve">Sipas </w:t>
      </w:r>
      <w:r w:rsidRPr="0045310C">
        <w:rPr>
          <w:rStyle w:val="Strong"/>
          <w:rFonts w:eastAsiaTheme="majorEastAsia"/>
          <w:lang w:val="sq-AL"/>
        </w:rPr>
        <w:t xml:space="preserve">Opsionit 3 </w:t>
      </w:r>
      <w:r w:rsidR="00346CF7" w:rsidRPr="0045310C">
        <w:rPr>
          <w:rStyle w:val="Strong"/>
          <w:rFonts w:eastAsiaTheme="majorEastAsia"/>
          <w:lang w:val="sq-AL"/>
        </w:rPr>
        <w:t>-</w:t>
      </w:r>
      <w:r w:rsidRPr="0045310C">
        <w:rPr>
          <w:rStyle w:val="Strong"/>
          <w:rFonts w:eastAsiaTheme="majorEastAsia"/>
          <w:lang w:val="sq-AL"/>
        </w:rPr>
        <w:t xml:space="preserve"> </w:t>
      </w:r>
      <w:r w:rsidRPr="0045310C">
        <w:rPr>
          <w:rStyle w:val="Strong"/>
          <w:rFonts w:eastAsiaTheme="majorEastAsia"/>
          <w:b w:val="0"/>
          <w:lang w:val="sq-AL"/>
        </w:rPr>
        <w:t>Ligj i ri</w:t>
      </w:r>
      <w:r w:rsidRPr="00A341D1">
        <w:rPr>
          <w:lang w:val="sq-AL"/>
        </w:rPr>
        <w:t xml:space="preserve">, </w:t>
      </w:r>
      <w:r w:rsidRPr="0045310C">
        <w:rPr>
          <w:lang w:val="sq-AL"/>
        </w:rPr>
        <w:t xml:space="preserve">kostoja përfshin gjithçka nga Opsioni 2, por shtohen edhe shpenzime të tjera për hartimin e një ligji tërësisht të ri, krijimin e grupeve të punës, shpërblimin e ekspertëve, dhe asistencën e partnerëve ndërkombëtarë. Ndërkohë, përfitimet janë të njëjta si </w:t>
      </w:r>
      <w:r w:rsidR="00672785" w:rsidRPr="0045310C">
        <w:rPr>
          <w:lang w:val="sq-AL"/>
        </w:rPr>
        <w:t>o</w:t>
      </w:r>
      <w:r w:rsidRPr="0045310C">
        <w:rPr>
          <w:lang w:val="sq-AL"/>
        </w:rPr>
        <w:t>psioni 2, gjë që e bën këtë opsion më të shtrenjtë pa shtuar vlera të reja.</w:t>
      </w:r>
    </w:p>
    <w:p w14:paraId="748F2249" w14:textId="0D07D5C0" w:rsidR="00593540" w:rsidRPr="0045310C" w:rsidRDefault="00A859B3" w:rsidP="0092461B">
      <w:pPr>
        <w:pStyle w:val="NormalWeb"/>
        <w:jc w:val="both"/>
        <w:rPr>
          <w:lang w:val="sq-AL"/>
        </w:rPr>
      </w:pPr>
      <w:r w:rsidRPr="0045310C">
        <w:rPr>
          <w:lang w:val="sq-AL"/>
        </w:rPr>
        <w:t xml:space="preserve">Përfitimet lidhen me përmirësimin e aksesit në drejtësi, rritjen e mbrojtjes procedurale për qytetarët, eficiencën e gjykatave dhe </w:t>
      </w:r>
      <w:r w:rsidR="006A7509" w:rsidRPr="0045310C">
        <w:rPr>
          <w:lang w:val="sq-AL"/>
        </w:rPr>
        <w:t>shërbimin përmbarimor</w:t>
      </w:r>
      <w:r w:rsidRPr="0045310C">
        <w:rPr>
          <w:lang w:val="sq-AL"/>
        </w:rPr>
        <w:t xml:space="preserve">, si dhe forcimin e standardeve ligjore dhe të drejtave themelore. Për nga natyra e tyre, këto përfitime nuk mund të monetizohen dhe si rrjedhojë analiza kosto–përfitimit nuk mund të kryhet në terma eksakt monetar, por bazuar në </w:t>
      </w:r>
      <w:r w:rsidRPr="0045310C">
        <w:rPr>
          <w:rStyle w:val="Strong"/>
          <w:rFonts w:eastAsiaTheme="majorEastAsia"/>
          <w:b w:val="0"/>
          <w:lang w:val="sq-AL"/>
        </w:rPr>
        <w:t>vlerësimin cilësor të ndikimeve</w:t>
      </w:r>
      <w:r w:rsidRPr="0045310C">
        <w:rPr>
          <w:lang w:val="sq-AL"/>
        </w:rPr>
        <w:t xml:space="preserve"> për grupet e prekura.</w:t>
      </w:r>
    </w:p>
    <w:p w14:paraId="322349DD" w14:textId="77777777" w:rsidR="00593540" w:rsidRDefault="00593540" w:rsidP="00593540">
      <w:pPr>
        <w:pStyle w:val="BodyText"/>
        <w:tabs>
          <w:tab w:val="left" w:pos="1165"/>
          <w:tab w:val="left" w:pos="10080"/>
        </w:tabs>
        <w:spacing w:after="0" w:line="276" w:lineRule="auto"/>
        <w:ind w:right="26"/>
        <w:jc w:val="both"/>
        <w:rPr>
          <w:b/>
          <w:bCs w:val="0"/>
          <w:sz w:val="24"/>
          <w:szCs w:val="24"/>
        </w:rPr>
      </w:pPr>
      <w:r w:rsidRPr="007B0184">
        <w:rPr>
          <w:b/>
          <w:bCs w:val="0"/>
          <w:sz w:val="24"/>
          <w:szCs w:val="24"/>
        </w:rPr>
        <w:t xml:space="preserve">Analiza e kosto </w:t>
      </w:r>
      <w:r>
        <w:rPr>
          <w:b/>
          <w:bCs w:val="0"/>
          <w:sz w:val="24"/>
          <w:szCs w:val="24"/>
        </w:rPr>
        <w:t>–</w:t>
      </w:r>
      <w:r w:rsidRPr="007B0184">
        <w:rPr>
          <w:b/>
          <w:bCs w:val="0"/>
          <w:sz w:val="24"/>
          <w:szCs w:val="24"/>
        </w:rPr>
        <w:t xml:space="preserve"> efektivitetit</w:t>
      </w:r>
    </w:p>
    <w:p w14:paraId="0ED55E68" w14:textId="77777777" w:rsidR="00593540" w:rsidRDefault="00593540" w:rsidP="00593540">
      <w:pPr>
        <w:pStyle w:val="BodyText"/>
        <w:tabs>
          <w:tab w:val="left" w:pos="1165"/>
          <w:tab w:val="left" w:pos="10080"/>
        </w:tabs>
        <w:spacing w:after="0" w:line="276" w:lineRule="auto"/>
        <w:ind w:right="26"/>
        <w:jc w:val="both"/>
        <w:rPr>
          <w:b/>
          <w:bCs w:val="0"/>
          <w:sz w:val="24"/>
          <w:szCs w:val="24"/>
        </w:rPr>
      </w:pPr>
    </w:p>
    <w:p w14:paraId="7DE8681E" w14:textId="0A4A091F" w:rsidR="00332CA5" w:rsidRDefault="00593540" w:rsidP="00593540">
      <w:pPr>
        <w:pStyle w:val="BodyText"/>
        <w:tabs>
          <w:tab w:val="left" w:pos="1165"/>
          <w:tab w:val="left" w:pos="10080"/>
        </w:tabs>
        <w:spacing w:after="0" w:line="276" w:lineRule="auto"/>
        <w:ind w:right="26"/>
        <w:jc w:val="both"/>
        <w:rPr>
          <w:bCs w:val="0"/>
          <w:sz w:val="24"/>
          <w:szCs w:val="24"/>
        </w:rPr>
      </w:pPr>
      <w:r>
        <w:rPr>
          <w:bCs w:val="0"/>
          <w:sz w:val="24"/>
          <w:szCs w:val="24"/>
        </w:rPr>
        <w:t xml:space="preserve">Sipas analizës së kosto - efektivitetit opsionet nr. 0 dhe nr. 1 janë opsionet me më shumë kosto. Sipas opsionit 0 nuk ndërhyhet me ndryshim politike çka sjell si kosto </w:t>
      </w:r>
      <w:r w:rsidR="0092461B">
        <w:rPr>
          <w:bCs w:val="0"/>
          <w:sz w:val="24"/>
          <w:szCs w:val="24"/>
        </w:rPr>
        <w:t xml:space="preserve">vazhdimësinë e </w:t>
      </w:r>
      <w:r>
        <w:rPr>
          <w:bCs w:val="0"/>
          <w:sz w:val="24"/>
          <w:szCs w:val="24"/>
        </w:rPr>
        <w:t>vakumit ligjor</w:t>
      </w:r>
      <w:r w:rsidR="00672785">
        <w:rPr>
          <w:bCs w:val="0"/>
          <w:sz w:val="24"/>
          <w:szCs w:val="24"/>
        </w:rPr>
        <w:t xml:space="preserve">. </w:t>
      </w:r>
      <w:r>
        <w:rPr>
          <w:bCs w:val="0"/>
          <w:sz w:val="24"/>
          <w:szCs w:val="24"/>
        </w:rPr>
        <w:t xml:space="preserve">Kjo kosto do të rëndojë mbi të gjitha grupet e prekura. </w:t>
      </w:r>
      <w:r w:rsidR="00672785">
        <w:rPr>
          <w:bCs w:val="0"/>
          <w:sz w:val="24"/>
          <w:szCs w:val="24"/>
        </w:rPr>
        <w:t xml:space="preserve">I njëjti argument vlen edhe për </w:t>
      </w:r>
      <w:r>
        <w:rPr>
          <w:bCs w:val="0"/>
          <w:sz w:val="24"/>
          <w:szCs w:val="24"/>
        </w:rPr>
        <w:t>opsioni</w:t>
      </w:r>
      <w:r w:rsidR="00672785">
        <w:rPr>
          <w:bCs w:val="0"/>
          <w:sz w:val="24"/>
          <w:szCs w:val="24"/>
        </w:rPr>
        <w:t>n</w:t>
      </w:r>
      <w:r>
        <w:rPr>
          <w:bCs w:val="0"/>
          <w:sz w:val="24"/>
          <w:szCs w:val="24"/>
        </w:rPr>
        <w:t xml:space="preserve"> nr. </w:t>
      </w:r>
      <w:r w:rsidR="005E2091">
        <w:rPr>
          <w:bCs w:val="0"/>
          <w:sz w:val="24"/>
          <w:szCs w:val="24"/>
        </w:rPr>
        <w:t>1</w:t>
      </w:r>
      <w:r>
        <w:rPr>
          <w:bCs w:val="0"/>
          <w:sz w:val="24"/>
          <w:szCs w:val="24"/>
        </w:rPr>
        <w:t xml:space="preserve">, </w:t>
      </w:r>
      <w:r w:rsidR="00672785">
        <w:rPr>
          <w:bCs w:val="0"/>
          <w:sz w:val="24"/>
          <w:szCs w:val="24"/>
        </w:rPr>
        <w:t>i cili</w:t>
      </w:r>
      <w:r>
        <w:rPr>
          <w:bCs w:val="0"/>
          <w:sz w:val="24"/>
          <w:szCs w:val="24"/>
        </w:rPr>
        <w:t xml:space="preserve"> nuk mund të adresojë një nga problemet kryesore qe lidhet me ndërhyrjen në ligj për të shmangur vakumin ligjor dhe adresimin e problematikave. Kjo kosto do të rëndojë mbi të gjitha grupet e prekura dhe në veçanti mbi qeverinë </w:t>
      </w:r>
      <w:r w:rsidR="005E2091">
        <w:rPr>
          <w:bCs w:val="0"/>
          <w:sz w:val="24"/>
          <w:szCs w:val="24"/>
        </w:rPr>
        <w:t xml:space="preserve">dhe DNJF. </w:t>
      </w:r>
    </w:p>
    <w:p w14:paraId="554CAE98" w14:textId="77777777" w:rsidR="00A341D1" w:rsidRDefault="00A341D1" w:rsidP="00593540">
      <w:pPr>
        <w:pStyle w:val="BodyText"/>
        <w:tabs>
          <w:tab w:val="left" w:pos="1165"/>
          <w:tab w:val="left" w:pos="10080"/>
        </w:tabs>
        <w:spacing w:after="0" w:line="276" w:lineRule="auto"/>
        <w:ind w:right="26"/>
        <w:jc w:val="both"/>
        <w:rPr>
          <w:bCs w:val="0"/>
          <w:sz w:val="24"/>
          <w:szCs w:val="24"/>
        </w:rPr>
      </w:pPr>
    </w:p>
    <w:p w14:paraId="43413A17" w14:textId="60E440DC" w:rsidR="00593540" w:rsidRDefault="00593540" w:rsidP="00593540">
      <w:pPr>
        <w:pStyle w:val="BodyText"/>
        <w:tabs>
          <w:tab w:val="left" w:pos="1165"/>
          <w:tab w:val="left" w:pos="10080"/>
        </w:tabs>
        <w:spacing w:after="0" w:line="276" w:lineRule="auto"/>
        <w:ind w:right="26"/>
        <w:jc w:val="both"/>
        <w:rPr>
          <w:sz w:val="24"/>
          <w:szCs w:val="24"/>
        </w:rPr>
      </w:pPr>
      <w:r>
        <w:rPr>
          <w:bCs w:val="0"/>
          <w:sz w:val="24"/>
          <w:szCs w:val="24"/>
        </w:rPr>
        <w:t xml:space="preserve">Opsioni nr. 2 sjell koston më të ulët pasi ajo përbëhet </w:t>
      </w:r>
      <w:r w:rsidR="005E2091">
        <w:rPr>
          <w:bCs w:val="0"/>
          <w:sz w:val="24"/>
          <w:szCs w:val="24"/>
        </w:rPr>
        <w:t xml:space="preserve">nga </w:t>
      </w:r>
      <w:r w:rsidR="005E2091" w:rsidRPr="005E2091">
        <w:rPr>
          <w:bCs w:val="0"/>
          <w:sz w:val="24"/>
          <w:szCs w:val="24"/>
        </w:rPr>
        <w:t>pagat e avokatëve të caktuar për ofrimin e ndihmës juridike dytësore</w:t>
      </w:r>
      <w:r w:rsidR="005E2091" w:rsidRPr="005E2091">
        <w:rPr>
          <w:b/>
          <w:bCs w:val="0"/>
          <w:sz w:val="24"/>
          <w:szCs w:val="24"/>
        </w:rPr>
        <w:t xml:space="preserve"> </w:t>
      </w:r>
      <w:r w:rsidR="005E2091" w:rsidRPr="005E2091">
        <w:rPr>
          <w:bCs w:val="0"/>
          <w:sz w:val="24"/>
          <w:szCs w:val="24"/>
        </w:rPr>
        <w:t>dhe</w:t>
      </w:r>
      <w:r w:rsidR="005E2091" w:rsidRPr="005E2091">
        <w:rPr>
          <w:b/>
          <w:bCs w:val="0"/>
          <w:sz w:val="24"/>
          <w:szCs w:val="24"/>
        </w:rPr>
        <w:t xml:space="preserve"> </w:t>
      </w:r>
      <w:r w:rsidR="005E2091" w:rsidRPr="005E2091">
        <w:rPr>
          <w:bCs w:val="0"/>
          <w:sz w:val="24"/>
          <w:szCs w:val="24"/>
        </w:rPr>
        <w:t>shpenzimet për mbulimin e</w:t>
      </w:r>
      <w:r w:rsidR="00265CE0">
        <w:rPr>
          <w:bCs w:val="0"/>
          <w:sz w:val="24"/>
          <w:szCs w:val="24"/>
        </w:rPr>
        <w:t xml:space="preserve"> kostove</w:t>
      </w:r>
      <w:r w:rsidR="00265CE0" w:rsidRPr="00265CE0">
        <w:rPr>
          <w:sz w:val="24"/>
          <w:szCs w:val="24"/>
        </w:rPr>
        <w:t xml:space="preserve"> për mbulimin e shpenzimeve kadastrale, noteriale dhe të ekspertëve gjatë fazës së ekzekutimit</w:t>
      </w:r>
      <w:r w:rsidR="00265CE0">
        <w:rPr>
          <w:sz w:val="24"/>
          <w:szCs w:val="24"/>
        </w:rPr>
        <w:t xml:space="preserve"> </w:t>
      </w:r>
      <w:r w:rsidR="005E2091" w:rsidRPr="00265CE0">
        <w:rPr>
          <w:bCs w:val="0"/>
          <w:sz w:val="24"/>
          <w:szCs w:val="24"/>
        </w:rPr>
        <w:t>për</w:t>
      </w:r>
      <w:r w:rsidR="005E2091" w:rsidRPr="005E2091">
        <w:rPr>
          <w:bCs w:val="0"/>
          <w:sz w:val="24"/>
          <w:szCs w:val="24"/>
        </w:rPr>
        <w:t xml:space="preserve"> përfituesit e ndihmës juridike falas</w:t>
      </w:r>
      <w:r>
        <w:rPr>
          <w:sz w:val="24"/>
          <w:szCs w:val="24"/>
        </w:rPr>
        <w:t xml:space="preserve"> dhe njëkohësisht garanton përmbushjen e objektivave të analizuar më sipër.</w:t>
      </w:r>
    </w:p>
    <w:p w14:paraId="276F1B59" w14:textId="77777777" w:rsidR="00A341D1" w:rsidRDefault="00A341D1" w:rsidP="00593540">
      <w:pPr>
        <w:pStyle w:val="BodyText"/>
        <w:tabs>
          <w:tab w:val="left" w:pos="1165"/>
          <w:tab w:val="left" w:pos="10080"/>
        </w:tabs>
        <w:spacing w:after="0" w:line="276" w:lineRule="auto"/>
        <w:ind w:right="26"/>
        <w:jc w:val="both"/>
        <w:rPr>
          <w:sz w:val="24"/>
          <w:szCs w:val="24"/>
        </w:rPr>
      </w:pPr>
    </w:p>
    <w:p w14:paraId="385E68AF" w14:textId="71850972" w:rsidR="00593540" w:rsidRPr="00D038A0" w:rsidRDefault="00593540" w:rsidP="00593540">
      <w:pPr>
        <w:pStyle w:val="BodyText"/>
        <w:tabs>
          <w:tab w:val="left" w:pos="1165"/>
          <w:tab w:val="left" w:pos="10080"/>
        </w:tabs>
        <w:spacing w:after="0" w:line="276" w:lineRule="auto"/>
        <w:ind w:right="26"/>
        <w:jc w:val="both"/>
        <w:rPr>
          <w:sz w:val="24"/>
          <w:szCs w:val="24"/>
        </w:rPr>
      </w:pPr>
      <w:r>
        <w:rPr>
          <w:sz w:val="24"/>
          <w:szCs w:val="24"/>
        </w:rPr>
        <w:t xml:space="preserve">Opsioni nr. 3 është më i kushtueshëm se opsioni nr. 2 për shkak se përveç </w:t>
      </w:r>
      <w:r>
        <w:rPr>
          <w:bCs w:val="0"/>
          <w:sz w:val="24"/>
          <w:szCs w:val="24"/>
        </w:rPr>
        <w:t>kosto</w:t>
      </w:r>
      <w:r w:rsidR="0070495F">
        <w:rPr>
          <w:bCs w:val="0"/>
          <w:sz w:val="24"/>
          <w:szCs w:val="24"/>
        </w:rPr>
        <w:t>s</w:t>
      </w:r>
      <w:r w:rsidR="00323E52">
        <w:rPr>
          <w:bCs w:val="0"/>
          <w:sz w:val="24"/>
          <w:szCs w:val="24"/>
        </w:rPr>
        <w:t xml:space="preserve"> </w:t>
      </w:r>
      <w:r w:rsidR="0070495F">
        <w:rPr>
          <w:bCs w:val="0"/>
          <w:sz w:val="24"/>
          <w:szCs w:val="24"/>
        </w:rPr>
        <w:t>s</w:t>
      </w:r>
      <w:r w:rsidR="00323E52">
        <w:rPr>
          <w:bCs w:val="0"/>
          <w:sz w:val="24"/>
          <w:szCs w:val="24"/>
        </w:rPr>
        <w:t>ë sipërcituar</w:t>
      </w:r>
      <w:r>
        <w:rPr>
          <w:bCs w:val="0"/>
          <w:sz w:val="24"/>
          <w:szCs w:val="24"/>
        </w:rPr>
        <w:t>, kërkon buxhet shtesë për të hartuar një ligj tërësisht të ri që lidhen me shpërblimin e ekspertëve që do të hartojnë projektligjin, organizimin e tryezave të konsultimit, asistencën e partnerëve ndërkombëtarë, etj.</w:t>
      </w:r>
    </w:p>
    <w:p w14:paraId="18E2E3BC" w14:textId="77777777" w:rsidR="00593540" w:rsidRPr="0050278D" w:rsidRDefault="00593540" w:rsidP="00593540">
      <w:pPr>
        <w:pStyle w:val="BodyText"/>
        <w:tabs>
          <w:tab w:val="left" w:pos="1165"/>
          <w:tab w:val="left" w:pos="10080"/>
        </w:tabs>
        <w:spacing w:after="0" w:line="276" w:lineRule="auto"/>
        <w:ind w:right="26"/>
        <w:jc w:val="both"/>
        <w:rPr>
          <w:b/>
          <w:bCs w:val="0"/>
          <w:sz w:val="24"/>
          <w:szCs w:val="24"/>
        </w:rPr>
      </w:pPr>
    </w:p>
    <w:p w14:paraId="534754D3" w14:textId="77777777" w:rsidR="00593540" w:rsidRPr="0050278D" w:rsidRDefault="00593540" w:rsidP="00593540">
      <w:pPr>
        <w:pStyle w:val="BodyText"/>
        <w:tabs>
          <w:tab w:val="left" w:pos="1165"/>
          <w:tab w:val="left" w:pos="10080"/>
        </w:tabs>
        <w:spacing w:after="0" w:line="276" w:lineRule="auto"/>
        <w:ind w:right="26"/>
        <w:jc w:val="both"/>
        <w:rPr>
          <w:b/>
          <w:bCs w:val="0"/>
          <w:sz w:val="24"/>
          <w:szCs w:val="24"/>
        </w:rPr>
      </w:pPr>
      <w:r w:rsidRPr="0050278D">
        <w:rPr>
          <w:b/>
          <w:bCs w:val="0"/>
          <w:sz w:val="24"/>
          <w:szCs w:val="24"/>
        </w:rPr>
        <w:t>Analiza me shumë kritere</w:t>
      </w:r>
    </w:p>
    <w:p w14:paraId="1BF4A5EE" w14:textId="546BCBE3" w:rsidR="00265CE0" w:rsidRDefault="00593540" w:rsidP="00672785">
      <w:pPr>
        <w:jc w:val="both"/>
        <w:rPr>
          <w:rFonts w:eastAsiaTheme="majorEastAsia"/>
          <w:color w:val="000000" w:themeColor="text1"/>
        </w:rPr>
      </w:pPr>
      <w:r w:rsidRPr="00C0675F">
        <w:rPr>
          <w:rFonts w:eastAsiaTheme="majorEastAsia"/>
          <w:color w:val="000000" w:themeColor="text1"/>
        </w:rPr>
        <w:t>Kriteret për vlerësimin e opsioneve dhe p</w:t>
      </w:r>
      <w:r>
        <w:rPr>
          <w:rFonts w:eastAsiaTheme="majorEastAsia"/>
          <w:color w:val="000000" w:themeColor="text1"/>
        </w:rPr>
        <w:t>e</w:t>
      </w:r>
      <w:r w:rsidRPr="00C0675F">
        <w:rPr>
          <w:rFonts w:eastAsiaTheme="majorEastAsia"/>
          <w:color w:val="000000" w:themeColor="text1"/>
        </w:rPr>
        <w:t>sha e s</w:t>
      </w:r>
      <w:r>
        <w:rPr>
          <w:rFonts w:eastAsiaTheme="majorEastAsia"/>
          <w:color w:val="000000" w:themeColor="text1"/>
        </w:rPr>
        <w:t>ecilit sipas rëndësisë relative:</w:t>
      </w:r>
    </w:p>
    <w:p w14:paraId="58A3ED58" w14:textId="2564DDC8" w:rsidR="00265CE0" w:rsidRDefault="00265CE0" w:rsidP="00A341D1">
      <w:pPr>
        <w:pStyle w:val="font-claude-response-body"/>
        <w:numPr>
          <w:ilvl w:val="0"/>
          <w:numId w:val="18"/>
        </w:numPr>
        <w:spacing w:before="0" w:beforeAutospacing="0"/>
        <w:ind w:left="360"/>
        <w:jc w:val="both"/>
      </w:pPr>
      <w:r>
        <w:t>Zgjerimi i kategorive të veçanta përfituese duke mbuluar viktimat e terrorizmit, sinjalizuesit, personat me aftësi të kufizuara dhe komunitetin rom e egjiptian -5</w:t>
      </w:r>
    </w:p>
    <w:p w14:paraId="23D51DDD" w14:textId="1762AA6A" w:rsidR="00265CE0" w:rsidRDefault="00265CE0" w:rsidP="00A341D1">
      <w:pPr>
        <w:pStyle w:val="font-claude-response-body"/>
        <w:numPr>
          <w:ilvl w:val="0"/>
          <w:numId w:val="18"/>
        </w:numPr>
        <w:ind w:left="360"/>
        <w:jc w:val="both"/>
      </w:pPr>
      <w:r>
        <w:t>Thjeshtimi i procedurave administrative për përfitimin e ndihmës juridike parësore duke reduktuar barrën për kërkuesit - 4</w:t>
      </w:r>
    </w:p>
    <w:p w14:paraId="1778F443" w14:textId="2AAFF717" w:rsidR="00265CE0" w:rsidRDefault="00265CE0" w:rsidP="00A341D1">
      <w:pPr>
        <w:pStyle w:val="font-claude-response-body"/>
        <w:numPr>
          <w:ilvl w:val="0"/>
          <w:numId w:val="18"/>
        </w:numPr>
        <w:ind w:left="360"/>
        <w:jc w:val="both"/>
      </w:pPr>
      <w:r>
        <w:lastRenderedPageBreak/>
        <w:t>Zgjerimi i mbulimit të shpenzimeve të domosdoshme kadastrale, noteriale dhe përmbarimore në fazën e ekzekutimit - 5</w:t>
      </w:r>
    </w:p>
    <w:p w14:paraId="2A3BCDFE" w14:textId="18A902A7" w:rsidR="00167BF5" w:rsidRPr="0024644D" w:rsidRDefault="00265CE0" w:rsidP="00A341D1">
      <w:pPr>
        <w:pStyle w:val="font-claude-response-body"/>
        <w:numPr>
          <w:ilvl w:val="0"/>
          <w:numId w:val="18"/>
        </w:numPr>
        <w:ind w:left="360"/>
        <w:jc w:val="both"/>
      </w:pPr>
      <w:r w:rsidRPr="00026AF2">
        <w:rPr>
          <w:rFonts w:eastAsia="Calibri"/>
          <w:color w:val="000000"/>
        </w:rPr>
        <w:t>Harmonizimi</w:t>
      </w:r>
      <w:r>
        <w:rPr>
          <w:rFonts w:eastAsia="Calibri"/>
          <w:color w:val="000000"/>
        </w:rPr>
        <w:t xml:space="preserve"> i </w:t>
      </w:r>
      <w:r w:rsidRPr="00026AF2">
        <w:rPr>
          <w:rFonts w:eastAsia="Calibri"/>
          <w:color w:val="000000"/>
        </w:rPr>
        <w:t>legjislacionit kombëtar me standardet dhe direktivat e BE-së nëpërmjet adresimit të boshlliqeve të identifikuara</w:t>
      </w:r>
      <w:r>
        <w:rPr>
          <w:rFonts w:eastAsia="Calibri"/>
          <w:color w:val="000000"/>
        </w:rPr>
        <w:t xml:space="preserve"> - 5</w:t>
      </w:r>
    </w:p>
    <w:p w14:paraId="25E3EFA1" w14:textId="77777777" w:rsidR="00593540" w:rsidRPr="0050278D" w:rsidRDefault="00593540" w:rsidP="00593540">
      <w:pPr>
        <w:pStyle w:val="BodyText"/>
        <w:tabs>
          <w:tab w:val="left" w:pos="1165"/>
          <w:tab w:val="left" w:pos="10080"/>
        </w:tabs>
        <w:spacing w:after="0" w:line="276" w:lineRule="auto"/>
        <w:ind w:right="26"/>
        <w:jc w:val="both"/>
        <w:rPr>
          <w:bCs w:val="0"/>
          <w:sz w:val="24"/>
          <w:szCs w:val="24"/>
        </w:rPr>
      </w:pPr>
      <w:r w:rsidRPr="0050278D">
        <w:rPr>
          <w:bCs w:val="0"/>
          <w:sz w:val="24"/>
          <w:szCs w:val="24"/>
        </w:rPr>
        <w:t>Shkalla e performancës është nga 0 në 5, ku 0 përfaqëson opsionin më pak të preferuar dhe 5 atë më të preferuarin.</w:t>
      </w:r>
    </w:p>
    <w:p w14:paraId="346CB068" w14:textId="77777777" w:rsidR="00593540" w:rsidRPr="0050278D" w:rsidRDefault="00593540" w:rsidP="00593540">
      <w:pPr>
        <w:pStyle w:val="BodyText"/>
        <w:tabs>
          <w:tab w:val="left" w:pos="1165"/>
          <w:tab w:val="left" w:pos="10080"/>
        </w:tabs>
        <w:spacing w:after="0" w:line="276" w:lineRule="auto"/>
        <w:ind w:right="26"/>
        <w:jc w:val="both"/>
        <w:rPr>
          <w:bCs w:val="0"/>
          <w:sz w:val="24"/>
          <w:szCs w:val="24"/>
        </w:rPr>
      </w:pPr>
    </w:p>
    <w:tbl>
      <w:tblPr>
        <w:tblStyle w:val="TableGrid"/>
        <w:tblW w:w="0" w:type="auto"/>
        <w:tblLook w:val="04A0" w:firstRow="1" w:lastRow="0" w:firstColumn="1" w:lastColumn="0" w:noHBand="0" w:noVBand="1"/>
      </w:tblPr>
      <w:tblGrid>
        <w:gridCol w:w="4135"/>
        <w:gridCol w:w="816"/>
        <w:gridCol w:w="1254"/>
        <w:gridCol w:w="1260"/>
        <w:gridCol w:w="1260"/>
        <w:gridCol w:w="1321"/>
      </w:tblGrid>
      <w:tr w:rsidR="00593540" w:rsidRPr="003C433C" w14:paraId="2A9734FB" w14:textId="77777777" w:rsidTr="005E5713">
        <w:trPr>
          <w:trHeight w:val="454"/>
        </w:trPr>
        <w:tc>
          <w:tcPr>
            <w:tcW w:w="4135" w:type="dxa"/>
          </w:tcPr>
          <w:p w14:paraId="48B8531B" w14:textId="77777777" w:rsidR="00593540" w:rsidRPr="003C433C" w:rsidRDefault="00593540" w:rsidP="005E5713">
            <w:pPr>
              <w:jc w:val="both"/>
              <w:rPr>
                <w:rFonts w:eastAsiaTheme="majorEastAsia"/>
                <w:b/>
                <w:color w:val="000000" w:themeColor="text1"/>
              </w:rPr>
            </w:pPr>
            <w:r w:rsidRPr="003C433C">
              <w:rPr>
                <w:rFonts w:eastAsiaTheme="majorEastAsia"/>
                <w:b/>
                <w:color w:val="000000" w:themeColor="text1"/>
              </w:rPr>
              <w:t>Kriteret</w:t>
            </w:r>
          </w:p>
        </w:tc>
        <w:tc>
          <w:tcPr>
            <w:tcW w:w="816" w:type="dxa"/>
          </w:tcPr>
          <w:p w14:paraId="62591E07" w14:textId="77777777" w:rsidR="00593540" w:rsidRPr="003C433C" w:rsidRDefault="00593540" w:rsidP="005E5713">
            <w:pPr>
              <w:jc w:val="both"/>
              <w:rPr>
                <w:rFonts w:eastAsiaTheme="majorEastAsia"/>
                <w:b/>
                <w:color w:val="000000" w:themeColor="text1"/>
              </w:rPr>
            </w:pPr>
            <w:r w:rsidRPr="003C433C">
              <w:rPr>
                <w:rFonts w:eastAsiaTheme="majorEastAsia"/>
                <w:b/>
                <w:color w:val="000000" w:themeColor="text1"/>
              </w:rPr>
              <w:t>Pesha</w:t>
            </w:r>
          </w:p>
        </w:tc>
        <w:tc>
          <w:tcPr>
            <w:tcW w:w="1254" w:type="dxa"/>
          </w:tcPr>
          <w:p w14:paraId="0FE1EFFA" w14:textId="77777777" w:rsidR="00593540" w:rsidRPr="003C433C" w:rsidRDefault="00593540" w:rsidP="005E5713">
            <w:pPr>
              <w:jc w:val="both"/>
              <w:rPr>
                <w:rFonts w:eastAsiaTheme="majorEastAsia"/>
                <w:b/>
                <w:color w:val="000000" w:themeColor="text1"/>
              </w:rPr>
            </w:pPr>
            <w:r w:rsidRPr="003C433C">
              <w:rPr>
                <w:rFonts w:eastAsiaTheme="majorEastAsia"/>
                <w:b/>
                <w:color w:val="000000" w:themeColor="text1"/>
              </w:rPr>
              <w:t>Opsioni 0</w:t>
            </w:r>
          </w:p>
        </w:tc>
        <w:tc>
          <w:tcPr>
            <w:tcW w:w="1260" w:type="dxa"/>
          </w:tcPr>
          <w:p w14:paraId="69BFFFD7" w14:textId="77777777" w:rsidR="00593540" w:rsidRPr="003C433C" w:rsidRDefault="00593540" w:rsidP="005E5713">
            <w:pPr>
              <w:jc w:val="both"/>
              <w:rPr>
                <w:rFonts w:eastAsiaTheme="majorEastAsia"/>
                <w:b/>
                <w:color w:val="000000" w:themeColor="text1"/>
              </w:rPr>
            </w:pPr>
            <w:r w:rsidRPr="003C433C">
              <w:rPr>
                <w:rFonts w:eastAsiaTheme="majorEastAsia"/>
                <w:b/>
                <w:color w:val="000000" w:themeColor="text1"/>
              </w:rPr>
              <w:t>Opsioni 1</w:t>
            </w:r>
          </w:p>
        </w:tc>
        <w:tc>
          <w:tcPr>
            <w:tcW w:w="1260" w:type="dxa"/>
          </w:tcPr>
          <w:p w14:paraId="05C6D9E3" w14:textId="77777777" w:rsidR="00593540" w:rsidRPr="003C433C" w:rsidRDefault="00593540" w:rsidP="005E5713">
            <w:pPr>
              <w:jc w:val="both"/>
              <w:rPr>
                <w:rFonts w:eastAsiaTheme="majorEastAsia"/>
                <w:b/>
                <w:color w:val="000000" w:themeColor="text1"/>
              </w:rPr>
            </w:pPr>
            <w:r w:rsidRPr="003C433C">
              <w:rPr>
                <w:rFonts w:eastAsiaTheme="majorEastAsia"/>
                <w:b/>
                <w:color w:val="000000" w:themeColor="text1"/>
              </w:rPr>
              <w:t>Opsioni 2</w:t>
            </w:r>
          </w:p>
        </w:tc>
        <w:tc>
          <w:tcPr>
            <w:tcW w:w="1321" w:type="dxa"/>
          </w:tcPr>
          <w:p w14:paraId="38A199D4" w14:textId="77777777" w:rsidR="00593540" w:rsidRPr="003C433C" w:rsidRDefault="00593540" w:rsidP="005E5713">
            <w:pPr>
              <w:jc w:val="both"/>
              <w:rPr>
                <w:rFonts w:eastAsiaTheme="majorEastAsia"/>
                <w:b/>
                <w:color w:val="000000" w:themeColor="text1"/>
              </w:rPr>
            </w:pPr>
            <w:r w:rsidRPr="003C433C">
              <w:rPr>
                <w:rFonts w:eastAsiaTheme="majorEastAsia"/>
                <w:b/>
                <w:color w:val="000000" w:themeColor="text1"/>
              </w:rPr>
              <w:t>Opsioni 3</w:t>
            </w:r>
          </w:p>
        </w:tc>
      </w:tr>
      <w:tr w:rsidR="002621C7" w:rsidRPr="003C433C" w14:paraId="444FF926" w14:textId="77777777" w:rsidTr="005E5713">
        <w:trPr>
          <w:trHeight w:val="876"/>
        </w:trPr>
        <w:tc>
          <w:tcPr>
            <w:tcW w:w="4135" w:type="dxa"/>
          </w:tcPr>
          <w:p w14:paraId="05D8484B" w14:textId="5B3D6CEE" w:rsidR="002621C7" w:rsidRPr="00822816" w:rsidRDefault="00265CE0" w:rsidP="002621C7">
            <w:pPr>
              <w:jc w:val="both"/>
              <w:rPr>
                <w:rFonts w:eastAsiaTheme="majorEastAsia"/>
                <w:color w:val="000000" w:themeColor="text1"/>
              </w:rPr>
            </w:pPr>
            <w:r>
              <w:t>Zgjerimi i kategorive të veçanta përfituese duke mbuluar viktimat e terrorizmit, sinjalizuesit, personat me aftësi të kufizuara dhe komunitetin rom e egjiptian</w:t>
            </w:r>
          </w:p>
        </w:tc>
        <w:tc>
          <w:tcPr>
            <w:tcW w:w="816" w:type="dxa"/>
          </w:tcPr>
          <w:p w14:paraId="555A272F" w14:textId="7A40E8A0" w:rsidR="002621C7" w:rsidRPr="003C433C" w:rsidRDefault="002621C7" w:rsidP="002621C7">
            <w:pPr>
              <w:jc w:val="both"/>
              <w:rPr>
                <w:rFonts w:eastAsiaTheme="majorEastAsia"/>
                <w:color w:val="000000" w:themeColor="text1"/>
              </w:rPr>
            </w:pPr>
            <w:r>
              <w:rPr>
                <w:rFonts w:eastAsiaTheme="majorEastAsia"/>
                <w:color w:val="000000" w:themeColor="text1"/>
              </w:rPr>
              <w:t>5</w:t>
            </w:r>
          </w:p>
        </w:tc>
        <w:tc>
          <w:tcPr>
            <w:tcW w:w="1254" w:type="dxa"/>
          </w:tcPr>
          <w:p w14:paraId="7E9E09EA" w14:textId="27293A76" w:rsidR="002621C7" w:rsidRPr="003C433C" w:rsidRDefault="002621C7" w:rsidP="002621C7">
            <w:pPr>
              <w:jc w:val="both"/>
              <w:rPr>
                <w:rFonts w:eastAsiaTheme="majorEastAsia"/>
                <w:color w:val="000000" w:themeColor="text1"/>
              </w:rPr>
            </w:pPr>
            <w:r>
              <w:rPr>
                <w:rFonts w:eastAsiaTheme="majorEastAsia"/>
                <w:color w:val="000000" w:themeColor="text1"/>
              </w:rPr>
              <w:t>0 (0)</w:t>
            </w:r>
          </w:p>
        </w:tc>
        <w:tc>
          <w:tcPr>
            <w:tcW w:w="1260" w:type="dxa"/>
          </w:tcPr>
          <w:p w14:paraId="0FEF6007" w14:textId="73B48FEA" w:rsidR="002621C7" w:rsidRPr="003C433C" w:rsidRDefault="002621C7" w:rsidP="002621C7">
            <w:pPr>
              <w:jc w:val="both"/>
              <w:rPr>
                <w:rFonts w:eastAsiaTheme="majorEastAsia"/>
                <w:color w:val="000000" w:themeColor="text1"/>
              </w:rPr>
            </w:pPr>
            <w:r>
              <w:rPr>
                <w:rFonts w:eastAsiaTheme="majorEastAsia"/>
                <w:color w:val="000000" w:themeColor="text1"/>
              </w:rPr>
              <w:t>0 (0)</w:t>
            </w:r>
          </w:p>
        </w:tc>
        <w:tc>
          <w:tcPr>
            <w:tcW w:w="1260" w:type="dxa"/>
          </w:tcPr>
          <w:p w14:paraId="6D43B67F" w14:textId="7101F60C" w:rsidR="002621C7" w:rsidRPr="003C433C" w:rsidRDefault="002621C7" w:rsidP="002621C7">
            <w:pPr>
              <w:jc w:val="both"/>
              <w:rPr>
                <w:rFonts w:eastAsiaTheme="majorEastAsia"/>
                <w:color w:val="000000" w:themeColor="text1"/>
              </w:rPr>
            </w:pPr>
            <w:r>
              <w:rPr>
                <w:rFonts w:eastAsiaTheme="majorEastAsia"/>
                <w:color w:val="000000" w:themeColor="text1"/>
              </w:rPr>
              <w:t>5 (25)</w:t>
            </w:r>
          </w:p>
        </w:tc>
        <w:tc>
          <w:tcPr>
            <w:tcW w:w="1321" w:type="dxa"/>
          </w:tcPr>
          <w:p w14:paraId="59BD0AB0" w14:textId="62E0E4A8" w:rsidR="002621C7" w:rsidRPr="003C433C" w:rsidRDefault="001E0A34" w:rsidP="002621C7">
            <w:pPr>
              <w:jc w:val="both"/>
              <w:rPr>
                <w:rFonts w:eastAsiaTheme="majorEastAsia"/>
                <w:color w:val="000000" w:themeColor="text1"/>
              </w:rPr>
            </w:pPr>
            <w:r>
              <w:rPr>
                <w:rFonts w:eastAsiaTheme="majorEastAsia"/>
                <w:color w:val="000000" w:themeColor="text1"/>
              </w:rPr>
              <w:t>5</w:t>
            </w:r>
            <w:r w:rsidR="002621C7">
              <w:rPr>
                <w:rFonts w:eastAsiaTheme="majorEastAsia"/>
                <w:color w:val="000000" w:themeColor="text1"/>
              </w:rPr>
              <w:t xml:space="preserve"> (2</w:t>
            </w:r>
            <w:r>
              <w:rPr>
                <w:rFonts w:eastAsiaTheme="majorEastAsia"/>
                <w:color w:val="000000" w:themeColor="text1"/>
              </w:rPr>
              <w:t>5</w:t>
            </w:r>
            <w:r w:rsidR="002621C7">
              <w:rPr>
                <w:rFonts w:eastAsiaTheme="majorEastAsia"/>
                <w:color w:val="000000" w:themeColor="text1"/>
              </w:rPr>
              <w:t>)</w:t>
            </w:r>
          </w:p>
        </w:tc>
      </w:tr>
      <w:tr w:rsidR="002621C7" w:rsidRPr="003C433C" w14:paraId="312F8CD5" w14:textId="77777777" w:rsidTr="008B4BC1">
        <w:trPr>
          <w:trHeight w:val="1171"/>
        </w:trPr>
        <w:tc>
          <w:tcPr>
            <w:tcW w:w="4135" w:type="dxa"/>
          </w:tcPr>
          <w:p w14:paraId="63368725" w14:textId="040D1657" w:rsidR="002621C7" w:rsidRPr="000F6D96" w:rsidRDefault="00265CE0" w:rsidP="008B4BC1">
            <w:pPr>
              <w:jc w:val="both"/>
              <w:rPr>
                <w:szCs w:val="24"/>
              </w:rPr>
            </w:pPr>
            <w:r>
              <w:t>Thjeshtimi i procedurave administrative për përfitimin e ndihmës juridike parësore duke reduktuar barrën për kërkuesit</w:t>
            </w:r>
          </w:p>
        </w:tc>
        <w:tc>
          <w:tcPr>
            <w:tcW w:w="816" w:type="dxa"/>
          </w:tcPr>
          <w:p w14:paraId="3DEB8290" w14:textId="5E813510" w:rsidR="002621C7" w:rsidRPr="003C433C" w:rsidRDefault="00265CE0" w:rsidP="008B4BC1">
            <w:pPr>
              <w:jc w:val="both"/>
              <w:rPr>
                <w:rFonts w:eastAsiaTheme="majorEastAsia"/>
                <w:color w:val="000000" w:themeColor="text1"/>
              </w:rPr>
            </w:pPr>
            <w:r>
              <w:rPr>
                <w:rFonts w:eastAsiaTheme="majorEastAsia"/>
                <w:color w:val="000000" w:themeColor="text1"/>
              </w:rPr>
              <w:t>4</w:t>
            </w:r>
          </w:p>
        </w:tc>
        <w:tc>
          <w:tcPr>
            <w:tcW w:w="1254" w:type="dxa"/>
          </w:tcPr>
          <w:p w14:paraId="0EFCAC47" w14:textId="5323D44F" w:rsidR="002621C7" w:rsidRPr="003C433C" w:rsidRDefault="00F7043A" w:rsidP="008B4BC1">
            <w:pPr>
              <w:jc w:val="both"/>
              <w:rPr>
                <w:rFonts w:eastAsiaTheme="majorEastAsia"/>
                <w:color w:val="000000" w:themeColor="text1"/>
              </w:rPr>
            </w:pPr>
            <w:r>
              <w:rPr>
                <w:rFonts w:eastAsiaTheme="majorEastAsia"/>
                <w:color w:val="000000" w:themeColor="text1"/>
              </w:rPr>
              <w:t>0</w:t>
            </w:r>
            <w:r w:rsidR="002621C7">
              <w:rPr>
                <w:rFonts w:eastAsiaTheme="majorEastAsia"/>
                <w:color w:val="000000" w:themeColor="text1"/>
              </w:rPr>
              <w:t xml:space="preserve"> </w:t>
            </w:r>
            <w:r>
              <w:rPr>
                <w:rFonts w:eastAsiaTheme="majorEastAsia"/>
                <w:color w:val="000000" w:themeColor="text1"/>
              </w:rPr>
              <w:t>(0)</w:t>
            </w:r>
          </w:p>
        </w:tc>
        <w:tc>
          <w:tcPr>
            <w:tcW w:w="1260" w:type="dxa"/>
          </w:tcPr>
          <w:p w14:paraId="0E69CABB" w14:textId="236A33DB" w:rsidR="002621C7" w:rsidRPr="003C433C" w:rsidRDefault="002621C7" w:rsidP="008B4BC1">
            <w:pPr>
              <w:jc w:val="both"/>
              <w:rPr>
                <w:rFonts w:eastAsiaTheme="majorEastAsia"/>
                <w:color w:val="000000" w:themeColor="text1"/>
              </w:rPr>
            </w:pPr>
            <w:r>
              <w:rPr>
                <w:rFonts w:eastAsiaTheme="majorEastAsia"/>
                <w:color w:val="000000" w:themeColor="text1"/>
              </w:rPr>
              <w:t xml:space="preserve"> 1(</w:t>
            </w:r>
            <w:r w:rsidR="00265CE0">
              <w:rPr>
                <w:rFonts w:eastAsiaTheme="majorEastAsia"/>
                <w:color w:val="000000" w:themeColor="text1"/>
              </w:rPr>
              <w:t>4</w:t>
            </w:r>
            <w:r>
              <w:rPr>
                <w:rFonts w:eastAsiaTheme="majorEastAsia"/>
                <w:color w:val="000000" w:themeColor="text1"/>
              </w:rPr>
              <w:t>)</w:t>
            </w:r>
          </w:p>
        </w:tc>
        <w:tc>
          <w:tcPr>
            <w:tcW w:w="1260" w:type="dxa"/>
          </w:tcPr>
          <w:p w14:paraId="0B931E7C" w14:textId="0889BBB7" w:rsidR="002621C7" w:rsidRPr="003C433C" w:rsidRDefault="002621C7" w:rsidP="008B4BC1">
            <w:pPr>
              <w:jc w:val="both"/>
              <w:rPr>
                <w:rFonts w:eastAsiaTheme="majorEastAsia"/>
                <w:color w:val="000000" w:themeColor="text1"/>
              </w:rPr>
            </w:pPr>
            <w:r>
              <w:rPr>
                <w:rFonts w:eastAsiaTheme="majorEastAsia"/>
                <w:color w:val="000000" w:themeColor="text1"/>
              </w:rPr>
              <w:t>4 (</w:t>
            </w:r>
            <w:r w:rsidR="002C4806">
              <w:rPr>
                <w:rFonts w:eastAsiaTheme="majorEastAsia"/>
                <w:color w:val="000000" w:themeColor="text1"/>
              </w:rPr>
              <w:t>16</w:t>
            </w:r>
            <w:r>
              <w:rPr>
                <w:rFonts w:eastAsiaTheme="majorEastAsia"/>
                <w:color w:val="000000" w:themeColor="text1"/>
              </w:rPr>
              <w:t>)</w:t>
            </w:r>
          </w:p>
        </w:tc>
        <w:tc>
          <w:tcPr>
            <w:tcW w:w="1321" w:type="dxa"/>
          </w:tcPr>
          <w:p w14:paraId="26053784" w14:textId="39956370" w:rsidR="002621C7" w:rsidRPr="003C433C" w:rsidRDefault="001E0A34" w:rsidP="008B4BC1">
            <w:pPr>
              <w:jc w:val="both"/>
              <w:rPr>
                <w:rFonts w:eastAsiaTheme="majorEastAsia"/>
                <w:color w:val="000000" w:themeColor="text1"/>
              </w:rPr>
            </w:pPr>
            <w:r>
              <w:rPr>
                <w:rFonts w:eastAsiaTheme="majorEastAsia"/>
                <w:color w:val="000000" w:themeColor="text1"/>
              </w:rPr>
              <w:t>4</w:t>
            </w:r>
            <w:r w:rsidR="002C4806">
              <w:rPr>
                <w:rFonts w:eastAsiaTheme="majorEastAsia"/>
                <w:color w:val="000000" w:themeColor="text1"/>
              </w:rPr>
              <w:t xml:space="preserve"> </w:t>
            </w:r>
            <w:r w:rsidR="002621C7">
              <w:rPr>
                <w:rFonts w:eastAsiaTheme="majorEastAsia"/>
                <w:color w:val="000000" w:themeColor="text1"/>
              </w:rPr>
              <w:t>(</w:t>
            </w:r>
            <w:r w:rsidR="002C4806">
              <w:rPr>
                <w:rFonts w:eastAsiaTheme="majorEastAsia"/>
                <w:color w:val="000000" w:themeColor="text1"/>
              </w:rPr>
              <w:t>1</w:t>
            </w:r>
            <w:r>
              <w:rPr>
                <w:rFonts w:eastAsiaTheme="majorEastAsia"/>
                <w:color w:val="000000" w:themeColor="text1"/>
              </w:rPr>
              <w:t>6</w:t>
            </w:r>
            <w:r w:rsidR="002621C7">
              <w:rPr>
                <w:rFonts w:eastAsiaTheme="majorEastAsia"/>
                <w:color w:val="000000" w:themeColor="text1"/>
              </w:rPr>
              <w:t>)</w:t>
            </w:r>
          </w:p>
        </w:tc>
      </w:tr>
      <w:tr w:rsidR="002621C7" w:rsidRPr="003C433C" w14:paraId="1BBB82E2" w14:textId="77777777" w:rsidTr="00265CE0">
        <w:trPr>
          <w:trHeight w:val="1058"/>
        </w:trPr>
        <w:tc>
          <w:tcPr>
            <w:tcW w:w="4135" w:type="dxa"/>
          </w:tcPr>
          <w:p w14:paraId="2F67B224" w14:textId="1D455700" w:rsidR="002621C7" w:rsidRPr="003C433C" w:rsidRDefault="00265CE0" w:rsidP="008B4BC1">
            <w:pPr>
              <w:jc w:val="both"/>
              <w:rPr>
                <w:rFonts w:eastAsiaTheme="majorEastAsia"/>
                <w:color w:val="000000" w:themeColor="text1"/>
              </w:rPr>
            </w:pPr>
            <w:r>
              <w:t>Zgjerimi i mbulimit të shpenzimeve të domosdoshme kadastrale, noteriale dhe përmbarimore në fazën e ekzekutimit</w:t>
            </w:r>
          </w:p>
        </w:tc>
        <w:tc>
          <w:tcPr>
            <w:tcW w:w="816" w:type="dxa"/>
          </w:tcPr>
          <w:p w14:paraId="3829CD7F" w14:textId="44BF42BE" w:rsidR="002621C7" w:rsidRPr="003C433C" w:rsidRDefault="00265CE0" w:rsidP="008B4BC1">
            <w:pPr>
              <w:jc w:val="both"/>
              <w:rPr>
                <w:rFonts w:eastAsiaTheme="majorEastAsia"/>
                <w:color w:val="000000" w:themeColor="text1"/>
              </w:rPr>
            </w:pPr>
            <w:r>
              <w:rPr>
                <w:rFonts w:eastAsiaTheme="majorEastAsia"/>
                <w:color w:val="000000" w:themeColor="text1"/>
              </w:rPr>
              <w:t>5</w:t>
            </w:r>
          </w:p>
        </w:tc>
        <w:tc>
          <w:tcPr>
            <w:tcW w:w="1254" w:type="dxa"/>
          </w:tcPr>
          <w:p w14:paraId="36BD4061" w14:textId="6910E4CE" w:rsidR="002621C7" w:rsidRPr="003C433C" w:rsidRDefault="002621C7" w:rsidP="008B4BC1">
            <w:pPr>
              <w:jc w:val="both"/>
              <w:rPr>
                <w:rFonts w:eastAsiaTheme="majorEastAsia"/>
                <w:color w:val="000000" w:themeColor="text1"/>
              </w:rPr>
            </w:pPr>
            <w:r>
              <w:rPr>
                <w:rFonts w:eastAsiaTheme="majorEastAsia"/>
                <w:color w:val="000000" w:themeColor="text1"/>
              </w:rPr>
              <w:t>1 (</w:t>
            </w:r>
            <w:r w:rsidR="00BD3C6E">
              <w:rPr>
                <w:rFonts w:eastAsiaTheme="majorEastAsia"/>
                <w:color w:val="000000" w:themeColor="text1"/>
              </w:rPr>
              <w:t>5</w:t>
            </w:r>
            <w:r>
              <w:rPr>
                <w:rFonts w:eastAsiaTheme="majorEastAsia"/>
                <w:color w:val="000000" w:themeColor="text1"/>
              </w:rPr>
              <w:t>)</w:t>
            </w:r>
          </w:p>
        </w:tc>
        <w:tc>
          <w:tcPr>
            <w:tcW w:w="1260" w:type="dxa"/>
          </w:tcPr>
          <w:p w14:paraId="155B8868" w14:textId="08407D1A" w:rsidR="002621C7" w:rsidRPr="003C433C" w:rsidRDefault="002621C7" w:rsidP="008B4BC1">
            <w:pPr>
              <w:jc w:val="both"/>
              <w:rPr>
                <w:rFonts w:eastAsiaTheme="majorEastAsia"/>
                <w:color w:val="000000" w:themeColor="text1"/>
              </w:rPr>
            </w:pPr>
            <w:r>
              <w:rPr>
                <w:rFonts w:eastAsiaTheme="majorEastAsia"/>
                <w:color w:val="000000" w:themeColor="text1"/>
              </w:rPr>
              <w:t>2 (</w:t>
            </w:r>
            <w:r w:rsidR="00BD3C6E">
              <w:rPr>
                <w:rFonts w:eastAsiaTheme="majorEastAsia"/>
                <w:color w:val="000000" w:themeColor="text1"/>
              </w:rPr>
              <w:t>10</w:t>
            </w:r>
            <w:r>
              <w:rPr>
                <w:rFonts w:eastAsiaTheme="majorEastAsia"/>
                <w:color w:val="000000" w:themeColor="text1"/>
              </w:rPr>
              <w:t>)</w:t>
            </w:r>
          </w:p>
        </w:tc>
        <w:tc>
          <w:tcPr>
            <w:tcW w:w="1260" w:type="dxa"/>
          </w:tcPr>
          <w:p w14:paraId="738CB5FA" w14:textId="3EDE017D" w:rsidR="002621C7" w:rsidRPr="003C433C" w:rsidRDefault="002621C7" w:rsidP="008B4BC1">
            <w:pPr>
              <w:jc w:val="both"/>
              <w:rPr>
                <w:rFonts w:eastAsiaTheme="majorEastAsia"/>
                <w:color w:val="000000" w:themeColor="text1"/>
              </w:rPr>
            </w:pPr>
            <w:r>
              <w:rPr>
                <w:rFonts w:eastAsiaTheme="majorEastAsia"/>
                <w:color w:val="000000" w:themeColor="text1"/>
              </w:rPr>
              <w:t>5</w:t>
            </w:r>
            <w:r w:rsidRPr="00E83300">
              <w:rPr>
                <w:rFonts w:eastAsiaTheme="majorEastAsia"/>
                <w:color w:val="000000" w:themeColor="text1"/>
              </w:rPr>
              <w:t xml:space="preserve"> (</w:t>
            </w:r>
            <w:r>
              <w:rPr>
                <w:rFonts w:eastAsiaTheme="majorEastAsia"/>
                <w:color w:val="000000" w:themeColor="text1"/>
              </w:rPr>
              <w:t>2</w:t>
            </w:r>
            <w:r w:rsidR="00BD3C6E">
              <w:rPr>
                <w:rFonts w:eastAsiaTheme="majorEastAsia"/>
                <w:color w:val="000000" w:themeColor="text1"/>
              </w:rPr>
              <w:t>5</w:t>
            </w:r>
            <w:r>
              <w:rPr>
                <w:rFonts w:eastAsiaTheme="majorEastAsia"/>
                <w:color w:val="000000" w:themeColor="text1"/>
              </w:rPr>
              <w:t>)</w:t>
            </w:r>
          </w:p>
        </w:tc>
        <w:tc>
          <w:tcPr>
            <w:tcW w:w="1321" w:type="dxa"/>
          </w:tcPr>
          <w:p w14:paraId="782E1A7F" w14:textId="6437BC72" w:rsidR="002621C7" w:rsidRPr="003C433C" w:rsidRDefault="00F7043A">
            <w:pPr>
              <w:jc w:val="both"/>
              <w:rPr>
                <w:rFonts w:eastAsiaTheme="majorEastAsia"/>
                <w:color w:val="000000" w:themeColor="text1"/>
              </w:rPr>
            </w:pPr>
            <w:r>
              <w:rPr>
                <w:rFonts w:eastAsiaTheme="majorEastAsia"/>
                <w:color w:val="000000" w:themeColor="text1"/>
              </w:rPr>
              <w:t>5</w:t>
            </w:r>
            <w:r w:rsidR="002C4806" w:rsidRPr="002C4806">
              <w:rPr>
                <w:rFonts w:eastAsiaTheme="majorEastAsia"/>
                <w:color w:val="000000" w:themeColor="text1"/>
              </w:rPr>
              <w:t xml:space="preserve"> (2</w:t>
            </w:r>
            <w:r>
              <w:rPr>
                <w:rFonts w:eastAsiaTheme="majorEastAsia"/>
                <w:color w:val="000000" w:themeColor="text1"/>
              </w:rPr>
              <w:t>5</w:t>
            </w:r>
            <w:r w:rsidR="002C4806" w:rsidRPr="002C4806">
              <w:rPr>
                <w:rFonts w:eastAsiaTheme="majorEastAsia"/>
                <w:color w:val="000000" w:themeColor="text1"/>
              </w:rPr>
              <w:t>)</w:t>
            </w:r>
          </w:p>
        </w:tc>
      </w:tr>
      <w:tr w:rsidR="00265CE0" w:rsidRPr="003C433C" w14:paraId="3B6083A2" w14:textId="77777777" w:rsidTr="00BD3C6E">
        <w:trPr>
          <w:trHeight w:val="142"/>
        </w:trPr>
        <w:tc>
          <w:tcPr>
            <w:tcW w:w="4135" w:type="dxa"/>
          </w:tcPr>
          <w:p w14:paraId="233A1B7A" w14:textId="08AB99AE" w:rsidR="00265CE0" w:rsidRPr="00BD3C6E" w:rsidRDefault="00265CE0" w:rsidP="008B4BC1">
            <w:pPr>
              <w:jc w:val="both"/>
              <w:rPr>
                <w:rFonts w:eastAsiaTheme="majorEastAsia"/>
                <w:color w:val="000000" w:themeColor="text1"/>
              </w:rPr>
            </w:pPr>
            <w:r w:rsidRPr="00026AF2">
              <w:rPr>
                <w:rFonts w:eastAsia="Calibri"/>
                <w:color w:val="000000"/>
                <w:szCs w:val="24"/>
              </w:rPr>
              <w:t>Harmonizimi</w:t>
            </w:r>
            <w:r>
              <w:rPr>
                <w:rFonts w:eastAsia="Calibri"/>
                <w:color w:val="000000"/>
              </w:rPr>
              <w:t xml:space="preserve"> i </w:t>
            </w:r>
            <w:r w:rsidRPr="00026AF2">
              <w:rPr>
                <w:rFonts w:eastAsia="Calibri"/>
                <w:color w:val="000000"/>
                <w:szCs w:val="24"/>
              </w:rPr>
              <w:t>legjislacionit kombëtar me standardet dhe direktivat e BE-së nëpërmjet adresimit të boshlliqeve të identifikuara</w:t>
            </w:r>
          </w:p>
        </w:tc>
        <w:tc>
          <w:tcPr>
            <w:tcW w:w="816" w:type="dxa"/>
          </w:tcPr>
          <w:p w14:paraId="073CD165" w14:textId="787053C1" w:rsidR="00265CE0" w:rsidRDefault="00265CE0" w:rsidP="008B4BC1">
            <w:pPr>
              <w:jc w:val="both"/>
              <w:rPr>
                <w:rFonts w:eastAsiaTheme="majorEastAsia"/>
                <w:color w:val="000000" w:themeColor="text1"/>
              </w:rPr>
            </w:pPr>
            <w:r>
              <w:rPr>
                <w:rFonts w:eastAsiaTheme="majorEastAsia"/>
                <w:color w:val="000000" w:themeColor="text1"/>
              </w:rPr>
              <w:t>5</w:t>
            </w:r>
          </w:p>
        </w:tc>
        <w:tc>
          <w:tcPr>
            <w:tcW w:w="1254" w:type="dxa"/>
          </w:tcPr>
          <w:p w14:paraId="4339BA67" w14:textId="3E19303A" w:rsidR="00265CE0" w:rsidRDefault="002C4806" w:rsidP="008B4BC1">
            <w:pPr>
              <w:jc w:val="both"/>
              <w:rPr>
                <w:rFonts w:eastAsiaTheme="majorEastAsia"/>
                <w:color w:val="000000" w:themeColor="text1"/>
              </w:rPr>
            </w:pPr>
            <w:r w:rsidRPr="002C4806">
              <w:rPr>
                <w:rFonts w:eastAsiaTheme="majorEastAsia"/>
                <w:color w:val="000000" w:themeColor="text1"/>
              </w:rPr>
              <w:t>0 (0)</w:t>
            </w:r>
          </w:p>
        </w:tc>
        <w:tc>
          <w:tcPr>
            <w:tcW w:w="1260" w:type="dxa"/>
          </w:tcPr>
          <w:p w14:paraId="18B0C96D" w14:textId="0A881762" w:rsidR="00265CE0" w:rsidRDefault="002C4806" w:rsidP="008B4BC1">
            <w:pPr>
              <w:jc w:val="both"/>
              <w:rPr>
                <w:rFonts w:eastAsiaTheme="majorEastAsia"/>
                <w:color w:val="000000" w:themeColor="text1"/>
              </w:rPr>
            </w:pPr>
            <w:r w:rsidRPr="002C4806">
              <w:rPr>
                <w:rFonts w:eastAsiaTheme="majorEastAsia"/>
                <w:color w:val="000000" w:themeColor="text1"/>
              </w:rPr>
              <w:t>1 (5)</w:t>
            </w:r>
          </w:p>
        </w:tc>
        <w:tc>
          <w:tcPr>
            <w:tcW w:w="1260" w:type="dxa"/>
          </w:tcPr>
          <w:p w14:paraId="512C236D" w14:textId="58E938F8" w:rsidR="00265CE0" w:rsidRDefault="002C4806" w:rsidP="008B4BC1">
            <w:pPr>
              <w:jc w:val="both"/>
              <w:rPr>
                <w:rFonts w:eastAsiaTheme="majorEastAsia"/>
                <w:color w:val="000000" w:themeColor="text1"/>
              </w:rPr>
            </w:pPr>
            <w:r w:rsidRPr="002C4806">
              <w:rPr>
                <w:rFonts w:eastAsiaTheme="majorEastAsia"/>
                <w:color w:val="000000" w:themeColor="text1"/>
              </w:rPr>
              <w:t>3 (15)</w:t>
            </w:r>
          </w:p>
        </w:tc>
        <w:tc>
          <w:tcPr>
            <w:tcW w:w="1321" w:type="dxa"/>
          </w:tcPr>
          <w:p w14:paraId="2557FBB8" w14:textId="2CAC1428" w:rsidR="00265CE0" w:rsidRDefault="002C4806" w:rsidP="00265CE0">
            <w:pPr>
              <w:jc w:val="both"/>
              <w:rPr>
                <w:rFonts w:eastAsiaTheme="majorEastAsia"/>
                <w:color w:val="000000" w:themeColor="text1"/>
              </w:rPr>
            </w:pPr>
            <w:r w:rsidRPr="002C4806">
              <w:rPr>
                <w:rFonts w:eastAsiaTheme="majorEastAsia"/>
                <w:color w:val="000000" w:themeColor="text1"/>
              </w:rPr>
              <w:t>3 (15)</w:t>
            </w:r>
          </w:p>
        </w:tc>
      </w:tr>
      <w:tr w:rsidR="002621C7" w:rsidRPr="003C433C" w14:paraId="29ABE58B" w14:textId="77777777" w:rsidTr="008B4BC1">
        <w:trPr>
          <w:trHeight w:val="454"/>
        </w:trPr>
        <w:tc>
          <w:tcPr>
            <w:tcW w:w="4135" w:type="dxa"/>
          </w:tcPr>
          <w:p w14:paraId="0A3B7C0F" w14:textId="27EF3EF0" w:rsidR="002621C7" w:rsidRDefault="002621C7" w:rsidP="008B4BC1">
            <w:pPr>
              <w:pStyle w:val="BodyText"/>
              <w:tabs>
                <w:tab w:val="left" w:pos="1165"/>
                <w:tab w:val="left" w:pos="10080"/>
              </w:tabs>
              <w:spacing w:after="0" w:line="276" w:lineRule="auto"/>
              <w:ind w:right="26"/>
              <w:jc w:val="both"/>
              <w:rPr>
                <w:bCs w:val="0"/>
                <w:sz w:val="24"/>
                <w:szCs w:val="24"/>
                <w:lang w:val="en-US"/>
              </w:rPr>
            </w:pPr>
            <w:r>
              <w:rPr>
                <w:bCs w:val="0"/>
                <w:sz w:val="24"/>
                <w:szCs w:val="24"/>
                <w:lang w:val="en-US"/>
              </w:rPr>
              <w:t>Kosto - efektiviteti</w:t>
            </w:r>
          </w:p>
        </w:tc>
        <w:tc>
          <w:tcPr>
            <w:tcW w:w="816" w:type="dxa"/>
          </w:tcPr>
          <w:p w14:paraId="2712FAE1" w14:textId="77777777" w:rsidR="002621C7" w:rsidRDefault="002621C7" w:rsidP="008B4BC1">
            <w:pPr>
              <w:jc w:val="both"/>
              <w:rPr>
                <w:rFonts w:eastAsiaTheme="majorEastAsia"/>
                <w:color w:val="000000" w:themeColor="text1"/>
              </w:rPr>
            </w:pPr>
            <w:r>
              <w:rPr>
                <w:rFonts w:eastAsiaTheme="majorEastAsia"/>
                <w:color w:val="000000" w:themeColor="text1"/>
              </w:rPr>
              <w:t>3</w:t>
            </w:r>
          </w:p>
        </w:tc>
        <w:tc>
          <w:tcPr>
            <w:tcW w:w="1254" w:type="dxa"/>
          </w:tcPr>
          <w:p w14:paraId="1E2F62C1" w14:textId="0B612109" w:rsidR="002621C7" w:rsidRPr="003C433C" w:rsidRDefault="002621C7">
            <w:pPr>
              <w:jc w:val="both"/>
              <w:rPr>
                <w:rFonts w:eastAsiaTheme="majorEastAsia"/>
                <w:color w:val="000000" w:themeColor="text1"/>
              </w:rPr>
            </w:pPr>
            <w:r>
              <w:rPr>
                <w:rFonts w:eastAsiaTheme="majorEastAsia"/>
                <w:color w:val="000000" w:themeColor="text1"/>
              </w:rPr>
              <w:t>0 (0)</w:t>
            </w:r>
          </w:p>
        </w:tc>
        <w:tc>
          <w:tcPr>
            <w:tcW w:w="1260" w:type="dxa"/>
          </w:tcPr>
          <w:p w14:paraId="1AEC57DD" w14:textId="77777777" w:rsidR="002621C7" w:rsidRPr="003C433C" w:rsidRDefault="002621C7" w:rsidP="008B4BC1">
            <w:pPr>
              <w:jc w:val="both"/>
              <w:rPr>
                <w:rFonts w:eastAsiaTheme="majorEastAsia"/>
                <w:color w:val="000000" w:themeColor="text1"/>
              </w:rPr>
            </w:pPr>
            <w:r>
              <w:rPr>
                <w:rFonts w:eastAsiaTheme="majorEastAsia"/>
                <w:color w:val="000000" w:themeColor="text1"/>
              </w:rPr>
              <w:t>0 (0)</w:t>
            </w:r>
          </w:p>
        </w:tc>
        <w:tc>
          <w:tcPr>
            <w:tcW w:w="1260" w:type="dxa"/>
          </w:tcPr>
          <w:p w14:paraId="77F37347" w14:textId="77777777" w:rsidR="002621C7" w:rsidRPr="003C433C" w:rsidRDefault="002621C7" w:rsidP="008B4BC1">
            <w:pPr>
              <w:jc w:val="both"/>
              <w:rPr>
                <w:rFonts w:eastAsiaTheme="majorEastAsia"/>
                <w:color w:val="000000" w:themeColor="text1"/>
              </w:rPr>
            </w:pPr>
            <w:r>
              <w:rPr>
                <w:rFonts w:eastAsiaTheme="majorEastAsia"/>
                <w:color w:val="000000" w:themeColor="text1"/>
              </w:rPr>
              <w:t>4 (12)</w:t>
            </w:r>
          </w:p>
        </w:tc>
        <w:tc>
          <w:tcPr>
            <w:tcW w:w="1321" w:type="dxa"/>
          </w:tcPr>
          <w:p w14:paraId="519A5B42" w14:textId="77777777" w:rsidR="002621C7" w:rsidRPr="003C433C" w:rsidRDefault="002621C7" w:rsidP="008B4BC1">
            <w:pPr>
              <w:jc w:val="both"/>
              <w:rPr>
                <w:rFonts w:eastAsiaTheme="majorEastAsia"/>
                <w:color w:val="000000" w:themeColor="text1"/>
              </w:rPr>
            </w:pPr>
            <w:r>
              <w:rPr>
                <w:rFonts w:eastAsiaTheme="majorEastAsia"/>
                <w:color w:val="000000" w:themeColor="text1"/>
              </w:rPr>
              <w:t>2 (6)</w:t>
            </w:r>
          </w:p>
        </w:tc>
      </w:tr>
      <w:tr w:rsidR="002621C7" w:rsidRPr="003C433C" w14:paraId="5CDD73A2" w14:textId="77777777" w:rsidTr="008B4BC1">
        <w:trPr>
          <w:trHeight w:val="454"/>
        </w:trPr>
        <w:tc>
          <w:tcPr>
            <w:tcW w:w="4135" w:type="dxa"/>
          </w:tcPr>
          <w:p w14:paraId="08C0DEC1" w14:textId="77777777" w:rsidR="002621C7" w:rsidRDefault="002621C7" w:rsidP="008B4BC1">
            <w:pPr>
              <w:pStyle w:val="BodyText"/>
              <w:tabs>
                <w:tab w:val="left" w:pos="1165"/>
                <w:tab w:val="left" w:pos="10080"/>
              </w:tabs>
              <w:spacing w:after="0" w:line="276" w:lineRule="auto"/>
              <w:ind w:right="26"/>
              <w:jc w:val="both"/>
              <w:rPr>
                <w:bCs w:val="0"/>
                <w:sz w:val="24"/>
                <w:szCs w:val="24"/>
                <w:lang w:val="en-US"/>
              </w:rPr>
            </w:pPr>
            <w:r>
              <w:rPr>
                <w:bCs w:val="0"/>
                <w:sz w:val="24"/>
                <w:szCs w:val="24"/>
                <w:lang w:val="en-US"/>
              </w:rPr>
              <w:t>Pikët</w:t>
            </w:r>
          </w:p>
        </w:tc>
        <w:tc>
          <w:tcPr>
            <w:tcW w:w="816" w:type="dxa"/>
          </w:tcPr>
          <w:p w14:paraId="6A2E5253" w14:textId="4AAEE2BD" w:rsidR="002621C7" w:rsidRDefault="001E0A34" w:rsidP="008B4BC1">
            <w:pPr>
              <w:jc w:val="both"/>
              <w:rPr>
                <w:rFonts w:eastAsiaTheme="majorEastAsia"/>
                <w:color w:val="000000" w:themeColor="text1"/>
              </w:rPr>
            </w:pPr>
            <w:r>
              <w:rPr>
                <w:rFonts w:eastAsiaTheme="majorEastAsia"/>
                <w:color w:val="000000" w:themeColor="text1"/>
              </w:rPr>
              <w:t>22</w:t>
            </w:r>
          </w:p>
        </w:tc>
        <w:tc>
          <w:tcPr>
            <w:tcW w:w="1254" w:type="dxa"/>
          </w:tcPr>
          <w:p w14:paraId="0E192D8C" w14:textId="03AB2623" w:rsidR="002621C7" w:rsidRDefault="00F7043A">
            <w:pPr>
              <w:jc w:val="both"/>
              <w:rPr>
                <w:rFonts w:eastAsiaTheme="majorEastAsia"/>
                <w:color w:val="000000" w:themeColor="text1"/>
              </w:rPr>
            </w:pPr>
            <w:r>
              <w:rPr>
                <w:rFonts w:eastAsiaTheme="majorEastAsia"/>
                <w:color w:val="000000" w:themeColor="text1"/>
              </w:rPr>
              <w:t>5</w:t>
            </w:r>
          </w:p>
        </w:tc>
        <w:tc>
          <w:tcPr>
            <w:tcW w:w="1260" w:type="dxa"/>
          </w:tcPr>
          <w:p w14:paraId="76F4FCD8" w14:textId="516AE6BF" w:rsidR="002621C7" w:rsidRDefault="001E0A34" w:rsidP="008B4BC1">
            <w:pPr>
              <w:jc w:val="both"/>
              <w:rPr>
                <w:rFonts w:eastAsiaTheme="majorEastAsia"/>
                <w:color w:val="000000" w:themeColor="text1"/>
              </w:rPr>
            </w:pPr>
            <w:r>
              <w:rPr>
                <w:rFonts w:eastAsiaTheme="majorEastAsia"/>
                <w:color w:val="000000" w:themeColor="text1"/>
              </w:rPr>
              <w:t>19</w:t>
            </w:r>
          </w:p>
        </w:tc>
        <w:tc>
          <w:tcPr>
            <w:tcW w:w="1260" w:type="dxa"/>
          </w:tcPr>
          <w:p w14:paraId="2F94D205" w14:textId="2CA82BF5" w:rsidR="002621C7" w:rsidRDefault="001E0A34" w:rsidP="008B4BC1">
            <w:pPr>
              <w:jc w:val="both"/>
              <w:rPr>
                <w:rFonts w:eastAsiaTheme="majorEastAsia"/>
                <w:color w:val="000000" w:themeColor="text1"/>
              </w:rPr>
            </w:pPr>
            <w:r>
              <w:rPr>
                <w:rFonts w:eastAsiaTheme="majorEastAsia"/>
                <w:color w:val="000000" w:themeColor="text1"/>
              </w:rPr>
              <w:t>93</w:t>
            </w:r>
          </w:p>
        </w:tc>
        <w:tc>
          <w:tcPr>
            <w:tcW w:w="1321" w:type="dxa"/>
          </w:tcPr>
          <w:p w14:paraId="7B49E4DA" w14:textId="3FE60B81" w:rsidR="002621C7" w:rsidRDefault="001E0A34" w:rsidP="008B4BC1">
            <w:pPr>
              <w:jc w:val="both"/>
              <w:rPr>
                <w:rFonts w:eastAsiaTheme="majorEastAsia"/>
                <w:color w:val="000000" w:themeColor="text1"/>
              </w:rPr>
            </w:pPr>
            <w:r>
              <w:rPr>
                <w:rFonts w:eastAsiaTheme="majorEastAsia"/>
                <w:color w:val="000000" w:themeColor="text1"/>
              </w:rPr>
              <w:t>8</w:t>
            </w:r>
            <w:r w:rsidR="00F7043A">
              <w:rPr>
                <w:rFonts w:eastAsiaTheme="majorEastAsia"/>
                <w:color w:val="000000" w:themeColor="text1"/>
              </w:rPr>
              <w:t>7</w:t>
            </w:r>
          </w:p>
        </w:tc>
      </w:tr>
    </w:tbl>
    <w:p w14:paraId="105AD859" w14:textId="77777777" w:rsidR="00593540" w:rsidRDefault="00593540" w:rsidP="00593540">
      <w:pPr>
        <w:pStyle w:val="BodyText"/>
        <w:tabs>
          <w:tab w:val="left" w:pos="1165"/>
          <w:tab w:val="left" w:pos="10080"/>
        </w:tabs>
        <w:spacing w:after="0" w:line="276" w:lineRule="auto"/>
        <w:ind w:right="26"/>
        <w:jc w:val="both"/>
        <w:rPr>
          <w:b/>
          <w:bCs w:val="0"/>
          <w:sz w:val="24"/>
          <w:szCs w:val="24"/>
          <w:lang w:val="en-US"/>
        </w:rPr>
      </w:pPr>
    </w:p>
    <w:p w14:paraId="082A9525" w14:textId="714B0448" w:rsidR="00593540" w:rsidRDefault="00593540" w:rsidP="00593540">
      <w:pPr>
        <w:pStyle w:val="BodyText"/>
        <w:tabs>
          <w:tab w:val="left" w:pos="1165"/>
          <w:tab w:val="left" w:pos="10080"/>
        </w:tabs>
        <w:spacing w:after="0" w:line="276" w:lineRule="auto"/>
        <w:ind w:right="26"/>
        <w:jc w:val="both"/>
        <w:rPr>
          <w:bCs w:val="0"/>
          <w:sz w:val="24"/>
          <w:szCs w:val="24"/>
          <w:lang w:val="en-US"/>
        </w:rPr>
      </w:pPr>
      <w:r>
        <w:rPr>
          <w:bCs w:val="0"/>
          <w:sz w:val="24"/>
          <w:szCs w:val="24"/>
          <w:lang w:val="en-US"/>
        </w:rPr>
        <w:t xml:space="preserve">Sipas analizës me shumë kritere, ndryshimi i ligjit për </w:t>
      </w:r>
      <w:r w:rsidR="00681E67">
        <w:rPr>
          <w:bCs w:val="0"/>
          <w:sz w:val="24"/>
          <w:szCs w:val="24"/>
          <w:lang w:val="en-US"/>
        </w:rPr>
        <w:t>ndihmën</w:t>
      </w:r>
      <w:r w:rsidR="00F7043A">
        <w:rPr>
          <w:bCs w:val="0"/>
          <w:sz w:val="24"/>
          <w:szCs w:val="24"/>
          <w:lang w:val="en-US"/>
        </w:rPr>
        <w:t xml:space="preserve"> juridike të garantuar nga shteti (opsioni 2)</w:t>
      </w:r>
      <w:r w:rsidR="00681E67">
        <w:rPr>
          <w:bCs w:val="0"/>
          <w:sz w:val="24"/>
          <w:szCs w:val="24"/>
          <w:lang w:val="en-US"/>
        </w:rPr>
        <w:t xml:space="preserve"> </w:t>
      </w:r>
      <w:r>
        <w:rPr>
          <w:bCs w:val="0"/>
          <w:sz w:val="24"/>
          <w:szCs w:val="24"/>
          <w:lang w:val="en-US"/>
        </w:rPr>
        <w:t xml:space="preserve"> merr më shumë p</w:t>
      </w:r>
      <w:r w:rsidR="006C5C0E">
        <w:rPr>
          <w:bCs w:val="0"/>
          <w:sz w:val="24"/>
          <w:szCs w:val="24"/>
          <w:lang w:val="en-US"/>
        </w:rPr>
        <w:t>i</w:t>
      </w:r>
      <w:r>
        <w:rPr>
          <w:bCs w:val="0"/>
          <w:sz w:val="24"/>
          <w:szCs w:val="24"/>
          <w:lang w:val="en-US"/>
        </w:rPr>
        <w:t>kë dhe për këtë shkak është vlerësuar si opsioni i preferuar.</w:t>
      </w:r>
    </w:p>
    <w:p w14:paraId="273EE24E" w14:textId="4FD6A21B" w:rsidR="00B551B5" w:rsidRPr="006B3BEE" w:rsidRDefault="00B551B5" w:rsidP="00B551B5">
      <w:pPr>
        <w:pStyle w:val="BodyText"/>
        <w:tabs>
          <w:tab w:val="left" w:pos="1165"/>
          <w:tab w:val="left" w:pos="10080"/>
        </w:tabs>
        <w:spacing w:line="276" w:lineRule="auto"/>
        <w:ind w:right="26"/>
        <w:jc w:val="both"/>
        <w:rPr>
          <w:bCs w:val="0"/>
          <w:color w:val="4F81BD" w:themeColor="accent1"/>
          <w:sz w:val="24"/>
          <w:szCs w:val="24"/>
          <w:lang w:val="en-US"/>
        </w:rPr>
      </w:pPr>
      <w:r w:rsidRPr="006B3BEE">
        <w:rPr>
          <w:bCs w:val="0"/>
          <w:color w:val="4F81BD" w:themeColor="accent1"/>
          <w:sz w:val="24"/>
          <w:szCs w:val="24"/>
          <w:lang w:val="en-US"/>
        </w:rPr>
        <w:t>Masat ligjore të propozuara</w:t>
      </w:r>
      <w:r w:rsidR="006B3BEE">
        <w:rPr>
          <w:bCs w:val="0"/>
          <w:color w:val="4F81BD" w:themeColor="accent1"/>
          <w:sz w:val="24"/>
          <w:szCs w:val="24"/>
          <w:lang w:val="en-US"/>
        </w:rPr>
        <w:t xml:space="preserve"> (</w:t>
      </w:r>
      <w:r w:rsidR="006B3BEE" w:rsidRPr="006B3BEE">
        <w:rPr>
          <w:bCs w:val="0"/>
          <w:color w:val="4F81BD" w:themeColor="accent1"/>
          <w:sz w:val="24"/>
          <w:szCs w:val="24"/>
          <w:lang w:val="en-US"/>
        </w:rPr>
        <w:t>Opsioni nr. 2</w:t>
      </w:r>
      <w:r w:rsidR="006B3BEE">
        <w:rPr>
          <w:bCs w:val="0"/>
          <w:color w:val="4F81BD" w:themeColor="accent1"/>
          <w:sz w:val="24"/>
          <w:szCs w:val="24"/>
          <w:lang w:val="en-US"/>
        </w:rPr>
        <w:t xml:space="preserve">) </w:t>
      </w:r>
      <w:r w:rsidRPr="006B3BEE">
        <w:rPr>
          <w:bCs w:val="0"/>
          <w:color w:val="4F81BD" w:themeColor="accent1"/>
          <w:sz w:val="24"/>
          <w:szCs w:val="24"/>
          <w:lang w:val="en-US"/>
        </w:rPr>
        <w:t xml:space="preserve"> prodhojnë një kosto të identifikueshme dhe të matshme, por njëkohësisht prodhojnë edhe një fluks përfitimesh që në të tre skenarët e krahasimit rezulton më i lartë se versioni qendror i kostove. Në testin e stresit pesimist, raporti përfitim–kosto mbetet mbetet 1,09. Në rastin bazë ai  është  1,14, ndërsa në rastin  optimist  arrin 1,18. Kjo do të thotë se, edhe në një lexim të kujdesshëm dhe konservator, paketa e ndryshimeve ligjore sjell dhe ruan një bilanc pozitiv ekonomik dhe social.</w:t>
      </w:r>
    </w:p>
    <w:p w14:paraId="327C9E08" w14:textId="7D75395B" w:rsidR="00B551B5" w:rsidRPr="006B3BEE" w:rsidRDefault="00B551B5" w:rsidP="00B551B5">
      <w:pPr>
        <w:pStyle w:val="BodyText"/>
        <w:tabs>
          <w:tab w:val="left" w:pos="1165"/>
          <w:tab w:val="left" w:pos="10080"/>
        </w:tabs>
        <w:spacing w:line="276" w:lineRule="auto"/>
        <w:ind w:right="26"/>
        <w:jc w:val="both"/>
        <w:rPr>
          <w:bCs w:val="0"/>
          <w:color w:val="4F81BD" w:themeColor="accent1"/>
          <w:sz w:val="24"/>
          <w:szCs w:val="24"/>
          <w:lang w:val="en-US"/>
        </w:rPr>
      </w:pPr>
      <w:r w:rsidRPr="006B3BEE">
        <w:rPr>
          <w:bCs w:val="0"/>
          <w:color w:val="4F81BD" w:themeColor="accent1"/>
          <w:sz w:val="24"/>
          <w:szCs w:val="24"/>
          <w:lang w:val="en-US"/>
        </w:rPr>
        <w:t>M</w:t>
      </w:r>
      <w:r w:rsidR="006B3BEE" w:rsidRPr="006B3BEE">
        <w:rPr>
          <w:bCs w:val="0"/>
          <w:color w:val="4F81BD" w:themeColor="accent1"/>
          <w:sz w:val="24"/>
          <w:szCs w:val="24"/>
          <w:lang w:val="en-US"/>
        </w:rPr>
        <w:t xml:space="preserve">asat e propozuara kanë gjasa </w:t>
      </w:r>
      <w:r w:rsidRPr="006B3BEE">
        <w:rPr>
          <w:bCs w:val="0"/>
          <w:color w:val="4F81BD" w:themeColor="accent1"/>
          <w:sz w:val="24"/>
          <w:szCs w:val="24"/>
          <w:lang w:val="en-US"/>
        </w:rPr>
        <w:t>të gjeneroj</w:t>
      </w:r>
      <w:r w:rsidR="006B3BEE" w:rsidRPr="006B3BEE">
        <w:rPr>
          <w:bCs w:val="0"/>
          <w:color w:val="4F81BD" w:themeColor="accent1"/>
          <w:sz w:val="24"/>
          <w:szCs w:val="24"/>
          <w:lang w:val="en-US"/>
        </w:rPr>
        <w:t xml:space="preserve">ne </w:t>
      </w:r>
      <w:r w:rsidRPr="006B3BEE">
        <w:rPr>
          <w:bCs w:val="0"/>
          <w:color w:val="4F81BD" w:themeColor="accent1"/>
          <w:sz w:val="24"/>
          <w:szCs w:val="24"/>
          <w:lang w:val="en-US"/>
        </w:rPr>
        <w:t xml:space="preserve"> vlerë publike më të lartë se kostoja e saj. Kjo vlerë publike përfshin jo vetëm kursime monetare të drejtpërdrejta, por edhe lehtësim të barrës së përdoruesit, shmangie të përshkallëzimit</w:t>
      </w:r>
      <w:r w:rsidR="006B3BEE" w:rsidRPr="006B3BEE">
        <w:rPr>
          <w:bCs w:val="0"/>
          <w:color w:val="4F81BD" w:themeColor="accent1"/>
          <w:sz w:val="24"/>
          <w:szCs w:val="24"/>
          <w:lang w:val="en-US"/>
        </w:rPr>
        <w:t xml:space="preserve"> ligjor të kushtueshëm</w:t>
      </w:r>
      <w:r w:rsidRPr="006B3BEE">
        <w:rPr>
          <w:bCs w:val="0"/>
          <w:color w:val="4F81BD" w:themeColor="accent1"/>
          <w:sz w:val="24"/>
          <w:szCs w:val="24"/>
          <w:lang w:val="en-US"/>
        </w:rPr>
        <w:t xml:space="preserve">, rritje të efikasitetit procedural dhe përmirësime më të gjera sociale që në pjesën më të madhe janë lënë jashtë monetizimit të plotë në model (për shkak të të dhënave të pamjaftueshme) . Për këtë arsye, rezultati </w:t>
      </w:r>
      <w:r w:rsidR="006B3BEE" w:rsidRPr="006B3BEE">
        <w:rPr>
          <w:bCs w:val="0"/>
          <w:color w:val="4F81BD" w:themeColor="accent1"/>
          <w:sz w:val="24"/>
          <w:szCs w:val="24"/>
          <w:lang w:val="en-US"/>
        </w:rPr>
        <w:t xml:space="preserve">i krahasm perfitimeve </w:t>
      </w:r>
      <w:r w:rsidRPr="006B3BEE">
        <w:rPr>
          <w:bCs w:val="0"/>
          <w:color w:val="4F81BD" w:themeColor="accent1"/>
          <w:sz w:val="24"/>
          <w:szCs w:val="24"/>
          <w:lang w:val="en-US"/>
        </w:rPr>
        <w:t>duhet të interpretohet si një vlerësim minimal i përfitimit potencial të reformës</w:t>
      </w:r>
      <w:r w:rsidR="006B3BEE" w:rsidRPr="006B3BEE">
        <w:rPr>
          <w:bCs w:val="0"/>
          <w:color w:val="4F81BD" w:themeColor="accent1"/>
          <w:sz w:val="24"/>
          <w:szCs w:val="24"/>
          <w:lang w:val="en-US"/>
        </w:rPr>
        <w:t xml:space="preserve"> që priten të jenë mëdha nëse aplikohen</w:t>
      </w:r>
      <w:r w:rsidRPr="006B3BEE">
        <w:rPr>
          <w:bCs w:val="0"/>
          <w:color w:val="4F81BD" w:themeColor="accent1"/>
          <w:sz w:val="24"/>
          <w:szCs w:val="24"/>
          <w:lang w:val="en-US"/>
        </w:rPr>
        <w:t>.</w:t>
      </w:r>
    </w:p>
    <w:p w14:paraId="65F0428D" w14:textId="12CC843A" w:rsidR="00B551B5" w:rsidRPr="006B3BEE" w:rsidRDefault="00B551B5" w:rsidP="00B551B5">
      <w:pPr>
        <w:pStyle w:val="BodyText"/>
        <w:tabs>
          <w:tab w:val="left" w:pos="1165"/>
          <w:tab w:val="left" w:pos="10080"/>
        </w:tabs>
        <w:spacing w:after="0" w:line="276" w:lineRule="auto"/>
        <w:ind w:right="26"/>
        <w:jc w:val="both"/>
        <w:rPr>
          <w:bCs w:val="0"/>
          <w:color w:val="4F81BD" w:themeColor="accent1"/>
          <w:sz w:val="24"/>
          <w:szCs w:val="24"/>
          <w:lang w:val="en-US"/>
        </w:rPr>
      </w:pPr>
      <w:r w:rsidRPr="006B3BEE">
        <w:rPr>
          <w:bCs w:val="0"/>
          <w:color w:val="4F81BD" w:themeColor="accent1"/>
          <w:sz w:val="24"/>
          <w:szCs w:val="24"/>
          <w:lang w:val="en-US"/>
        </w:rPr>
        <w:t>Në terma praktikë, dokumenti mbështet përfundimin se paketa</w:t>
      </w:r>
      <w:r w:rsidR="006B3BEE" w:rsidRPr="006B3BEE">
        <w:rPr>
          <w:bCs w:val="0"/>
          <w:color w:val="4F81BD" w:themeColor="accent1"/>
          <w:sz w:val="24"/>
          <w:szCs w:val="24"/>
          <w:lang w:val="en-US"/>
        </w:rPr>
        <w:t xml:space="preserve"> e ndryshimeve të propozuara </w:t>
      </w:r>
      <w:r w:rsidR="006B3BEE">
        <w:rPr>
          <w:bCs w:val="0"/>
          <w:color w:val="4F81BD" w:themeColor="accent1"/>
          <w:sz w:val="24"/>
          <w:szCs w:val="24"/>
          <w:lang w:val="en-US"/>
        </w:rPr>
        <w:t>(</w:t>
      </w:r>
      <w:r w:rsidR="006B3BEE" w:rsidRPr="006B3BEE">
        <w:rPr>
          <w:bCs w:val="0"/>
          <w:color w:val="4F81BD" w:themeColor="accent1"/>
          <w:sz w:val="24"/>
          <w:szCs w:val="24"/>
          <w:lang w:val="en-US"/>
        </w:rPr>
        <w:t>Opsioni nr. 2</w:t>
      </w:r>
      <w:r w:rsidR="006B3BEE">
        <w:rPr>
          <w:bCs w:val="0"/>
          <w:color w:val="4F81BD" w:themeColor="accent1"/>
          <w:sz w:val="24"/>
          <w:szCs w:val="24"/>
          <w:lang w:val="en-US"/>
        </w:rPr>
        <w:t xml:space="preserve">) </w:t>
      </w:r>
      <w:r w:rsidRPr="006B3BEE">
        <w:rPr>
          <w:bCs w:val="0"/>
          <w:color w:val="4F81BD" w:themeColor="accent1"/>
          <w:sz w:val="24"/>
          <w:szCs w:val="24"/>
          <w:lang w:val="en-US"/>
        </w:rPr>
        <w:t xml:space="preserve">mund të justifikohet jo vetëm mbi baza normative dhe sociale, por edhe mbi baza të arsyeshme ekonomike. </w:t>
      </w:r>
    </w:p>
    <w:p w14:paraId="6FE167F6" w14:textId="0CFA3BBF" w:rsidR="002125B7" w:rsidRPr="00325A1F" w:rsidRDefault="002125B7" w:rsidP="009D13F4">
      <w:pPr>
        <w:pStyle w:val="Heading1"/>
        <w:spacing w:line="276" w:lineRule="auto"/>
        <w:rPr>
          <w:rFonts w:ascii="Times New Roman" w:hAnsi="Times New Roman" w:cs="Times New Roman"/>
          <w:sz w:val="24"/>
          <w:szCs w:val="24"/>
        </w:rPr>
      </w:pPr>
      <w:r w:rsidRPr="00325A1F">
        <w:rPr>
          <w:rFonts w:ascii="Times New Roman" w:hAnsi="Times New Roman" w:cs="Times New Roman"/>
          <w:sz w:val="24"/>
          <w:szCs w:val="24"/>
        </w:rPr>
        <w:t>Çështje të zbatimit</w:t>
      </w:r>
      <w:bookmarkEnd w:id="18"/>
    </w:p>
    <w:sdt>
      <w:sdtPr>
        <w:rPr>
          <w:rFonts w:cs="Times New Roman"/>
          <w:i/>
          <w:sz w:val="24"/>
          <w:szCs w:val="24"/>
        </w:rPr>
        <w:id w:val="686721506"/>
        <w:lock w:val="contentLocked"/>
        <w:placeholder>
          <w:docPart w:val="DefaultPlaceholder_1081868574"/>
        </w:placeholder>
      </w:sdtPr>
      <w:sdtEndPr>
        <w:rPr>
          <w:i w:val="0"/>
        </w:rPr>
      </w:sdtEndPr>
      <w:sdtContent>
        <w:p w14:paraId="60CA5B27" w14:textId="77777777" w:rsidR="0097570D" w:rsidRPr="0032145B" w:rsidRDefault="0097570D">
          <w:pPr>
            <w:pStyle w:val="Style1-BodyText"/>
            <w:numPr>
              <w:ilvl w:val="0"/>
              <w:numId w:val="17"/>
            </w:numPr>
            <w:spacing w:after="0" w:line="276" w:lineRule="auto"/>
            <w:rPr>
              <w:rFonts w:cs="Times New Roman"/>
              <w:i/>
              <w:sz w:val="24"/>
              <w:szCs w:val="24"/>
            </w:rPr>
          </w:pPr>
          <w:r w:rsidRPr="0032145B">
            <w:rPr>
              <w:rFonts w:cs="Times New Roman"/>
              <w:i/>
              <w:sz w:val="24"/>
              <w:szCs w:val="24"/>
            </w:rPr>
            <w:t>Shpjegoni se cila strukturë do të jetë përgjegjëse për zbatimin e opsionit të zgjedhur.</w:t>
          </w:r>
        </w:p>
        <w:p w14:paraId="4E17D0BE" w14:textId="77777777" w:rsidR="0097570D" w:rsidRPr="0032145B" w:rsidRDefault="0097570D">
          <w:pPr>
            <w:pStyle w:val="Style1-BodyText"/>
            <w:numPr>
              <w:ilvl w:val="0"/>
              <w:numId w:val="17"/>
            </w:numPr>
            <w:spacing w:after="0" w:line="276" w:lineRule="auto"/>
            <w:rPr>
              <w:rFonts w:cs="Times New Roman"/>
              <w:i/>
              <w:sz w:val="24"/>
              <w:szCs w:val="24"/>
            </w:rPr>
          </w:pPr>
          <w:r w:rsidRPr="0032145B">
            <w:rPr>
              <w:rFonts w:cs="Times New Roman"/>
              <w:i/>
              <w:sz w:val="24"/>
              <w:szCs w:val="24"/>
            </w:rPr>
            <w:lastRenderedPageBreak/>
            <w:t>Shpjegoni pengesat e mundshme për zbatimin e opsionit të zgjedhur.</w:t>
          </w:r>
        </w:p>
        <w:p w14:paraId="71CF11AC" w14:textId="1D405EA9" w:rsidR="0097570D" w:rsidRPr="00325A1F" w:rsidRDefault="0097570D">
          <w:pPr>
            <w:pStyle w:val="Style1-BodyText"/>
            <w:numPr>
              <w:ilvl w:val="0"/>
              <w:numId w:val="17"/>
            </w:numPr>
            <w:spacing w:after="0" w:line="276" w:lineRule="auto"/>
            <w:rPr>
              <w:rFonts w:cs="Times New Roman"/>
              <w:sz w:val="24"/>
              <w:szCs w:val="24"/>
            </w:rPr>
          </w:pPr>
          <w:r w:rsidRPr="0032145B">
            <w:rPr>
              <w:rFonts w:cs="Times New Roman"/>
              <w:i/>
              <w:sz w:val="24"/>
              <w:szCs w:val="24"/>
            </w:rPr>
            <w:t>Përshkruani masat që do të ndërmerren gjatë zbatimit për të arritur qëllimet e politikës.</w:t>
          </w:r>
        </w:p>
      </w:sdtContent>
    </w:sdt>
    <w:p w14:paraId="58679350" w14:textId="77777777" w:rsidR="00A16DAC" w:rsidRDefault="00A16DAC" w:rsidP="00A16DAC">
      <w:pPr>
        <w:tabs>
          <w:tab w:val="left" w:pos="720"/>
        </w:tabs>
        <w:spacing w:line="276" w:lineRule="auto"/>
        <w:jc w:val="both"/>
        <w:rPr>
          <w:b/>
          <w:color w:val="000000"/>
          <w:szCs w:val="24"/>
        </w:rPr>
      </w:pPr>
      <w:bookmarkStart w:id="22" w:name="_Toc465267003"/>
    </w:p>
    <w:p w14:paraId="469F8A4B" w14:textId="5E562389" w:rsidR="00FB5AAA" w:rsidRPr="00FB5AAA" w:rsidRDefault="00A16DAC" w:rsidP="00FB5AAA">
      <w:pPr>
        <w:tabs>
          <w:tab w:val="left" w:pos="720"/>
        </w:tabs>
        <w:spacing w:line="276" w:lineRule="auto"/>
        <w:jc w:val="both"/>
        <w:rPr>
          <w:b/>
          <w:color w:val="000000"/>
          <w:szCs w:val="24"/>
        </w:rPr>
      </w:pPr>
      <w:r w:rsidRPr="00B82486">
        <w:rPr>
          <w:b/>
          <w:color w:val="000000"/>
          <w:szCs w:val="24"/>
        </w:rPr>
        <w:t xml:space="preserve">Institucionet përgjegjëse për </w:t>
      </w:r>
      <w:r w:rsidR="00AE7890">
        <w:rPr>
          <w:b/>
          <w:color w:val="000000"/>
          <w:szCs w:val="24"/>
        </w:rPr>
        <w:t>zbatimin</w:t>
      </w:r>
      <w:r w:rsidRPr="00B82486">
        <w:rPr>
          <w:b/>
          <w:color w:val="000000"/>
          <w:szCs w:val="24"/>
        </w:rPr>
        <w:t xml:space="preserve"> e opsionit të preferuar janë: </w:t>
      </w:r>
    </w:p>
    <w:p w14:paraId="753972FD" w14:textId="1C6296C2" w:rsidR="00B9161A" w:rsidRPr="00B9161A" w:rsidRDefault="00B9161A" w:rsidP="00A341D1">
      <w:pPr>
        <w:pStyle w:val="font-claude-response-body"/>
        <w:numPr>
          <w:ilvl w:val="0"/>
          <w:numId w:val="33"/>
        </w:numPr>
        <w:spacing w:before="0" w:beforeAutospacing="0"/>
        <w:ind w:left="360"/>
        <w:jc w:val="both"/>
      </w:pPr>
      <w:r>
        <w:t xml:space="preserve">Ministria e Drejtësisë mban përgjegjësinë kryesore për zbatimin e projektligjit, duke koordinuar të gjithë aktorët institucionalë të përfshirë dhe duke miratuar aktet nënligjore të nevojshme brenda tre muajve nga hyrja në fuqi e ligjit. </w:t>
      </w:r>
    </w:p>
    <w:p w14:paraId="37FD58AF" w14:textId="77777777" w:rsidR="00B9161A" w:rsidRDefault="00B9161A" w:rsidP="00A341D1">
      <w:pPr>
        <w:pStyle w:val="font-claude-response-body"/>
        <w:numPr>
          <w:ilvl w:val="0"/>
          <w:numId w:val="33"/>
        </w:numPr>
        <w:ind w:left="360"/>
        <w:jc w:val="both"/>
      </w:pPr>
      <w:r>
        <w:t>Drejtoria e Ndihmës Juridike Falas përbën strukturën operative kryesore të zbatimit, duke administruar sistemin e ndihmës juridike të garantuar nga shteti, monitoruar zbatimin e dispozitave të reja, informuar dhe ndërgjegjësuar publikun dhe subjektet përfituese, si dhe ushtruar kompetencat e zgjeruara të ankimit ndaj vendimeve të pabazuara të pranimit të kërkesave.</w:t>
      </w:r>
    </w:p>
    <w:p w14:paraId="0D400652" w14:textId="77777777" w:rsidR="00B9161A" w:rsidRDefault="00B9161A" w:rsidP="00A341D1">
      <w:pPr>
        <w:pStyle w:val="font-claude-response-body"/>
        <w:numPr>
          <w:ilvl w:val="0"/>
          <w:numId w:val="33"/>
        </w:numPr>
        <w:ind w:left="360"/>
        <w:jc w:val="both"/>
      </w:pPr>
      <w:r>
        <w:t>Dhoma Kombëtare e Avokatisë, në bashkëpunim me DNJF-në, mban përgjegjësinë për organizimin e programeve të trajnimit të vazhdueshëm dhe specializimit të avokatëve që ofrojnë ndihmë juridike dytësore, miratimin e akteve trajnuese me udhëzim të përbashkët me Ministrin e Drejtësisë dhe administrimin e listave të specializuara të avokatëve për kategori të veçanta çështjesh.</w:t>
      </w:r>
    </w:p>
    <w:p w14:paraId="6C3F3BF9" w14:textId="0D3E50C5" w:rsidR="00B9161A" w:rsidRDefault="00B9161A" w:rsidP="00A341D1">
      <w:pPr>
        <w:pStyle w:val="font-claude-response-body"/>
        <w:numPr>
          <w:ilvl w:val="0"/>
          <w:numId w:val="33"/>
        </w:numPr>
        <w:ind w:left="360"/>
        <w:jc w:val="both"/>
      </w:pPr>
      <w:r>
        <w:t>Gjykatat dhe organet proceduese mbajnë përgjegjësinë për shqyrtimin e kërkesave për ndihmë juridike dytësore, zbatimin e procedurës së përshpejtuar për rastet emergjente dhe caktimin e menjëhershëm të avokatit në rastet e parashikuara nga nenet 20, 22/1 të projektligjit.</w:t>
      </w:r>
    </w:p>
    <w:p w14:paraId="50ECA489" w14:textId="77777777" w:rsidR="00B9161A" w:rsidRDefault="00B9161A" w:rsidP="00A341D1">
      <w:pPr>
        <w:pStyle w:val="font-claude-response-body"/>
        <w:numPr>
          <w:ilvl w:val="0"/>
          <w:numId w:val="33"/>
        </w:numPr>
        <w:ind w:left="360"/>
        <w:jc w:val="both"/>
      </w:pPr>
      <w:r>
        <w:t>Këshilli i Lartë Gjyqësor mban përgjegjësinë për miratimin e formatit standard të vendimit për caktimin e avokatit në rastet e procedurës së përshpejtuar, brenda tre muajve nga hyrja në fuqi e ligjit.</w:t>
      </w:r>
    </w:p>
    <w:p w14:paraId="2170F6F6" w14:textId="77777777" w:rsidR="00B9161A" w:rsidRDefault="00B9161A" w:rsidP="00A341D1">
      <w:pPr>
        <w:pStyle w:val="font-claude-response-body"/>
        <w:numPr>
          <w:ilvl w:val="0"/>
          <w:numId w:val="33"/>
        </w:numPr>
        <w:ind w:left="360"/>
        <w:jc w:val="both"/>
      </w:pPr>
      <w:r>
        <w:t>Njësitë e vetëqeverisjes vendore kontribuojnë në funksionimin e sistemit nëpërmjet informimit të publikut, vënies në dispozicion të dokumentacionit brenda fushës së tyre të përgjegjësisë dhe bashkërendimit me shërbimet sociale dhe institucionet përgjegjëse për ndihmën juridike.</w:t>
      </w:r>
    </w:p>
    <w:p w14:paraId="05BEF105" w14:textId="77777777" w:rsidR="00B9161A" w:rsidRDefault="00B9161A" w:rsidP="00A341D1">
      <w:pPr>
        <w:pStyle w:val="font-claude-response-body"/>
        <w:numPr>
          <w:ilvl w:val="0"/>
          <w:numId w:val="33"/>
        </w:numPr>
        <w:ind w:left="360"/>
        <w:jc w:val="both"/>
      </w:pPr>
      <w:r>
        <w:t>Agjencia Shtetërore e Kadastrës dhe dhomat vendore të noterisë mbajnë përgjegjësinë për vënien në dispozicion të akteve kadastrale dhe noteriale të nevojshme pa pagesë për përfituesit e ndihmës juridike dytësore, në bazë të urdhrit të gjykatës.</w:t>
      </w:r>
    </w:p>
    <w:p w14:paraId="328CEF60" w14:textId="2C5F1361" w:rsidR="00B9161A" w:rsidRPr="00B9161A" w:rsidRDefault="00B9161A" w:rsidP="00B9161A">
      <w:pPr>
        <w:pStyle w:val="font-claude-response-body"/>
        <w:jc w:val="both"/>
      </w:pPr>
      <w:r w:rsidRPr="00B9161A">
        <w:rPr>
          <w:b/>
          <w:bCs/>
        </w:rPr>
        <w:t>Pengesat:</w:t>
      </w:r>
      <w:r>
        <w:t xml:space="preserve"> Zbatimi i Opsionit 2 mund të ndeshë një sërë pengesash praktike dhe institucionale që duhen parashikuar dhe adresuar paraprakisht.</w:t>
      </w:r>
    </w:p>
    <w:p w14:paraId="63C7F244" w14:textId="77777777" w:rsidR="00B9161A" w:rsidRDefault="00B9161A" w:rsidP="00B9161A">
      <w:pPr>
        <w:pStyle w:val="font-claude-response-body"/>
        <w:jc w:val="both"/>
      </w:pPr>
      <w:r>
        <w:t>Pengesa e parë dhe më e rëndësishme lidhet me rrezikun e vonesave në miratimin e akteve nënligjore brenda afatit tre-mujor të parashikuar nga neni 20 i projektligjit. Mungesa e formularëve të standardizuar, listave të dokumenteve justifikuese dhe procedurave standarde të pagesës do të pengonte zbatimin efektiv të dispozitave të reja edhe pas hyrjes zyrtare në fuqi të ligjit, duke krijuar një boshllëk procedural në periudhën e tranzicionit.</w:t>
      </w:r>
    </w:p>
    <w:p w14:paraId="08A603FB" w14:textId="77777777" w:rsidR="00B9161A" w:rsidRDefault="00B9161A" w:rsidP="00B9161A">
      <w:pPr>
        <w:pStyle w:val="font-claude-response-body"/>
        <w:jc w:val="both"/>
      </w:pPr>
      <w:r>
        <w:t>Pengesa e dytë lidhet me kapacitetin e kufizuar institucional të DNJF-së dhe gjykatave për të trajtuar ngarkesën e shtuar që vjen nga kategoritë e reja përfituese dhe procedurat e reja të përshpejtuara. Mungesa e burimeve njerëzore të specializuara, veçanërisht për trajtimin e rasteve emergjente, mund të pengojë zbatimin efektiv të procedurave të reja dhe të ulë cilësinë e shërbimit të ofruar.</w:t>
      </w:r>
    </w:p>
    <w:p w14:paraId="63F36F86" w14:textId="77777777" w:rsidR="00B9161A" w:rsidRDefault="00B9161A" w:rsidP="00B9161A">
      <w:pPr>
        <w:pStyle w:val="font-claude-response-body"/>
        <w:jc w:val="both"/>
      </w:pPr>
      <w:r>
        <w:t>Pengesa e tretë lidhet me rezistencën e mundshme institucionale të Agjencisë Shtetërore të Kadastrës dhe dhomave vendore të noterisë ndaj detyrimeve të reja të vënies në dispozicion të akteve pa pagesë. Në mungesë të një mekanizmi të qartë kompensimi ose financimi shtesë për këto institucione, ekziston rreziku i zbatimit jo të plotë ose të vonuar të këtij detyrimi.</w:t>
      </w:r>
    </w:p>
    <w:p w14:paraId="0D0A627E" w14:textId="60ED98BB" w:rsidR="00B9161A" w:rsidRDefault="00B9161A" w:rsidP="00A341D1">
      <w:pPr>
        <w:pStyle w:val="font-claude-response-body"/>
        <w:jc w:val="both"/>
      </w:pPr>
      <w:r>
        <w:t>Pengesa e katërt lidhet me nivelin e ulët të ndërgjegjësimit të kategorive të reja përfituese për të drejtat e tyre të reja. Nëse grupet vulnerabël, veçanërisht komuniteti rom e egjiptian dhe viktimat e terrorizmit nuk informohen në mënyrë efektive dhe në kohë, ndikimi real i ndryshimeve do të mbetet i ulët pavarësisht bazës normative të krijuar.</w:t>
      </w:r>
    </w:p>
    <w:p w14:paraId="68537314" w14:textId="77777777" w:rsidR="00B9161A" w:rsidRDefault="005E5713" w:rsidP="00B9161A">
      <w:pPr>
        <w:pStyle w:val="Style1-BodyText"/>
        <w:spacing w:after="0" w:line="276" w:lineRule="auto"/>
        <w:rPr>
          <w:rFonts w:cs="Times New Roman"/>
          <w:sz w:val="24"/>
          <w:szCs w:val="24"/>
        </w:rPr>
      </w:pPr>
      <w:r w:rsidRPr="005E5713">
        <w:rPr>
          <w:rFonts w:cs="Times New Roman"/>
          <w:sz w:val="24"/>
          <w:szCs w:val="24"/>
        </w:rPr>
        <w:t>Masat që d</w:t>
      </w:r>
      <w:r>
        <w:rPr>
          <w:rFonts w:cs="Times New Roman"/>
          <w:sz w:val="24"/>
          <w:szCs w:val="24"/>
        </w:rPr>
        <w:t>o të ndërmerren gjatë zbatimit p</w:t>
      </w:r>
      <w:r w:rsidRPr="005E5713">
        <w:rPr>
          <w:rFonts w:cs="Times New Roman"/>
          <w:sz w:val="24"/>
          <w:szCs w:val="24"/>
        </w:rPr>
        <w:t>ë</w:t>
      </w:r>
      <w:r>
        <w:rPr>
          <w:rFonts w:cs="Times New Roman"/>
          <w:sz w:val="24"/>
          <w:szCs w:val="24"/>
        </w:rPr>
        <w:t>r arritjen qëllimeve të politikës janë:</w:t>
      </w:r>
      <w:r w:rsidRPr="005E5713">
        <w:rPr>
          <w:rFonts w:cs="Times New Roman"/>
          <w:sz w:val="24"/>
          <w:szCs w:val="24"/>
        </w:rPr>
        <w:t xml:space="preserve"> </w:t>
      </w:r>
    </w:p>
    <w:p w14:paraId="6ADC38E2" w14:textId="7E5C062E" w:rsidR="00B9161A" w:rsidRPr="00B9161A" w:rsidRDefault="005E5713" w:rsidP="00A341D1">
      <w:pPr>
        <w:pStyle w:val="Style1-BodyText"/>
        <w:numPr>
          <w:ilvl w:val="0"/>
          <w:numId w:val="34"/>
        </w:numPr>
        <w:spacing w:after="0" w:line="276" w:lineRule="auto"/>
        <w:ind w:left="360"/>
        <w:rPr>
          <w:rFonts w:cs="Times New Roman"/>
          <w:sz w:val="24"/>
          <w:szCs w:val="24"/>
        </w:rPr>
      </w:pPr>
      <w:r w:rsidRPr="00B9161A">
        <w:rPr>
          <w:rFonts w:cs="Times New Roman"/>
          <w:sz w:val="24"/>
          <w:szCs w:val="24"/>
        </w:rPr>
        <w:lastRenderedPageBreak/>
        <w:t xml:space="preserve">hartimi i dispozitave për ndryshimin e ligjit për </w:t>
      </w:r>
      <w:r w:rsidR="00FB5AAA" w:rsidRPr="00B9161A">
        <w:rPr>
          <w:rFonts w:cs="Times New Roman"/>
          <w:sz w:val="24"/>
          <w:szCs w:val="24"/>
        </w:rPr>
        <w:t>ndihmën juridike të garantuar nga shteti</w:t>
      </w:r>
      <w:r w:rsidR="00B9161A" w:rsidRPr="00B9161A">
        <w:rPr>
          <w:rFonts w:cs="Times New Roman"/>
          <w:sz w:val="24"/>
          <w:szCs w:val="24"/>
        </w:rPr>
        <w:t xml:space="preserve"> dhe miratimi i projekt-ligjit;</w:t>
      </w:r>
    </w:p>
    <w:p w14:paraId="417AD7A9" w14:textId="77777777" w:rsidR="00B9161A" w:rsidRPr="00B9161A" w:rsidRDefault="00B9161A" w:rsidP="00A341D1">
      <w:pPr>
        <w:pStyle w:val="Style1-BodyText"/>
        <w:numPr>
          <w:ilvl w:val="0"/>
          <w:numId w:val="34"/>
        </w:numPr>
        <w:spacing w:after="0" w:line="276" w:lineRule="auto"/>
        <w:ind w:left="360"/>
        <w:rPr>
          <w:rFonts w:cs="Times New Roman"/>
          <w:sz w:val="24"/>
          <w:szCs w:val="24"/>
        </w:rPr>
      </w:pPr>
      <w:r w:rsidRPr="00B9161A">
        <w:rPr>
          <w:rFonts w:cs="Times New Roman"/>
          <w:sz w:val="24"/>
          <w:szCs w:val="24"/>
        </w:rPr>
        <w:t>miratimi i akteve nënligjore brenda afatit tre-mujor të parashikuar nga neni 20 i projektligjit;</w:t>
      </w:r>
    </w:p>
    <w:p w14:paraId="7C282054" w14:textId="7BECAB76" w:rsidR="00B9161A" w:rsidRPr="00B9161A" w:rsidRDefault="00B9161A" w:rsidP="00A341D1">
      <w:pPr>
        <w:pStyle w:val="Style1-BodyText"/>
        <w:numPr>
          <w:ilvl w:val="0"/>
          <w:numId w:val="34"/>
        </w:numPr>
        <w:spacing w:after="0" w:line="276" w:lineRule="auto"/>
        <w:ind w:left="360"/>
        <w:rPr>
          <w:rFonts w:cs="Times New Roman"/>
          <w:sz w:val="24"/>
          <w:szCs w:val="24"/>
        </w:rPr>
      </w:pPr>
      <w:r w:rsidRPr="00B9161A">
        <w:rPr>
          <w:sz w:val="24"/>
          <w:szCs w:val="24"/>
        </w:rPr>
        <w:t>organizimin e fushatave të informimit dhe ndërgjegjësimit të drejtuar specifikisht tek kategoritë e reja përfituese, nëpërmjet kanaleve institucionale, mediave dhe rrjeteve të organizatave të shoqërisë civile që punojnë me grupet vulnerabël;</w:t>
      </w:r>
    </w:p>
    <w:p w14:paraId="7ED1B897" w14:textId="77777777" w:rsidR="00B9161A" w:rsidRDefault="00B9161A" w:rsidP="00B9161A">
      <w:pPr>
        <w:pStyle w:val="Style1-BodyText"/>
        <w:spacing w:after="0" w:line="276" w:lineRule="auto"/>
      </w:pPr>
    </w:p>
    <w:p w14:paraId="2A98D13E" w14:textId="19D864A7" w:rsidR="009E64A4" w:rsidRPr="0032145B" w:rsidRDefault="009E64A4" w:rsidP="00A341D1">
      <w:pPr>
        <w:pStyle w:val="Style1-BodyText"/>
        <w:numPr>
          <w:ilvl w:val="0"/>
          <w:numId w:val="41"/>
        </w:numPr>
        <w:spacing w:after="0" w:line="276" w:lineRule="auto"/>
        <w:rPr>
          <w:rFonts w:cs="Times New Roman"/>
          <w:i/>
          <w:sz w:val="24"/>
          <w:szCs w:val="24"/>
        </w:rPr>
      </w:pPr>
      <w:r w:rsidRPr="0032145B">
        <w:rPr>
          <w:rFonts w:cs="Times New Roman"/>
          <w:i/>
          <w:sz w:val="24"/>
          <w:szCs w:val="24"/>
        </w:rPr>
        <w:t>Jepni një përshkrim të përmbledhur të masave të monitorimit dhe të vlerësimit.</w:t>
      </w:r>
    </w:p>
    <w:p w14:paraId="18B04976" w14:textId="349A2DB6" w:rsidR="00960DB2" w:rsidRPr="00960DB2" w:rsidRDefault="009E64A4" w:rsidP="00A341D1">
      <w:pPr>
        <w:pStyle w:val="Style1-BodyText"/>
        <w:numPr>
          <w:ilvl w:val="0"/>
          <w:numId w:val="41"/>
        </w:numPr>
        <w:spacing w:after="0" w:line="276" w:lineRule="auto"/>
        <w:rPr>
          <w:rFonts w:cs="Times New Roman"/>
          <w:i/>
          <w:sz w:val="24"/>
          <w:szCs w:val="24"/>
        </w:rPr>
      </w:pPr>
      <w:r w:rsidRPr="0032145B">
        <w:rPr>
          <w:rFonts w:cs="Times New Roman"/>
          <w:i/>
          <w:sz w:val="24"/>
          <w:szCs w:val="24"/>
        </w:rPr>
        <w:t>Identifikoni kriteret/treguesit për të matur arritjen e objektivave ose progresin drejt tyre.</w:t>
      </w:r>
      <w:bookmarkEnd w:id="22"/>
    </w:p>
    <w:p w14:paraId="4D96EA03" w14:textId="2AAD4333" w:rsidR="007659FE" w:rsidRDefault="007659FE" w:rsidP="0014006B">
      <w:pPr>
        <w:spacing w:before="120" w:line="276" w:lineRule="auto"/>
        <w:jc w:val="both"/>
        <w:rPr>
          <w:szCs w:val="24"/>
        </w:rPr>
      </w:pPr>
      <w:r w:rsidRPr="007659FE">
        <w:rPr>
          <w:szCs w:val="24"/>
        </w:rPr>
        <w:t>Monitorimi dhe vlerësimi i zbatimit të projektligjit do të kryhen nga Ministria e Drejtësisë dhe Drejtoria e Ndihmës Juridike Falas. Procesi përfshin mbledhjen periodike vjetore të statistikave mbi ofrimin e ndihmës juridike dhe ekzekutimin e vendimeve gjyqësore, vlerësimin e zbatimit të të drejtave të përfituesve, si dhe rishikimin e përputhshmërisë së legjislacionit kombëtar me standardet dhe direktivat e BE-së. Analiza e këtyre të dhënave do të shërbejë për të identifikuar sfidat e zbatimit dhe për të përmirësuar efektivitetin e masave të reja ligjore.</w:t>
      </w:r>
    </w:p>
    <w:p w14:paraId="53761948" w14:textId="705D1184" w:rsidR="00E21174" w:rsidRPr="00B9161A" w:rsidRDefault="0014006B" w:rsidP="00991B64">
      <w:pPr>
        <w:spacing w:before="120" w:line="276" w:lineRule="auto"/>
        <w:jc w:val="both"/>
        <w:rPr>
          <w:b/>
          <w:bCs/>
          <w:szCs w:val="24"/>
        </w:rPr>
      </w:pPr>
      <w:r w:rsidRPr="00B9161A">
        <w:rPr>
          <w:b/>
          <w:bCs/>
          <w:szCs w:val="24"/>
        </w:rPr>
        <w:t>Treguesit për arritjen e objektivave ose progresin drejt tyre janë:</w:t>
      </w:r>
    </w:p>
    <w:p w14:paraId="6E4CC09D" w14:textId="11DF647C" w:rsidR="00B9161A" w:rsidRPr="00B9161A" w:rsidRDefault="00B9161A" w:rsidP="00B9161A">
      <w:pPr>
        <w:spacing w:before="120" w:line="276" w:lineRule="auto"/>
        <w:jc w:val="both"/>
        <w:rPr>
          <w:rFonts w:eastAsiaTheme="majorEastAsia"/>
          <w:bCs/>
          <w:szCs w:val="24"/>
          <w:lang w:eastAsia="en-US"/>
        </w:rPr>
      </w:pPr>
      <w:r w:rsidRPr="00B9161A">
        <w:rPr>
          <w:rFonts w:eastAsiaTheme="majorEastAsia"/>
          <w:b/>
          <w:bCs/>
          <w:szCs w:val="24"/>
          <w:lang w:eastAsia="en-US"/>
        </w:rPr>
        <w:t>Objektivi 1: Zgjerimi i kategorive të veçanta përfituese</w:t>
      </w:r>
    </w:p>
    <w:p w14:paraId="64656390" w14:textId="6390C209" w:rsidR="00B9161A" w:rsidRPr="00960DB2" w:rsidRDefault="00B9161A" w:rsidP="00A341D1">
      <w:pPr>
        <w:numPr>
          <w:ilvl w:val="0"/>
          <w:numId w:val="35"/>
        </w:numPr>
        <w:spacing w:line="276" w:lineRule="auto"/>
        <w:ind w:left="360" w:hanging="371"/>
        <w:jc w:val="both"/>
        <w:rPr>
          <w:rFonts w:eastAsiaTheme="majorEastAsia"/>
          <w:bCs/>
          <w:szCs w:val="24"/>
          <w:lang w:eastAsia="en-US"/>
        </w:rPr>
      </w:pPr>
      <w:r w:rsidRPr="00960DB2">
        <w:rPr>
          <w:rFonts w:eastAsiaTheme="majorEastAsia"/>
          <w:bCs/>
          <w:szCs w:val="24"/>
          <w:lang w:eastAsia="en-US"/>
        </w:rPr>
        <w:t>Numri i kërkesave të pranuara nga kategoritë e reja përfituese çdo vit pas hyrjes në fuqi të ligjit</w:t>
      </w:r>
      <w:r w:rsidR="00937A89">
        <w:rPr>
          <w:rFonts w:eastAsiaTheme="majorEastAsia"/>
          <w:bCs/>
          <w:szCs w:val="24"/>
          <w:lang w:eastAsia="en-US"/>
        </w:rPr>
        <w:t>;</w:t>
      </w:r>
    </w:p>
    <w:p w14:paraId="20A989F2" w14:textId="5A0EBEE5" w:rsidR="00B9161A" w:rsidRPr="00007F7E" w:rsidRDefault="00B9161A" w:rsidP="00A341D1">
      <w:pPr>
        <w:numPr>
          <w:ilvl w:val="0"/>
          <w:numId w:val="35"/>
        </w:numPr>
        <w:spacing w:line="276" w:lineRule="auto"/>
        <w:ind w:left="360"/>
        <w:jc w:val="both"/>
        <w:rPr>
          <w:rFonts w:eastAsiaTheme="majorEastAsia"/>
          <w:bCs/>
          <w:szCs w:val="24"/>
          <w:lang w:eastAsia="en-US"/>
        </w:rPr>
      </w:pPr>
      <w:r w:rsidRPr="00007F7E">
        <w:rPr>
          <w:rFonts w:eastAsiaTheme="majorEastAsia"/>
          <w:bCs/>
          <w:szCs w:val="24"/>
          <w:lang w:eastAsia="en-US"/>
        </w:rPr>
        <w:t>Numri i personave nga komuniteti rom e egjiptian që kanë përfituar ndihmë juridike për çështje dokumentacioni dhe regjistrimi civil</w:t>
      </w:r>
      <w:r w:rsidR="00937A89" w:rsidRPr="00007F7E">
        <w:rPr>
          <w:rFonts w:eastAsiaTheme="majorEastAsia"/>
          <w:bCs/>
          <w:szCs w:val="24"/>
          <w:lang w:eastAsia="en-US"/>
        </w:rPr>
        <w:t> ;</w:t>
      </w:r>
    </w:p>
    <w:p w14:paraId="231DBB58" w14:textId="587C8E45" w:rsidR="00B9161A" w:rsidRPr="00007F7E" w:rsidRDefault="00B9161A" w:rsidP="00A341D1">
      <w:pPr>
        <w:numPr>
          <w:ilvl w:val="0"/>
          <w:numId w:val="35"/>
        </w:numPr>
        <w:spacing w:line="276" w:lineRule="auto"/>
        <w:ind w:left="360"/>
        <w:jc w:val="both"/>
        <w:rPr>
          <w:rFonts w:eastAsiaTheme="majorEastAsia"/>
          <w:bCs/>
          <w:szCs w:val="24"/>
          <w:lang w:eastAsia="en-US"/>
        </w:rPr>
      </w:pPr>
      <w:r w:rsidRPr="00007F7E">
        <w:rPr>
          <w:rFonts w:eastAsiaTheme="majorEastAsia"/>
          <w:bCs/>
          <w:szCs w:val="24"/>
          <w:lang w:eastAsia="en-US"/>
        </w:rPr>
        <w:t>Numri i viktimave të terrorizmit dhe sinjalizuesve të mbuluar nga sistemi i ndihmës juridike dytësore</w:t>
      </w:r>
      <w:r w:rsidR="00937A89" w:rsidRPr="00007F7E">
        <w:rPr>
          <w:rFonts w:eastAsiaTheme="majorEastAsia"/>
          <w:bCs/>
          <w:szCs w:val="24"/>
          <w:lang w:eastAsia="en-US"/>
        </w:rPr>
        <w:t> ;</w:t>
      </w:r>
    </w:p>
    <w:p w14:paraId="570580EB" w14:textId="482C0F1D" w:rsidR="00B9161A" w:rsidRPr="00007F7E" w:rsidRDefault="00B9161A" w:rsidP="00A341D1">
      <w:pPr>
        <w:numPr>
          <w:ilvl w:val="0"/>
          <w:numId w:val="35"/>
        </w:numPr>
        <w:spacing w:line="276" w:lineRule="auto"/>
        <w:ind w:left="360"/>
        <w:jc w:val="both"/>
        <w:rPr>
          <w:rFonts w:eastAsiaTheme="majorEastAsia"/>
          <w:bCs/>
          <w:szCs w:val="24"/>
          <w:lang w:eastAsia="en-US"/>
        </w:rPr>
      </w:pPr>
      <w:r w:rsidRPr="00007F7E">
        <w:rPr>
          <w:rFonts w:eastAsiaTheme="majorEastAsia"/>
          <w:bCs/>
          <w:szCs w:val="24"/>
          <w:lang w:eastAsia="en-US"/>
        </w:rPr>
        <w:t>Miratimi i formularëve të vetëdeklarimit dhe listave të dokumenteve justifikuese për kategoritë e reja brenda tre muajve nga hyrja në fuqi e ligjit</w:t>
      </w:r>
      <w:r w:rsidR="00937A89" w:rsidRPr="00007F7E">
        <w:rPr>
          <w:rFonts w:eastAsiaTheme="majorEastAsia"/>
          <w:bCs/>
          <w:szCs w:val="24"/>
          <w:lang w:eastAsia="en-US"/>
        </w:rPr>
        <w:t> ;</w:t>
      </w:r>
    </w:p>
    <w:p w14:paraId="7204BDD0" w14:textId="186CC1EE" w:rsidR="00991B64" w:rsidRPr="00960DB2" w:rsidRDefault="00B9161A" w:rsidP="00A341D1">
      <w:pPr>
        <w:numPr>
          <w:ilvl w:val="0"/>
          <w:numId w:val="35"/>
        </w:numPr>
        <w:spacing w:line="276" w:lineRule="auto"/>
        <w:ind w:left="360"/>
        <w:jc w:val="both"/>
        <w:rPr>
          <w:rFonts w:eastAsiaTheme="majorEastAsia"/>
          <w:bCs/>
          <w:szCs w:val="24"/>
          <w:lang w:val="en-US" w:eastAsia="en-US"/>
        </w:rPr>
      </w:pPr>
      <w:r w:rsidRPr="00B9161A">
        <w:rPr>
          <w:rFonts w:eastAsiaTheme="majorEastAsia"/>
          <w:bCs/>
          <w:szCs w:val="24"/>
          <w:lang w:val="en-US" w:eastAsia="en-US"/>
        </w:rPr>
        <w:t>Numri i fushatave informuese të organizuara për kategoritë e reja përfituese</w:t>
      </w:r>
      <w:r w:rsidR="00960DB2">
        <w:rPr>
          <w:rFonts w:eastAsiaTheme="majorEastAsia"/>
          <w:bCs/>
          <w:szCs w:val="24"/>
          <w:lang w:val="en-US" w:eastAsia="en-US"/>
        </w:rPr>
        <w:t>.</w:t>
      </w:r>
    </w:p>
    <w:p w14:paraId="0F0305E2" w14:textId="30252179" w:rsidR="00960DB2" w:rsidRPr="00960DB2" w:rsidRDefault="00960DB2" w:rsidP="00A341D1">
      <w:pPr>
        <w:pStyle w:val="font-claude-response-body"/>
        <w:spacing w:after="0" w:afterAutospacing="0"/>
        <w:jc w:val="both"/>
        <w:rPr>
          <w:lang w:val="en-US"/>
        </w:rPr>
      </w:pPr>
      <w:r>
        <w:rPr>
          <w:rStyle w:val="Strong"/>
        </w:rPr>
        <w:t>Objektivi 2: Thjeshtimi i procedurave administrative</w:t>
      </w:r>
      <w:r w:rsidR="0024644D">
        <w:rPr>
          <w:rStyle w:val="Strong"/>
        </w:rPr>
        <w:t xml:space="preserve"> për përfitimin e ndihmës juridike</w:t>
      </w:r>
    </w:p>
    <w:p w14:paraId="020569ED" w14:textId="5D4CB243" w:rsidR="00960DB2" w:rsidRDefault="00960DB2" w:rsidP="00A341D1">
      <w:pPr>
        <w:pStyle w:val="font-claude-response-body"/>
        <w:numPr>
          <w:ilvl w:val="0"/>
          <w:numId w:val="36"/>
        </w:numPr>
        <w:spacing w:before="0" w:beforeAutospacing="0"/>
        <w:ind w:left="360"/>
        <w:jc w:val="both"/>
      </w:pPr>
      <w:r>
        <w:t>Koha mesatare e shqyrtimit të kërkesave për ndihmë juridike parësore para dhe pas ndryshimit</w:t>
      </w:r>
      <w:r w:rsidR="00937A89">
        <w:t>;</w:t>
      </w:r>
    </w:p>
    <w:p w14:paraId="24BD4CC4" w14:textId="625F8F4D" w:rsidR="00960DB2" w:rsidRDefault="00960DB2" w:rsidP="00A341D1">
      <w:pPr>
        <w:pStyle w:val="font-claude-response-body"/>
        <w:numPr>
          <w:ilvl w:val="0"/>
          <w:numId w:val="36"/>
        </w:numPr>
        <w:ind w:left="360"/>
        <w:jc w:val="both"/>
      </w:pPr>
      <w:r>
        <w:t>Numri i kërkesave të refuzuara për shkak të dokumentacionit të pamjaftueshëm krahasuar me periudhën paraardhëse</w:t>
      </w:r>
      <w:r w:rsidR="00937A89">
        <w:t>;</w:t>
      </w:r>
    </w:p>
    <w:p w14:paraId="68BBB9FC" w14:textId="07096A72" w:rsidR="00960DB2" w:rsidRDefault="00960DB2" w:rsidP="00A341D1">
      <w:pPr>
        <w:pStyle w:val="font-claude-response-body"/>
        <w:numPr>
          <w:ilvl w:val="0"/>
          <w:numId w:val="36"/>
        </w:numPr>
        <w:ind w:left="360"/>
        <w:jc w:val="both"/>
      </w:pPr>
      <w:r>
        <w:t>Shkalla e kënaqësisë së kërkuesve me procedurën e aplikimit</w:t>
      </w:r>
      <w:r w:rsidR="00937A89">
        <w:t>;</w:t>
      </w:r>
    </w:p>
    <w:p w14:paraId="561C8E05" w14:textId="0F45595B" w:rsidR="00960DB2" w:rsidRDefault="00960DB2" w:rsidP="00A341D1">
      <w:pPr>
        <w:pStyle w:val="font-claude-response-body"/>
        <w:numPr>
          <w:ilvl w:val="0"/>
          <w:numId w:val="36"/>
        </w:numPr>
        <w:ind w:left="360"/>
        <w:jc w:val="both"/>
      </w:pPr>
      <w:r>
        <w:t>Miratimi i formularit të ri të vetëdeklarimit të thjeshtuar brenda afatit të parashikuar</w:t>
      </w:r>
      <w:r w:rsidR="00937A89">
        <w:t>;</w:t>
      </w:r>
    </w:p>
    <w:p w14:paraId="08A0EB3D" w14:textId="7281A58A" w:rsidR="00960DB2" w:rsidRDefault="00960DB2" w:rsidP="00A341D1">
      <w:pPr>
        <w:pStyle w:val="font-claude-response-body"/>
        <w:numPr>
          <w:ilvl w:val="0"/>
          <w:numId w:val="36"/>
        </w:numPr>
        <w:ind w:left="360"/>
        <w:jc w:val="both"/>
      </w:pPr>
      <w:r>
        <w:t>Numri i ofruesve të ndihmës juridike parësore të trajnuar mbi procedurën e re</w:t>
      </w:r>
      <w:r w:rsidR="00937A89">
        <w:t>.</w:t>
      </w:r>
    </w:p>
    <w:p w14:paraId="35B9A2A4" w14:textId="1FD6CD1C" w:rsidR="00960DB2" w:rsidRPr="00960DB2" w:rsidRDefault="00960DB2" w:rsidP="00A341D1">
      <w:pPr>
        <w:pStyle w:val="font-claude-response-body"/>
        <w:spacing w:after="0" w:afterAutospacing="0"/>
        <w:jc w:val="both"/>
      </w:pPr>
      <w:r>
        <w:rPr>
          <w:rStyle w:val="Strong"/>
        </w:rPr>
        <w:t xml:space="preserve">Objektivi </w:t>
      </w:r>
      <w:r w:rsidR="0024644D">
        <w:rPr>
          <w:rStyle w:val="Strong"/>
        </w:rPr>
        <w:t>3</w:t>
      </w:r>
      <w:r>
        <w:rPr>
          <w:rStyle w:val="Strong"/>
        </w:rPr>
        <w:t>: Zgjerimi i mbulimit të shpenzimeve</w:t>
      </w:r>
      <w:r w:rsidR="0024644D">
        <w:rPr>
          <w:rStyle w:val="Strong"/>
        </w:rPr>
        <w:t xml:space="preserve"> </w:t>
      </w:r>
      <w:r w:rsidR="0024644D" w:rsidRPr="0024644D">
        <w:rPr>
          <w:b/>
        </w:rPr>
        <w:t>kadastrale, noteriale dhe përmbarimore</w:t>
      </w:r>
    </w:p>
    <w:p w14:paraId="1C15E9E3" w14:textId="72B882C9" w:rsidR="00960DB2" w:rsidRDefault="00960DB2" w:rsidP="00A341D1">
      <w:pPr>
        <w:pStyle w:val="font-claude-response-body"/>
        <w:numPr>
          <w:ilvl w:val="0"/>
          <w:numId w:val="38"/>
        </w:numPr>
        <w:spacing w:before="0" w:beforeAutospacing="0"/>
        <w:ind w:left="360"/>
        <w:jc w:val="both"/>
      </w:pPr>
      <w:r>
        <w:t>Numri i përfituesve që kanë përfituar mbulim të shpenzimeve kadastrale, noteriale dhe përmbarimore çdo vit</w:t>
      </w:r>
      <w:r w:rsidR="00937A89">
        <w:t>;</w:t>
      </w:r>
    </w:p>
    <w:p w14:paraId="0FBA639D" w14:textId="2B7E4957" w:rsidR="00960DB2" w:rsidRDefault="00960DB2" w:rsidP="00A341D1">
      <w:pPr>
        <w:pStyle w:val="font-claude-response-body"/>
        <w:numPr>
          <w:ilvl w:val="0"/>
          <w:numId w:val="38"/>
        </w:numPr>
        <w:ind w:left="360"/>
        <w:jc w:val="both"/>
      </w:pPr>
      <w:r>
        <w:t>Vlera totale e shpenzimeve të ekzekutimit të mbuluara nga fondet publike</w:t>
      </w:r>
      <w:r w:rsidR="00937A89">
        <w:t>;</w:t>
      </w:r>
    </w:p>
    <w:p w14:paraId="18BEF9AD" w14:textId="26D04CDF" w:rsidR="00960DB2" w:rsidRDefault="00960DB2" w:rsidP="00A341D1">
      <w:pPr>
        <w:pStyle w:val="font-claude-response-body"/>
        <w:numPr>
          <w:ilvl w:val="0"/>
          <w:numId w:val="38"/>
        </w:numPr>
        <w:ind w:left="360"/>
        <w:jc w:val="both"/>
      </w:pPr>
      <w:r>
        <w:t>Përqindja e vendimeve gjyqësore të ekzekutuara plotësisht nga përfituesit e ndihmës juridike dytësore pas hyrjes në fuqi të ligjit, krahasuar me periudhën paraardhëse</w:t>
      </w:r>
      <w:r w:rsidR="00937A89">
        <w:t>;</w:t>
      </w:r>
    </w:p>
    <w:p w14:paraId="229BF3AB" w14:textId="2021DEAE" w:rsidR="00960DB2" w:rsidRDefault="00960DB2" w:rsidP="00A341D1">
      <w:pPr>
        <w:pStyle w:val="font-claude-response-body"/>
        <w:numPr>
          <w:ilvl w:val="0"/>
          <w:numId w:val="38"/>
        </w:numPr>
        <w:ind w:left="360"/>
        <w:jc w:val="both"/>
      </w:pPr>
      <w:r>
        <w:t>Miratimi i procedurave të pagesës së shpenzimeve të ekspertëve brenda afatit të parashikuar</w:t>
      </w:r>
      <w:r w:rsidR="00937A89">
        <w:t>;</w:t>
      </w:r>
    </w:p>
    <w:p w14:paraId="6F6FC608" w14:textId="48EC3B32" w:rsidR="00960DB2" w:rsidRDefault="00960DB2" w:rsidP="00A341D1">
      <w:pPr>
        <w:pStyle w:val="font-claude-response-body"/>
        <w:numPr>
          <w:ilvl w:val="0"/>
          <w:numId w:val="38"/>
        </w:numPr>
        <w:ind w:left="360"/>
        <w:jc w:val="both"/>
      </w:pPr>
      <w:r>
        <w:t>Numri i akteve kadastrale dhe noteriale të vëna në dispozicion pa pagesë nga Agjencia e Kadastrës dhe dhomat e noterisë.</w:t>
      </w:r>
    </w:p>
    <w:p w14:paraId="3CE91B65" w14:textId="7BAB47F0" w:rsidR="00960DB2" w:rsidRDefault="00960DB2" w:rsidP="00A341D1">
      <w:pPr>
        <w:pStyle w:val="font-claude-response-body"/>
        <w:spacing w:after="0" w:afterAutospacing="0"/>
        <w:jc w:val="both"/>
        <w:rPr>
          <w:lang w:val="fr-FR"/>
        </w:rPr>
      </w:pPr>
      <w:r>
        <w:rPr>
          <w:rStyle w:val="Strong"/>
        </w:rPr>
        <w:t xml:space="preserve">Objektivi </w:t>
      </w:r>
      <w:r w:rsidR="0024644D">
        <w:rPr>
          <w:rStyle w:val="Strong"/>
        </w:rPr>
        <w:t>4</w:t>
      </w:r>
      <w:r>
        <w:rPr>
          <w:rStyle w:val="Strong"/>
        </w:rPr>
        <w:t xml:space="preserve">: Harmonizimi me </w:t>
      </w:r>
      <w:r w:rsidRPr="00A341D1">
        <w:rPr>
          <w:rStyle w:val="Strong"/>
          <w:i/>
        </w:rPr>
        <w:t>acquis</w:t>
      </w:r>
      <w:r>
        <w:rPr>
          <w:rStyle w:val="Strong"/>
        </w:rPr>
        <w:t xml:space="preserve"> të Bashkimit Evropian</w:t>
      </w:r>
    </w:p>
    <w:p w14:paraId="2E1BC165" w14:textId="4E68809E" w:rsidR="00960DB2" w:rsidRDefault="00960DB2" w:rsidP="00A341D1">
      <w:pPr>
        <w:pStyle w:val="font-claude-response-body"/>
        <w:numPr>
          <w:ilvl w:val="0"/>
          <w:numId w:val="40"/>
        </w:numPr>
        <w:spacing w:before="0" w:beforeAutospacing="0"/>
        <w:ind w:left="360"/>
        <w:jc w:val="both"/>
      </w:pPr>
      <w:r>
        <w:t>Shkalla e përputhshmërisë së kuadrit ligjor vendas me kërkesat e Direktivave të BE e vlerësuar nëpërmjet raporteve periodike të progresit</w:t>
      </w:r>
      <w:r w:rsidR="00937A89">
        <w:t>;</w:t>
      </w:r>
    </w:p>
    <w:p w14:paraId="2307B117" w14:textId="1A1B0B36" w:rsidR="00960DB2" w:rsidRDefault="00960DB2" w:rsidP="00A341D1">
      <w:pPr>
        <w:pStyle w:val="font-claude-response-body"/>
        <w:numPr>
          <w:ilvl w:val="0"/>
          <w:numId w:val="40"/>
        </w:numPr>
        <w:ind w:left="360"/>
        <w:jc w:val="both"/>
      </w:pPr>
      <w:r>
        <w:t>Vlerësimi i Komisionit Evropian mbi shkallën e transpozimit të direktivave përkatëse në raportet vjetore të progresit për Shqipërinë</w:t>
      </w:r>
      <w:r w:rsidR="00937A89">
        <w:t>;</w:t>
      </w:r>
    </w:p>
    <w:p w14:paraId="38BE3FCE" w14:textId="1A89D9FB" w:rsidR="00960DB2" w:rsidRDefault="00960DB2" w:rsidP="00A341D1">
      <w:pPr>
        <w:pStyle w:val="font-claude-response-body"/>
        <w:numPr>
          <w:ilvl w:val="0"/>
          <w:numId w:val="40"/>
        </w:numPr>
        <w:ind w:left="360"/>
        <w:jc w:val="both"/>
      </w:pPr>
      <w:r>
        <w:lastRenderedPageBreak/>
        <w:t>Numri i dispozitave të reja të projektligjit që korrespondojnë drejtpërdrejt me kërkesat e direktivave të BE-së</w:t>
      </w:r>
      <w:r w:rsidR="00937A89">
        <w:t>;</w:t>
      </w:r>
    </w:p>
    <w:p w14:paraId="0B66D8B7" w14:textId="75A2936E" w:rsidR="00960DB2" w:rsidRDefault="00960DB2" w:rsidP="00A341D1">
      <w:pPr>
        <w:pStyle w:val="font-claude-response-body"/>
        <w:numPr>
          <w:ilvl w:val="0"/>
          <w:numId w:val="40"/>
        </w:numPr>
        <w:ind w:left="360"/>
        <w:jc w:val="both"/>
      </w:pPr>
      <w:r>
        <w:t>Miratimi i të gjitha akteve nënligjore të parashikuara brenda afateve të përcaktuara nga neni 20 i projektligjit.</w:t>
      </w:r>
    </w:p>
    <w:p w14:paraId="3B3931FE" w14:textId="77777777" w:rsidR="00960DB2" w:rsidRDefault="00960DB2" w:rsidP="00960DB2">
      <w:pPr>
        <w:pStyle w:val="font-claude-response-body"/>
        <w:jc w:val="both"/>
      </w:pPr>
    </w:p>
    <w:p w14:paraId="6CA27902" w14:textId="2E0D1293" w:rsidR="00960DB2" w:rsidRDefault="00960DB2" w:rsidP="00960DB2">
      <w:pPr>
        <w:pStyle w:val="font-claude-response-body"/>
      </w:pPr>
    </w:p>
    <w:p w14:paraId="7FF5838E" w14:textId="28AD5354" w:rsidR="00960DB2" w:rsidRPr="00960DB2" w:rsidRDefault="00960DB2" w:rsidP="00991B64">
      <w:pPr>
        <w:spacing w:before="120" w:line="276" w:lineRule="auto"/>
        <w:jc w:val="both"/>
        <w:rPr>
          <w:rFonts w:eastAsiaTheme="majorEastAsia"/>
          <w:color w:val="808080" w:themeColor="background1" w:themeShade="80"/>
        </w:rPr>
        <w:sectPr w:rsidR="00960DB2" w:rsidRPr="00960DB2" w:rsidSect="00F219AD">
          <w:headerReference w:type="even" r:id="rId14"/>
          <w:footerReference w:type="default" r:id="rId15"/>
          <w:footnotePr>
            <w:numRestart w:val="eachSect"/>
          </w:footnotePr>
          <w:type w:val="continuous"/>
          <w:pgSz w:w="11907" w:h="16840" w:code="9"/>
          <w:pgMar w:top="680" w:right="851" w:bottom="680" w:left="851" w:header="284" w:footer="284" w:gutter="0"/>
          <w:cols w:space="708"/>
          <w:docGrid w:linePitch="360"/>
        </w:sectPr>
      </w:pPr>
    </w:p>
    <w:p w14:paraId="075225E0" w14:textId="674EEE4B" w:rsidR="002125B7" w:rsidRPr="00325A1F" w:rsidRDefault="002125B7" w:rsidP="009D13F4">
      <w:pPr>
        <w:spacing w:line="276" w:lineRule="auto"/>
        <w:jc w:val="both"/>
        <w:rPr>
          <w:szCs w:val="24"/>
        </w:rPr>
      </w:pPr>
      <w:r w:rsidRPr="0024644D">
        <w:rPr>
          <w:b/>
          <w:szCs w:val="24"/>
        </w:rPr>
        <w:lastRenderedPageBreak/>
        <w:t>Raporti i vlerësimit të ndikimit - Shtojca 2/a</w:t>
      </w:r>
    </w:p>
    <w:p w14:paraId="7583A4D7" w14:textId="77777777" w:rsidR="002125B7" w:rsidRPr="00325A1F" w:rsidRDefault="002125B7" w:rsidP="009D13F4">
      <w:pPr>
        <w:spacing w:line="276" w:lineRule="auto"/>
        <w:rPr>
          <w:rStyle w:val="Strong"/>
          <w:b w:val="0"/>
          <w:szCs w:val="24"/>
        </w:rPr>
      </w:pPr>
    </w:p>
    <w:p w14:paraId="2B547A66" w14:textId="712A178D" w:rsidR="00225F7F" w:rsidRPr="009F625C" w:rsidRDefault="002125B7" w:rsidP="009F625C">
      <w:pPr>
        <w:spacing w:line="276" w:lineRule="auto"/>
      </w:pPr>
      <w:r w:rsidRPr="00325A1F">
        <w:rPr>
          <w:rStyle w:val="Strong"/>
          <w:i/>
          <w:szCs w:val="24"/>
        </w:rPr>
        <w:t>Tabela: Vlera aktuale neto në total (VAN) - kostot dhe përfitimet me vlerë monetare të përcaktuar në lekë e zbritur për 10 vjet (Vlera aktuale e kostos dhe vlera aktuale e përfitimit); krahasuar me status quo-në</w:t>
      </w:r>
      <w:r w:rsidRPr="00325A1F">
        <w:rPr>
          <w:rStyle w:val="Strong"/>
          <w:szCs w:val="24"/>
        </w:rPr>
        <w:t xml:space="preserve">.    </w:t>
      </w:r>
      <w:r w:rsidR="00225F7F" w:rsidRPr="00225F7F">
        <w:rPr>
          <w:rStyle w:val="Strong"/>
          <w:szCs w:val="24"/>
        </w:rPr>
        <w:fldChar w:fldCharType="begin"/>
      </w:r>
      <w:r w:rsidR="00225F7F" w:rsidRPr="00225F7F">
        <w:rPr>
          <w:rStyle w:val="Strong"/>
          <w:szCs w:val="24"/>
        </w:rPr>
        <w:instrText xml:space="preserve"> LINK Excel.SheetBinaryMacroEnabled.12 "C:\\Users\\nako\\Downloads\\Shembull i llogaritjes se Costo  perfitimeve  te RIAs - CBA calculation alb.xlsb" "Tabela Perfundimtare !R2C1:R21C11" \a \f 5 \h  \* MERGEFORMAT </w:instrText>
      </w:r>
      <w:r w:rsidR="00225F7F" w:rsidRPr="00225F7F">
        <w:rPr>
          <w:rStyle w:val="Strong"/>
          <w:szCs w:val="24"/>
        </w:rPr>
        <w:fldChar w:fldCharType="end"/>
      </w:r>
    </w:p>
    <w:p w14:paraId="0AAA9D52" w14:textId="479552E3" w:rsidR="00E139C5" w:rsidRDefault="009F625C" w:rsidP="009D13F4">
      <w:pPr>
        <w:spacing w:line="276" w:lineRule="auto"/>
      </w:pPr>
      <w:r>
        <w:rPr>
          <w:b/>
          <w:szCs w:val="24"/>
        </w:rPr>
        <w:fldChar w:fldCharType="begin"/>
      </w:r>
      <w:r>
        <w:rPr>
          <w:b/>
          <w:szCs w:val="24"/>
        </w:rPr>
        <w:instrText xml:space="preserve"> LINK Excel.SheetBinaryMacroEnabled.12 "C:\\Users\\nako\\Downloads\\Shembull i llogaritjes se Costo  perfitimeve  te RIAs - CBA calculation alb.xlsb" "Tabela Perfundimtare !R2C1:R22C11" \a \f 5 \h  \* MERGEFORMAT </w:instrText>
      </w:r>
      <w:r>
        <w:rPr>
          <w:b/>
          <w:szCs w:val="24"/>
        </w:rPr>
        <w:fldChar w:fldCharType="separate"/>
      </w:r>
    </w:p>
    <w:tbl>
      <w:tblPr>
        <w:tblStyle w:val="TableGrid"/>
        <w:tblW w:w="15115" w:type="dxa"/>
        <w:tblLook w:val="04A0" w:firstRow="1" w:lastRow="0" w:firstColumn="1" w:lastColumn="0" w:noHBand="0" w:noVBand="1"/>
      </w:tblPr>
      <w:tblGrid>
        <w:gridCol w:w="3077"/>
        <w:gridCol w:w="1273"/>
        <w:gridCol w:w="1273"/>
        <w:gridCol w:w="1273"/>
        <w:gridCol w:w="1149"/>
        <w:gridCol w:w="1063"/>
        <w:gridCol w:w="1236"/>
        <w:gridCol w:w="1063"/>
        <w:gridCol w:w="1236"/>
        <w:gridCol w:w="1236"/>
        <w:gridCol w:w="1236"/>
      </w:tblGrid>
      <w:tr w:rsidR="00E139C5" w:rsidRPr="00E139C5" w14:paraId="4DE84FC9" w14:textId="77777777" w:rsidTr="00B551B5">
        <w:trPr>
          <w:divId w:val="1261141582"/>
          <w:trHeight w:val="255"/>
        </w:trPr>
        <w:tc>
          <w:tcPr>
            <w:tcW w:w="3077" w:type="dxa"/>
            <w:shd w:val="clear" w:color="auto" w:fill="F2F2F2" w:themeFill="background1" w:themeFillShade="F2"/>
            <w:hideMark/>
          </w:tcPr>
          <w:p w14:paraId="2D91DE60" w14:textId="77777777" w:rsidR="00E139C5" w:rsidRPr="00E139C5" w:rsidRDefault="00E139C5" w:rsidP="00E139C5">
            <w:pPr>
              <w:spacing w:line="276" w:lineRule="auto"/>
              <w:rPr>
                <w:szCs w:val="24"/>
              </w:rPr>
            </w:pPr>
            <w:r w:rsidRPr="00E139C5">
              <w:rPr>
                <w:szCs w:val="24"/>
              </w:rPr>
              <w:t> </w:t>
            </w:r>
          </w:p>
        </w:tc>
        <w:tc>
          <w:tcPr>
            <w:tcW w:w="1273" w:type="dxa"/>
            <w:shd w:val="clear" w:color="auto" w:fill="F2F2F2" w:themeFill="background1" w:themeFillShade="F2"/>
            <w:hideMark/>
          </w:tcPr>
          <w:p w14:paraId="500CC8A3" w14:textId="6F349154" w:rsidR="00E139C5" w:rsidRPr="00E139C5" w:rsidRDefault="00E139C5" w:rsidP="00E139C5">
            <w:pPr>
              <w:spacing w:line="276" w:lineRule="auto"/>
              <w:ind w:left="-108" w:firstLine="108"/>
              <w:rPr>
                <w:b/>
                <w:bCs/>
                <w:szCs w:val="24"/>
              </w:rPr>
            </w:pPr>
            <w:r w:rsidRPr="00E139C5">
              <w:rPr>
                <w:b/>
                <w:bCs/>
                <w:szCs w:val="24"/>
              </w:rPr>
              <w:t xml:space="preserve"> Viti  1 </w:t>
            </w:r>
            <w:r w:rsidR="00006A97">
              <w:rPr>
                <w:b/>
                <w:bCs/>
                <w:szCs w:val="24"/>
              </w:rPr>
              <w:t>(2026)</w:t>
            </w:r>
          </w:p>
        </w:tc>
        <w:tc>
          <w:tcPr>
            <w:tcW w:w="1273" w:type="dxa"/>
            <w:shd w:val="clear" w:color="auto" w:fill="F2F2F2" w:themeFill="background1" w:themeFillShade="F2"/>
            <w:hideMark/>
          </w:tcPr>
          <w:p w14:paraId="093C72F2" w14:textId="77777777" w:rsidR="00E139C5" w:rsidRDefault="00E139C5" w:rsidP="00E139C5">
            <w:pPr>
              <w:spacing w:line="276" w:lineRule="auto"/>
              <w:ind w:left="-108" w:firstLine="108"/>
              <w:rPr>
                <w:b/>
                <w:bCs/>
                <w:szCs w:val="24"/>
              </w:rPr>
            </w:pPr>
            <w:r w:rsidRPr="00E139C5">
              <w:rPr>
                <w:b/>
                <w:bCs/>
                <w:szCs w:val="24"/>
              </w:rPr>
              <w:t xml:space="preserve"> Viti 2 </w:t>
            </w:r>
          </w:p>
          <w:p w14:paraId="157A0529" w14:textId="20D3BE41" w:rsidR="00006A97" w:rsidRPr="00E139C5" w:rsidRDefault="00006A97" w:rsidP="00E139C5">
            <w:pPr>
              <w:spacing w:line="276" w:lineRule="auto"/>
              <w:ind w:left="-108" w:firstLine="108"/>
              <w:rPr>
                <w:b/>
                <w:bCs/>
                <w:szCs w:val="24"/>
              </w:rPr>
            </w:pPr>
            <w:r>
              <w:rPr>
                <w:b/>
                <w:bCs/>
                <w:szCs w:val="24"/>
              </w:rPr>
              <w:t>(2027)</w:t>
            </w:r>
          </w:p>
        </w:tc>
        <w:tc>
          <w:tcPr>
            <w:tcW w:w="1273" w:type="dxa"/>
            <w:shd w:val="clear" w:color="auto" w:fill="F2F2F2" w:themeFill="background1" w:themeFillShade="F2"/>
            <w:hideMark/>
          </w:tcPr>
          <w:p w14:paraId="25D09902" w14:textId="77777777" w:rsidR="00E139C5" w:rsidRDefault="00E139C5" w:rsidP="00E139C5">
            <w:pPr>
              <w:spacing w:line="276" w:lineRule="auto"/>
              <w:rPr>
                <w:b/>
                <w:bCs/>
                <w:szCs w:val="24"/>
              </w:rPr>
            </w:pPr>
            <w:r w:rsidRPr="00E139C5">
              <w:rPr>
                <w:b/>
                <w:bCs/>
                <w:szCs w:val="24"/>
              </w:rPr>
              <w:t xml:space="preserve"> Viti 3 </w:t>
            </w:r>
          </w:p>
          <w:p w14:paraId="0524B79C" w14:textId="651F8340" w:rsidR="00006A97" w:rsidRPr="00E139C5" w:rsidRDefault="0048674A" w:rsidP="00E139C5">
            <w:pPr>
              <w:spacing w:line="276" w:lineRule="auto"/>
              <w:rPr>
                <w:b/>
                <w:bCs/>
                <w:szCs w:val="24"/>
              </w:rPr>
            </w:pPr>
            <w:r>
              <w:rPr>
                <w:b/>
                <w:bCs/>
                <w:szCs w:val="24"/>
              </w:rPr>
              <w:t>(2028)</w:t>
            </w:r>
          </w:p>
        </w:tc>
        <w:tc>
          <w:tcPr>
            <w:tcW w:w="1149" w:type="dxa"/>
            <w:shd w:val="clear" w:color="auto" w:fill="F2F2F2" w:themeFill="background1" w:themeFillShade="F2"/>
            <w:hideMark/>
          </w:tcPr>
          <w:p w14:paraId="6CA49A9C" w14:textId="77777777" w:rsidR="00E139C5" w:rsidRPr="00E139C5" w:rsidRDefault="00E139C5" w:rsidP="00E139C5">
            <w:pPr>
              <w:spacing w:line="276" w:lineRule="auto"/>
              <w:rPr>
                <w:b/>
                <w:bCs/>
                <w:szCs w:val="24"/>
              </w:rPr>
            </w:pPr>
            <w:r w:rsidRPr="00E139C5">
              <w:rPr>
                <w:b/>
                <w:bCs/>
                <w:szCs w:val="24"/>
              </w:rPr>
              <w:t xml:space="preserve"> Viti 4 </w:t>
            </w:r>
          </w:p>
        </w:tc>
        <w:tc>
          <w:tcPr>
            <w:tcW w:w="1063" w:type="dxa"/>
            <w:shd w:val="clear" w:color="auto" w:fill="F2F2F2" w:themeFill="background1" w:themeFillShade="F2"/>
            <w:hideMark/>
          </w:tcPr>
          <w:p w14:paraId="01CC42B2" w14:textId="77777777" w:rsidR="00E139C5" w:rsidRPr="00E139C5" w:rsidRDefault="00E139C5" w:rsidP="00E139C5">
            <w:pPr>
              <w:spacing w:line="276" w:lineRule="auto"/>
              <w:rPr>
                <w:b/>
                <w:bCs/>
                <w:szCs w:val="24"/>
              </w:rPr>
            </w:pPr>
            <w:r w:rsidRPr="00E139C5">
              <w:rPr>
                <w:b/>
                <w:bCs/>
                <w:szCs w:val="24"/>
              </w:rPr>
              <w:t xml:space="preserve"> Viti 5 </w:t>
            </w:r>
          </w:p>
        </w:tc>
        <w:tc>
          <w:tcPr>
            <w:tcW w:w="1236" w:type="dxa"/>
            <w:shd w:val="clear" w:color="auto" w:fill="F2F2F2" w:themeFill="background1" w:themeFillShade="F2"/>
            <w:hideMark/>
          </w:tcPr>
          <w:p w14:paraId="1427490F" w14:textId="77777777" w:rsidR="00E139C5" w:rsidRPr="00E139C5" w:rsidRDefault="00E139C5" w:rsidP="00E139C5">
            <w:pPr>
              <w:spacing w:line="276" w:lineRule="auto"/>
              <w:rPr>
                <w:b/>
                <w:bCs/>
                <w:szCs w:val="24"/>
              </w:rPr>
            </w:pPr>
            <w:r w:rsidRPr="00E139C5">
              <w:rPr>
                <w:b/>
                <w:bCs/>
                <w:szCs w:val="24"/>
              </w:rPr>
              <w:t xml:space="preserve"> Viti 6 </w:t>
            </w:r>
          </w:p>
        </w:tc>
        <w:tc>
          <w:tcPr>
            <w:tcW w:w="1063" w:type="dxa"/>
            <w:shd w:val="clear" w:color="auto" w:fill="F2F2F2" w:themeFill="background1" w:themeFillShade="F2"/>
            <w:hideMark/>
          </w:tcPr>
          <w:p w14:paraId="422A863D" w14:textId="77777777" w:rsidR="00E139C5" w:rsidRPr="00E139C5" w:rsidRDefault="00E139C5" w:rsidP="00E139C5">
            <w:pPr>
              <w:spacing w:line="276" w:lineRule="auto"/>
              <w:rPr>
                <w:b/>
                <w:bCs/>
                <w:szCs w:val="24"/>
              </w:rPr>
            </w:pPr>
            <w:r w:rsidRPr="00E139C5">
              <w:rPr>
                <w:b/>
                <w:bCs/>
                <w:szCs w:val="24"/>
              </w:rPr>
              <w:t xml:space="preserve"> Viti 7 </w:t>
            </w:r>
          </w:p>
        </w:tc>
        <w:tc>
          <w:tcPr>
            <w:tcW w:w="1236" w:type="dxa"/>
            <w:shd w:val="clear" w:color="auto" w:fill="F2F2F2" w:themeFill="background1" w:themeFillShade="F2"/>
            <w:hideMark/>
          </w:tcPr>
          <w:p w14:paraId="746CAF12" w14:textId="77777777" w:rsidR="00E139C5" w:rsidRPr="00E139C5" w:rsidRDefault="00E139C5" w:rsidP="00E139C5">
            <w:pPr>
              <w:spacing w:line="276" w:lineRule="auto"/>
              <w:rPr>
                <w:b/>
                <w:bCs/>
                <w:szCs w:val="24"/>
              </w:rPr>
            </w:pPr>
            <w:r w:rsidRPr="00E139C5">
              <w:rPr>
                <w:b/>
                <w:bCs/>
                <w:szCs w:val="24"/>
              </w:rPr>
              <w:t xml:space="preserve"> Viti 8 </w:t>
            </w:r>
          </w:p>
        </w:tc>
        <w:tc>
          <w:tcPr>
            <w:tcW w:w="1236" w:type="dxa"/>
            <w:shd w:val="clear" w:color="auto" w:fill="F2F2F2" w:themeFill="background1" w:themeFillShade="F2"/>
            <w:hideMark/>
          </w:tcPr>
          <w:p w14:paraId="08852860" w14:textId="77777777" w:rsidR="00E139C5" w:rsidRPr="00E139C5" w:rsidRDefault="00E139C5" w:rsidP="00E139C5">
            <w:pPr>
              <w:spacing w:line="276" w:lineRule="auto"/>
              <w:rPr>
                <w:b/>
                <w:bCs/>
                <w:szCs w:val="24"/>
              </w:rPr>
            </w:pPr>
            <w:r w:rsidRPr="00E139C5">
              <w:rPr>
                <w:b/>
                <w:bCs/>
                <w:szCs w:val="24"/>
              </w:rPr>
              <w:t xml:space="preserve"> Viti 9 </w:t>
            </w:r>
          </w:p>
        </w:tc>
        <w:tc>
          <w:tcPr>
            <w:tcW w:w="1236" w:type="dxa"/>
            <w:shd w:val="clear" w:color="auto" w:fill="F2F2F2" w:themeFill="background1" w:themeFillShade="F2"/>
            <w:hideMark/>
          </w:tcPr>
          <w:p w14:paraId="776A8E76" w14:textId="77777777" w:rsidR="00E139C5" w:rsidRPr="00E139C5" w:rsidRDefault="00E139C5" w:rsidP="00E139C5">
            <w:pPr>
              <w:spacing w:line="276" w:lineRule="auto"/>
              <w:rPr>
                <w:b/>
                <w:bCs/>
                <w:szCs w:val="24"/>
              </w:rPr>
            </w:pPr>
            <w:r w:rsidRPr="00E139C5">
              <w:rPr>
                <w:b/>
                <w:bCs/>
                <w:szCs w:val="24"/>
              </w:rPr>
              <w:t xml:space="preserve"> Viti 10 </w:t>
            </w:r>
          </w:p>
        </w:tc>
      </w:tr>
      <w:tr w:rsidR="00E139C5" w:rsidRPr="00E139C5" w14:paraId="1FDEB49D" w14:textId="77777777" w:rsidTr="00B551B5">
        <w:trPr>
          <w:divId w:val="1261141582"/>
          <w:trHeight w:val="255"/>
        </w:trPr>
        <w:tc>
          <w:tcPr>
            <w:tcW w:w="3077" w:type="dxa"/>
            <w:shd w:val="clear" w:color="auto" w:fill="F2F2F2" w:themeFill="background1" w:themeFillShade="F2"/>
            <w:hideMark/>
          </w:tcPr>
          <w:p w14:paraId="6449A2DE" w14:textId="77777777" w:rsidR="00E139C5" w:rsidRPr="00E139C5" w:rsidRDefault="00E139C5" w:rsidP="00E139C5">
            <w:pPr>
              <w:spacing w:line="276" w:lineRule="auto"/>
              <w:rPr>
                <w:b/>
                <w:bCs/>
                <w:szCs w:val="24"/>
              </w:rPr>
            </w:pPr>
            <w:r w:rsidRPr="00E139C5">
              <w:rPr>
                <w:b/>
                <w:bCs/>
                <w:szCs w:val="24"/>
              </w:rPr>
              <w:t xml:space="preserve">Faktori zbritës </w:t>
            </w:r>
          </w:p>
        </w:tc>
        <w:tc>
          <w:tcPr>
            <w:tcW w:w="1273" w:type="dxa"/>
            <w:shd w:val="clear" w:color="auto" w:fill="F2F2F2" w:themeFill="background1" w:themeFillShade="F2"/>
          </w:tcPr>
          <w:p w14:paraId="77F9F81C" w14:textId="73198847" w:rsidR="00E139C5" w:rsidRPr="00E139C5" w:rsidRDefault="00E139C5" w:rsidP="00E139C5">
            <w:pPr>
              <w:spacing w:line="276" w:lineRule="auto"/>
              <w:ind w:left="-108" w:firstLine="108"/>
              <w:jc w:val="right"/>
              <w:rPr>
                <w:szCs w:val="24"/>
              </w:rPr>
            </w:pPr>
          </w:p>
        </w:tc>
        <w:tc>
          <w:tcPr>
            <w:tcW w:w="1273" w:type="dxa"/>
            <w:shd w:val="clear" w:color="auto" w:fill="F2F2F2" w:themeFill="background1" w:themeFillShade="F2"/>
          </w:tcPr>
          <w:p w14:paraId="4BB045BA" w14:textId="432EBD1B" w:rsidR="00E139C5" w:rsidRPr="00E139C5" w:rsidRDefault="00E139C5" w:rsidP="00E139C5">
            <w:pPr>
              <w:spacing w:line="276" w:lineRule="auto"/>
              <w:ind w:left="-108" w:firstLine="108"/>
              <w:jc w:val="right"/>
              <w:rPr>
                <w:szCs w:val="24"/>
              </w:rPr>
            </w:pPr>
          </w:p>
        </w:tc>
        <w:tc>
          <w:tcPr>
            <w:tcW w:w="1273" w:type="dxa"/>
            <w:shd w:val="clear" w:color="auto" w:fill="F2F2F2" w:themeFill="background1" w:themeFillShade="F2"/>
          </w:tcPr>
          <w:p w14:paraId="446FDEA4" w14:textId="4052CA7C" w:rsidR="00E139C5" w:rsidRPr="00E139C5" w:rsidRDefault="00E139C5" w:rsidP="00E139C5">
            <w:pPr>
              <w:spacing w:line="276" w:lineRule="auto"/>
              <w:jc w:val="right"/>
              <w:rPr>
                <w:szCs w:val="24"/>
              </w:rPr>
            </w:pPr>
          </w:p>
        </w:tc>
        <w:tc>
          <w:tcPr>
            <w:tcW w:w="1149" w:type="dxa"/>
            <w:shd w:val="clear" w:color="auto" w:fill="F2F2F2" w:themeFill="background1" w:themeFillShade="F2"/>
          </w:tcPr>
          <w:p w14:paraId="12BD0CE7" w14:textId="424DDE37" w:rsidR="00E139C5" w:rsidRPr="00E139C5" w:rsidRDefault="00E139C5" w:rsidP="00E139C5">
            <w:pPr>
              <w:spacing w:line="276" w:lineRule="auto"/>
              <w:jc w:val="right"/>
              <w:rPr>
                <w:szCs w:val="24"/>
              </w:rPr>
            </w:pPr>
          </w:p>
        </w:tc>
        <w:tc>
          <w:tcPr>
            <w:tcW w:w="1063" w:type="dxa"/>
            <w:shd w:val="clear" w:color="auto" w:fill="F2F2F2" w:themeFill="background1" w:themeFillShade="F2"/>
          </w:tcPr>
          <w:p w14:paraId="79A4ACCB" w14:textId="59EBB364" w:rsidR="00E139C5" w:rsidRPr="00E139C5" w:rsidRDefault="00E139C5" w:rsidP="00E139C5">
            <w:pPr>
              <w:spacing w:line="276" w:lineRule="auto"/>
              <w:jc w:val="right"/>
              <w:rPr>
                <w:szCs w:val="24"/>
              </w:rPr>
            </w:pPr>
          </w:p>
        </w:tc>
        <w:tc>
          <w:tcPr>
            <w:tcW w:w="1236" w:type="dxa"/>
            <w:shd w:val="clear" w:color="auto" w:fill="F2F2F2" w:themeFill="background1" w:themeFillShade="F2"/>
          </w:tcPr>
          <w:p w14:paraId="3D85CE66" w14:textId="5E28AFC3" w:rsidR="00E139C5" w:rsidRPr="00E139C5" w:rsidRDefault="00E139C5" w:rsidP="00E139C5">
            <w:pPr>
              <w:spacing w:line="276" w:lineRule="auto"/>
              <w:jc w:val="right"/>
              <w:rPr>
                <w:szCs w:val="24"/>
              </w:rPr>
            </w:pPr>
          </w:p>
        </w:tc>
        <w:tc>
          <w:tcPr>
            <w:tcW w:w="1063" w:type="dxa"/>
            <w:shd w:val="clear" w:color="auto" w:fill="F2F2F2" w:themeFill="background1" w:themeFillShade="F2"/>
          </w:tcPr>
          <w:p w14:paraId="514BF333" w14:textId="18A0F591" w:rsidR="00E139C5" w:rsidRPr="00E139C5" w:rsidRDefault="00E139C5" w:rsidP="00E139C5">
            <w:pPr>
              <w:spacing w:line="276" w:lineRule="auto"/>
              <w:jc w:val="right"/>
              <w:rPr>
                <w:szCs w:val="24"/>
              </w:rPr>
            </w:pPr>
          </w:p>
        </w:tc>
        <w:tc>
          <w:tcPr>
            <w:tcW w:w="1236" w:type="dxa"/>
            <w:shd w:val="clear" w:color="auto" w:fill="F2F2F2" w:themeFill="background1" w:themeFillShade="F2"/>
          </w:tcPr>
          <w:p w14:paraId="69BDC4B1" w14:textId="302BA88B" w:rsidR="00E139C5" w:rsidRPr="00E139C5" w:rsidRDefault="00E139C5" w:rsidP="00E139C5">
            <w:pPr>
              <w:spacing w:line="276" w:lineRule="auto"/>
              <w:jc w:val="right"/>
              <w:rPr>
                <w:szCs w:val="24"/>
              </w:rPr>
            </w:pPr>
          </w:p>
        </w:tc>
        <w:tc>
          <w:tcPr>
            <w:tcW w:w="1236" w:type="dxa"/>
            <w:shd w:val="clear" w:color="auto" w:fill="F2F2F2" w:themeFill="background1" w:themeFillShade="F2"/>
          </w:tcPr>
          <w:p w14:paraId="302F99FC" w14:textId="2CD2DB16" w:rsidR="00E139C5" w:rsidRPr="00E139C5" w:rsidRDefault="00E139C5" w:rsidP="00E139C5">
            <w:pPr>
              <w:spacing w:line="276" w:lineRule="auto"/>
              <w:jc w:val="right"/>
              <w:rPr>
                <w:szCs w:val="24"/>
              </w:rPr>
            </w:pPr>
          </w:p>
        </w:tc>
        <w:tc>
          <w:tcPr>
            <w:tcW w:w="1236" w:type="dxa"/>
            <w:shd w:val="clear" w:color="auto" w:fill="F2F2F2" w:themeFill="background1" w:themeFillShade="F2"/>
          </w:tcPr>
          <w:p w14:paraId="2D3330AA" w14:textId="68EED0F3" w:rsidR="00E139C5" w:rsidRPr="00E139C5" w:rsidRDefault="00E139C5" w:rsidP="00E139C5">
            <w:pPr>
              <w:spacing w:line="276" w:lineRule="auto"/>
              <w:jc w:val="right"/>
              <w:rPr>
                <w:szCs w:val="24"/>
              </w:rPr>
            </w:pPr>
          </w:p>
        </w:tc>
      </w:tr>
      <w:tr w:rsidR="00B551B5" w:rsidRPr="00E139C5" w14:paraId="3CA37EA0" w14:textId="77777777" w:rsidTr="00B551B5">
        <w:trPr>
          <w:divId w:val="1261141582"/>
          <w:trHeight w:val="255"/>
        </w:trPr>
        <w:tc>
          <w:tcPr>
            <w:tcW w:w="3077" w:type="dxa"/>
            <w:hideMark/>
          </w:tcPr>
          <w:p w14:paraId="3DC3B01F" w14:textId="77777777" w:rsidR="00B551B5" w:rsidRPr="00E139C5" w:rsidRDefault="00B551B5" w:rsidP="00B551B5">
            <w:pPr>
              <w:spacing w:line="276" w:lineRule="auto"/>
              <w:rPr>
                <w:szCs w:val="24"/>
              </w:rPr>
            </w:pPr>
            <w:r w:rsidRPr="00E139C5">
              <w:rPr>
                <w:szCs w:val="24"/>
              </w:rPr>
              <w:t>Kosto për buxhetin - një herë</w:t>
            </w:r>
          </w:p>
        </w:tc>
        <w:tc>
          <w:tcPr>
            <w:tcW w:w="1273" w:type="dxa"/>
          </w:tcPr>
          <w:p w14:paraId="17485ADF" w14:textId="08149D0E" w:rsidR="00B551B5" w:rsidRPr="00B551B5" w:rsidRDefault="00B551B5" w:rsidP="00B551B5">
            <w:pPr>
              <w:spacing w:line="276" w:lineRule="auto"/>
              <w:ind w:left="-108" w:firstLine="108"/>
              <w:jc w:val="right"/>
              <w:rPr>
                <w:color w:val="4F81BD" w:themeColor="accent1"/>
                <w:szCs w:val="24"/>
              </w:rPr>
            </w:pPr>
            <w:r w:rsidRPr="00B551B5">
              <w:rPr>
                <w:color w:val="4F81BD" w:themeColor="accent1"/>
              </w:rPr>
              <w:t xml:space="preserve">18 012 977 </w:t>
            </w:r>
          </w:p>
        </w:tc>
        <w:tc>
          <w:tcPr>
            <w:tcW w:w="1273" w:type="dxa"/>
          </w:tcPr>
          <w:p w14:paraId="4DD2ED09" w14:textId="19D9C8E7" w:rsidR="00B551B5" w:rsidRPr="00B551B5" w:rsidRDefault="00B551B5" w:rsidP="00B551B5">
            <w:pPr>
              <w:spacing w:line="276" w:lineRule="auto"/>
              <w:ind w:left="-108" w:firstLine="108"/>
              <w:jc w:val="right"/>
              <w:rPr>
                <w:color w:val="4F81BD" w:themeColor="accent1"/>
                <w:szCs w:val="24"/>
              </w:rPr>
            </w:pPr>
            <w:r w:rsidRPr="00B551B5">
              <w:rPr>
                <w:color w:val="4F81BD" w:themeColor="accent1"/>
              </w:rPr>
              <w:t xml:space="preserve">18 518 135 </w:t>
            </w:r>
          </w:p>
        </w:tc>
        <w:tc>
          <w:tcPr>
            <w:tcW w:w="1273" w:type="dxa"/>
          </w:tcPr>
          <w:p w14:paraId="2FDC4BCF" w14:textId="52FCFCD7" w:rsidR="00B551B5" w:rsidRPr="00B551B5" w:rsidRDefault="00B551B5" w:rsidP="00B551B5">
            <w:pPr>
              <w:spacing w:line="276" w:lineRule="auto"/>
              <w:jc w:val="right"/>
              <w:rPr>
                <w:color w:val="4F81BD" w:themeColor="accent1"/>
                <w:szCs w:val="24"/>
              </w:rPr>
            </w:pPr>
            <w:r w:rsidRPr="00B551B5">
              <w:rPr>
                <w:color w:val="4F81BD" w:themeColor="accent1"/>
              </w:rPr>
              <w:t xml:space="preserve">19 591 829 </w:t>
            </w:r>
          </w:p>
        </w:tc>
        <w:tc>
          <w:tcPr>
            <w:tcW w:w="1149" w:type="dxa"/>
          </w:tcPr>
          <w:p w14:paraId="3155205D" w14:textId="44046AC8" w:rsidR="00B551B5" w:rsidRPr="00E139C5" w:rsidRDefault="00B551B5" w:rsidP="00B551B5">
            <w:pPr>
              <w:spacing w:line="276" w:lineRule="auto"/>
              <w:jc w:val="right"/>
              <w:rPr>
                <w:szCs w:val="24"/>
              </w:rPr>
            </w:pPr>
          </w:p>
        </w:tc>
        <w:tc>
          <w:tcPr>
            <w:tcW w:w="1063" w:type="dxa"/>
          </w:tcPr>
          <w:p w14:paraId="29C7534C" w14:textId="78815E88" w:rsidR="00B551B5" w:rsidRPr="00E139C5" w:rsidRDefault="00B551B5" w:rsidP="00B551B5">
            <w:pPr>
              <w:spacing w:line="276" w:lineRule="auto"/>
              <w:jc w:val="right"/>
              <w:rPr>
                <w:szCs w:val="24"/>
              </w:rPr>
            </w:pPr>
          </w:p>
        </w:tc>
        <w:tc>
          <w:tcPr>
            <w:tcW w:w="1236" w:type="dxa"/>
          </w:tcPr>
          <w:p w14:paraId="5ED35756" w14:textId="16148C7B" w:rsidR="00B551B5" w:rsidRPr="00E139C5" w:rsidRDefault="00B551B5" w:rsidP="00B551B5">
            <w:pPr>
              <w:spacing w:line="276" w:lineRule="auto"/>
              <w:jc w:val="right"/>
              <w:rPr>
                <w:szCs w:val="24"/>
              </w:rPr>
            </w:pPr>
          </w:p>
        </w:tc>
        <w:tc>
          <w:tcPr>
            <w:tcW w:w="1063" w:type="dxa"/>
          </w:tcPr>
          <w:p w14:paraId="6CCA5814" w14:textId="0D561541" w:rsidR="00B551B5" w:rsidRPr="00E139C5" w:rsidRDefault="00B551B5" w:rsidP="00B551B5">
            <w:pPr>
              <w:spacing w:line="276" w:lineRule="auto"/>
              <w:jc w:val="right"/>
              <w:rPr>
                <w:szCs w:val="24"/>
              </w:rPr>
            </w:pPr>
          </w:p>
        </w:tc>
        <w:tc>
          <w:tcPr>
            <w:tcW w:w="1236" w:type="dxa"/>
          </w:tcPr>
          <w:p w14:paraId="29A1EF4D" w14:textId="3A7A1ED4" w:rsidR="00B551B5" w:rsidRPr="00E139C5" w:rsidRDefault="00B551B5" w:rsidP="00B551B5">
            <w:pPr>
              <w:spacing w:line="276" w:lineRule="auto"/>
              <w:jc w:val="right"/>
              <w:rPr>
                <w:szCs w:val="24"/>
              </w:rPr>
            </w:pPr>
          </w:p>
        </w:tc>
        <w:tc>
          <w:tcPr>
            <w:tcW w:w="1236" w:type="dxa"/>
          </w:tcPr>
          <w:p w14:paraId="44663683" w14:textId="79FD780A" w:rsidR="00B551B5" w:rsidRPr="00E139C5" w:rsidRDefault="00B551B5" w:rsidP="00B551B5">
            <w:pPr>
              <w:spacing w:line="276" w:lineRule="auto"/>
              <w:jc w:val="right"/>
              <w:rPr>
                <w:szCs w:val="24"/>
              </w:rPr>
            </w:pPr>
          </w:p>
        </w:tc>
        <w:tc>
          <w:tcPr>
            <w:tcW w:w="1236" w:type="dxa"/>
          </w:tcPr>
          <w:p w14:paraId="20461BC1" w14:textId="0BF30D59" w:rsidR="00B551B5" w:rsidRPr="00E139C5" w:rsidRDefault="00B551B5" w:rsidP="00B551B5">
            <w:pPr>
              <w:spacing w:line="276" w:lineRule="auto"/>
              <w:jc w:val="right"/>
              <w:rPr>
                <w:szCs w:val="24"/>
              </w:rPr>
            </w:pPr>
          </w:p>
        </w:tc>
      </w:tr>
      <w:tr w:rsidR="003B5B49" w:rsidRPr="00E139C5" w14:paraId="23C3F2BC" w14:textId="77777777" w:rsidTr="00B551B5">
        <w:trPr>
          <w:divId w:val="1261141582"/>
          <w:trHeight w:val="255"/>
        </w:trPr>
        <w:tc>
          <w:tcPr>
            <w:tcW w:w="3077" w:type="dxa"/>
            <w:hideMark/>
          </w:tcPr>
          <w:p w14:paraId="673D8CD9" w14:textId="77777777" w:rsidR="003B5B49" w:rsidRPr="00E139C5" w:rsidRDefault="003B5B49" w:rsidP="003B5B49">
            <w:pPr>
              <w:spacing w:line="276" w:lineRule="auto"/>
              <w:rPr>
                <w:szCs w:val="24"/>
              </w:rPr>
            </w:pPr>
            <w:r w:rsidRPr="00E139C5">
              <w:rPr>
                <w:szCs w:val="24"/>
              </w:rPr>
              <w:t>Kosto për buxhetin - në vazhdimësi</w:t>
            </w:r>
          </w:p>
        </w:tc>
        <w:tc>
          <w:tcPr>
            <w:tcW w:w="1273" w:type="dxa"/>
          </w:tcPr>
          <w:p w14:paraId="3F516109" w14:textId="5BD27067" w:rsidR="003B5B49" w:rsidRPr="00E139C5" w:rsidRDefault="003B5B49">
            <w:pPr>
              <w:spacing w:line="276" w:lineRule="auto"/>
              <w:ind w:left="-108" w:firstLine="108"/>
              <w:jc w:val="right"/>
              <w:rPr>
                <w:szCs w:val="24"/>
              </w:rPr>
            </w:pPr>
          </w:p>
        </w:tc>
        <w:tc>
          <w:tcPr>
            <w:tcW w:w="1273" w:type="dxa"/>
          </w:tcPr>
          <w:p w14:paraId="300467F1" w14:textId="62D9C8F3" w:rsidR="003B5B49" w:rsidRPr="00E139C5" w:rsidRDefault="003B5B49" w:rsidP="003B5B49">
            <w:pPr>
              <w:spacing w:line="276" w:lineRule="auto"/>
              <w:ind w:left="-108" w:firstLine="108"/>
              <w:jc w:val="right"/>
              <w:rPr>
                <w:szCs w:val="24"/>
              </w:rPr>
            </w:pPr>
          </w:p>
        </w:tc>
        <w:tc>
          <w:tcPr>
            <w:tcW w:w="1273" w:type="dxa"/>
          </w:tcPr>
          <w:p w14:paraId="341461F1" w14:textId="6AB5FDE2" w:rsidR="003B5B49" w:rsidRPr="00E139C5" w:rsidRDefault="003B5B49" w:rsidP="003B5B49">
            <w:pPr>
              <w:spacing w:line="276" w:lineRule="auto"/>
              <w:jc w:val="right"/>
              <w:rPr>
                <w:szCs w:val="24"/>
              </w:rPr>
            </w:pPr>
          </w:p>
        </w:tc>
        <w:tc>
          <w:tcPr>
            <w:tcW w:w="1149" w:type="dxa"/>
          </w:tcPr>
          <w:p w14:paraId="0CFE28C8" w14:textId="520025C6" w:rsidR="003B5B49" w:rsidRPr="00E139C5" w:rsidRDefault="003B5B49" w:rsidP="003B5B49">
            <w:pPr>
              <w:spacing w:line="276" w:lineRule="auto"/>
              <w:jc w:val="right"/>
              <w:rPr>
                <w:szCs w:val="24"/>
              </w:rPr>
            </w:pPr>
          </w:p>
        </w:tc>
        <w:tc>
          <w:tcPr>
            <w:tcW w:w="1063" w:type="dxa"/>
          </w:tcPr>
          <w:p w14:paraId="0D6F260D" w14:textId="5EDFFD2A" w:rsidR="003B5B49" w:rsidRPr="00E139C5" w:rsidRDefault="003B5B49" w:rsidP="003B5B49">
            <w:pPr>
              <w:spacing w:line="276" w:lineRule="auto"/>
              <w:jc w:val="right"/>
              <w:rPr>
                <w:szCs w:val="24"/>
              </w:rPr>
            </w:pPr>
          </w:p>
        </w:tc>
        <w:tc>
          <w:tcPr>
            <w:tcW w:w="1236" w:type="dxa"/>
          </w:tcPr>
          <w:p w14:paraId="7C136655" w14:textId="0423722E" w:rsidR="003B5B49" w:rsidRPr="00E139C5" w:rsidRDefault="003B5B49" w:rsidP="003B5B49">
            <w:pPr>
              <w:spacing w:line="276" w:lineRule="auto"/>
              <w:jc w:val="right"/>
              <w:rPr>
                <w:szCs w:val="24"/>
              </w:rPr>
            </w:pPr>
          </w:p>
        </w:tc>
        <w:tc>
          <w:tcPr>
            <w:tcW w:w="1063" w:type="dxa"/>
          </w:tcPr>
          <w:p w14:paraId="0F49D221" w14:textId="1E998F84" w:rsidR="003B5B49" w:rsidRPr="00E139C5" w:rsidRDefault="003B5B49" w:rsidP="003B5B49">
            <w:pPr>
              <w:spacing w:line="276" w:lineRule="auto"/>
              <w:jc w:val="right"/>
              <w:rPr>
                <w:szCs w:val="24"/>
              </w:rPr>
            </w:pPr>
          </w:p>
        </w:tc>
        <w:tc>
          <w:tcPr>
            <w:tcW w:w="1236" w:type="dxa"/>
          </w:tcPr>
          <w:p w14:paraId="1E0EEA39" w14:textId="25B7FE0A" w:rsidR="003B5B49" w:rsidRPr="00E139C5" w:rsidRDefault="003B5B49" w:rsidP="003B5B49">
            <w:pPr>
              <w:spacing w:line="276" w:lineRule="auto"/>
              <w:jc w:val="right"/>
              <w:rPr>
                <w:szCs w:val="24"/>
              </w:rPr>
            </w:pPr>
          </w:p>
        </w:tc>
        <w:tc>
          <w:tcPr>
            <w:tcW w:w="1236" w:type="dxa"/>
          </w:tcPr>
          <w:p w14:paraId="3D3C42F5" w14:textId="04D2CABA" w:rsidR="003B5B49" w:rsidRPr="00E139C5" w:rsidRDefault="003B5B49" w:rsidP="003B5B49">
            <w:pPr>
              <w:spacing w:line="276" w:lineRule="auto"/>
              <w:jc w:val="right"/>
              <w:rPr>
                <w:szCs w:val="24"/>
              </w:rPr>
            </w:pPr>
          </w:p>
        </w:tc>
        <w:tc>
          <w:tcPr>
            <w:tcW w:w="1236" w:type="dxa"/>
          </w:tcPr>
          <w:p w14:paraId="4BE177F6" w14:textId="0C892811" w:rsidR="003B5B49" w:rsidRPr="00E139C5" w:rsidRDefault="003B5B49" w:rsidP="003B5B49">
            <w:pPr>
              <w:spacing w:line="276" w:lineRule="auto"/>
              <w:jc w:val="right"/>
              <w:rPr>
                <w:szCs w:val="24"/>
              </w:rPr>
            </w:pPr>
          </w:p>
        </w:tc>
      </w:tr>
      <w:tr w:rsidR="003B5B49" w:rsidRPr="00E139C5" w14:paraId="3147567D" w14:textId="77777777" w:rsidTr="00B551B5">
        <w:trPr>
          <w:divId w:val="1261141582"/>
          <w:trHeight w:val="255"/>
        </w:trPr>
        <w:tc>
          <w:tcPr>
            <w:tcW w:w="3077" w:type="dxa"/>
            <w:hideMark/>
          </w:tcPr>
          <w:p w14:paraId="2F43CC06" w14:textId="77777777" w:rsidR="003B5B49" w:rsidRPr="00E139C5" w:rsidRDefault="003B5B49" w:rsidP="003B5B49">
            <w:pPr>
              <w:spacing w:line="276" w:lineRule="auto"/>
              <w:rPr>
                <w:szCs w:val="24"/>
              </w:rPr>
            </w:pPr>
            <w:r w:rsidRPr="00E139C5">
              <w:rPr>
                <w:szCs w:val="24"/>
              </w:rPr>
              <w:t xml:space="preserve">Kosto për bizneset - një herë </w:t>
            </w:r>
          </w:p>
        </w:tc>
        <w:tc>
          <w:tcPr>
            <w:tcW w:w="1273" w:type="dxa"/>
          </w:tcPr>
          <w:p w14:paraId="56F6BEB8" w14:textId="2E029EC0" w:rsidR="003B5B49" w:rsidRPr="00E139C5" w:rsidRDefault="003B5B49" w:rsidP="003B5B49">
            <w:pPr>
              <w:spacing w:line="276" w:lineRule="auto"/>
              <w:ind w:left="-108" w:firstLine="108"/>
              <w:jc w:val="right"/>
              <w:rPr>
                <w:szCs w:val="24"/>
              </w:rPr>
            </w:pPr>
            <w:r w:rsidRPr="004D036E">
              <w:rPr>
                <w:szCs w:val="24"/>
              </w:rPr>
              <w:t>-</w:t>
            </w:r>
          </w:p>
        </w:tc>
        <w:tc>
          <w:tcPr>
            <w:tcW w:w="1273" w:type="dxa"/>
          </w:tcPr>
          <w:p w14:paraId="52FF900E" w14:textId="19AC643F" w:rsidR="003B5B49" w:rsidRPr="00E139C5" w:rsidRDefault="003B5B49" w:rsidP="003B5B49">
            <w:pPr>
              <w:spacing w:line="276" w:lineRule="auto"/>
              <w:ind w:left="-108" w:firstLine="108"/>
              <w:jc w:val="right"/>
              <w:rPr>
                <w:szCs w:val="24"/>
              </w:rPr>
            </w:pPr>
            <w:r w:rsidRPr="004D036E">
              <w:rPr>
                <w:szCs w:val="24"/>
              </w:rPr>
              <w:t>-</w:t>
            </w:r>
          </w:p>
        </w:tc>
        <w:tc>
          <w:tcPr>
            <w:tcW w:w="1273" w:type="dxa"/>
          </w:tcPr>
          <w:p w14:paraId="3146428D" w14:textId="5C85AC14" w:rsidR="003B5B49" w:rsidRPr="00E139C5" w:rsidRDefault="003B5B49" w:rsidP="003B5B49">
            <w:pPr>
              <w:spacing w:line="276" w:lineRule="auto"/>
              <w:jc w:val="right"/>
              <w:rPr>
                <w:szCs w:val="24"/>
              </w:rPr>
            </w:pPr>
            <w:r w:rsidRPr="004D036E">
              <w:rPr>
                <w:szCs w:val="24"/>
              </w:rPr>
              <w:t>-</w:t>
            </w:r>
          </w:p>
        </w:tc>
        <w:tc>
          <w:tcPr>
            <w:tcW w:w="1149" w:type="dxa"/>
          </w:tcPr>
          <w:p w14:paraId="6F73F06A" w14:textId="45A5C05C" w:rsidR="003B5B49" w:rsidRPr="00E139C5" w:rsidRDefault="003B5B49" w:rsidP="003B5B49">
            <w:pPr>
              <w:spacing w:line="276" w:lineRule="auto"/>
              <w:jc w:val="right"/>
              <w:rPr>
                <w:szCs w:val="24"/>
              </w:rPr>
            </w:pPr>
            <w:r w:rsidRPr="004D036E">
              <w:rPr>
                <w:szCs w:val="24"/>
              </w:rPr>
              <w:t>-</w:t>
            </w:r>
          </w:p>
        </w:tc>
        <w:tc>
          <w:tcPr>
            <w:tcW w:w="1063" w:type="dxa"/>
          </w:tcPr>
          <w:p w14:paraId="4DDB0081" w14:textId="3C04D9E2" w:rsidR="003B5B49" w:rsidRPr="00E139C5" w:rsidRDefault="003B5B49" w:rsidP="003B5B49">
            <w:pPr>
              <w:spacing w:line="276" w:lineRule="auto"/>
              <w:jc w:val="right"/>
              <w:rPr>
                <w:szCs w:val="24"/>
              </w:rPr>
            </w:pPr>
            <w:r w:rsidRPr="004D036E">
              <w:rPr>
                <w:szCs w:val="24"/>
              </w:rPr>
              <w:t>-</w:t>
            </w:r>
          </w:p>
        </w:tc>
        <w:tc>
          <w:tcPr>
            <w:tcW w:w="1236" w:type="dxa"/>
          </w:tcPr>
          <w:p w14:paraId="65AF2137" w14:textId="0904301B" w:rsidR="003B5B49" w:rsidRPr="00E139C5" w:rsidRDefault="003B5B49" w:rsidP="003B5B49">
            <w:pPr>
              <w:spacing w:line="276" w:lineRule="auto"/>
              <w:jc w:val="right"/>
              <w:rPr>
                <w:szCs w:val="24"/>
              </w:rPr>
            </w:pPr>
            <w:r w:rsidRPr="004D036E">
              <w:rPr>
                <w:szCs w:val="24"/>
              </w:rPr>
              <w:t>-</w:t>
            </w:r>
          </w:p>
        </w:tc>
        <w:tc>
          <w:tcPr>
            <w:tcW w:w="1063" w:type="dxa"/>
          </w:tcPr>
          <w:p w14:paraId="0A9A1858" w14:textId="6C684889" w:rsidR="003B5B49" w:rsidRPr="00E139C5" w:rsidRDefault="003B5B49" w:rsidP="003B5B49">
            <w:pPr>
              <w:spacing w:line="276" w:lineRule="auto"/>
              <w:jc w:val="right"/>
              <w:rPr>
                <w:szCs w:val="24"/>
              </w:rPr>
            </w:pPr>
            <w:r w:rsidRPr="004D036E">
              <w:rPr>
                <w:szCs w:val="24"/>
              </w:rPr>
              <w:t>-</w:t>
            </w:r>
          </w:p>
        </w:tc>
        <w:tc>
          <w:tcPr>
            <w:tcW w:w="1236" w:type="dxa"/>
          </w:tcPr>
          <w:p w14:paraId="54A4A7E2" w14:textId="0F103A95" w:rsidR="003B5B49" w:rsidRPr="00E139C5" w:rsidRDefault="003B5B49" w:rsidP="003B5B49">
            <w:pPr>
              <w:spacing w:line="276" w:lineRule="auto"/>
              <w:jc w:val="right"/>
              <w:rPr>
                <w:szCs w:val="24"/>
              </w:rPr>
            </w:pPr>
            <w:r w:rsidRPr="004D036E">
              <w:rPr>
                <w:szCs w:val="24"/>
              </w:rPr>
              <w:t>-</w:t>
            </w:r>
          </w:p>
        </w:tc>
        <w:tc>
          <w:tcPr>
            <w:tcW w:w="1236" w:type="dxa"/>
          </w:tcPr>
          <w:p w14:paraId="4BC9609E" w14:textId="2B1DE259" w:rsidR="003B5B49" w:rsidRPr="00E139C5" w:rsidRDefault="003B5B49" w:rsidP="003B5B49">
            <w:pPr>
              <w:spacing w:line="276" w:lineRule="auto"/>
              <w:jc w:val="right"/>
              <w:rPr>
                <w:szCs w:val="24"/>
              </w:rPr>
            </w:pPr>
            <w:r w:rsidRPr="004D036E">
              <w:rPr>
                <w:szCs w:val="24"/>
              </w:rPr>
              <w:t>-</w:t>
            </w:r>
          </w:p>
        </w:tc>
        <w:tc>
          <w:tcPr>
            <w:tcW w:w="1236" w:type="dxa"/>
          </w:tcPr>
          <w:p w14:paraId="078C6D3C" w14:textId="02B7883E" w:rsidR="003B5B49" w:rsidRPr="00E139C5" w:rsidRDefault="003B5B49" w:rsidP="003B5B49">
            <w:pPr>
              <w:spacing w:line="276" w:lineRule="auto"/>
              <w:jc w:val="right"/>
              <w:rPr>
                <w:szCs w:val="24"/>
              </w:rPr>
            </w:pPr>
            <w:r w:rsidRPr="004D036E">
              <w:rPr>
                <w:szCs w:val="24"/>
              </w:rPr>
              <w:t>-</w:t>
            </w:r>
          </w:p>
        </w:tc>
      </w:tr>
      <w:tr w:rsidR="003B5B49" w:rsidRPr="00E139C5" w14:paraId="6CE6233F" w14:textId="77777777" w:rsidTr="00B551B5">
        <w:trPr>
          <w:divId w:val="1261141582"/>
          <w:trHeight w:val="255"/>
        </w:trPr>
        <w:tc>
          <w:tcPr>
            <w:tcW w:w="3077" w:type="dxa"/>
            <w:hideMark/>
          </w:tcPr>
          <w:p w14:paraId="18CDBC06" w14:textId="77777777" w:rsidR="003B5B49" w:rsidRPr="00E139C5" w:rsidRDefault="003B5B49" w:rsidP="003B5B49">
            <w:pPr>
              <w:spacing w:line="276" w:lineRule="auto"/>
              <w:rPr>
                <w:szCs w:val="24"/>
              </w:rPr>
            </w:pPr>
            <w:r w:rsidRPr="00E139C5">
              <w:rPr>
                <w:szCs w:val="24"/>
              </w:rPr>
              <w:t>Kosto për bizneset - në vazhdimësi</w:t>
            </w:r>
          </w:p>
        </w:tc>
        <w:tc>
          <w:tcPr>
            <w:tcW w:w="1273" w:type="dxa"/>
          </w:tcPr>
          <w:p w14:paraId="27B2F804" w14:textId="15207F98" w:rsidR="003B5B49" w:rsidRPr="00E139C5" w:rsidRDefault="003B5B49" w:rsidP="003B5B49">
            <w:pPr>
              <w:spacing w:line="276" w:lineRule="auto"/>
              <w:ind w:left="-108" w:firstLine="108"/>
              <w:jc w:val="right"/>
              <w:rPr>
                <w:szCs w:val="24"/>
              </w:rPr>
            </w:pPr>
            <w:r w:rsidRPr="004D036E">
              <w:rPr>
                <w:szCs w:val="24"/>
              </w:rPr>
              <w:t>-</w:t>
            </w:r>
          </w:p>
        </w:tc>
        <w:tc>
          <w:tcPr>
            <w:tcW w:w="1273" w:type="dxa"/>
          </w:tcPr>
          <w:p w14:paraId="17E17005" w14:textId="45AF3954" w:rsidR="003B5B49" w:rsidRPr="00E139C5" w:rsidRDefault="003B5B49" w:rsidP="003B5B49">
            <w:pPr>
              <w:spacing w:line="276" w:lineRule="auto"/>
              <w:ind w:left="-108" w:firstLine="108"/>
              <w:jc w:val="right"/>
              <w:rPr>
                <w:szCs w:val="24"/>
              </w:rPr>
            </w:pPr>
            <w:r w:rsidRPr="004D036E">
              <w:rPr>
                <w:szCs w:val="24"/>
              </w:rPr>
              <w:t>-</w:t>
            </w:r>
          </w:p>
        </w:tc>
        <w:tc>
          <w:tcPr>
            <w:tcW w:w="1273" w:type="dxa"/>
          </w:tcPr>
          <w:p w14:paraId="3E933CFE" w14:textId="74D30924" w:rsidR="003B5B49" w:rsidRPr="00E139C5" w:rsidRDefault="003B5B49" w:rsidP="003B5B49">
            <w:pPr>
              <w:spacing w:line="276" w:lineRule="auto"/>
              <w:jc w:val="right"/>
              <w:rPr>
                <w:szCs w:val="24"/>
              </w:rPr>
            </w:pPr>
            <w:r w:rsidRPr="004D036E">
              <w:rPr>
                <w:szCs w:val="24"/>
              </w:rPr>
              <w:t>-</w:t>
            </w:r>
          </w:p>
        </w:tc>
        <w:tc>
          <w:tcPr>
            <w:tcW w:w="1149" w:type="dxa"/>
          </w:tcPr>
          <w:p w14:paraId="3197B98F" w14:textId="38060A07" w:rsidR="003B5B49" w:rsidRPr="00E139C5" w:rsidRDefault="003B5B49" w:rsidP="003B5B49">
            <w:pPr>
              <w:spacing w:line="276" w:lineRule="auto"/>
              <w:jc w:val="right"/>
              <w:rPr>
                <w:szCs w:val="24"/>
              </w:rPr>
            </w:pPr>
            <w:r w:rsidRPr="004D036E">
              <w:rPr>
                <w:szCs w:val="24"/>
              </w:rPr>
              <w:t>-</w:t>
            </w:r>
          </w:p>
        </w:tc>
        <w:tc>
          <w:tcPr>
            <w:tcW w:w="1063" w:type="dxa"/>
          </w:tcPr>
          <w:p w14:paraId="24B68243" w14:textId="032084B4" w:rsidR="003B5B49" w:rsidRPr="00E139C5" w:rsidRDefault="003B5B49" w:rsidP="003B5B49">
            <w:pPr>
              <w:spacing w:line="276" w:lineRule="auto"/>
              <w:jc w:val="right"/>
              <w:rPr>
                <w:szCs w:val="24"/>
              </w:rPr>
            </w:pPr>
            <w:r w:rsidRPr="004D036E">
              <w:rPr>
                <w:szCs w:val="24"/>
              </w:rPr>
              <w:t>-</w:t>
            </w:r>
          </w:p>
        </w:tc>
        <w:tc>
          <w:tcPr>
            <w:tcW w:w="1236" w:type="dxa"/>
          </w:tcPr>
          <w:p w14:paraId="08AFF99E" w14:textId="661BCDE4" w:rsidR="003B5B49" w:rsidRPr="00E139C5" w:rsidRDefault="003B5B49" w:rsidP="003B5B49">
            <w:pPr>
              <w:spacing w:line="276" w:lineRule="auto"/>
              <w:jc w:val="right"/>
              <w:rPr>
                <w:szCs w:val="24"/>
              </w:rPr>
            </w:pPr>
            <w:r w:rsidRPr="004D036E">
              <w:rPr>
                <w:szCs w:val="24"/>
              </w:rPr>
              <w:t>-</w:t>
            </w:r>
          </w:p>
        </w:tc>
        <w:tc>
          <w:tcPr>
            <w:tcW w:w="1063" w:type="dxa"/>
          </w:tcPr>
          <w:p w14:paraId="6207DB7E" w14:textId="41730C39" w:rsidR="003B5B49" w:rsidRPr="00E139C5" w:rsidRDefault="003B5B49" w:rsidP="003B5B49">
            <w:pPr>
              <w:spacing w:line="276" w:lineRule="auto"/>
              <w:jc w:val="right"/>
              <w:rPr>
                <w:szCs w:val="24"/>
              </w:rPr>
            </w:pPr>
            <w:r w:rsidRPr="004D036E">
              <w:rPr>
                <w:szCs w:val="24"/>
              </w:rPr>
              <w:t>-</w:t>
            </w:r>
          </w:p>
        </w:tc>
        <w:tc>
          <w:tcPr>
            <w:tcW w:w="1236" w:type="dxa"/>
          </w:tcPr>
          <w:p w14:paraId="627C5A58" w14:textId="41627F5B" w:rsidR="003B5B49" w:rsidRPr="00E139C5" w:rsidRDefault="003B5B49" w:rsidP="003B5B49">
            <w:pPr>
              <w:spacing w:line="276" w:lineRule="auto"/>
              <w:jc w:val="right"/>
              <w:rPr>
                <w:szCs w:val="24"/>
              </w:rPr>
            </w:pPr>
            <w:r w:rsidRPr="004D036E">
              <w:rPr>
                <w:szCs w:val="24"/>
              </w:rPr>
              <w:t>-</w:t>
            </w:r>
          </w:p>
        </w:tc>
        <w:tc>
          <w:tcPr>
            <w:tcW w:w="1236" w:type="dxa"/>
          </w:tcPr>
          <w:p w14:paraId="57A2DF8C" w14:textId="5C8368A0" w:rsidR="003B5B49" w:rsidRPr="00E139C5" w:rsidRDefault="003B5B49" w:rsidP="003B5B49">
            <w:pPr>
              <w:spacing w:line="276" w:lineRule="auto"/>
              <w:jc w:val="right"/>
              <w:rPr>
                <w:szCs w:val="24"/>
              </w:rPr>
            </w:pPr>
            <w:r w:rsidRPr="004D036E">
              <w:rPr>
                <w:szCs w:val="24"/>
              </w:rPr>
              <w:t>-</w:t>
            </w:r>
          </w:p>
        </w:tc>
        <w:tc>
          <w:tcPr>
            <w:tcW w:w="1236" w:type="dxa"/>
          </w:tcPr>
          <w:p w14:paraId="1E66E82F" w14:textId="51DAC1AB" w:rsidR="003B5B49" w:rsidRPr="00E139C5" w:rsidRDefault="003B5B49" w:rsidP="003B5B49">
            <w:pPr>
              <w:spacing w:line="276" w:lineRule="auto"/>
              <w:jc w:val="right"/>
              <w:rPr>
                <w:szCs w:val="24"/>
              </w:rPr>
            </w:pPr>
            <w:r w:rsidRPr="004D036E">
              <w:rPr>
                <w:szCs w:val="24"/>
              </w:rPr>
              <w:t>-</w:t>
            </w:r>
          </w:p>
        </w:tc>
      </w:tr>
      <w:tr w:rsidR="003B5B49" w:rsidRPr="00E139C5" w14:paraId="445EC9DA" w14:textId="77777777" w:rsidTr="00B551B5">
        <w:trPr>
          <w:divId w:val="1261141582"/>
          <w:trHeight w:val="255"/>
        </w:trPr>
        <w:tc>
          <w:tcPr>
            <w:tcW w:w="3077" w:type="dxa"/>
            <w:hideMark/>
          </w:tcPr>
          <w:p w14:paraId="53E30F5D" w14:textId="77777777" w:rsidR="003B5B49" w:rsidRPr="00E139C5" w:rsidRDefault="003B5B49" w:rsidP="003B5B49">
            <w:pPr>
              <w:spacing w:line="276" w:lineRule="auto"/>
              <w:rPr>
                <w:szCs w:val="24"/>
              </w:rPr>
            </w:pPr>
            <w:r w:rsidRPr="00E139C5">
              <w:rPr>
                <w:szCs w:val="24"/>
              </w:rPr>
              <w:t>Kosto për grupet e tjera - një herë</w:t>
            </w:r>
          </w:p>
        </w:tc>
        <w:tc>
          <w:tcPr>
            <w:tcW w:w="1273" w:type="dxa"/>
          </w:tcPr>
          <w:p w14:paraId="48D136C8" w14:textId="1225538D" w:rsidR="003B5B49" w:rsidRPr="00E139C5" w:rsidRDefault="003B5B49" w:rsidP="003B5B49">
            <w:pPr>
              <w:spacing w:line="276" w:lineRule="auto"/>
              <w:ind w:left="-108" w:firstLine="108"/>
              <w:jc w:val="right"/>
              <w:rPr>
                <w:szCs w:val="24"/>
              </w:rPr>
            </w:pPr>
            <w:r w:rsidRPr="004D036E">
              <w:rPr>
                <w:szCs w:val="24"/>
              </w:rPr>
              <w:t>-</w:t>
            </w:r>
          </w:p>
        </w:tc>
        <w:tc>
          <w:tcPr>
            <w:tcW w:w="1273" w:type="dxa"/>
          </w:tcPr>
          <w:p w14:paraId="1D2F61E3" w14:textId="53F18D9E" w:rsidR="003B5B49" w:rsidRPr="00E139C5" w:rsidRDefault="003B5B49" w:rsidP="003B5B49">
            <w:pPr>
              <w:spacing w:line="276" w:lineRule="auto"/>
              <w:ind w:left="-108" w:firstLine="108"/>
              <w:jc w:val="right"/>
              <w:rPr>
                <w:szCs w:val="24"/>
              </w:rPr>
            </w:pPr>
            <w:r w:rsidRPr="004D036E">
              <w:rPr>
                <w:szCs w:val="24"/>
              </w:rPr>
              <w:t>-</w:t>
            </w:r>
          </w:p>
        </w:tc>
        <w:tc>
          <w:tcPr>
            <w:tcW w:w="1273" w:type="dxa"/>
          </w:tcPr>
          <w:p w14:paraId="3DCB0307" w14:textId="65DFAEBB" w:rsidR="003B5B49" w:rsidRPr="00E139C5" w:rsidRDefault="003B5B49" w:rsidP="003B5B49">
            <w:pPr>
              <w:spacing w:line="276" w:lineRule="auto"/>
              <w:jc w:val="right"/>
              <w:rPr>
                <w:szCs w:val="24"/>
              </w:rPr>
            </w:pPr>
            <w:r w:rsidRPr="004D036E">
              <w:rPr>
                <w:szCs w:val="24"/>
              </w:rPr>
              <w:t>-</w:t>
            </w:r>
          </w:p>
        </w:tc>
        <w:tc>
          <w:tcPr>
            <w:tcW w:w="1149" w:type="dxa"/>
          </w:tcPr>
          <w:p w14:paraId="303FFAE9" w14:textId="635B6F17" w:rsidR="003B5B49" w:rsidRPr="00E139C5" w:rsidRDefault="003B5B49" w:rsidP="003B5B49">
            <w:pPr>
              <w:spacing w:line="276" w:lineRule="auto"/>
              <w:jc w:val="right"/>
              <w:rPr>
                <w:szCs w:val="24"/>
              </w:rPr>
            </w:pPr>
            <w:r w:rsidRPr="004D036E">
              <w:rPr>
                <w:szCs w:val="24"/>
              </w:rPr>
              <w:t>-</w:t>
            </w:r>
          </w:p>
        </w:tc>
        <w:tc>
          <w:tcPr>
            <w:tcW w:w="1063" w:type="dxa"/>
          </w:tcPr>
          <w:p w14:paraId="21898E8B" w14:textId="4EF88C5D" w:rsidR="003B5B49" w:rsidRPr="00E139C5" w:rsidRDefault="003B5B49" w:rsidP="003B5B49">
            <w:pPr>
              <w:spacing w:line="276" w:lineRule="auto"/>
              <w:jc w:val="right"/>
              <w:rPr>
                <w:szCs w:val="24"/>
              </w:rPr>
            </w:pPr>
            <w:r w:rsidRPr="004D036E">
              <w:rPr>
                <w:szCs w:val="24"/>
              </w:rPr>
              <w:t>-</w:t>
            </w:r>
          </w:p>
        </w:tc>
        <w:tc>
          <w:tcPr>
            <w:tcW w:w="1236" w:type="dxa"/>
          </w:tcPr>
          <w:p w14:paraId="352E326E" w14:textId="1DE864C4" w:rsidR="003B5B49" w:rsidRPr="00E139C5" w:rsidRDefault="003B5B49" w:rsidP="003B5B49">
            <w:pPr>
              <w:spacing w:line="276" w:lineRule="auto"/>
              <w:jc w:val="right"/>
              <w:rPr>
                <w:szCs w:val="24"/>
              </w:rPr>
            </w:pPr>
            <w:r w:rsidRPr="004D036E">
              <w:rPr>
                <w:szCs w:val="24"/>
              </w:rPr>
              <w:t>-</w:t>
            </w:r>
          </w:p>
        </w:tc>
        <w:tc>
          <w:tcPr>
            <w:tcW w:w="1063" w:type="dxa"/>
          </w:tcPr>
          <w:p w14:paraId="485167D3" w14:textId="679EB921" w:rsidR="003B5B49" w:rsidRPr="00E139C5" w:rsidRDefault="003B5B49" w:rsidP="003B5B49">
            <w:pPr>
              <w:spacing w:line="276" w:lineRule="auto"/>
              <w:jc w:val="right"/>
              <w:rPr>
                <w:szCs w:val="24"/>
              </w:rPr>
            </w:pPr>
            <w:r w:rsidRPr="004D036E">
              <w:rPr>
                <w:szCs w:val="24"/>
              </w:rPr>
              <w:t>-</w:t>
            </w:r>
          </w:p>
        </w:tc>
        <w:tc>
          <w:tcPr>
            <w:tcW w:w="1236" w:type="dxa"/>
          </w:tcPr>
          <w:p w14:paraId="7608D687" w14:textId="31AB0817" w:rsidR="003B5B49" w:rsidRPr="00E139C5" w:rsidRDefault="003B5B49" w:rsidP="003B5B49">
            <w:pPr>
              <w:spacing w:line="276" w:lineRule="auto"/>
              <w:jc w:val="right"/>
              <w:rPr>
                <w:szCs w:val="24"/>
              </w:rPr>
            </w:pPr>
            <w:r w:rsidRPr="004D036E">
              <w:rPr>
                <w:szCs w:val="24"/>
              </w:rPr>
              <w:t>-</w:t>
            </w:r>
          </w:p>
        </w:tc>
        <w:tc>
          <w:tcPr>
            <w:tcW w:w="1236" w:type="dxa"/>
          </w:tcPr>
          <w:p w14:paraId="4C1AE0D1" w14:textId="2E23E10B" w:rsidR="003B5B49" w:rsidRPr="00E139C5" w:rsidRDefault="003B5B49" w:rsidP="003B5B49">
            <w:pPr>
              <w:spacing w:line="276" w:lineRule="auto"/>
              <w:jc w:val="right"/>
              <w:rPr>
                <w:szCs w:val="24"/>
              </w:rPr>
            </w:pPr>
            <w:r w:rsidRPr="004D036E">
              <w:rPr>
                <w:szCs w:val="24"/>
              </w:rPr>
              <w:t>-</w:t>
            </w:r>
          </w:p>
        </w:tc>
        <w:tc>
          <w:tcPr>
            <w:tcW w:w="1236" w:type="dxa"/>
          </w:tcPr>
          <w:p w14:paraId="3E2FA1CB" w14:textId="763460F0" w:rsidR="003B5B49" w:rsidRPr="00E139C5" w:rsidRDefault="003B5B49" w:rsidP="003B5B49">
            <w:pPr>
              <w:spacing w:line="276" w:lineRule="auto"/>
              <w:jc w:val="right"/>
              <w:rPr>
                <w:szCs w:val="24"/>
              </w:rPr>
            </w:pPr>
            <w:r w:rsidRPr="004D036E">
              <w:rPr>
                <w:szCs w:val="24"/>
              </w:rPr>
              <w:t>-</w:t>
            </w:r>
          </w:p>
        </w:tc>
      </w:tr>
      <w:tr w:rsidR="003B5B49" w:rsidRPr="00E139C5" w14:paraId="49355DAF" w14:textId="77777777" w:rsidTr="00B551B5">
        <w:trPr>
          <w:divId w:val="1261141582"/>
          <w:trHeight w:val="270"/>
        </w:trPr>
        <w:tc>
          <w:tcPr>
            <w:tcW w:w="3077" w:type="dxa"/>
            <w:hideMark/>
          </w:tcPr>
          <w:p w14:paraId="037299A0" w14:textId="77777777" w:rsidR="003B5B49" w:rsidRPr="00E139C5" w:rsidRDefault="003B5B49" w:rsidP="003B5B49">
            <w:pPr>
              <w:spacing w:line="276" w:lineRule="auto"/>
              <w:rPr>
                <w:szCs w:val="24"/>
              </w:rPr>
            </w:pPr>
            <w:r w:rsidRPr="00E139C5">
              <w:rPr>
                <w:szCs w:val="24"/>
              </w:rPr>
              <w:t>Kosto për grupet e tjera - në vazhdimësi</w:t>
            </w:r>
          </w:p>
        </w:tc>
        <w:tc>
          <w:tcPr>
            <w:tcW w:w="1273" w:type="dxa"/>
            <w:hideMark/>
          </w:tcPr>
          <w:p w14:paraId="5E7C320A" w14:textId="0653D099" w:rsidR="003B5B49" w:rsidRPr="00E139C5" w:rsidRDefault="003B5B49" w:rsidP="003B5B49">
            <w:pPr>
              <w:spacing w:line="276" w:lineRule="auto"/>
              <w:ind w:left="-108" w:firstLine="108"/>
              <w:jc w:val="right"/>
              <w:rPr>
                <w:szCs w:val="24"/>
              </w:rPr>
            </w:pPr>
            <w:r w:rsidRPr="004D036E">
              <w:rPr>
                <w:szCs w:val="24"/>
              </w:rPr>
              <w:t>-</w:t>
            </w:r>
          </w:p>
        </w:tc>
        <w:tc>
          <w:tcPr>
            <w:tcW w:w="1273" w:type="dxa"/>
            <w:hideMark/>
          </w:tcPr>
          <w:p w14:paraId="5D989C32" w14:textId="58763913" w:rsidR="003B5B49" w:rsidRPr="00E139C5" w:rsidRDefault="003B5B49" w:rsidP="003B5B49">
            <w:pPr>
              <w:spacing w:line="276" w:lineRule="auto"/>
              <w:ind w:left="-108" w:firstLine="108"/>
              <w:jc w:val="right"/>
              <w:rPr>
                <w:szCs w:val="24"/>
              </w:rPr>
            </w:pPr>
            <w:r w:rsidRPr="004D036E">
              <w:rPr>
                <w:szCs w:val="24"/>
              </w:rPr>
              <w:t>-</w:t>
            </w:r>
          </w:p>
        </w:tc>
        <w:tc>
          <w:tcPr>
            <w:tcW w:w="1273" w:type="dxa"/>
            <w:hideMark/>
          </w:tcPr>
          <w:p w14:paraId="42AD1FF4" w14:textId="4A787048" w:rsidR="003B5B49" w:rsidRPr="00E139C5" w:rsidRDefault="003B5B49" w:rsidP="003B5B49">
            <w:pPr>
              <w:spacing w:line="276" w:lineRule="auto"/>
              <w:jc w:val="right"/>
              <w:rPr>
                <w:szCs w:val="24"/>
              </w:rPr>
            </w:pPr>
            <w:r w:rsidRPr="004D036E">
              <w:rPr>
                <w:szCs w:val="24"/>
              </w:rPr>
              <w:t>-</w:t>
            </w:r>
          </w:p>
        </w:tc>
        <w:tc>
          <w:tcPr>
            <w:tcW w:w="1149" w:type="dxa"/>
            <w:hideMark/>
          </w:tcPr>
          <w:p w14:paraId="06AF9BCD" w14:textId="097866F5" w:rsidR="003B5B49" w:rsidRPr="00E139C5" w:rsidRDefault="003B5B49">
            <w:pPr>
              <w:spacing w:line="276" w:lineRule="auto"/>
              <w:jc w:val="right"/>
              <w:rPr>
                <w:szCs w:val="24"/>
              </w:rPr>
            </w:pPr>
            <w:r w:rsidRPr="004D036E">
              <w:rPr>
                <w:szCs w:val="24"/>
              </w:rPr>
              <w:t>-</w:t>
            </w:r>
          </w:p>
        </w:tc>
        <w:tc>
          <w:tcPr>
            <w:tcW w:w="1063" w:type="dxa"/>
            <w:hideMark/>
          </w:tcPr>
          <w:p w14:paraId="19F8B7E1" w14:textId="6B126E96" w:rsidR="003B5B49" w:rsidRPr="00E139C5" w:rsidRDefault="003B5B49" w:rsidP="003B5B49">
            <w:pPr>
              <w:spacing w:line="276" w:lineRule="auto"/>
              <w:jc w:val="right"/>
              <w:rPr>
                <w:szCs w:val="24"/>
              </w:rPr>
            </w:pPr>
            <w:r w:rsidRPr="004D036E">
              <w:rPr>
                <w:szCs w:val="24"/>
              </w:rPr>
              <w:t>-</w:t>
            </w:r>
          </w:p>
        </w:tc>
        <w:tc>
          <w:tcPr>
            <w:tcW w:w="1236" w:type="dxa"/>
          </w:tcPr>
          <w:p w14:paraId="75B2F340" w14:textId="6126B5BA" w:rsidR="003B5B49" w:rsidRPr="00E139C5" w:rsidRDefault="003B5B49" w:rsidP="003B5B49">
            <w:pPr>
              <w:spacing w:line="276" w:lineRule="auto"/>
              <w:jc w:val="right"/>
              <w:rPr>
                <w:szCs w:val="24"/>
              </w:rPr>
            </w:pPr>
            <w:r w:rsidRPr="004D036E">
              <w:rPr>
                <w:szCs w:val="24"/>
              </w:rPr>
              <w:t>-</w:t>
            </w:r>
          </w:p>
        </w:tc>
        <w:tc>
          <w:tcPr>
            <w:tcW w:w="1063" w:type="dxa"/>
          </w:tcPr>
          <w:p w14:paraId="6D2AC726" w14:textId="2B015CC0" w:rsidR="003B5B49" w:rsidRPr="00E139C5" w:rsidRDefault="003B5B49" w:rsidP="003B5B49">
            <w:pPr>
              <w:spacing w:line="276" w:lineRule="auto"/>
              <w:jc w:val="right"/>
              <w:rPr>
                <w:szCs w:val="24"/>
              </w:rPr>
            </w:pPr>
            <w:r w:rsidRPr="004D036E">
              <w:rPr>
                <w:szCs w:val="24"/>
              </w:rPr>
              <w:t>-</w:t>
            </w:r>
          </w:p>
        </w:tc>
        <w:tc>
          <w:tcPr>
            <w:tcW w:w="1236" w:type="dxa"/>
          </w:tcPr>
          <w:p w14:paraId="1D26E209" w14:textId="14E9D153" w:rsidR="003B5B49" w:rsidRPr="00E139C5" w:rsidRDefault="003B5B49" w:rsidP="003B5B49">
            <w:pPr>
              <w:spacing w:line="276" w:lineRule="auto"/>
              <w:jc w:val="right"/>
              <w:rPr>
                <w:szCs w:val="24"/>
              </w:rPr>
            </w:pPr>
            <w:r w:rsidRPr="004D036E">
              <w:rPr>
                <w:szCs w:val="24"/>
              </w:rPr>
              <w:t>-</w:t>
            </w:r>
          </w:p>
        </w:tc>
        <w:tc>
          <w:tcPr>
            <w:tcW w:w="1236" w:type="dxa"/>
          </w:tcPr>
          <w:p w14:paraId="77BA3607" w14:textId="27F364B3" w:rsidR="003B5B49" w:rsidRPr="00E139C5" w:rsidRDefault="003B5B49" w:rsidP="003B5B49">
            <w:pPr>
              <w:spacing w:line="276" w:lineRule="auto"/>
              <w:jc w:val="right"/>
              <w:rPr>
                <w:szCs w:val="24"/>
              </w:rPr>
            </w:pPr>
            <w:r w:rsidRPr="004D036E">
              <w:rPr>
                <w:szCs w:val="24"/>
              </w:rPr>
              <w:t>-</w:t>
            </w:r>
          </w:p>
        </w:tc>
        <w:tc>
          <w:tcPr>
            <w:tcW w:w="1236" w:type="dxa"/>
          </w:tcPr>
          <w:p w14:paraId="3DB7A4AD" w14:textId="56DD33B2" w:rsidR="003B5B49" w:rsidRPr="00E139C5" w:rsidRDefault="003B5B49" w:rsidP="003B5B49">
            <w:pPr>
              <w:spacing w:line="276" w:lineRule="auto"/>
              <w:jc w:val="right"/>
              <w:rPr>
                <w:szCs w:val="24"/>
              </w:rPr>
            </w:pPr>
            <w:r w:rsidRPr="004D036E">
              <w:rPr>
                <w:szCs w:val="24"/>
              </w:rPr>
              <w:t>-</w:t>
            </w:r>
          </w:p>
        </w:tc>
      </w:tr>
      <w:tr w:rsidR="00B551B5" w:rsidRPr="00E139C5" w14:paraId="72226F67" w14:textId="77777777" w:rsidTr="00B551B5">
        <w:trPr>
          <w:divId w:val="1261141582"/>
          <w:trHeight w:val="285"/>
        </w:trPr>
        <w:tc>
          <w:tcPr>
            <w:tcW w:w="3077" w:type="dxa"/>
            <w:hideMark/>
          </w:tcPr>
          <w:p w14:paraId="1F57DE70" w14:textId="77777777" w:rsidR="00B551B5" w:rsidRPr="00E139C5" w:rsidRDefault="00B551B5" w:rsidP="00B551B5">
            <w:pPr>
              <w:spacing w:line="276" w:lineRule="auto"/>
              <w:rPr>
                <w:b/>
                <w:bCs/>
                <w:szCs w:val="24"/>
              </w:rPr>
            </w:pPr>
            <w:r w:rsidRPr="00E139C5">
              <w:rPr>
                <w:b/>
                <w:bCs/>
                <w:szCs w:val="24"/>
              </w:rPr>
              <w:t xml:space="preserve">Kosto në total </w:t>
            </w:r>
          </w:p>
        </w:tc>
        <w:tc>
          <w:tcPr>
            <w:tcW w:w="1273" w:type="dxa"/>
          </w:tcPr>
          <w:p w14:paraId="08FD3CB1" w14:textId="0FFF1F58" w:rsidR="00B551B5" w:rsidRPr="00B551B5" w:rsidRDefault="00B551B5" w:rsidP="00B551B5">
            <w:pPr>
              <w:spacing w:line="276" w:lineRule="auto"/>
              <w:ind w:left="-108" w:firstLine="108"/>
              <w:jc w:val="center"/>
              <w:rPr>
                <w:color w:val="4F81BD" w:themeColor="accent1"/>
                <w:szCs w:val="24"/>
              </w:rPr>
            </w:pPr>
            <w:r w:rsidRPr="00B551B5">
              <w:rPr>
                <w:color w:val="4F81BD" w:themeColor="accent1"/>
              </w:rPr>
              <w:t xml:space="preserve">18 012 977 </w:t>
            </w:r>
          </w:p>
        </w:tc>
        <w:tc>
          <w:tcPr>
            <w:tcW w:w="1273" w:type="dxa"/>
          </w:tcPr>
          <w:p w14:paraId="760E0925" w14:textId="49623AE6" w:rsidR="00B551B5" w:rsidRPr="00B551B5" w:rsidRDefault="00B551B5" w:rsidP="00B551B5">
            <w:pPr>
              <w:spacing w:line="276" w:lineRule="auto"/>
              <w:ind w:left="-108" w:firstLine="108"/>
              <w:jc w:val="right"/>
              <w:rPr>
                <w:color w:val="4F81BD" w:themeColor="accent1"/>
                <w:szCs w:val="24"/>
              </w:rPr>
            </w:pPr>
            <w:r w:rsidRPr="00B551B5">
              <w:rPr>
                <w:color w:val="4F81BD" w:themeColor="accent1"/>
              </w:rPr>
              <w:t xml:space="preserve">18 518 135 </w:t>
            </w:r>
          </w:p>
        </w:tc>
        <w:tc>
          <w:tcPr>
            <w:tcW w:w="1273" w:type="dxa"/>
          </w:tcPr>
          <w:p w14:paraId="1381CF26" w14:textId="587A71C7" w:rsidR="00B551B5" w:rsidRPr="00B551B5" w:rsidRDefault="00B551B5" w:rsidP="00B551B5">
            <w:pPr>
              <w:spacing w:line="276" w:lineRule="auto"/>
              <w:jc w:val="right"/>
              <w:rPr>
                <w:color w:val="4F81BD" w:themeColor="accent1"/>
                <w:szCs w:val="24"/>
              </w:rPr>
            </w:pPr>
            <w:r w:rsidRPr="00B551B5">
              <w:rPr>
                <w:color w:val="4F81BD" w:themeColor="accent1"/>
              </w:rPr>
              <w:t xml:space="preserve">19 591 829 </w:t>
            </w:r>
          </w:p>
        </w:tc>
        <w:tc>
          <w:tcPr>
            <w:tcW w:w="1149" w:type="dxa"/>
          </w:tcPr>
          <w:p w14:paraId="75F49E46" w14:textId="6C794DC8" w:rsidR="00B551B5" w:rsidRPr="00E139C5" w:rsidRDefault="00B551B5" w:rsidP="00B551B5">
            <w:pPr>
              <w:spacing w:line="276" w:lineRule="auto"/>
              <w:jc w:val="right"/>
              <w:rPr>
                <w:szCs w:val="24"/>
              </w:rPr>
            </w:pPr>
          </w:p>
        </w:tc>
        <w:tc>
          <w:tcPr>
            <w:tcW w:w="1063" w:type="dxa"/>
          </w:tcPr>
          <w:p w14:paraId="4468C97B" w14:textId="04A9D8B0" w:rsidR="00B551B5" w:rsidRPr="00E139C5" w:rsidRDefault="00B551B5" w:rsidP="00B551B5">
            <w:pPr>
              <w:spacing w:line="276" w:lineRule="auto"/>
              <w:jc w:val="right"/>
              <w:rPr>
                <w:szCs w:val="24"/>
              </w:rPr>
            </w:pPr>
          </w:p>
        </w:tc>
        <w:tc>
          <w:tcPr>
            <w:tcW w:w="1236" w:type="dxa"/>
          </w:tcPr>
          <w:p w14:paraId="03065CD0" w14:textId="02EA8220" w:rsidR="00B551B5" w:rsidRPr="00E139C5" w:rsidRDefault="00B551B5" w:rsidP="00B551B5">
            <w:pPr>
              <w:spacing w:line="276" w:lineRule="auto"/>
              <w:jc w:val="right"/>
              <w:rPr>
                <w:szCs w:val="24"/>
              </w:rPr>
            </w:pPr>
          </w:p>
        </w:tc>
        <w:tc>
          <w:tcPr>
            <w:tcW w:w="1063" w:type="dxa"/>
          </w:tcPr>
          <w:p w14:paraId="262344F9" w14:textId="798EC336" w:rsidR="00B551B5" w:rsidRPr="00E139C5" w:rsidRDefault="00B551B5" w:rsidP="00B551B5">
            <w:pPr>
              <w:spacing w:line="276" w:lineRule="auto"/>
              <w:jc w:val="right"/>
              <w:rPr>
                <w:szCs w:val="24"/>
              </w:rPr>
            </w:pPr>
          </w:p>
        </w:tc>
        <w:tc>
          <w:tcPr>
            <w:tcW w:w="1236" w:type="dxa"/>
          </w:tcPr>
          <w:p w14:paraId="3219BAC9" w14:textId="74E3FAA8" w:rsidR="00B551B5" w:rsidRPr="00E139C5" w:rsidRDefault="00B551B5" w:rsidP="00B551B5">
            <w:pPr>
              <w:spacing w:line="276" w:lineRule="auto"/>
              <w:jc w:val="right"/>
              <w:rPr>
                <w:szCs w:val="24"/>
              </w:rPr>
            </w:pPr>
          </w:p>
        </w:tc>
        <w:tc>
          <w:tcPr>
            <w:tcW w:w="1236" w:type="dxa"/>
          </w:tcPr>
          <w:p w14:paraId="201F6F96" w14:textId="69140287" w:rsidR="00B551B5" w:rsidRPr="00E139C5" w:rsidRDefault="00B551B5" w:rsidP="00B551B5">
            <w:pPr>
              <w:spacing w:line="276" w:lineRule="auto"/>
              <w:jc w:val="right"/>
              <w:rPr>
                <w:szCs w:val="24"/>
              </w:rPr>
            </w:pPr>
          </w:p>
        </w:tc>
        <w:tc>
          <w:tcPr>
            <w:tcW w:w="1236" w:type="dxa"/>
          </w:tcPr>
          <w:p w14:paraId="71089AAA" w14:textId="3FB1ECDB" w:rsidR="00B551B5" w:rsidRPr="00E139C5" w:rsidRDefault="00B551B5" w:rsidP="00B551B5">
            <w:pPr>
              <w:spacing w:line="276" w:lineRule="auto"/>
              <w:jc w:val="right"/>
              <w:rPr>
                <w:szCs w:val="24"/>
              </w:rPr>
            </w:pPr>
          </w:p>
        </w:tc>
      </w:tr>
      <w:tr w:rsidR="00B551B5" w:rsidRPr="00E139C5" w14:paraId="6A33D8BC" w14:textId="77777777" w:rsidTr="005845A7">
        <w:trPr>
          <w:divId w:val="1261141582"/>
          <w:trHeight w:val="375"/>
        </w:trPr>
        <w:tc>
          <w:tcPr>
            <w:tcW w:w="3077" w:type="dxa"/>
            <w:hideMark/>
          </w:tcPr>
          <w:p w14:paraId="2E18C82B" w14:textId="194196DB" w:rsidR="00B551B5" w:rsidRPr="00E139C5" w:rsidRDefault="00B551B5" w:rsidP="00B551B5">
            <w:pPr>
              <w:spacing w:line="276" w:lineRule="auto"/>
              <w:rPr>
                <w:bCs/>
                <w:szCs w:val="24"/>
              </w:rPr>
            </w:pPr>
            <w:r w:rsidRPr="00E139C5">
              <w:rPr>
                <w:b/>
                <w:bCs/>
                <w:szCs w:val="24"/>
              </w:rPr>
              <w:t>Kosto e zbritur</w:t>
            </w:r>
            <w:r w:rsidRPr="00E139C5">
              <w:rPr>
                <w:szCs w:val="24"/>
              </w:rPr>
              <w:t>= Kosto në total x Faktori zbritës</w:t>
            </w:r>
            <w:r>
              <w:rPr>
                <w:szCs w:val="24"/>
              </w:rPr>
              <w:t xml:space="preserve"> (0.05)</w:t>
            </w:r>
          </w:p>
        </w:tc>
        <w:tc>
          <w:tcPr>
            <w:tcW w:w="1273" w:type="dxa"/>
          </w:tcPr>
          <w:p w14:paraId="07C3D5F1" w14:textId="70DBFE62" w:rsidR="00B551B5" w:rsidRPr="00B551B5" w:rsidRDefault="00B551B5" w:rsidP="00B551B5">
            <w:pPr>
              <w:spacing w:line="276" w:lineRule="auto"/>
              <w:ind w:left="-108" w:firstLine="108"/>
              <w:jc w:val="right"/>
              <w:rPr>
                <w:color w:val="4F81BD" w:themeColor="accent1"/>
                <w:szCs w:val="24"/>
              </w:rPr>
            </w:pPr>
            <w:r w:rsidRPr="00B551B5">
              <w:rPr>
                <w:color w:val="4F81BD" w:themeColor="accent1"/>
              </w:rPr>
              <w:t xml:space="preserve">    18 012 977 </w:t>
            </w:r>
          </w:p>
        </w:tc>
        <w:tc>
          <w:tcPr>
            <w:tcW w:w="1273" w:type="dxa"/>
          </w:tcPr>
          <w:p w14:paraId="7EF33A7D" w14:textId="1D3E779F" w:rsidR="00B551B5" w:rsidRPr="00B551B5" w:rsidRDefault="00B551B5" w:rsidP="00B551B5">
            <w:pPr>
              <w:spacing w:line="276" w:lineRule="auto"/>
              <w:ind w:left="-108" w:firstLine="108"/>
              <w:jc w:val="right"/>
              <w:rPr>
                <w:color w:val="4F81BD" w:themeColor="accent1"/>
                <w:szCs w:val="24"/>
              </w:rPr>
            </w:pPr>
            <w:r w:rsidRPr="00B551B5">
              <w:rPr>
                <w:color w:val="4F81BD" w:themeColor="accent1"/>
              </w:rPr>
              <w:t xml:space="preserve">        17 636 319 </w:t>
            </w:r>
          </w:p>
        </w:tc>
        <w:tc>
          <w:tcPr>
            <w:tcW w:w="1273" w:type="dxa"/>
          </w:tcPr>
          <w:p w14:paraId="5417D99A" w14:textId="44114461" w:rsidR="00B551B5" w:rsidRPr="00B551B5" w:rsidRDefault="00B551B5" w:rsidP="00B551B5">
            <w:pPr>
              <w:spacing w:line="276" w:lineRule="auto"/>
              <w:jc w:val="right"/>
              <w:rPr>
                <w:color w:val="4F81BD" w:themeColor="accent1"/>
                <w:szCs w:val="24"/>
              </w:rPr>
            </w:pPr>
            <w:r w:rsidRPr="00B551B5">
              <w:rPr>
                <w:color w:val="4F81BD" w:themeColor="accent1"/>
              </w:rPr>
              <w:t xml:space="preserve">        17 770 367 </w:t>
            </w:r>
          </w:p>
        </w:tc>
        <w:tc>
          <w:tcPr>
            <w:tcW w:w="1149" w:type="dxa"/>
          </w:tcPr>
          <w:p w14:paraId="3203BD17" w14:textId="622C13E3" w:rsidR="00B551B5" w:rsidRPr="00E139C5" w:rsidRDefault="00B551B5" w:rsidP="00B551B5">
            <w:pPr>
              <w:spacing w:line="276" w:lineRule="auto"/>
              <w:jc w:val="right"/>
              <w:rPr>
                <w:szCs w:val="24"/>
              </w:rPr>
            </w:pPr>
            <w:r w:rsidRPr="00BC1CFB">
              <w:rPr>
                <w:szCs w:val="24"/>
              </w:rPr>
              <w:t>-</w:t>
            </w:r>
          </w:p>
        </w:tc>
        <w:tc>
          <w:tcPr>
            <w:tcW w:w="1063" w:type="dxa"/>
          </w:tcPr>
          <w:p w14:paraId="5479F485" w14:textId="25EFF79F" w:rsidR="00B551B5" w:rsidRPr="00E139C5" w:rsidRDefault="00B551B5" w:rsidP="00B551B5">
            <w:pPr>
              <w:spacing w:line="276" w:lineRule="auto"/>
              <w:jc w:val="right"/>
              <w:rPr>
                <w:szCs w:val="24"/>
              </w:rPr>
            </w:pPr>
            <w:r w:rsidRPr="00BC1CFB">
              <w:rPr>
                <w:szCs w:val="24"/>
              </w:rPr>
              <w:t>-</w:t>
            </w:r>
          </w:p>
        </w:tc>
        <w:tc>
          <w:tcPr>
            <w:tcW w:w="1236" w:type="dxa"/>
          </w:tcPr>
          <w:p w14:paraId="65A671FF" w14:textId="171C7453" w:rsidR="00B551B5" w:rsidRPr="00E139C5" w:rsidRDefault="00B551B5" w:rsidP="00B551B5">
            <w:pPr>
              <w:spacing w:line="276" w:lineRule="auto"/>
              <w:jc w:val="right"/>
              <w:rPr>
                <w:szCs w:val="24"/>
              </w:rPr>
            </w:pPr>
            <w:r w:rsidRPr="00BC1CFB">
              <w:rPr>
                <w:szCs w:val="24"/>
              </w:rPr>
              <w:t>-</w:t>
            </w:r>
          </w:p>
        </w:tc>
        <w:tc>
          <w:tcPr>
            <w:tcW w:w="1063" w:type="dxa"/>
          </w:tcPr>
          <w:p w14:paraId="3D70421E" w14:textId="029AE77D" w:rsidR="00B551B5" w:rsidRPr="00E139C5" w:rsidRDefault="00B551B5" w:rsidP="00B551B5">
            <w:pPr>
              <w:spacing w:line="276" w:lineRule="auto"/>
              <w:jc w:val="right"/>
              <w:rPr>
                <w:szCs w:val="24"/>
              </w:rPr>
            </w:pPr>
            <w:r w:rsidRPr="00BC1CFB">
              <w:rPr>
                <w:szCs w:val="24"/>
              </w:rPr>
              <w:t>-</w:t>
            </w:r>
          </w:p>
        </w:tc>
        <w:tc>
          <w:tcPr>
            <w:tcW w:w="1236" w:type="dxa"/>
          </w:tcPr>
          <w:p w14:paraId="16A543C1" w14:textId="407F62DD" w:rsidR="00B551B5" w:rsidRPr="00E139C5" w:rsidRDefault="00B551B5" w:rsidP="00B551B5">
            <w:pPr>
              <w:spacing w:line="276" w:lineRule="auto"/>
              <w:jc w:val="right"/>
              <w:rPr>
                <w:szCs w:val="24"/>
              </w:rPr>
            </w:pPr>
            <w:r w:rsidRPr="00BC1CFB">
              <w:rPr>
                <w:szCs w:val="24"/>
              </w:rPr>
              <w:t>-</w:t>
            </w:r>
          </w:p>
        </w:tc>
        <w:tc>
          <w:tcPr>
            <w:tcW w:w="1236" w:type="dxa"/>
          </w:tcPr>
          <w:p w14:paraId="5D250832" w14:textId="4DDDBAD3" w:rsidR="00B551B5" w:rsidRPr="00E139C5" w:rsidRDefault="00B551B5" w:rsidP="00B551B5">
            <w:pPr>
              <w:spacing w:line="276" w:lineRule="auto"/>
              <w:jc w:val="right"/>
              <w:rPr>
                <w:szCs w:val="24"/>
              </w:rPr>
            </w:pPr>
            <w:r w:rsidRPr="00BC1CFB">
              <w:rPr>
                <w:szCs w:val="24"/>
              </w:rPr>
              <w:t>-</w:t>
            </w:r>
          </w:p>
        </w:tc>
        <w:tc>
          <w:tcPr>
            <w:tcW w:w="1236" w:type="dxa"/>
          </w:tcPr>
          <w:p w14:paraId="70B85222" w14:textId="687932BB" w:rsidR="00B551B5" w:rsidRPr="00E139C5" w:rsidRDefault="00B551B5" w:rsidP="00B551B5">
            <w:pPr>
              <w:spacing w:line="276" w:lineRule="auto"/>
              <w:jc w:val="right"/>
              <w:rPr>
                <w:szCs w:val="24"/>
              </w:rPr>
            </w:pPr>
            <w:r w:rsidRPr="00BC1CFB">
              <w:rPr>
                <w:szCs w:val="24"/>
              </w:rPr>
              <w:t>-</w:t>
            </w:r>
          </w:p>
        </w:tc>
      </w:tr>
      <w:tr w:rsidR="003B5B49" w:rsidRPr="00E139C5" w14:paraId="33563E79" w14:textId="77777777" w:rsidTr="00B551B5">
        <w:trPr>
          <w:divId w:val="1261141582"/>
          <w:trHeight w:val="255"/>
        </w:trPr>
        <w:tc>
          <w:tcPr>
            <w:tcW w:w="3077" w:type="dxa"/>
            <w:hideMark/>
          </w:tcPr>
          <w:p w14:paraId="620EA433" w14:textId="77777777" w:rsidR="003B5B49" w:rsidRPr="00E139C5" w:rsidRDefault="003B5B49" w:rsidP="003B5B49">
            <w:pPr>
              <w:spacing w:line="276" w:lineRule="auto"/>
              <w:rPr>
                <w:szCs w:val="24"/>
              </w:rPr>
            </w:pPr>
            <w:r w:rsidRPr="00E139C5">
              <w:rPr>
                <w:szCs w:val="24"/>
              </w:rPr>
              <w:t>Përfitimet për buxhetin – një herë</w:t>
            </w:r>
          </w:p>
        </w:tc>
        <w:tc>
          <w:tcPr>
            <w:tcW w:w="1273" w:type="dxa"/>
          </w:tcPr>
          <w:p w14:paraId="66BE14B0" w14:textId="20DD6143" w:rsidR="003B5B49" w:rsidRPr="00E139C5" w:rsidRDefault="003B5B49" w:rsidP="003B5B49">
            <w:pPr>
              <w:spacing w:line="276" w:lineRule="auto"/>
              <w:ind w:left="-108" w:firstLine="108"/>
              <w:jc w:val="right"/>
              <w:rPr>
                <w:szCs w:val="24"/>
              </w:rPr>
            </w:pPr>
            <w:r w:rsidRPr="00BC1CFB">
              <w:rPr>
                <w:szCs w:val="24"/>
              </w:rPr>
              <w:t>-</w:t>
            </w:r>
          </w:p>
        </w:tc>
        <w:tc>
          <w:tcPr>
            <w:tcW w:w="1273" w:type="dxa"/>
          </w:tcPr>
          <w:p w14:paraId="252C8DD0" w14:textId="0CEE780E" w:rsidR="003B5B49" w:rsidRPr="00E139C5" w:rsidRDefault="003B5B49" w:rsidP="003B5B49">
            <w:pPr>
              <w:spacing w:line="276" w:lineRule="auto"/>
              <w:ind w:left="-108" w:firstLine="108"/>
              <w:jc w:val="right"/>
              <w:rPr>
                <w:szCs w:val="24"/>
              </w:rPr>
            </w:pPr>
            <w:r w:rsidRPr="00BC1CFB">
              <w:rPr>
                <w:szCs w:val="24"/>
              </w:rPr>
              <w:t>-</w:t>
            </w:r>
          </w:p>
        </w:tc>
        <w:tc>
          <w:tcPr>
            <w:tcW w:w="1273" w:type="dxa"/>
          </w:tcPr>
          <w:p w14:paraId="3949314A" w14:textId="492A6456" w:rsidR="003B5B49" w:rsidRPr="00E139C5" w:rsidRDefault="003B5B49" w:rsidP="003B5B49">
            <w:pPr>
              <w:spacing w:line="276" w:lineRule="auto"/>
              <w:jc w:val="right"/>
              <w:rPr>
                <w:szCs w:val="24"/>
              </w:rPr>
            </w:pPr>
            <w:r w:rsidRPr="00BC1CFB">
              <w:rPr>
                <w:szCs w:val="24"/>
              </w:rPr>
              <w:t>-</w:t>
            </w:r>
          </w:p>
        </w:tc>
        <w:tc>
          <w:tcPr>
            <w:tcW w:w="1149" w:type="dxa"/>
          </w:tcPr>
          <w:p w14:paraId="47F4BDB9" w14:textId="5003D530" w:rsidR="003B5B49" w:rsidRPr="00E139C5" w:rsidRDefault="003B5B49" w:rsidP="003B5B49">
            <w:pPr>
              <w:spacing w:line="276" w:lineRule="auto"/>
              <w:jc w:val="right"/>
              <w:rPr>
                <w:szCs w:val="24"/>
              </w:rPr>
            </w:pPr>
            <w:r w:rsidRPr="00BC1CFB">
              <w:rPr>
                <w:szCs w:val="24"/>
              </w:rPr>
              <w:t>-</w:t>
            </w:r>
          </w:p>
        </w:tc>
        <w:tc>
          <w:tcPr>
            <w:tcW w:w="1063" w:type="dxa"/>
          </w:tcPr>
          <w:p w14:paraId="131F33E2" w14:textId="01FB508E" w:rsidR="003B5B49" w:rsidRPr="00E139C5" w:rsidRDefault="003B5B49" w:rsidP="003B5B49">
            <w:pPr>
              <w:spacing w:line="276" w:lineRule="auto"/>
              <w:jc w:val="right"/>
              <w:rPr>
                <w:szCs w:val="24"/>
              </w:rPr>
            </w:pPr>
            <w:r w:rsidRPr="00BC1CFB">
              <w:rPr>
                <w:szCs w:val="24"/>
              </w:rPr>
              <w:t>-</w:t>
            </w:r>
          </w:p>
        </w:tc>
        <w:tc>
          <w:tcPr>
            <w:tcW w:w="1236" w:type="dxa"/>
          </w:tcPr>
          <w:p w14:paraId="2F161821" w14:textId="39A74C93" w:rsidR="003B5B49" w:rsidRPr="00E139C5" w:rsidRDefault="003B5B49" w:rsidP="003B5B49">
            <w:pPr>
              <w:spacing w:line="276" w:lineRule="auto"/>
              <w:jc w:val="right"/>
              <w:rPr>
                <w:szCs w:val="24"/>
              </w:rPr>
            </w:pPr>
            <w:r w:rsidRPr="00BC1CFB">
              <w:rPr>
                <w:szCs w:val="24"/>
              </w:rPr>
              <w:t>-</w:t>
            </w:r>
          </w:p>
        </w:tc>
        <w:tc>
          <w:tcPr>
            <w:tcW w:w="1063" w:type="dxa"/>
          </w:tcPr>
          <w:p w14:paraId="7DA87836" w14:textId="0BAF5D69" w:rsidR="003B5B49" w:rsidRPr="00E139C5" w:rsidRDefault="003B5B49" w:rsidP="003B5B49">
            <w:pPr>
              <w:spacing w:line="276" w:lineRule="auto"/>
              <w:jc w:val="right"/>
              <w:rPr>
                <w:szCs w:val="24"/>
              </w:rPr>
            </w:pPr>
            <w:r w:rsidRPr="00BC1CFB">
              <w:rPr>
                <w:szCs w:val="24"/>
              </w:rPr>
              <w:t>-</w:t>
            </w:r>
          </w:p>
        </w:tc>
        <w:tc>
          <w:tcPr>
            <w:tcW w:w="1236" w:type="dxa"/>
          </w:tcPr>
          <w:p w14:paraId="4318A1BC" w14:textId="72009678" w:rsidR="003B5B49" w:rsidRPr="00E139C5" w:rsidRDefault="003B5B49" w:rsidP="003B5B49">
            <w:pPr>
              <w:spacing w:line="276" w:lineRule="auto"/>
              <w:jc w:val="right"/>
              <w:rPr>
                <w:szCs w:val="24"/>
              </w:rPr>
            </w:pPr>
            <w:r w:rsidRPr="00BC1CFB">
              <w:rPr>
                <w:szCs w:val="24"/>
              </w:rPr>
              <w:t>-</w:t>
            </w:r>
          </w:p>
        </w:tc>
        <w:tc>
          <w:tcPr>
            <w:tcW w:w="1236" w:type="dxa"/>
          </w:tcPr>
          <w:p w14:paraId="2301755A" w14:textId="4E5501E0" w:rsidR="003B5B49" w:rsidRPr="00E139C5" w:rsidRDefault="003B5B49" w:rsidP="003B5B49">
            <w:pPr>
              <w:spacing w:line="276" w:lineRule="auto"/>
              <w:jc w:val="right"/>
              <w:rPr>
                <w:szCs w:val="24"/>
              </w:rPr>
            </w:pPr>
            <w:r w:rsidRPr="00BC1CFB">
              <w:rPr>
                <w:szCs w:val="24"/>
              </w:rPr>
              <w:t>-</w:t>
            </w:r>
          </w:p>
        </w:tc>
        <w:tc>
          <w:tcPr>
            <w:tcW w:w="1236" w:type="dxa"/>
          </w:tcPr>
          <w:p w14:paraId="09FFBF30" w14:textId="0C9C1D2F" w:rsidR="003B5B49" w:rsidRPr="00E139C5" w:rsidRDefault="003B5B49" w:rsidP="003B5B49">
            <w:pPr>
              <w:spacing w:line="276" w:lineRule="auto"/>
              <w:jc w:val="right"/>
              <w:rPr>
                <w:szCs w:val="24"/>
              </w:rPr>
            </w:pPr>
            <w:r w:rsidRPr="00BC1CFB">
              <w:rPr>
                <w:szCs w:val="24"/>
              </w:rPr>
              <w:t>-</w:t>
            </w:r>
          </w:p>
        </w:tc>
      </w:tr>
      <w:tr w:rsidR="003B5B49" w:rsidRPr="00E139C5" w14:paraId="1BECE69A" w14:textId="77777777" w:rsidTr="00B551B5">
        <w:trPr>
          <w:divId w:val="1261141582"/>
          <w:trHeight w:val="255"/>
        </w:trPr>
        <w:tc>
          <w:tcPr>
            <w:tcW w:w="3077" w:type="dxa"/>
            <w:hideMark/>
          </w:tcPr>
          <w:p w14:paraId="0EA77DFA" w14:textId="77777777" w:rsidR="003B5B49" w:rsidRPr="00E139C5" w:rsidRDefault="003B5B49" w:rsidP="003B5B49">
            <w:pPr>
              <w:spacing w:line="276" w:lineRule="auto"/>
              <w:rPr>
                <w:szCs w:val="24"/>
              </w:rPr>
            </w:pPr>
            <w:r w:rsidRPr="00E139C5">
              <w:rPr>
                <w:szCs w:val="24"/>
              </w:rPr>
              <w:t>Përfitimet për buxhetin – në vazhdimësi</w:t>
            </w:r>
          </w:p>
        </w:tc>
        <w:tc>
          <w:tcPr>
            <w:tcW w:w="1273" w:type="dxa"/>
          </w:tcPr>
          <w:p w14:paraId="4A98A760" w14:textId="67E916E9" w:rsidR="003B5B49" w:rsidRPr="00E139C5" w:rsidRDefault="003B5B49" w:rsidP="003B5B49">
            <w:pPr>
              <w:spacing w:line="276" w:lineRule="auto"/>
              <w:ind w:left="-108" w:firstLine="108"/>
              <w:jc w:val="right"/>
              <w:rPr>
                <w:szCs w:val="24"/>
              </w:rPr>
            </w:pPr>
            <w:r w:rsidRPr="00BC1CFB">
              <w:rPr>
                <w:szCs w:val="24"/>
              </w:rPr>
              <w:t>-</w:t>
            </w:r>
          </w:p>
        </w:tc>
        <w:tc>
          <w:tcPr>
            <w:tcW w:w="1273" w:type="dxa"/>
          </w:tcPr>
          <w:p w14:paraId="5D59F99F" w14:textId="33806B02" w:rsidR="003B5B49" w:rsidRPr="00E139C5" w:rsidRDefault="003B5B49" w:rsidP="003B5B49">
            <w:pPr>
              <w:spacing w:line="276" w:lineRule="auto"/>
              <w:ind w:left="-108" w:firstLine="108"/>
              <w:jc w:val="right"/>
              <w:rPr>
                <w:szCs w:val="24"/>
              </w:rPr>
            </w:pPr>
            <w:r w:rsidRPr="00BC1CFB">
              <w:rPr>
                <w:szCs w:val="24"/>
              </w:rPr>
              <w:t>-</w:t>
            </w:r>
          </w:p>
        </w:tc>
        <w:tc>
          <w:tcPr>
            <w:tcW w:w="1273" w:type="dxa"/>
          </w:tcPr>
          <w:p w14:paraId="5FCA2A3E" w14:textId="7A5825AF" w:rsidR="003B5B49" w:rsidRPr="00E139C5" w:rsidRDefault="003B5B49" w:rsidP="003B5B49">
            <w:pPr>
              <w:spacing w:line="276" w:lineRule="auto"/>
              <w:jc w:val="right"/>
              <w:rPr>
                <w:szCs w:val="24"/>
              </w:rPr>
            </w:pPr>
            <w:r w:rsidRPr="00BC1CFB">
              <w:rPr>
                <w:szCs w:val="24"/>
              </w:rPr>
              <w:t>-</w:t>
            </w:r>
          </w:p>
        </w:tc>
        <w:tc>
          <w:tcPr>
            <w:tcW w:w="1149" w:type="dxa"/>
          </w:tcPr>
          <w:p w14:paraId="69C3726C" w14:textId="3E167797" w:rsidR="003B5B49" w:rsidRPr="00E139C5" w:rsidRDefault="003B5B49" w:rsidP="003B5B49">
            <w:pPr>
              <w:spacing w:line="276" w:lineRule="auto"/>
              <w:jc w:val="right"/>
              <w:rPr>
                <w:szCs w:val="24"/>
              </w:rPr>
            </w:pPr>
            <w:r w:rsidRPr="00BC1CFB">
              <w:rPr>
                <w:szCs w:val="24"/>
              </w:rPr>
              <w:t>-</w:t>
            </w:r>
          </w:p>
        </w:tc>
        <w:tc>
          <w:tcPr>
            <w:tcW w:w="1063" w:type="dxa"/>
          </w:tcPr>
          <w:p w14:paraId="0A099AA4" w14:textId="214DF722" w:rsidR="003B5B49" w:rsidRPr="00E139C5" w:rsidRDefault="003B5B49" w:rsidP="003B5B49">
            <w:pPr>
              <w:spacing w:line="276" w:lineRule="auto"/>
              <w:jc w:val="right"/>
              <w:rPr>
                <w:szCs w:val="24"/>
              </w:rPr>
            </w:pPr>
            <w:r w:rsidRPr="00BC1CFB">
              <w:rPr>
                <w:szCs w:val="24"/>
              </w:rPr>
              <w:t>-</w:t>
            </w:r>
          </w:p>
        </w:tc>
        <w:tc>
          <w:tcPr>
            <w:tcW w:w="1236" w:type="dxa"/>
          </w:tcPr>
          <w:p w14:paraId="2D7E2D4B" w14:textId="6231749F" w:rsidR="003B5B49" w:rsidRPr="00E139C5" w:rsidRDefault="003B5B49" w:rsidP="003B5B49">
            <w:pPr>
              <w:spacing w:line="276" w:lineRule="auto"/>
              <w:jc w:val="right"/>
              <w:rPr>
                <w:szCs w:val="24"/>
              </w:rPr>
            </w:pPr>
            <w:r w:rsidRPr="00BC1CFB">
              <w:rPr>
                <w:szCs w:val="24"/>
              </w:rPr>
              <w:t>-</w:t>
            </w:r>
          </w:p>
        </w:tc>
        <w:tc>
          <w:tcPr>
            <w:tcW w:w="1063" w:type="dxa"/>
          </w:tcPr>
          <w:p w14:paraId="5C9C540F" w14:textId="619F450F" w:rsidR="003B5B49" w:rsidRPr="00E139C5" w:rsidRDefault="003B5B49" w:rsidP="003B5B49">
            <w:pPr>
              <w:spacing w:line="276" w:lineRule="auto"/>
              <w:jc w:val="right"/>
              <w:rPr>
                <w:szCs w:val="24"/>
              </w:rPr>
            </w:pPr>
            <w:r w:rsidRPr="00BC1CFB">
              <w:rPr>
                <w:szCs w:val="24"/>
              </w:rPr>
              <w:t>-</w:t>
            </w:r>
          </w:p>
        </w:tc>
        <w:tc>
          <w:tcPr>
            <w:tcW w:w="1236" w:type="dxa"/>
          </w:tcPr>
          <w:p w14:paraId="7451BE07" w14:textId="1B995FCC" w:rsidR="003B5B49" w:rsidRPr="00E139C5" w:rsidRDefault="003B5B49" w:rsidP="003B5B49">
            <w:pPr>
              <w:spacing w:line="276" w:lineRule="auto"/>
              <w:jc w:val="right"/>
              <w:rPr>
                <w:szCs w:val="24"/>
              </w:rPr>
            </w:pPr>
            <w:r w:rsidRPr="00BC1CFB">
              <w:rPr>
                <w:szCs w:val="24"/>
              </w:rPr>
              <w:t>-</w:t>
            </w:r>
          </w:p>
        </w:tc>
        <w:tc>
          <w:tcPr>
            <w:tcW w:w="1236" w:type="dxa"/>
          </w:tcPr>
          <w:p w14:paraId="7EF41909" w14:textId="2E35C452" w:rsidR="003B5B49" w:rsidRPr="00E139C5" w:rsidRDefault="003B5B49" w:rsidP="003B5B49">
            <w:pPr>
              <w:spacing w:line="276" w:lineRule="auto"/>
              <w:jc w:val="right"/>
              <w:rPr>
                <w:szCs w:val="24"/>
              </w:rPr>
            </w:pPr>
            <w:r w:rsidRPr="00BC1CFB">
              <w:rPr>
                <w:szCs w:val="24"/>
              </w:rPr>
              <w:t>-</w:t>
            </w:r>
          </w:p>
        </w:tc>
        <w:tc>
          <w:tcPr>
            <w:tcW w:w="1236" w:type="dxa"/>
          </w:tcPr>
          <w:p w14:paraId="75717044" w14:textId="5C18411B" w:rsidR="003B5B49" w:rsidRPr="00E139C5" w:rsidRDefault="003B5B49" w:rsidP="003B5B49">
            <w:pPr>
              <w:spacing w:line="276" w:lineRule="auto"/>
              <w:jc w:val="right"/>
              <w:rPr>
                <w:szCs w:val="24"/>
              </w:rPr>
            </w:pPr>
            <w:r w:rsidRPr="00BC1CFB">
              <w:rPr>
                <w:szCs w:val="24"/>
              </w:rPr>
              <w:t>-</w:t>
            </w:r>
          </w:p>
        </w:tc>
      </w:tr>
      <w:tr w:rsidR="00D212A3" w:rsidRPr="00E139C5" w14:paraId="291B8639" w14:textId="77777777" w:rsidTr="00B551B5">
        <w:trPr>
          <w:divId w:val="1261141582"/>
          <w:trHeight w:val="255"/>
        </w:trPr>
        <w:tc>
          <w:tcPr>
            <w:tcW w:w="3077" w:type="dxa"/>
            <w:hideMark/>
          </w:tcPr>
          <w:p w14:paraId="6A576C32" w14:textId="77777777" w:rsidR="00D212A3" w:rsidRPr="00E139C5" w:rsidRDefault="00D212A3" w:rsidP="00D212A3">
            <w:pPr>
              <w:spacing w:line="276" w:lineRule="auto"/>
              <w:rPr>
                <w:szCs w:val="24"/>
              </w:rPr>
            </w:pPr>
            <w:r w:rsidRPr="00E139C5">
              <w:rPr>
                <w:szCs w:val="24"/>
              </w:rPr>
              <w:t>Përfitimet për grupet e tjera – një herë</w:t>
            </w:r>
          </w:p>
        </w:tc>
        <w:tc>
          <w:tcPr>
            <w:tcW w:w="1273" w:type="dxa"/>
          </w:tcPr>
          <w:p w14:paraId="36DEBA98" w14:textId="6D945F1F" w:rsidR="00D212A3" w:rsidRPr="00D212A3" w:rsidRDefault="00D212A3" w:rsidP="00D212A3">
            <w:pPr>
              <w:spacing w:line="276" w:lineRule="auto"/>
              <w:ind w:left="-108" w:firstLine="108"/>
              <w:jc w:val="right"/>
              <w:rPr>
                <w:color w:val="4F81BD" w:themeColor="accent1"/>
                <w:szCs w:val="24"/>
              </w:rPr>
            </w:pPr>
            <w:r w:rsidRPr="00D212A3">
              <w:rPr>
                <w:color w:val="4F81BD" w:themeColor="accent1"/>
              </w:rPr>
              <w:t xml:space="preserve">18 012 977 </w:t>
            </w:r>
          </w:p>
        </w:tc>
        <w:tc>
          <w:tcPr>
            <w:tcW w:w="1273" w:type="dxa"/>
          </w:tcPr>
          <w:p w14:paraId="19A9196F" w14:textId="01400AA8" w:rsidR="00D212A3" w:rsidRPr="00D212A3" w:rsidRDefault="00D212A3" w:rsidP="00D212A3">
            <w:pPr>
              <w:spacing w:line="276" w:lineRule="auto"/>
              <w:ind w:left="-108" w:firstLine="108"/>
              <w:jc w:val="right"/>
              <w:rPr>
                <w:color w:val="4F81BD" w:themeColor="accent1"/>
                <w:szCs w:val="24"/>
              </w:rPr>
            </w:pPr>
            <w:r w:rsidRPr="00D212A3">
              <w:rPr>
                <w:color w:val="4F81BD" w:themeColor="accent1"/>
              </w:rPr>
              <w:t xml:space="preserve">17 636 319 </w:t>
            </w:r>
          </w:p>
        </w:tc>
        <w:tc>
          <w:tcPr>
            <w:tcW w:w="1273" w:type="dxa"/>
          </w:tcPr>
          <w:p w14:paraId="0741845B" w14:textId="50B83C4B" w:rsidR="00D212A3" w:rsidRPr="00D212A3" w:rsidRDefault="00D212A3" w:rsidP="00D212A3">
            <w:pPr>
              <w:spacing w:line="276" w:lineRule="auto"/>
              <w:jc w:val="right"/>
              <w:rPr>
                <w:color w:val="4F81BD" w:themeColor="accent1"/>
                <w:szCs w:val="24"/>
              </w:rPr>
            </w:pPr>
            <w:r w:rsidRPr="00D212A3">
              <w:rPr>
                <w:color w:val="4F81BD" w:themeColor="accent1"/>
              </w:rPr>
              <w:t xml:space="preserve">17 770 367 </w:t>
            </w:r>
          </w:p>
        </w:tc>
        <w:tc>
          <w:tcPr>
            <w:tcW w:w="1149" w:type="dxa"/>
          </w:tcPr>
          <w:p w14:paraId="777F400B" w14:textId="7EF6BDEF" w:rsidR="00D212A3" w:rsidRPr="00E139C5" w:rsidRDefault="00D212A3" w:rsidP="00D212A3">
            <w:pPr>
              <w:spacing w:line="276" w:lineRule="auto"/>
              <w:jc w:val="right"/>
              <w:rPr>
                <w:szCs w:val="24"/>
              </w:rPr>
            </w:pPr>
            <w:r w:rsidRPr="00BC1CFB">
              <w:rPr>
                <w:szCs w:val="24"/>
              </w:rPr>
              <w:t>-</w:t>
            </w:r>
          </w:p>
        </w:tc>
        <w:tc>
          <w:tcPr>
            <w:tcW w:w="1063" w:type="dxa"/>
          </w:tcPr>
          <w:p w14:paraId="67C8CD8B" w14:textId="470E98E3" w:rsidR="00D212A3" w:rsidRPr="00E139C5" w:rsidRDefault="00D212A3" w:rsidP="00D212A3">
            <w:pPr>
              <w:spacing w:line="276" w:lineRule="auto"/>
              <w:jc w:val="right"/>
              <w:rPr>
                <w:szCs w:val="24"/>
              </w:rPr>
            </w:pPr>
            <w:r w:rsidRPr="00BC1CFB">
              <w:rPr>
                <w:szCs w:val="24"/>
              </w:rPr>
              <w:t>-</w:t>
            </w:r>
          </w:p>
        </w:tc>
        <w:tc>
          <w:tcPr>
            <w:tcW w:w="1236" w:type="dxa"/>
          </w:tcPr>
          <w:p w14:paraId="1D824EE6" w14:textId="1E53F412" w:rsidR="00D212A3" w:rsidRPr="00E139C5" w:rsidRDefault="00D212A3" w:rsidP="00D212A3">
            <w:pPr>
              <w:spacing w:line="276" w:lineRule="auto"/>
              <w:jc w:val="right"/>
              <w:rPr>
                <w:szCs w:val="24"/>
              </w:rPr>
            </w:pPr>
            <w:r w:rsidRPr="00BC1CFB">
              <w:rPr>
                <w:szCs w:val="24"/>
              </w:rPr>
              <w:t>-</w:t>
            </w:r>
          </w:p>
        </w:tc>
        <w:tc>
          <w:tcPr>
            <w:tcW w:w="1063" w:type="dxa"/>
          </w:tcPr>
          <w:p w14:paraId="2B199BA2" w14:textId="36293EF6" w:rsidR="00D212A3" w:rsidRPr="00E139C5" w:rsidRDefault="00D212A3" w:rsidP="00D212A3">
            <w:pPr>
              <w:spacing w:line="276" w:lineRule="auto"/>
              <w:jc w:val="right"/>
              <w:rPr>
                <w:szCs w:val="24"/>
              </w:rPr>
            </w:pPr>
            <w:r w:rsidRPr="00BC1CFB">
              <w:rPr>
                <w:szCs w:val="24"/>
              </w:rPr>
              <w:t>-</w:t>
            </w:r>
          </w:p>
        </w:tc>
        <w:tc>
          <w:tcPr>
            <w:tcW w:w="1236" w:type="dxa"/>
          </w:tcPr>
          <w:p w14:paraId="107453AC" w14:textId="65FCE5A8" w:rsidR="00D212A3" w:rsidRPr="00E139C5" w:rsidRDefault="00D212A3" w:rsidP="00D212A3">
            <w:pPr>
              <w:spacing w:line="276" w:lineRule="auto"/>
              <w:jc w:val="right"/>
              <w:rPr>
                <w:szCs w:val="24"/>
              </w:rPr>
            </w:pPr>
            <w:r w:rsidRPr="00BC1CFB">
              <w:rPr>
                <w:szCs w:val="24"/>
              </w:rPr>
              <w:t>-</w:t>
            </w:r>
          </w:p>
        </w:tc>
        <w:tc>
          <w:tcPr>
            <w:tcW w:w="1236" w:type="dxa"/>
          </w:tcPr>
          <w:p w14:paraId="59BA9B57" w14:textId="5FB93E60" w:rsidR="00D212A3" w:rsidRPr="00E139C5" w:rsidRDefault="00D212A3" w:rsidP="00D212A3">
            <w:pPr>
              <w:spacing w:line="276" w:lineRule="auto"/>
              <w:jc w:val="right"/>
              <w:rPr>
                <w:szCs w:val="24"/>
              </w:rPr>
            </w:pPr>
            <w:r w:rsidRPr="00BC1CFB">
              <w:rPr>
                <w:szCs w:val="24"/>
              </w:rPr>
              <w:t>-</w:t>
            </w:r>
          </w:p>
        </w:tc>
        <w:tc>
          <w:tcPr>
            <w:tcW w:w="1236" w:type="dxa"/>
          </w:tcPr>
          <w:p w14:paraId="66E638BD" w14:textId="29868905" w:rsidR="00D212A3" w:rsidRPr="00E139C5" w:rsidRDefault="00D212A3" w:rsidP="00D212A3">
            <w:pPr>
              <w:spacing w:line="276" w:lineRule="auto"/>
              <w:jc w:val="right"/>
              <w:rPr>
                <w:szCs w:val="24"/>
              </w:rPr>
            </w:pPr>
            <w:r w:rsidRPr="00BC1CFB">
              <w:rPr>
                <w:szCs w:val="24"/>
              </w:rPr>
              <w:t>-</w:t>
            </w:r>
          </w:p>
        </w:tc>
      </w:tr>
      <w:tr w:rsidR="003B5B49" w:rsidRPr="00E139C5" w14:paraId="3616C53F" w14:textId="77777777" w:rsidTr="00B551B5">
        <w:trPr>
          <w:divId w:val="1261141582"/>
          <w:trHeight w:val="255"/>
        </w:trPr>
        <w:tc>
          <w:tcPr>
            <w:tcW w:w="3077" w:type="dxa"/>
            <w:hideMark/>
          </w:tcPr>
          <w:p w14:paraId="1FF91133" w14:textId="77777777" w:rsidR="003B5B49" w:rsidRPr="00E139C5" w:rsidRDefault="003B5B49" w:rsidP="003B5B49">
            <w:pPr>
              <w:spacing w:line="276" w:lineRule="auto"/>
              <w:rPr>
                <w:szCs w:val="24"/>
              </w:rPr>
            </w:pPr>
            <w:r w:rsidRPr="00E139C5">
              <w:rPr>
                <w:szCs w:val="24"/>
              </w:rPr>
              <w:t>Përfitimet për grupet e tjera – në vazhdimësi</w:t>
            </w:r>
          </w:p>
        </w:tc>
        <w:tc>
          <w:tcPr>
            <w:tcW w:w="1273" w:type="dxa"/>
          </w:tcPr>
          <w:p w14:paraId="311598DC" w14:textId="2D01E4F9" w:rsidR="003B5B49" w:rsidRPr="00E139C5" w:rsidRDefault="003B5B49" w:rsidP="003B5B49">
            <w:pPr>
              <w:spacing w:line="276" w:lineRule="auto"/>
              <w:ind w:left="-108" w:firstLine="108"/>
              <w:jc w:val="right"/>
              <w:rPr>
                <w:szCs w:val="24"/>
              </w:rPr>
            </w:pPr>
            <w:r w:rsidRPr="00BC1CFB">
              <w:rPr>
                <w:szCs w:val="24"/>
              </w:rPr>
              <w:t>-</w:t>
            </w:r>
          </w:p>
        </w:tc>
        <w:tc>
          <w:tcPr>
            <w:tcW w:w="1273" w:type="dxa"/>
          </w:tcPr>
          <w:p w14:paraId="249606C4" w14:textId="72F96488" w:rsidR="003B5B49" w:rsidRPr="00E139C5" w:rsidRDefault="003B5B49" w:rsidP="003B5B49">
            <w:pPr>
              <w:spacing w:line="276" w:lineRule="auto"/>
              <w:ind w:left="-108" w:firstLine="108"/>
              <w:jc w:val="right"/>
              <w:rPr>
                <w:szCs w:val="24"/>
              </w:rPr>
            </w:pPr>
            <w:r w:rsidRPr="00BC1CFB">
              <w:rPr>
                <w:szCs w:val="24"/>
              </w:rPr>
              <w:t>-</w:t>
            </w:r>
          </w:p>
        </w:tc>
        <w:tc>
          <w:tcPr>
            <w:tcW w:w="1273" w:type="dxa"/>
          </w:tcPr>
          <w:p w14:paraId="2A8E54B0" w14:textId="06E53760" w:rsidR="003B5B49" w:rsidRPr="00E139C5" w:rsidRDefault="003B5B49" w:rsidP="003B5B49">
            <w:pPr>
              <w:spacing w:line="276" w:lineRule="auto"/>
              <w:jc w:val="right"/>
              <w:rPr>
                <w:szCs w:val="24"/>
              </w:rPr>
            </w:pPr>
            <w:r w:rsidRPr="00BC1CFB">
              <w:rPr>
                <w:szCs w:val="24"/>
              </w:rPr>
              <w:t>-</w:t>
            </w:r>
          </w:p>
        </w:tc>
        <w:tc>
          <w:tcPr>
            <w:tcW w:w="1149" w:type="dxa"/>
          </w:tcPr>
          <w:p w14:paraId="3153A25B" w14:textId="5AE1711C" w:rsidR="003B5B49" w:rsidRPr="00E139C5" w:rsidRDefault="003B5B49" w:rsidP="003B5B49">
            <w:pPr>
              <w:spacing w:line="276" w:lineRule="auto"/>
              <w:jc w:val="right"/>
              <w:rPr>
                <w:szCs w:val="24"/>
              </w:rPr>
            </w:pPr>
            <w:r w:rsidRPr="00BC1CFB">
              <w:rPr>
                <w:szCs w:val="24"/>
              </w:rPr>
              <w:t>-</w:t>
            </w:r>
          </w:p>
        </w:tc>
        <w:tc>
          <w:tcPr>
            <w:tcW w:w="1063" w:type="dxa"/>
          </w:tcPr>
          <w:p w14:paraId="70883C4C" w14:textId="160C1C87" w:rsidR="003B5B49" w:rsidRPr="00E139C5" w:rsidRDefault="003B5B49" w:rsidP="003B5B49">
            <w:pPr>
              <w:spacing w:line="276" w:lineRule="auto"/>
              <w:jc w:val="right"/>
              <w:rPr>
                <w:szCs w:val="24"/>
              </w:rPr>
            </w:pPr>
            <w:r w:rsidRPr="00BC1CFB">
              <w:rPr>
                <w:szCs w:val="24"/>
              </w:rPr>
              <w:t>-</w:t>
            </w:r>
          </w:p>
        </w:tc>
        <w:tc>
          <w:tcPr>
            <w:tcW w:w="1236" w:type="dxa"/>
          </w:tcPr>
          <w:p w14:paraId="357E1523" w14:textId="15C71721" w:rsidR="003B5B49" w:rsidRPr="00E139C5" w:rsidRDefault="003B5B49" w:rsidP="003B5B49">
            <w:pPr>
              <w:spacing w:line="276" w:lineRule="auto"/>
              <w:jc w:val="right"/>
              <w:rPr>
                <w:szCs w:val="24"/>
              </w:rPr>
            </w:pPr>
            <w:r w:rsidRPr="00BC1CFB">
              <w:rPr>
                <w:szCs w:val="24"/>
              </w:rPr>
              <w:t>-</w:t>
            </w:r>
          </w:p>
        </w:tc>
        <w:tc>
          <w:tcPr>
            <w:tcW w:w="1063" w:type="dxa"/>
          </w:tcPr>
          <w:p w14:paraId="40FDBE59" w14:textId="67612AD9" w:rsidR="003B5B49" w:rsidRPr="00E139C5" w:rsidRDefault="003B5B49" w:rsidP="003B5B49">
            <w:pPr>
              <w:spacing w:line="276" w:lineRule="auto"/>
              <w:jc w:val="right"/>
              <w:rPr>
                <w:szCs w:val="24"/>
              </w:rPr>
            </w:pPr>
            <w:r w:rsidRPr="00BC1CFB">
              <w:rPr>
                <w:szCs w:val="24"/>
              </w:rPr>
              <w:t>-</w:t>
            </w:r>
          </w:p>
        </w:tc>
        <w:tc>
          <w:tcPr>
            <w:tcW w:w="1236" w:type="dxa"/>
          </w:tcPr>
          <w:p w14:paraId="617C45FB" w14:textId="320341FD" w:rsidR="003B5B49" w:rsidRPr="00E139C5" w:rsidRDefault="003B5B49" w:rsidP="003B5B49">
            <w:pPr>
              <w:spacing w:line="276" w:lineRule="auto"/>
              <w:jc w:val="right"/>
              <w:rPr>
                <w:szCs w:val="24"/>
              </w:rPr>
            </w:pPr>
            <w:r w:rsidRPr="00BC1CFB">
              <w:rPr>
                <w:szCs w:val="24"/>
              </w:rPr>
              <w:t>-</w:t>
            </w:r>
          </w:p>
        </w:tc>
        <w:tc>
          <w:tcPr>
            <w:tcW w:w="1236" w:type="dxa"/>
          </w:tcPr>
          <w:p w14:paraId="77958C5E" w14:textId="609AD8BE" w:rsidR="003B5B49" w:rsidRPr="00E139C5" w:rsidRDefault="003B5B49" w:rsidP="003B5B49">
            <w:pPr>
              <w:spacing w:line="276" w:lineRule="auto"/>
              <w:jc w:val="right"/>
              <w:rPr>
                <w:szCs w:val="24"/>
              </w:rPr>
            </w:pPr>
            <w:r w:rsidRPr="00BC1CFB">
              <w:rPr>
                <w:szCs w:val="24"/>
              </w:rPr>
              <w:t>-</w:t>
            </w:r>
          </w:p>
        </w:tc>
        <w:tc>
          <w:tcPr>
            <w:tcW w:w="1236" w:type="dxa"/>
          </w:tcPr>
          <w:p w14:paraId="3F36D85A" w14:textId="294340FC" w:rsidR="003B5B49" w:rsidRPr="00E139C5" w:rsidRDefault="003B5B49" w:rsidP="003B5B49">
            <w:pPr>
              <w:spacing w:line="276" w:lineRule="auto"/>
              <w:jc w:val="right"/>
              <w:rPr>
                <w:szCs w:val="24"/>
              </w:rPr>
            </w:pPr>
            <w:r w:rsidRPr="00BC1CFB">
              <w:rPr>
                <w:szCs w:val="24"/>
              </w:rPr>
              <w:t>-</w:t>
            </w:r>
          </w:p>
        </w:tc>
      </w:tr>
      <w:tr w:rsidR="003B5B49" w:rsidRPr="00E139C5" w14:paraId="6E53C29F" w14:textId="77777777" w:rsidTr="00B551B5">
        <w:trPr>
          <w:divId w:val="1261141582"/>
          <w:trHeight w:val="255"/>
        </w:trPr>
        <w:tc>
          <w:tcPr>
            <w:tcW w:w="3077" w:type="dxa"/>
            <w:hideMark/>
          </w:tcPr>
          <w:p w14:paraId="2299BF7B" w14:textId="77777777" w:rsidR="003B5B49" w:rsidRPr="00E139C5" w:rsidRDefault="003B5B49" w:rsidP="003B5B49">
            <w:pPr>
              <w:spacing w:line="276" w:lineRule="auto"/>
              <w:rPr>
                <w:szCs w:val="24"/>
              </w:rPr>
            </w:pPr>
            <w:r w:rsidRPr="00E139C5">
              <w:rPr>
                <w:szCs w:val="24"/>
              </w:rPr>
              <w:t>Përfitimet për biznesin – një herë</w:t>
            </w:r>
          </w:p>
        </w:tc>
        <w:tc>
          <w:tcPr>
            <w:tcW w:w="1273" w:type="dxa"/>
          </w:tcPr>
          <w:p w14:paraId="7F5390FF" w14:textId="3CB9E5B8" w:rsidR="003B5B49" w:rsidRPr="00E139C5" w:rsidRDefault="003B5B49" w:rsidP="003B5B49">
            <w:pPr>
              <w:spacing w:line="276" w:lineRule="auto"/>
              <w:ind w:left="-108" w:firstLine="108"/>
              <w:jc w:val="right"/>
              <w:rPr>
                <w:szCs w:val="24"/>
              </w:rPr>
            </w:pPr>
            <w:r w:rsidRPr="00BC1CFB">
              <w:rPr>
                <w:szCs w:val="24"/>
              </w:rPr>
              <w:t>-</w:t>
            </w:r>
          </w:p>
        </w:tc>
        <w:tc>
          <w:tcPr>
            <w:tcW w:w="1273" w:type="dxa"/>
          </w:tcPr>
          <w:p w14:paraId="43EE7322" w14:textId="6492A3D9" w:rsidR="003B5B49" w:rsidRPr="00E139C5" w:rsidRDefault="003B5B49" w:rsidP="003B5B49">
            <w:pPr>
              <w:spacing w:line="276" w:lineRule="auto"/>
              <w:ind w:left="-108" w:firstLine="108"/>
              <w:jc w:val="right"/>
              <w:rPr>
                <w:szCs w:val="24"/>
              </w:rPr>
            </w:pPr>
            <w:r w:rsidRPr="00BC1CFB">
              <w:rPr>
                <w:szCs w:val="24"/>
              </w:rPr>
              <w:t>-</w:t>
            </w:r>
          </w:p>
        </w:tc>
        <w:tc>
          <w:tcPr>
            <w:tcW w:w="1273" w:type="dxa"/>
          </w:tcPr>
          <w:p w14:paraId="2DC3B9CB" w14:textId="228A00A5" w:rsidR="003B5B49" w:rsidRPr="00E139C5" w:rsidRDefault="003B5B49" w:rsidP="003B5B49">
            <w:pPr>
              <w:spacing w:line="276" w:lineRule="auto"/>
              <w:jc w:val="right"/>
              <w:rPr>
                <w:szCs w:val="24"/>
              </w:rPr>
            </w:pPr>
            <w:r w:rsidRPr="00BC1CFB">
              <w:rPr>
                <w:szCs w:val="24"/>
              </w:rPr>
              <w:t>-</w:t>
            </w:r>
          </w:p>
        </w:tc>
        <w:tc>
          <w:tcPr>
            <w:tcW w:w="1149" w:type="dxa"/>
          </w:tcPr>
          <w:p w14:paraId="48BB5D70" w14:textId="15BD1F9C" w:rsidR="003B5B49" w:rsidRPr="00E139C5" w:rsidRDefault="003B5B49" w:rsidP="003B5B49">
            <w:pPr>
              <w:spacing w:line="276" w:lineRule="auto"/>
              <w:jc w:val="right"/>
              <w:rPr>
                <w:szCs w:val="24"/>
              </w:rPr>
            </w:pPr>
            <w:r w:rsidRPr="00BC1CFB">
              <w:rPr>
                <w:szCs w:val="24"/>
              </w:rPr>
              <w:t>-</w:t>
            </w:r>
          </w:p>
        </w:tc>
        <w:tc>
          <w:tcPr>
            <w:tcW w:w="1063" w:type="dxa"/>
          </w:tcPr>
          <w:p w14:paraId="56FC7079" w14:textId="69AF1546" w:rsidR="003B5B49" w:rsidRPr="00E139C5" w:rsidRDefault="003B5B49" w:rsidP="003B5B49">
            <w:pPr>
              <w:spacing w:line="276" w:lineRule="auto"/>
              <w:jc w:val="right"/>
              <w:rPr>
                <w:szCs w:val="24"/>
              </w:rPr>
            </w:pPr>
            <w:r w:rsidRPr="00BC1CFB">
              <w:rPr>
                <w:szCs w:val="24"/>
              </w:rPr>
              <w:t>-</w:t>
            </w:r>
          </w:p>
        </w:tc>
        <w:tc>
          <w:tcPr>
            <w:tcW w:w="1236" w:type="dxa"/>
          </w:tcPr>
          <w:p w14:paraId="2D73A32E" w14:textId="11CF167F" w:rsidR="003B5B49" w:rsidRPr="00E139C5" w:rsidRDefault="003B5B49" w:rsidP="003B5B49">
            <w:pPr>
              <w:spacing w:line="276" w:lineRule="auto"/>
              <w:jc w:val="right"/>
              <w:rPr>
                <w:szCs w:val="24"/>
              </w:rPr>
            </w:pPr>
            <w:r w:rsidRPr="00BC1CFB">
              <w:rPr>
                <w:szCs w:val="24"/>
              </w:rPr>
              <w:t>-</w:t>
            </w:r>
          </w:p>
        </w:tc>
        <w:tc>
          <w:tcPr>
            <w:tcW w:w="1063" w:type="dxa"/>
          </w:tcPr>
          <w:p w14:paraId="4847F1A7" w14:textId="15B5AB9D" w:rsidR="003B5B49" w:rsidRPr="00E139C5" w:rsidRDefault="003B5B49" w:rsidP="003B5B49">
            <w:pPr>
              <w:spacing w:line="276" w:lineRule="auto"/>
              <w:jc w:val="right"/>
              <w:rPr>
                <w:szCs w:val="24"/>
              </w:rPr>
            </w:pPr>
            <w:r w:rsidRPr="00BC1CFB">
              <w:rPr>
                <w:szCs w:val="24"/>
              </w:rPr>
              <w:t>-</w:t>
            </w:r>
          </w:p>
        </w:tc>
        <w:tc>
          <w:tcPr>
            <w:tcW w:w="1236" w:type="dxa"/>
          </w:tcPr>
          <w:p w14:paraId="0B0E7A9F" w14:textId="4207463A" w:rsidR="003B5B49" w:rsidRPr="00E139C5" w:rsidRDefault="003B5B49" w:rsidP="003B5B49">
            <w:pPr>
              <w:spacing w:line="276" w:lineRule="auto"/>
              <w:jc w:val="right"/>
              <w:rPr>
                <w:szCs w:val="24"/>
              </w:rPr>
            </w:pPr>
            <w:r w:rsidRPr="00BC1CFB">
              <w:rPr>
                <w:szCs w:val="24"/>
              </w:rPr>
              <w:t>-</w:t>
            </w:r>
          </w:p>
        </w:tc>
        <w:tc>
          <w:tcPr>
            <w:tcW w:w="1236" w:type="dxa"/>
          </w:tcPr>
          <w:p w14:paraId="4582EF44" w14:textId="2F79D222" w:rsidR="003B5B49" w:rsidRPr="00E139C5" w:rsidRDefault="003B5B49" w:rsidP="003B5B49">
            <w:pPr>
              <w:spacing w:line="276" w:lineRule="auto"/>
              <w:jc w:val="right"/>
              <w:rPr>
                <w:szCs w:val="24"/>
              </w:rPr>
            </w:pPr>
            <w:r w:rsidRPr="00BC1CFB">
              <w:rPr>
                <w:szCs w:val="24"/>
              </w:rPr>
              <w:t>-</w:t>
            </w:r>
          </w:p>
        </w:tc>
        <w:tc>
          <w:tcPr>
            <w:tcW w:w="1236" w:type="dxa"/>
          </w:tcPr>
          <w:p w14:paraId="4B21E4CF" w14:textId="1420D7EB" w:rsidR="003B5B49" w:rsidRPr="00E139C5" w:rsidRDefault="003B5B49" w:rsidP="003B5B49">
            <w:pPr>
              <w:spacing w:line="276" w:lineRule="auto"/>
              <w:jc w:val="right"/>
              <w:rPr>
                <w:szCs w:val="24"/>
              </w:rPr>
            </w:pPr>
            <w:r w:rsidRPr="00BC1CFB">
              <w:rPr>
                <w:szCs w:val="24"/>
              </w:rPr>
              <w:t>-</w:t>
            </w:r>
          </w:p>
        </w:tc>
      </w:tr>
      <w:tr w:rsidR="003B5B49" w:rsidRPr="00E139C5" w14:paraId="4E25EAAF" w14:textId="77777777" w:rsidTr="00B551B5">
        <w:trPr>
          <w:divId w:val="1261141582"/>
          <w:trHeight w:val="270"/>
        </w:trPr>
        <w:tc>
          <w:tcPr>
            <w:tcW w:w="3077" w:type="dxa"/>
            <w:hideMark/>
          </w:tcPr>
          <w:p w14:paraId="1E5E3D68" w14:textId="77777777" w:rsidR="003B5B49" w:rsidRPr="00E139C5" w:rsidRDefault="003B5B49" w:rsidP="003B5B49">
            <w:pPr>
              <w:spacing w:line="276" w:lineRule="auto"/>
              <w:rPr>
                <w:szCs w:val="24"/>
              </w:rPr>
            </w:pPr>
            <w:r w:rsidRPr="00E139C5">
              <w:rPr>
                <w:szCs w:val="24"/>
              </w:rPr>
              <w:lastRenderedPageBreak/>
              <w:t>Përfitimet për biznesin – në vazhdimësi</w:t>
            </w:r>
          </w:p>
        </w:tc>
        <w:tc>
          <w:tcPr>
            <w:tcW w:w="1273" w:type="dxa"/>
          </w:tcPr>
          <w:p w14:paraId="20668B23" w14:textId="42AEA5B3" w:rsidR="003B5B49" w:rsidRPr="00E139C5" w:rsidRDefault="003B5B49" w:rsidP="003B5B49">
            <w:pPr>
              <w:spacing w:line="276" w:lineRule="auto"/>
              <w:ind w:left="-108" w:firstLine="108"/>
              <w:jc w:val="right"/>
              <w:rPr>
                <w:szCs w:val="24"/>
              </w:rPr>
            </w:pPr>
            <w:r w:rsidRPr="00BC1CFB">
              <w:rPr>
                <w:szCs w:val="24"/>
              </w:rPr>
              <w:t>-</w:t>
            </w:r>
          </w:p>
        </w:tc>
        <w:tc>
          <w:tcPr>
            <w:tcW w:w="1273" w:type="dxa"/>
          </w:tcPr>
          <w:p w14:paraId="18F474B7" w14:textId="68A4B224" w:rsidR="003B5B49" w:rsidRPr="00E139C5" w:rsidRDefault="003B5B49" w:rsidP="003B5B49">
            <w:pPr>
              <w:spacing w:line="276" w:lineRule="auto"/>
              <w:ind w:left="-108" w:firstLine="108"/>
              <w:jc w:val="right"/>
              <w:rPr>
                <w:szCs w:val="24"/>
              </w:rPr>
            </w:pPr>
            <w:r w:rsidRPr="00BC1CFB">
              <w:rPr>
                <w:szCs w:val="24"/>
              </w:rPr>
              <w:t>-</w:t>
            </w:r>
          </w:p>
        </w:tc>
        <w:tc>
          <w:tcPr>
            <w:tcW w:w="1273" w:type="dxa"/>
          </w:tcPr>
          <w:p w14:paraId="752E5064" w14:textId="23477835" w:rsidR="003B5B49" w:rsidRPr="00E139C5" w:rsidRDefault="003B5B49" w:rsidP="003B5B49">
            <w:pPr>
              <w:spacing w:line="276" w:lineRule="auto"/>
              <w:jc w:val="right"/>
              <w:rPr>
                <w:szCs w:val="24"/>
              </w:rPr>
            </w:pPr>
            <w:r w:rsidRPr="00BC1CFB">
              <w:rPr>
                <w:szCs w:val="24"/>
              </w:rPr>
              <w:t>-</w:t>
            </w:r>
          </w:p>
        </w:tc>
        <w:tc>
          <w:tcPr>
            <w:tcW w:w="1149" w:type="dxa"/>
          </w:tcPr>
          <w:p w14:paraId="0CCF0A36" w14:textId="13724E62" w:rsidR="003B5B49" w:rsidRPr="00E139C5" w:rsidRDefault="003B5B49" w:rsidP="003B5B49">
            <w:pPr>
              <w:spacing w:line="276" w:lineRule="auto"/>
              <w:jc w:val="right"/>
              <w:rPr>
                <w:szCs w:val="24"/>
              </w:rPr>
            </w:pPr>
            <w:r w:rsidRPr="00BC1CFB">
              <w:rPr>
                <w:szCs w:val="24"/>
              </w:rPr>
              <w:t>-</w:t>
            </w:r>
          </w:p>
        </w:tc>
        <w:tc>
          <w:tcPr>
            <w:tcW w:w="1063" w:type="dxa"/>
          </w:tcPr>
          <w:p w14:paraId="7DC77315" w14:textId="7CCFFB0A" w:rsidR="003B5B49" w:rsidRPr="00E139C5" w:rsidRDefault="003B5B49" w:rsidP="003B5B49">
            <w:pPr>
              <w:spacing w:line="276" w:lineRule="auto"/>
              <w:jc w:val="right"/>
              <w:rPr>
                <w:szCs w:val="24"/>
              </w:rPr>
            </w:pPr>
            <w:r w:rsidRPr="00BC1CFB">
              <w:rPr>
                <w:szCs w:val="24"/>
              </w:rPr>
              <w:t>-</w:t>
            </w:r>
          </w:p>
        </w:tc>
        <w:tc>
          <w:tcPr>
            <w:tcW w:w="1236" w:type="dxa"/>
          </w:tcPr>
          <w:p w14:paraId="6796F90B" w14:textId="509EC0E1" w:rsidR="003B5B49" w:rsidRPr="00E139C5" w:rsidRDefault="003B5B49" w:rsidP="003B5B49">
            <w:pPr>
              <w:spacing w:line="276" w:lineRule="auto"/>
              <w:jc w:val="right"/>
              <w:rPr>
                <w:szCs w:val="24"/>
              </w:rPr>
            </w:pPr>
            <w:r w:rsidRPr="00BC1CFB">
              <w:rPr>
                <w:szCs w:val="24"/>
              </w:rPr>
              <w:t>-</w:t>
            </w:r>
          </w:p>
        </w:tc>
        <w:tc>
          <w:tcPr>
            <w:tcW w:w="1063" w:type="dxa"/>
          </w:tcPr>
          <w:p w14:paraId="25DD041F" w14:textId="75856546" w:rsidR="003B5B49" w:rsidRPr="00E139C5" w:rsidRDefault="003B5B49" w:rsidP="003B5B49">
            <w:pPr>
              <w:spacing w:line="276" w:lineRule="auto"/>
              <w:jc w:val="right"/>
              <w:rPr>
                <w:szCs w:val="24"/>
              </w:rPr>
            </w:pPr>
            <w:r w:rsidRPr="00BC1CFB">
              <w:rPr>
                <w:szCs w:val="24"/>
              </w:rPr>
              <w:t>-</w:t>
            </w:r>
          </w:p>
        </w:tc>
        <w:tc>
          <w:tcPr>
            <w:tcW w:w="1236" w:type="dxa"/>
          </w:tcPr>
          <w:p w14:paraId="2AF3ED08" w14:textId="2C1DE534" w:rsidR="003B5B49" w:rsidRPr="00E139C5" w:rsidRDefault="003B5B49" w:rsidP="003B5B49">
            <w:pPr>
              <w:spacing w:line="276" w:lineRule="auto"/>
              <w:jc w:val="right"/>
              <w:rPr>
                <w:szCs w:val="24"/>
              </w:rPr>
            </w:pPr>
            <w:r w:rsidRPr="00BC1CFB">
              <w:rPr>
                <w:szCs w:val="24"/>
              </w:rPr>
              <w:t>-</w:t>
            </w:r>
          </w:p>
        </w:tc>
        <w:tc>
          <w:tcPr>
            <w:tcW w:w="1236" w:type="dxa"/>
          </w:tcPr>
          <w:p w14:paraId="6AD92897" w14:textId="6F7F2569" w:rsidR="003B5B49" w:rsidRPr="00E139C5" w:rsidRDefault="003B5B49" w:rsidP="003B5B49">
            <w:pPr>
              <w:spacing w:line="276" w:lineRule="auto"/>
              <w:jc w:val="right"/>
              <w:rPr>
                <w:szCs w:val="24"/>
              </w:rPr>
            </w:pPr>
            <w:r w:rsidRPr="00BC1CFB">
              <w:rPr>
                <w:szCs w:val="24"/>
              </w:rPr>
              <w:t>-</w:t>
            </w:r>
          </w:p>
        </w:tc>
        <w:tc>
          <w:tcPr>
            <w:tcW w:w="1236" w:type="dxa"/>
          </w:tcPr>
          <w:p w14:paraId="27F71D25" w14:textId="4B081A14" w:rsidR="003B5B49" w:rsidRPr="00E139C5" w:rsidRDefault="003B5B49" w:rsidP="003B5B49">
            <w:pPr>
              <w:spacing w:line="276" w:lineRule="auto"/>
              <w:jc w:val="right"/>
              <w:rPr>
                <w:szCs w:val="24"/>
              </w:rPr>
            </w:pPr>
            <w:r w:rsidRPr="00BC1CFB">
              <w:rPr>
                <w:szCs w:val="24"/>
              </w:rPr>
              <w:t>-</w:t>
            </w:r>
          </w:p>
        </w:tc>
      </w:tr>
      <w:tr w:rsidR="00B551B5" w:rsidRPr="00E139C5" w14:paraId="602A07C6" w14:textId="77777777" w:rsidTr="00B551B5">
        <w:trPr>
          <w:divId w:val="1261141582"/>
          <w:trHeight w:val="285"/>
        </w:trPr>
        <w:tc>
          <w:tcPr>
            <w:tcW w:w="3077" w:type="dxa"/>
            <w:hideMark/>
          </w:tcPr>
          <w:p w14:paraId="1FA9180A" w14:textId="77777777" w:rsidR="00B551B5" w:rsidRPr="00E139C5" w:rsidRDefault="00B551B5" w:rsidP="00B551B5">
            <w:pPr>
              <w:spacing w:line="276" w:lineRule="auto"/>
              <w:rPr>
                <w:b/>
                <w:bCs/>
                <w:szCs w:val="24"/>
              </w:rPr>
            </w:pPr>
            <w:r w:rsidRPr="00E139C5">
              <w:rPr>
                <w:b/>
                <w:bCs/>
                <w:szCs w:val="24"/>
              </w:rPr>
              <w:t>Përfitimet totale</w:t>
            </w:r>
          </w:p>
        </w:tc>
        <w:tc>
          <w:tcPr>
            <w:tcW w:w="1273" w:type="dxa"/>
            <w:tcBorders>
              <w:bottom w:val="single" w:sz="4" w:space="0" w:color="auto"/>
            </w:tcBorders>
          </w:tcPr>
          <w:p w14:paraId="350BF0A7" w14:textId="11543736" w:rsidR="00B551B5" w:rsidRPr="00B551B5" w:rsidRDefault="00B551B5" w:rsidP="00B551B5">
            <w:pPr>
              <w:spacing w:line="276" w:lineRule="auto"/>
              <w:ind w:left="-108" w:firstLine="108"/>
              <w:jc w:val="right"/>
              <w:rPr>
                <w:color w:val="4F81BD" w:themeColor="accent1"/>
                <w:szCs w:val="24"/>
              </w:rPr>
            </w:pPr>
            <w:r w:rsidRPr="00B551B5">
              <w:rPr>
                <w:color w:val="4F81BD" w:themeColor="accent1"/>
              </w:rPr>
              <w:t xml:space="preserve">18 012 977 </w:t>
            </w:r>
          </w:p>
        </w:tc>
        <w:tc>
          <w:tcPr>
            <w:tcW w:w="1273" w:type="dxa"/>
            <w:tcBorders>
              <w:bottom w:val="single" w:sz="4" w:space="0" w:color="auto"/>
            </w:tcBorders>
          </w:tcPr>
          <w:p w14:paraId="261C1947" w14:textId="66D6D53A" w:rsidR="00B551B5" w:rsidRPr="00B551B5" w:rsidRDefault="00B551B5" w:rsidP="00B551B5">
            <w:pPr>
              <w:spacing w:line="276" w:lineRule="auto"/>
              <w:ind w:left="-108" w:firstLine="108"/>
              <w:jc w:val="right"/>
              <w:rPr>
                <w:color w:val="4F81BD" w:themeColor="accent1"/>
                <w:szCs w:val="24"/>
              </w:rPr>
            </w:pPr>
            <w:r w:rsidRPr="00B551B5">
              <w:rPr>
                <w:color w:val="4F81BD" w:themeColor="accent1"/>
              </w:rPr>
              <w:t xml:space="preserve">17 636 319 </w:t>
            </w:r>
          </w:p>
        </w:tc>
        <w:tc>
          <w:tcPr>
            <w:tcW w:w="1273" w:type="dxa"/>
            <w:tcBorders>
              <w:bottom w:val="single" w:sz="4" w:space="0" w:color="auto"/>
            </w:tcBorders>
          </w:tcPr>
          <w:p w14:paraId="1F026DC5" w14:textId="5ABEFE44" w:rsidR="00B551B5" w:rsidRPr="00B551B5" w:rsidRDefault="00B551B5" w:rsidP="00B551B5">
            <w:pPr>
              <w:spacing w:line="276" w:lineRule="auto"/>
              <w:jc w:val="right"/>
              <w:rPr>
                <w:color w:val="4F81BD" w:themeColor="accent1"/>
                <w:szCs w:val="24"/>
              </w:rPr>
            </w:pPr>
            <w:r w:rsidRPr="00B551B5">
              <w:rPr>
                <w:color w:val="4F81BD" w:themeColor="accent1"/>
              </w:rPr>
              <w:t xml:space="preserve">17 770 367 </w:t>
            </w:r>
          </w:p>
        </w:tc>
        <w:tc>
          <w:tcPr>
            <w:tcW w:w="1149" w:type="dxa"/>
            <w:tcBorders>
              <w:bottom w:val="single" w:sz="4" w:space="0" w:color="auto"/>
            </w:tcBorders>
          </w:tcPr>
          <w:p w14:paraId="3B39E227" w14:textId="2335CD9C" w:rsidR="00B551B5" w:rsidRPr="00E139C5" w:rsidRDefault="00B551B5" w:rsidP="00B551B5">
            <w:pPr>
              <w:spacing w:line="276" w:lineRule="auto"/>
              <w:jc w:val="right"/>
              <w:rPr>
                <w:szCs w:val="24"/>
              </w:rPr>
            </w:pPr>
            <w:r w:rsidRPr="00BC1CFB">
              <w:rPr>
                <w:szCs w:val="24"/>
              </w:rPr>
              <w:t>-</w:t>
            </w:r>
          </w:p>
        </w:tc>
        <w:tc>
          <w:tcPr>
            <w:tcW w:w="1063" w:type="dxa"/>
            <w:tcBorders>
              <w:bottom w:val="single" w:sz="4" w:space="0" w:color="auto"/>
            </w:tcBorders>
          </w:tcPr>
          <w:p w14:paraId="36A5C5DD" w14:textId="51DE9BF4" w:rsidR="00B551B5" w:rsidRPr="00E139C5" w:rsidRDefault="00B551B5" w:rsidP="00B551B5">
            <w:pPr>
              <w:spacing w:line="276" w:lineRule="auto"/>
              <w:jc w:val="right"/>
              <w:rPr>
                <w:szCs w:val="24"/>
              </w:rPr>
            </w:pPr>
            <w:r w:rsidRPr="00BC1CFB">
              <w:rPr>
                <w:szCs w:val="24"/>
              </w:rPr>
              <w:t>-</w:t>
            </w:r>
          </w:p>
        </w:tc>
        <w:tc>
          <w:tcPr>
            <w:tcW w:w="1236" w:type="dxa"/>
            <w:tcBorders>
              <w:bottom w:val="single" w:sz="4" w:space="0" w:color="auto"/>
            </w:tcBorders>
          </w:tcPr>
          <w:p w14:paraId="10A48502" w14:textId="755A6129" w:rsidR="00B551B5" w:rsidRPr="00E139C5" w:rsidRDefault="00B551B5" w:rsidP="00B551B5">
            <w:pPr>
              <w:spacing w:line="276" w:lineRule="auto"/>
              <w:jc w:val="right"/>
              <w:rPr>
                <w:szCs w:val="24"/>
              </w:rPr>
            </w:pPr>
            <w:r w:rsidRPr="00BC1CFB">
              <w:rPr>
                <w:szCs w:val="24"/>
              </w:rPr>
              <w:t>-</w:t>
            </w:r>
          </w:p>
        </w:tc>
        <w:tc>
          <w:tcPr>
            <w:tcW w:w="1063" w:type="dxa"/>
            <w:tcBorders>
              <w:bottom w:val="single" w:sz="4" w:space="0" w:color="auto"/>
            </w:tcBorders>
          </w:tcPr>
          <w:p w14:paraId="128F496A" w14:textId="198B13F6" w:rsidR="00B551B5" w:rsidRPr="00E139C5" w:rsidRDefault="00B551B5" w:rsidP="00B551B5">
            <w:pPr>
              <w:spacing w:line="276" w:lineRule="auto"/>
              <w:jc w:val="right"/>
              <w:rPr>
                <w:szCs w:val="24"/>
              </w:rPr>
            </w:pPr>
            <w:r w:rsidRPr="00BC1CFB">
              <w:rPr>
                <w:szCs w:val="24"/>
              </w:rPr>
              <w:t>-</w:t>
            </w:r>
          </w:p>
        </w:tc>
        <w:tc>
          <w:tcPr>
            <w:tcW w:w="1236" w:type="dxa"/>
            <w:tcBorders>
              <w:bottom w:val="single" w:sz="4" w:space="0" w:color="auto"/>
            </w:tcBorders>
          </w:tcPr>
          <w:p w14:paraId="1E001704" w14:textId="11EED655" w:rsidR="00B551B5" w:rsidRPr="00E139C5" w:rsidRDefault="00B551B5" w:rsidP="00B551B5">
            <w:pPr>
              <w:spacing w:line="276" w:lineRule="auto"/>
              <w:jc w:val="right"/>
              <w:rPr>
                <w:szCs w:val="24"/>
              </w:rPr>
            </w:pPr>
            <w:r w:rsidRPr="00BC1CFB">
              <w:rPr>
                <w:szCs w:val="24"/>
              </w:rPr>
              <w:t>-</w:t>
            </w:r>
          </w:p>
        </w:tc>
        <w:tc>
          <w:tcPr>
            <w:tcW w:w="1236" w:type="dxa"/>
            <w:tcBorders>
              <w:bottom w:val="single" w:sz="4" w:space="0" w:color="auto"/>
            </w:tcBorders>
          </w:tcPr>
          <w:p w14:paraId="047FAE14" w14:textId="7BCB1CC9" w:rsidR="00B551B5" w:rsidRPr="00E139C5" w:rsidRDefault="00B551B5" w:rsidP="00B551B5">
            <w:pPr>
              <w:spacing w:line="276" w:lineRule="auto"/>
              <w:jc w:val="right"/>
              <w:rPr>
                <w:szCs w:val="24"/>
              </w:rPr>
            </w:pPr>
            <w:r w:rsidRPr="00BC1CFB">
              <w:rPr>
                <w:szCs w:val="24"/>
              </w:rPr>
              <w:t>-</w:t>
            </w:r>
          </w:p>
        </w:tc>
        <w:tc>
          <w:tcPr>
            <w:tcW w:w="1236" w:type="dxa"/>
            <w:tcBorders>
              <w:bottom w:val="single" w:sz="4" w:space="0" w:color="auto"/>
            </w:tcBorders>
          </w:tcPr>
          <w:p w14:paraId="3145DC87" w14:textId="10DD4497" w:rsidR="00B551B5" w:rsidRPr="00E139C5" w:rsidRDefault="00B551B5" w:rsidP="00B551B5">
            <w:pPr>
              <w:spacing w:line="276" w:lineRule="auto"/>
              <w:jc w:val="right"/>
              <w:rPr>
                <w:szCs w:val="24"/>
              </w:rPr>
            </w:pPr>
            <w:r w:rsidRPr="00BC1CFB">
              <w:rPr>
                <w:szCs w:val="24"/>
              </w:rPr>
              <w:t>-</w:t>
            </w:r>
          </w:p>
        </w:tc>
      </w:tr>
    </w:tbl>
    <w:tbl>
      <w:tblPr>
        <w:tblStyle w:val="TableGrid"/>
        <w:tblW w:w="15115" w:type="dxa"/>
        <w:tblLook w:val="04A0" w:firstRow="1" w:lastRow="0" w:firstColumn="1" w:lastColumn="0" w:noHBand="0" w:noVBand="1"/>
      </w:tblPr>
      <w:tblGrid>
        <w:gridCol w:w="3073"/>
        <w:gridCol w:w="68"/>
        <w:gridCol w:w="1215"/>
        <w:gridCol w:w="58"/>
        <w:gridCol w:w="1217"/>
        <w:gridCol w:w="1273"/>
        <w:gridCol w:w="1147"/>
        <w:gridCol w:w="1062"/>
        <w:gridCol w:w="1235"/>
        <w:gridCol w:w="1062"/>
        <w:gridCol w:w="1235"/>
        <w:gridCol w:w="1235"/>
        <w:gridCol w:w="1235"/>
      </w:tblGrid>
      <w:tr w:rsidR="00B551B5" w:rsidRPr="00E139C5" w14:paraId="66DD2E98" w14:textId="77777777" w:rsidTr="00B551B5">
        <w:trPr>
          <w:trHeight w:val="390"/>
        </w:trPr>
        <w:tc>
          <w:tcPr>
            <w:tcW w:w="3077" w:type="dxa"/>
            <w:hideMark/>
          </w:tcPr>
          <w:p w14:paraId="477923E0" w14:textId="1CC2C139" w:rsidR="00B551B5" w:rsidRPr="00E139C5" w:rsidRDefault="00B551B5" w:rsidP="00B551B5">
            <w:pPr>
              <w:spacing w:line="276" w:lineRule="auto"/>
              <w:rPr>
                <w:bCs/>
                <w:szCs w:val="24"/>
              </w:rPr>
            </w:pPr>
            <w:r w:rsidRPr="00E139C5">
              <w:rPr>
                <w:b/>
                <w:bCs/>
                <w:szCs w:val="24"/>
              </w:rPr>
              <w:t>Përfitimi i zbritur</w:t>
            </w:r>
            <w:r w:rsidRPr="00E139C5">
              <w:rPr>
                <w:szCs w:val="24"/>
              </w:rPr>
              <w:t>= Përfitimi në total x faktori zbritës</w:t>
            </w:r>
            <w:r>
              <w:rPr>
                <w:szCs w:val="24"/>
              </w:rPr>
              <w:t xml:space="preserve"> (0.05)</w:t>
            </w:r>
          </w:p>
        </w:tc>
        <w:tc>
          <w:tcPr>
            <w:tcW w:w="1273" w:type="dxa"/>
            <w:gridSpan w:val="2"/>
            <w:tcBorders>
              <w:bottom w:val="single" w:sz="4" w:space="0" w:color="auto"/>
            </w:tcBorders>
          </w:tcPr>
          <w:p w14:paraId="0D622643" w14:textId="4B34066D" w:rsidR="00B551B5" w:rsidRPr="00B551B5" w:rsidRDefault="00B551B5" w:rsidP="00B551B5">
            <w:pPr>
              <w:spacing w:line="276" w:lineRule="auto"/>
              <w:ind w:left="-108" w:firstLine="108"/>
              <w:jc w:val="right"/>
              <w:rPr>
                <w:color w:val="4F81BD" w:themeColor="accent1"/>
                <w:szCs w:val="24"/>
              </w:rPr>
            </w:pPr>
            <w:r w:rsidRPr="00B551B5">
              <w:rPr>
                <w:color w:val="4F81BD" w:themeColor="accent1"/>
              </w:rPr>
              <w:t xml:space="preserve"> 18 985 017 </w:t>
            </w:r>
          </w:p>
        </w:tc>
        <w:tc>
          <w:tcPr>
            <w:tcW w:w="1273" w:type="dxa"/>
            <w:gridSpan w:val="2"/>
            <w:tcBorders>
              <w:bottom w:val="single" w:sz="4" w:space="0" w:color="auto"/>
            </w:tcBorders>
          </w:tcPr>
          <w:p w14:paraId="0962A2AC" w14:textId="3AEC6159" w:rsidR="00B551B5" w:rsidRPr="00B551B5" w:rsidRDefault="00B551B5" w:rsidP="00B551B5">
            <w:pPr>
              <w:spacing w:line="276" w:lineRule="auto"/>
              <w:ind w:left="-108" w:firstLine="108"/>
              <w:jc w:val="right"/>
              <w:rPr>
                <w:color w:val="4F81BD" w:themeColor="accent1"/>
                <w:szCs w:val="24"/>
              </w:rPr>
            </w:pPr>
            <w:r w:rsidRPr="00B551B5">
              <w:rPr>
                <w:color w:val="4F81BD" w:themeColor="accent1"/>
              </w:rPr>
              <w:t xml:space="preserve"> 20 170 813 </w:t>
            </w:r>
          </w:p>
        </w:tc>
        <w:tc>
          <w:tcPr>
            <w:tcW w:w="1273" w:type="dxa"/>
            <w:tcBorders>
              <w:bottom w:val="single" w:sz="4" w:space="0" w:color="auto"/>
            </w:tcBorders>
          </w:tcPr>
          <w:p w14:paraId="28075B28" w14:textId="7B67F41D" w:rsidR="00B551B5" w:rsidRPr="00B551B5" w:rsidRDefault="00B551B5" w:rsidP="00B551B5">
            <w:pPr>
              <w:spacing w:line="276" w:lineRule="auto"/>
              <w:jc w:val="right"/>
              <w:rPr>
                <w:color w:val="4F81BD" w:themeColor="accent1"/>
                <w:szCs w:val="24"/>
              </w:rPr>
            </w:pPr>
            <w:r w:rsidRPr="00B551B5">
              <w:rPr>
                <w:color w:val="4F81BD" w:themeColor="accent1"/>
              </w:rPr>
              <w:t xml:space="preserve"> 21 683 597 </w:t>
            </w:r>
          </w:p>
        </w:tc>
        <w:tc>
          <w:tcPr>
            <w:tcW w:w="1149" w:type="dxa"/>
            <w:tcBorders>
              <w:bottom w:val="single" w:sz="4" w:space="0" w:color="auto"/>
            </w:tcBorders>
          </w:tcPr>
          <w:p w14:paraId="3D40C9A0" w14:textId="621DA280" w:rsidR="00B551B5" w:rsidRPr="00E139C5" w:rsidRDefault="00B551B5" w:rsidP="00B551B5">
            <w:pPr>
              <w:spacing w:line="276" w:lineRule="auto"/>
              <w:jc w:val="right"/>
              <w:rPr>
                <w:szCs w:val="24"/>
              </w:rPr>
            </w:pPr>
            <w:r w:rsidRPr="00BC1CFB">
              <w:rPr>
                <w:szCs w:val="24"/>
              </w:rPr>
              <w:t>-</w:t>
            </w:r>
          </w:p>
        </w:tc>
        <w:tc>
          <w:tcPr>
            <w:tcW w:w="1063" w:type="dxa"/>
            <w:tcBorders>
              <w:bottom w:val="single" w:sz="4" w:space="0" w:color="auto"/>
            </w:tcBorders>
          </w:tcPr>
          <w:p w14:paraId="7983CC86" w14:textId="6411BA14" w:rsidR="00B551B5" w:rsidRPr="00E139C5" w:rsidRDefault="00B551B5" w:rsidP="00B551B5">
            <w:pPr>
              <w:spacing w:line="276" w:lineRule="auto"/>
              <w:jc w:val="right"/>
              <w:rPr>
                <w:szCs w:val="24"/>
              </w:rPr>
            </w:pPr>
            <w:r w:rsidRPr="00BC1CFB">
              <w:rPr>
                <w:szCs w:val="24"/>
              </w:rPr>
              <w:t>-</w:t>
            </w:r>
          </w:p>
        </w:tc>
        <w:tc>
          <w:tcPr>
            <w:tcW w:w="1236" w:type="dxa"/>
            <w:tcBorders>
              <w:bottom w:val="single" w:sz="4" w:space="0" w:color="auto"/>
            </w:tcBorders>
          </w:tcPr>
          <w:p w14:paraId="504A22DF" w14:textId="274E518A" w:rsidR="00B551B5" w:rsidRPr="00E139C5" w:rsidRDefault="00B551B5" w:rsidP="00B551B5">
            <w:pPr>
              <w:spacing w:line="276" w:lineRule="auto"/>
              <w:jc w:val="right"/>
              <w:rPr>
                <w:szCs w:val="24"/>
              </w:rPr>
            </w:pPr>
            <w:r w:rsidRPr="00BC1CFB">
              <w:rPr>
                <w:szCs w:val="24"/>
              </w:rPr>
              <w:t>-</w:t>
            </w:r>
          </w:p>
        </w:tc>
        <w:tc>
          <w:tcPr>
            <w:tcW w:w="1063" w:type="dxa"/>
            <w:tcBorders>
              <w:bottom w:val="single" w:sz="4" w:space="0" w:color="auto"/>
            </w:tcBorders>
          </w:tcPr>
          <w:p w14:paraId="472897F5" w14:textId="07897CA4" w:rsidR="00B551B5" w:rsidRPr="00E139C5" w:rsidRDefault="00B551B5" w:rsidP="00B551B5">
            <w:pPr>
              <w:spacing w:line="276" w:lineRule="auto"/>
              <w:jc w:val="right"/>
              <w:rPr>
                <w:szCs w:val="24"/>
              </w:rPr>
            </w:pPr>
            <w:r w:rsidRPr="00BC1CFB">
              <w:rPr>
                <w:szCs w:val="24"/>
              </w:rPr>
              <w:t>-</w:t>
            </w:r>
          </w:p>
        </w:tc>
        <w:tc>
          <w:tcPr>
            <w:tcW w:w="1236" w:type="dxa"/>
            <w:tcBorders>
              <w:bottom w:val="single" w:sz="4" w:space="0" w:color="auto"/>
            </w:tcBorders>
          </w:tcPr>
          <w:p w14:paraId="7B5A6EC3" w14:textId="12A13793" w:rsidR="00B551B5" w:rsidRPr="00E139C5" w:rsidRDefault="00B551B5" w:rsidP="00B551B5">
            <w:pPr>
              <w:spacing w:line="276" w:lineRule="auto"/>
              <w:jc w:val="right"/>
              <w:rPr>
                <w:szCs w:val="24"/>
              </w:rPr>
            </w:pPr>
            <w:r w:rsidRPr="00BC1CFB">
              <w:rPr>
                <w:szCs w:val="24"/>
              </w:rPr>
              <w:t>-</w:t>
            </w:r>
          </w:p>
        </w:tc>
        <w:tc>
          <w:tcPr>
            <w:tcW w:w="1236" w:type="dxa"/>
            <w:tcBorders>
              <w:bottom w:val="single" w:sz="4" w:space="0" w:color="auto"/>
            </w:tcBorders>
          </w:tcPr>
          <w:p w14:paraId="57582A19" w14:textId="3A1C3DBC" w:rsidR="00B551B5" w:rsidRPr="00E139C5" w:rsidRDefault="00B551B5" w:rsidP="00B551B5">
            <w:pPr>
              <w:spacing w:line="276" w:lineRule="auto"/>
              <w:jc w:val="right"/>
              <w:rPr>
                <w:szCs w:val="24"/>
              </w:rPr>
            </w:pPr>
            <w:r w:rsidRPr="00BC1CFB">
              <w:rPr>
                <w:szCs w:val="24"/>
              </w:rPr>
              <w:t>-</w:t>
            </w:r>
          </w:p>
        </w:tc>
        <w:tc>
          <w:tcPr>
            <w:tcW w:w="1236" w:type="dxa"/>
            <w:tcBorders>
              <w:bottom w:val="single" w:sz="4" w:space="0" w:color="auto"/>
            </w:tcBorders>
          </w:tcPr>
          <w:p w14:paraId="6C53D347" w14:textId="139D07BC" w:rsidR="00B551B5" w:rsidRPr="00E139C5" w:rsidRDefault="00B551B5" w:rsidP="00B551B5">
            <w:pPr>
              <w:spacing w:line="276" w:lineRule="auto"/>
              <w:jc w:val="right"/>
              <w:rPr>
                <w:szCs w:val="24"/>
              </w:rPr>
            </w:pPr>
            <w:r w:rsidRPr="00BC1CFB">
              <w:rPr>
                <w:szCs w:val="24"/>
              </w:rPr>
              <w:t>-</w:t>
            </w:r>
          </w:p>
        </w:tc>
      </w:tr>
      <w:tr w:rsidR="003B5B49" w:rsidRPr="00E139C5" w14:paraId="1B6C4909" w14:textId="77777777" w:rsidTr="003B5B49">
        <w:trPr>
          <w:trHeight w:val="375"/>
        </w:trPr>
        <w:tc>
          <w:tcPr>
            <w:tcW w:w="3145" w:type="dxa"/>
            <w:gridSpan w:val="2"/>
            <w:shd w:val="clear" w:color="auto" w:fill="F2F2F2" w:themeFill="background1" w:themeFillShade="F2"/>
            <w:hideMark/>
          </w:tcPr>
          <w:p w14:paraId="4E517B53" w14:textId="77777777" w:rsidR="003B5B49" w:rsidRPr="00E139C5" w:rsidRDefault="003B5B49" w:rsidP="003B5B49">
            <w:pPr>
              <w:spacing w:line="276" w:lineRule="auto"/>
              <w:rPr>
                <w:b/>
                <w:bCs/>
                <w:szCs w:val="24"/>
              </w:rPr>
            </w:pPr>
            <w:r w:rsidRPr="00E139C5">
              <w:rPr>
                <w:b/>
                <w:bCs/>
                <w:szCs w:val="24"/>
              </w:rPr>
              <w:t>Vlera prezente aktuale e përfitimit në total</w:t>
            </w:r>
          </w:p>
        </w:tc>
        <w:tc>
          <w:tcPr>
            <w:tcW w:w="1260" w:type="dxa"/>
            <w:gridSpan w:val="2"/>
            <w:tcBorders>
              <w:top w:val="single" w:sz="4" w:space="0" w:color="auto"/>
              <w:right w:val="single" w:sz="4" w:space="0" w:color="auto"/>
            </w:tcBorders>
            <w:shd w:val="clear" w:color="auto" w:fill="F2F2F2" w:themeFill="background1" w:themeFillShade="F2"/>
          </w:tcPr>
          <w:p w14:paraId="26F4ED87" w14:textId="0998FFA5" w:rsidR="003B5B49" w:rsidRPr="00B551B5" w:rsidRDefault="00B551B5">
            <w:pPr>
              <w:spacing w:line="276" w:lineRule="auto"/>
              <w:ind w:left="-108" w:firstLine="108"/>
              <w:jc w:val="right"/>
              <w:rPr>
                <w:bCs/>
                <w:color w:val="4F81BD" w:themeColor="accent1"/>
                <w:szCs w:val="24"/>
              </w:rPr>
            </w:pPr>
            <w:r w:rsidRPr="00B551B5">
              <w:rPr>
                <w:color w:val="4F81BD" w:themeColor="accent1"/>
                <w:szCs w:val="24"/>
              </w:rPr>
              <w:t xml:space="preserve">60 839 428 </w:t>
            </w:r>
            <w:r w:rsidR="003B5B49" w:rsidRPr="00B551B5">
              <w:rPr>
                <w:color w:val="4F81BD" w:themeColor="accent1"/>
                <w:szCs w:val="24"/>
              </w:rPr>
              <w:t>-</w:t>
            </w:r>
          </w:p>
        </w:tc>
        <w:tc>
          <w:tcPr>
            <w:tcW w:w="10710" w:type="dxa"/>
            <w:gridSpan w:val="9"/>
            <w:tcBorders>
              <w:top w:val="single" w:sz="4" w:space="0" w:color="auto"/>
              <w:left w:val="single" w:sz="4" w:space="0" w:color="auto"/>
              <w:bottom w:val="nil"/>
              <w:right w:val="nil"/>
            </w:tcBorders>
            <w:hideMark/>
          </w:tcPr>
          <w:p w14:paraId="1D492DBC" w14:textId="77777777" w:rsidR="003B5B49" w:rsidRPr="00E139C5" w:rsidRDefault="003B5B49" w:rsidP="003B5B49">
            <w:pPr>
              <w:spacing w:line="276" w:lineRule="auto"/>
              <w:ind w:left="-108" w:firstLine="108"/>
              <w:jc w:val="right"/>
              <w:rPr>
                <w:szCs w:val="24"/>
              </w:rPr>
            </w:pPr>
            <w:r w:rsidRPr="00E139C5">
              <w:rPr>
                <w:szCs w:val="24"/>
              </w:rPr>
              <w:t> </w:t>
            </w:r>
          </w:p>
        </w:tc>
      </w:tr>
      <w:tr w:rsidR="003B5B49" w:rsidRPr="00E139C5" w14:paraId="389CE17E" w14:textId="77777777" w:rsidTr="003B5B49">
        <w:trPr>
          <w:trHeight w:val="270"/>
        </w:trPr>
        <w:tc>
          <w:tcPr>
            <w:tcW w:w="3145" w:type="dxa"/>
            <w:gridSpan w:val="2"/>
            <w:shd w:val="clear" w:color="auto" w:fill="F2F2F2" w:themeFill="background1" w:themeFillShade="F2"/>
            <w:hideMark/>
          </w:tcPr>
          <w:p w14:paraId="243A998A" w14:textId="77777777" w:rsidR="003B5B49" w:rsidRPr="00E139C5" w:rsidRDefault="003B5B49" w:rsidP="003B5B49">
            <w:pPr>
              <w:spacing w:line="276" w:lineRule="auto"/>
              <w:rPr>
                <w:b/>
                <w:bCs/>
                <w:szCs w:val="24"/>
              </w:rPr>
            </w:pPr>
            <w:r w:rsidRPr="00E139C5">
              <w:rPr>
                <w:b/>
                <w:bCs/>
                <w:szCs w:val="24"/>
              </w:rPr>
              <w:t>Vlera prezente aktuale e kostos në total</w:t>
            </w:r>
          </w:p>
        </w:tc>
        <w:tc>
          <w:tcPr>
            <w:tcW w:w="1260" w:type="dxa"/>
            <w:gridSpan w:val="2"/>
            <w:tcBorders>
              <w:right w:val="single" w:sz="4" w:space="0" w:color="auto"/>
            </w:tcBorders>
            <w:shd w:val="clear" w:color="auto" w:fill="F2F2F2" w:themeFill="background1" w:themeFillShade="F2"/>
          </w:tcPr>
          <w:p w14:paraId="7721109B" w14:textId="079EEB1F" w:rsidR="003B5B49" w:rsidRPr="00B551B5" w:rsidRDefault="00B551B5">
            <w:pPr>
              <w:spacing w:line="276" w:lineRule="auto"/>
              <w:ind w:left="-108" w:firstLine="108"/>
              <w:jc w:val="right"/>
              <w:rPr>
                <w:bCs/>
                <w:color w:val="4F81BD" w:themeColor="accent1"/>
                <w:szCs w:val="24"/>
              </w:rPr>
            </w:pPr>
            <w:r w:rsidRPr="00B551B5">
              <w:rPr>
                <w:bCs/>
                <w:color w:val="4F81BD" w:themeColor="accent1"/>
                <w:szCs w:val="24"/>
              </w:rPr>
              <w:t>53 419 662</w:t>
            </w:r>
          </w:p>
        </w:tc>
        <w:tc>
          <w:tcPr>
            <w:tcW w:w="10710" w:type="dxa"/>
            <w:gridSpan w:val="9"/>
            <w:tcBorders>
              <w:top w:val="nil"/>
              <w:left w:val="single" w:sz="4" w:space="0" w:color="auto"/>
              <w:bottom w:val="nil"/>
              <w:right w:val="nil"/>
            </w:tcBorders>
            <w:hideMark/>
          </w:tcPr>
          <w:p w14:paraId="4A870378" w14:textId="77777777" w:rsidR="003B5B49" w:rsidRPr="00E139C5" w:rsidRDefault="003B5B49" w:rsidP="003B5B49">
            <w:pPr>
              <w:spacing w:line="276" w:lineRule="auto"/>
              <w:ind w:left="-108" w:firstLine="108"/>
              <w:jc w:val="right"/>
              <w:rPr>
                <w:szCs w:val="24"/>
              </w:rPr>
            </w:pPr>
            <w:r w:rsidRPr="00E139C5">
              <w:rPr>
                <w:szCs w:val="24"/>
              </w:rPr>
              <w:t> </w:t>
            </w:r>
          </w:p>
        </w:tc>
      </w:tr>
      <w:tr w:rsidR="003B5B49" w:rsidRPr="00E139C5" w14:paraId="613A0A51" w14:textId="77777777" w:rsidTr="003B5B49">
        <w:trPr>
          <w:trHeight w:val="555"/>
        </w:trPr>
        <w:tc>
          <w:tcPr>
            <w:tcW w:w="3145" w:type="dxa"/>
            <w:gridSpan w:val="2"/>
            <w:shd w:val="clear" w:color="auto" w:fill="F2F2F2" w:themeFill="background1" w:themeFillShade="F2"/>
            <w:hideMark/>
          </w:tcPr>
          <w:p w14:paraId="758382E0" w14:textId="77777777" w:rsidR="003B5B49" w:rsidRPr="00E139C5" w:rsidRDefault="003B5B49" w:rsidP="003B5B49">
            <w:pPr>
              <w:spacing w:line="276" w:lineRule="auto"/>
              <w:rPr>
                <w:bCs/>
                <w:szCs w:val="24"/>
              </w:rPr>
            </w:pPr>
            <w:r w:rsidRPr="00E139C5">
              <w:rPr>
                <w:b/>
                <w:bCs/>
                <w:szCs w:val="24"/>
              </w:rPr>
              <w:t>Vlera Prezente Neto Aktuale (VAN)</w:t>
            </w:r>
            <w:r w:rsidRPr="00E139C5">
              <w:rPr>
                <w:bCs/>
                <w:szCs w:val="24"/>
              </w:rPr>
              <w:t xml:space="preserve"> =</w:t>
            </w:r>
            <w:r w:rsidRPr="00E139C5">
              <w:rPr>
                <w:szCs w:val="24"/>
              </w:rPr>
              <w:t xml:space="preserve"> Vlera aktuale e përfitimit në total – Vlera aktuale e kostos në total</w:t>
            </w:r>
          </w:p>
        </w:tc>
        <w:tc>
          <w:tcPr>
            <w:tcW w:w="1260" w:type="dxa"/>
            <w:gridSpan w:val="2"/>
            <w:tcBorders>
              <w:right w:val="single" w:sz="4" w:space="0" w:color="auto"/>
            </w:tcBorders>
            <w:shd w:val="clear" w:color="auto" w:fill="F2F2F2" w:themeFill="background1" w:themeFillShade="F2"/>
          </w:tcPr>
          <w:p w14:paraId="5140BEFD" w14:textId="46FCA098" w:rsidR="003B5B49" w:rsidRPr="00B551B5" w:rsidRDefault="00B551B5" w:rsidP="003B5B49">
            <w:pPr>
              <w:spacing w:line="276" w:lineRule="auto"/>
              <w:ind w:left="-108" w:firstLine="108"/>
              <w:jc w:val="right"/>
              <w:rPr>
                <w:bCs/>
                <w:color w:val="4F81BD" w:themeColor="accent1"/>
                <w:szCs w:val="24"/>
              </w:rPr>
            </w:pPr>
            <w:r w:rsidRPr="00B551B5">
              <w:rPr>
                <w:bCs/>
                <w:color w:val="4F81BD" w:themeColor="accent1"/>
                <w:szCs w:val="24"/>
              </w:rPr>
              <w:t>7 419 765</w:t>
            </w:r>
          </w:p>
        </w:tc>
        <w:tc>
          <w:tcPr>
            <w:tcW w:w="10710" w:type="dxa"/>
            <w:gridSpan w:val="9"/>
            <w:tcBorders>
              <w:top w:val="nil"/>
              <w:left w:val="single" w:sz="4" w:space="0" w:color="auto"/>
              <w:bottom w:val="nil"/>
              <w:right w:val="nil"/>
            </w:tcBorders>
            <w:hideMark/>
          </w:tcPr>
          <w:p w14:paraId="3BEBD43D" w14:textId="77777777" w:rsidR="003B5B49" w:rsidRPr="00E139C5" w:rsidRDefault="003B5B49" w:rsidP="003B5B49">
            <w:pPr>
              <w:spacing w:line="276" w:lineRule="auto"/>
              <w:ind w:left="-108" w:firstLine="108"/>
              <w:jc w:val="right"/>
              <w:rPr>
                <w:szCs w:val="24"/>
              </w:rPr>
            </w:pPr>
            <w:r w:rsidRPr="00E139C5">
              <w:rPr>
                <w:szCs w:val="24"/>
              </w:rPr>
              <w:t> </w:t>
            </w:r>
          </w:p>
        </w:tc>
      </w:tr>
    </w:tbl>
    <w:p w14:paraId="06A1E76E" w14:textId="479552E3" w:rsidR="00225F7F" w:rsidRDefault="009F625C" w:rsidP="009D13F4">
      <w:pPr>
        <w:spacing w:line="276" w:lineRule="auto"/>
        <w:rPr>
          <w:b/>
          <w:szCs w:val="24"/>
        </w:rPr>
        <w:sectPr w:rsidR="00225F7F" w:rsidSect="00225F7F">
          <w:footnotePr>
            <w:numRestart w:val="eachSect"/>
          </w:footnotePr>
          <w:type w:val="continuous"/>
          <w:pgSz w:w="16840" w:h="11907" w:orient="landscape" w:code="9"/>
          <w:pgMar w:top="850" w:right="677" w:bottom="850" w:left="677" w:header="288" w:footer="288" w:gutter="0"/>
          <w:cols w:space="708"/>
          <w:docGrid w:linePitch="360"/>
        </w:sectPr>
      </w:pPr>
      <w:r>
        <w:rPr>
          <w:b/>
          <w:szCs w:val="24"/>
        </w:rPr>
        <w:fldChar w:fldCharType="end"/>
      </w:r>
    </w:p>
    <w:p w14:paraId="0547D548" w14:textId="62E858C2" w:rsidR="002125B7" w:rsidRPr="00325A1F" w:rsidRDefault="002125B7" w:rsidP="009D13F4">
      <w:pPr>
        <w:spacing w:line="276" w:lineRule="auto"/>
        <w:rPr>
          <w:rStyle w:val="Strong"/>
          <w:szCs w:val="24"/>
        </w:rPr>
      </w:pPr>
      <w:r w:rsidRPr="0024644D">
        <w:rPr>
          <w:b/>
          <w:szCs w:val="24"/>
        </w:rPr>
        <w:lastRenderedPageBreak/>
        <w:t>Raporti i vlerësimit të ndikimit - Shtojca 2/b</w:t>
      </w:r>
      <w:r w:rsidRPr="00325A1F">
        <w:rPr>
          <w:b/>
          <w:szCs w:val="24"/>
        </w:rPr>
        <w:t xml:space="preserve"> </w:t>
      </w:r>
    </w:p>
    <w:p w14:paraId="2FCDCCBA" w14:textId="77777777" w:rsidR="002125B7" w:rsidRPr="00325A1F" w:rsidRDefault="002125B7" w:rsidP="009D13F4">
      <w:pPr>
        <w:spacing w:line="276" w:lineRule="auto"/>
        <w:rPr>
          <w:rStyle w:val="Strong"/>
          <w:b w:val="0"/>
          <w:szCs w:val="24"/>
        </w:rPr>
      </w:pPr>
    </w:p>
    <w:p w14:paraId="0533BD70" w14:textId="77777777" w:rsidR="002125B7" w:rsidRPr="00325A1F" w:rsidRDefault="002125B7" w:rsidP="009D13F4">
      <w:pPr>
        <w:spacing w:line="276" w:lineRule="auto"/>
        <w:rPr>
          <w:rStyle w:val="Strong"/>
          <w:b w:val="0"/>
          <w:bCs w:val="0"/>
          <w:i/>
          <w:szCs w:val="24"/>
        </w:rPr>
      </w:pPr>
      <w:r w:rsidRPr="00325A1F">
        <w:rPr>
          <w:rStyle w:val="Strong"/>
          <w:i/>
          <w:szCs w:val="24"/>
        </w:rPr>
        <w:t xml:space="preserve">Tabelë: Vlera aktuale neto në total e çdo opsioni   </w:t>
      </w:r>
    </w:p>
    <w:p w14:paraId="2CF71834" w14:textId="77777777" w:rsidR="002125B7" w:rsidRPr="00325A1F" w:rsidRDefault="002125B7" w:rsidP="009D13F4">
      <w:pPr>
        <w:autoSpaceDE w:val="0"/>
        <w:autoSpaceDN w:val="0"/>
        <w:adjustRightInd w:val="0"/>
        <w:spacing w:line="276" w:lineRule="auto"/>
        <w:jc w:val="both"/>
        <w:rPr>
          <w:color w:val="000000"/>
          <w:szCs w:val="24"/>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2125B7" w:rsidRPr="00325A1F" w14:paraId="759C0126" w14:textId="77777777" w:rsidTr="001E3B6F">
        <w:tc>
          <w:tcPr>
            <w:tcW w:w="1698" w:type="dxa"/>
            <w:vMerge w:val="restart"/>
          </w:tcPr>
          <w:p w14:paraId="1E68444E" w14:textId="77777777" w:rsidR="002125B7" w:rsidRPr="00325A1F" w:rsidRDefault="002125B7" w:rsidP="009D13F4">
            <w:pPr>
              <w:autoSpaceDE w:val="0"/>
              <w:autoSpaceDN w:val="0"/>
              <w:adjustRightInd w:val="0"/>
              <w:spacing w:line="276" w:lineRule="auto"/>
              <w:jc w:val="center"/>
              <w:rPr>
                <w:color w:val="000000"/>
                <w:szCs w:val="24"/>
              </w:rPr>
            </w:pPr>
            <w:r w:rsidRPr="00325A1F">
              <w:rPr>
                <w:b/>
                <w:szCs w:val="24"/>
              </w:rPr>
              <w:t>Opsioni</w:t>
            </w:r>
          </w:p>
        </w:tc>
        <w:tc>
          <w:tcPr>
            <w:tcW w:w="4668" w:type="dxa"/>
            <w:gridSpan w:val="2"/>
          </w:tcPr>
          <w:p w14:paraId="21112DC5" w14:textId="2F5173D7" w:rsidR="002125B7" w:rsidRPr="00325A1F" w:rsidRDefault="002125B7" w:rsidP="007A428A">
            <w:pPr>
              <w:autoSpaceDE w:val="0"/>
              <w:autoSpaceDN w:val="0"/>
              <w:adjustRightInd w:val="0"/>
              <w:spacing w:line="276" w:lineRule="auto"/>
              <w:jc w:val="center"/>
              <w:rPr>
                <w:color w:val="000000"/>
                <w:szCs w:val="24"/>
              </w:rPr>
            </w:pPr>
            <w:r w:rsidRPr="00325A1F">
              <w:rPr>
                <w:b/>
                <w:szCs w:val="24"/>
              </w:rPr>
              <w:t>Vlera aktuale në lekë</w:t>
            </w:r>
          </w:p>
        </w:tc>
        <w:tc>
          <w:tcPr>
            <w:tcW w:w="3444" w:type="dxa"/>
            <w:vMerge w:val="restart"/>
          </w:tcPr>
          <w:p w14:paraId="2B159258" w14:textId="6FEC0E12" w:rsidR="002125B7" w:rsidRPr="00325A1F" w:rsidRDefault="002125B7" w:rsidP="007A428A">
            <w:pPr>
              <w:autoSpaceDE w:val="0"/>
              <w:autoSpaceDN w:val="0"/>
              <w:adjustRightInd w:val="0"/>
              <w:spacing w:line="276" w:lineRule="auto"/>
              <w:jc w:val="center"/>
              <w:rPr>
                <w:color w:val="000000"/>
                <w:szCs w:val="24"/>
              </w:rPr>
            </w:pPr>
            <w:r w:rsidRPr="00325A1F">
              <w:rPr>
                <w:b/>
                <w:szCs w:val="24"/>
              </w:rPr>
              <w:t>Vlera aktuale neto në lekë</w:t>
            </w:r>
          </w:p>
        </w:tc>
      </w:tr>
      <w:tr w:rsidR="002125B7" w:rsidRPr="00325A1F" w14:paraId="6936D5E6" w14:textId="77777777" w:rsidTr="001E3B6F">
        <w:tc>
          <w:tcPr>
            <w:tcW w:w="1698" w:type="dxa"/>
            <w:vMerge/>
          </w:tcPr>
          <w:p w14:paraId="7CE4FE12" w14:textId="77777777" w:rsidR="002125B7" w:rsidRPr="00325A1F" w:rsidRDefault="002125B7" w:rsidP="009D13F4">
            <w:pPr>
              <w:autoSpaceDE w:val="0"/>
              <w:autoSpaceDN w:val="0"/>
              <w:adjustRightInd w:val="0"/>
              <w:spacing w:line="276" w:lineRule="auto"/>
              <w:jc w:val="both"/>
              <w:rPr>
                <w:szCs w:val="24"/>
              </w:rPr>
            </w:pPr>
          </w:p>
        </w:tc>
        <w:tc>
          <w:tcPr>
            <w:tcW w:w="2258" w:type="dxa"/>
          </w:tcPr>
          <w:p w14:paraId="77F3EEB3" w14:textId="77777777" w:rsidR="002125B7" w:rsidRPr="00325A1F" w:rsidRDefault="002125B7" w:rsidP="009D13F4">
            <w:pPr>
              <w:autoSpaceDE w:val="0"/>
              <w:autoSpaceDN w:val="0"/>
              <w:adjustRightInd w:val="0"/>
              <w:spacing w:line="276" w:lineRule="auto"/>
              <w:jc w:val="center"/>
              <w:rPr>
                <w:b/>
                <w:szCs w:val="24"/>
              </w:rPr>
            </w:pPr>
            <w:r w:rsidRPr="00325A1F">
              <w:rPr>
                <w:b/>
                <w:szCs w:val="24"/>
              </w:rPr>
              <w:t>Kosto</w:t>
            </w:r>
          </w:p>
        </w:tc>
        <w:tc>
          <w:tcPr>
            <w:tcW w:w="2410" w:type="dxa"/>
          </w:tcPr>
          <w:p w14:paraId="64193419" w14:textId="77777777" w:rsidR="002125B7" w:rsidRPr="00325A1F" w:rsidRDefault="002125B7" w:rsidP="009D13F4">
            <w:pPr>
              <w:autoSpaceDE w:val="0"/>
              <w:autoSpaceDN w:val="0"/>
              <w:adjustRightInd w:val="0"/>
              <w:spacing w:line="276" w:lineRule="auto"/>
              <w:jc w:val="center"/>
              <w:rPr>
                <w:b/>
                <w:szCs w:val="24"/>
              </w:rPr>
            </w:pPr>
            <w:r w:rsidRPr="00325A1F">
              <w:rPr>
                <w:b/>
                <w:szCs w:val="24"/>
              </w:rPr>
              <w:t>Përfitimi</w:t>
            </w:r>
          </w:p>
        </w:tc>
        <w:tc>
          <w:tcPr>
            <w:tcW w:w="3444" w:type="dxa"/>
            <w:vMerge/>
          </w:tcPr>
          <w:p w14:paraId="35F092A7" w14:textId="77777777" w:rsidR="002125B7" w:rsidRPr="00325A1F" w:rsidRDefault="002125B7" w:rsidP="009D13F4">
            <w:pPr>
              <w:autoSpaceDE w:val="0"/>
              <w:autoSpaceDN w:val="0"/>
              <w:adjustRightInd w:val="0"/>
              <w:spacing w:line="276" w:lineRule="auto"/>
              <w:jc w:val="center"/>
              <w:rPr>
                <w:color w:val="000000"/>
                <w:szCs w:val="24"/>
              </w:rPr>
            </w:pPr>
          </w:p>
        </w:tc>
      </w:tr>
      <w:tr w:rsidR="002125B7" w:rsidRPr="00325A1F" w14:paraId="16797BDF" w14:textId="77777777" w:rsidTr="001E3B6F">
        <w:tc>
          <w:tcPr>
            <w:tcW w:w="1698" w:type="dxa"/>
          </w:tcPr>
          <w:p w14:paraId="77B8D276" w14:textId="77777777" w:rsidR="002125B7" w:rsidRPr="00325A1F" w:rsidRDefault="002125B7" w:rsidP="009D13F4">
            <w:pPr>
              <w:autoSpaceDE w:val="0"/>
              <w:autoSpaceDN w:val="0"/>
              <w:adjustRightInd w:val="0"/>
              <w:spacing w:line="276" w:lineRule="auto"/>
              <w:jc w:val="both"/>
              <w:rPr>
                <w:color w:val="000000"/>
                <w:szCs w:val="24"/>
              </w:rPr>
            </w:pPr>
            <w:r w:rsidRPr="00325A1F">
              <w:rPr>
                <w:szCs w:val="24"/>
              </w:rPr>
              <w:t>Opsioni 1</w:t>
            </w:r>
          </w:p>
        </w:tc>
        <w:tc>
          <w:tcPr>
            <w:tcW w:w="2258" w:type="dxa"/>
          </w:tcPr>
          <w:p w14:paraId="086EE704" w14:textId="44AF1CD2" w:rsidR="002125B7" w:rsidRPr="00325A1F" w:rsidRDefault="003A12EA" w:rsidP="009D13F4">
            <w:pPr>
              <w:autoSpaceDE w:val="0"/>
              <w:autoSpaceDN w:val="0"/>
              <w:adjustRightInd w:val="0"/>
              <w:spacing w:line="276" w:lineRule="auto"/>
              <w:jc w:val="right"/>
              <w:rPr>
                <w:color w:val="000000"/>
                <w:szCs w:val="24"/>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2410" w:type="dxa"/>
          </w:tcPr>
          <w:p w14:paraId="21A13888" w14:textId="6E0B6F6C" w:rsidR="002125B7" w:rsidRPr="00325A1F" w:rsidRDefault="003A12EA" w:rsidP="009D13F4">
            <w:pPr>
              <w:autoSpaceDE w:val="0"/>
              <w:autoSpaceDN w:val="0"/>
              <w:adjustRightInd w:val="0"/>
              <w:spacing w:line="276" w:lineRule="auto"/>
              <w:jc w:val="right"/>
              <w:rPr>
                <w:color w:val="000000"/>
                <w:szCs w:val="24"/>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3444" w:type="dxa"/>
          </w:tcPr>
          <w:p w14:paraId="41027619" w14:textId="26A0988A" w:rsidR="002125B7" w:rsidRPr="00325A1F" w:rsidRDefault="003A12EA" w:rsidP="009D13F4">
            <w:pPr>
              <w:autoSpaceDE w:val="0"/>
              <w:autoSpaceDN w:val="0"/>
              <w:adjustRightInd w:val="0"/>
              <w:spacing w:line="276" w:lineRule="auto"/>
              <w:jc w:val="right"/>
              <w:rPr>
                <w:color w:val="000000"/>
                <w:szCs w:val="24"/>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r>
      <w:tr w:rsidR="002125B7" w:rsidRPr="00325A1F" w14:paraId="49EF5D0E" w14:textId="77777777" w:rsidTr="001E3B6F">
        <w:tc>
          <w:tcPr>
            <w:tcW w:w="1698" w:type="dxa"/>
          </w:tcPr>
          <w:p w14:paraId="4D91C4DF" w14:textId="77777777" w:rsidR="002125B7" w:rsidRPr="00325A1F" w:rsidRDefault="002125B7" w:rsidP="009D13F4">
            <w:pPr>
              <w:autoSpaceDE w:val="0"/>
              <w:autoSpaceDN w:val="0"/>
              <w:adjustRightInd w:val="0"/>
              <w:spacing w:line="276" w:lineRule="auto"/>
              <w:jc w:val="both"/>
              <w:rPr>
                <w:color w:val="000000"/>
                <w:szCs w:val="24"/>
              </w:rPr>
            </w:pPr>
            <w:r w:rsidRPr="00325A1F">
              <w:rPr>
                <w:szCs w:val="24"/>
              </w:rPr>
              <w:t>Opsioni 2</w:t>
            </w:r>
          </w:p>
        </w:tc>
        <w:tc>
          <w:tcPr>
            <w:tcW w:w="2258" w:type="dxa"/>
          </w:tcPr>
          <w:p w14:paraId="6C3A74F4" w14:textId="05ECFC27" w:rsidR="002125B7" w:rsidRPr="00325A1F" w:rsidRDefault="0048674A" w:rsidP="00332CA5">
            <w:pPr>
              <w:autoSpaceDE w:val="0"/>
              <w:autoSpaceDN w:val="0"/>
              <w:adjustRightInd w:val="0"/>
              <w:spacing w:line="276" w:lineRule="auto"/>
              <w:jc w:val="right"/>
              <w:rPr>
                <w:color w:val="000000"/>
                <w:szCs w:val="24"/>
              </w:rPr>
            </w:pPr>
            <w:r w:rsidRPr="0048674A">
              <w:rPr>
                <w:color w:val="000000"/>
                <w:szCs w:val="24"/>
              </w:rPr>
              <w:t>53 419 662</w:t>
            </w:r>
          </w:p>
        </w:tc>
        <w:tc>
          <w:tcPr>
            <w:tcW w:w="2410" w:type="dxa"/>
          </w:tcPr>
          <w:p w14:paraId="19A59B98" w14:textId="0BE91B69" w:rsidR="002125B7" w:rsidRPr="00325A1F" w:rsidRDefault="0048674A" w:rsidP="009D13F4">
            <w:pPr>
              <w:autoSpaceDE w:val="0"/>
              <w:autoSpaceDN w:val="0"/>
              <w:adjustRightInd w:val="0"/>
              <w:spacing w:line="276" w:lineRule="auto"/>
              <w:jc w:val="right"/>
              <w:rPr>
                <w:color w:val="000000"/>
                <w:szCs w:val="24"/>
              </w:rPr>
            </w:pPr>
            <w:r w:rsidRPr="0048674A">
              <w:rPr>
                <w:color w:val="000000"/>
                <w:szCs w:val="24"/>
              </w:rPr>
              <w:t>60 839 428</w:t>
            </w:r>
          </w:p>
        </w:tc>
        <w:tc>
          <w:tcPr>
            <w:tcW w:w="3444" w:type="dxa"/>
          </w:tcPr>
          <w:p w14:paraId="014EDFE1" w14:textId="3760B4C5" w:rsidR="002125B7" w:rsidRPr="00325A1F" w:rsidRDefault="0048674A" w:rsidP="009D13F4">
            <w:pPr>
              <w:autoSpaceDE w:val="0"/>
              <w:autoSpaceDN w:val="0"/>
              <w:adjustRightInd w:val="0"/>
              <w:spacing w:line="276" w:lineRule="auto"/>
              <w:jc w:val="right"/>
              <w:rPr>
                <w:color w:val="000000"/>
                <w:szCs w:val="24"/>
              </w:rPr>
            </w:pPr>
            <w:r w:rsidRPr="0048674A">
              <w:rPr>
                <w:color w:val="000000"/>
                <w:szCs w:val="24"/>
              </w:rPr>
              <w:t>7 419 765</w:t>
            </w:r>
          </w:p>
        </w:tc>
      </w:tr>
    </w:tbl>
    <w:p w14:paraId="121F672F" w14:textId="75C7C7B1" w:rsidR="00B6156C" w:rsidRPr="00325A1F" w:rsidRDefault="00B6156C" w:rsidP="009D13F4">
      <w:pPr>
        <w:spacing w:line="276" w:lineRule="auto"/>
        <w:rPr>
          <w:b/>
          <w:szCs w:val="24"/>
        </w:rPr>
      </w:pPr>
    </w:p>
    <w:p w14:paraId="64319FE7" w14:textId="77777777" w:rsidR="002125B7" w:rsidRPr="00325A1F" w:rsidRDefault="002125B7" w:rsidP="009D13F4">
      <w:pPr>
        <w:spacing w:line="276" w:lineRule="auto"/>
        <w:rPr>
          <w:b/>
          <w:szCs w:val="24"/>
        </w:rPr>
      </w:pPr>
    </w:p>
    <w:p w14:paraId="5ED05594" w14:textId="77777777" w:rsidR="002125B7" w:rsidRPr="00325A1F" w:rsidRDefault="002125B7" w:rsidP="009D13F4">
      <w:pPr>
        <w:spacing w:line="276" w:lineRule="auto"/>
        <w:jc w:val="center"/>
        <w:rPr>
          <w:b/>
          <w:szCs w:val="24"/>
        </w:rPr>
      </w:pPr>
      <w:r w:rsidRPr="00325A1F">
        <w:rPr>
          <w:b/>
          <w:szCs w:val="24"/>
        </w:rPr>
        <w:t>MINISTËR</w:t>
      </w:r>
    </w:p>
    <w:p w14:paraId="797007D9" w14:textId="77777777" w:rsidR="002125B7" w:rsidRPr="00325A1F" w:rsidRDefault="002125B7" w:rsidP="009D13F4">
      <w:pPr>
        <w:spacing w:line="276" w:lineRule="auto"/>
        <w:jc w:val="center"/>
        <w:rPr>
          <w:b/>
          <w:szCs w:val="24"/>
        </w:rPr>
      </w:pPr>
    </w:p>
    <w:p w14:paraId="348B1F51" w14:textId="41EDBB81" w:rsidR="001F5DD9" w:rsidRPr="001C55D1" w:rsidRDefault="00960DB2" w:rsidP="001C55D1">
      <w:pPr>
        <w:spacing w:line="276" w:lineRule="auto"/>
        <w:jc w:val="center"/>
        <w:rPr>
          <w:b/>
          <w:szCs w:val="24"/>
        </w:rPr>
      </w:pPr>
      <w:r>
        <w:rPr>
          <w:color w:val="808080" w:themeColor="background1" w:themeShade="80"/>
          <w:szCs w:val="24"/>
        </w:rPr>
        <w:t xml:space="preserve">Toni Gogu </w:t>
      </w:r>
      <w:bookmarkStart w:id="23" w:name="_GoBack"/>
      <w:bookmarkEnd w:id="23"/>
    </w:p>
    <w:sectPr w:rsidR="001F5DD9" w:rsidRPr="001C55D1" w:rsidSect="00225F7F">
      <w:footnotePr>
        <w:numRestart w:val="eachSect"/>
      </w:footnotePr>
      <w:type w:val="continuous"/>
      <w:pgSz w:w="11907" w:h="16840" w:code="9"/>
      <w:pgMar w:top="677" w:right="850" w:bottom="677" w:left="850" w:header="28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3DD0E" w14:textId="77777777" w:rsidR="00EA6382" w:rsidRDefault="00EA6382">
      <w:r>
        <w:separator/>
      </w:r>
    </w:p>
  </w:endnote>
  <w:endnote w:type="continuationSeparator" w:id="0">
    <w:p w14:paraId="4B11D336" w14:textId="77777777" w:rsidR="00EA6382" w:rsidRDefault="00EA6382">
      <w:r>
        <w:continuationSeparator/>
      </w:r>
    </w:p>
  </w:endnote>
  <w:endnote w:type="continuationNotice" w:id="1">
    <w:p w14:paraId="162B5C53" w14:textId="77777777" w:rsidR="00EA6382" w:rsidRDefault="00EA63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EA0DF" w14:textId="1D40ED85" w:rsidR="00011374" w:rsidRPr="00EB43FD" w:rsidRDefault="00011374" w:rsidP="000407D8">
    <w:pPr>
      <w:pStyle w:val="Footer"/>
    </w:pPr>
    <w:r w:rsidRPr="00EB43FD">
      <w:rPr>
        <w:rStyle w:val="PageNumber"/>
        <w:b w:val="0"/>
        <w:szCs w:val="18"/>
      </w:rPr>
      <w:fldChar w:fldCharType="begin"/>
    </w:r>
    <w:r w:rsidRPr="00EB43FD">
      <w:rPr>
        <w:rStyle w:val="PageNumber"/>
        <w:b w:val="0"/>
        <w:szCs w:val="18"/>
      </w:rPr>
      <w:instrText xml:space="preserve"> PAGE </w:instrText>
    </w:r>
    <w:r w:rsidRPr="00EB43FD">
      <w:rPr>
        <w:rStyle w:val="PageNumber"/>
        <w:b w:val="0"/>
        <w:szCs w:val="18"/>
      </w:rPr>
      <w:fldChar w:fldCharType="separate"/>
    </w:r>
    <w:r w:rsidR="008E1208">
      <w:rPr>
        <w:rStyle w:val="PageNumber"/>
        <w:b w:val="0"/>
        <w:noProof/>
        <w:szCs w:val="18"/>
      </w:rPr>
      <w:t>12</w:t>
    </w:r>
    <w:r w:rsidRPr="00EB43FD">
      <w:rPr>
        <w:rStyle w:val="PageNumber"/>
        <w:b w:val="0"/>
        <w:szCs w:val="18"/>
      </w:rPr>
      <w:fldChar w:fldCharType="end"/>
    </w:r>
  </w:p>
  <w:p w14:paraId="7FCE54BD" w14:textId="77777777" w:rsidR="00011374" w:rsidRDefault="00011374"/>
  <w:p w14:paraId="2995CCAD" w14:textId="77777777" w:rsidR="00011374" w:rsidRDefault="0001137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EBC35" w14:textId="77777777" w:rsidR="00EA6382" w:rsidRDefault="00EA6382">
      <w:r>
        <w:separator/>
      </w:r>
    </w:p>
  </w:footnote>
  <w:footnote w:type="continuationSeparator" w:id="0">
    <w:p w14:paraId="32A0D6EC" w14:textId="77777777" w:rsidR="00EA6382" w:rsidRDefault="00EA6382">
      <w:r>
        <w:continuationSeparator/>
      </w:r>
    </w:p>
  </w:footnote>
  <w:footnote w:type="continuationNotice" w:id="1">
    <w:p w14:paraId="4CD77169" w14:textId="77777777" w:rsidR="00EA6382" w:rsidRDefault="00EA638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E7460" w14:textId="77777777" w:rsidR="00011374" w:rsidRDefault="00011374"/>
  <w:p w14:paraId="13C35FD1" w14:textId="77777777" w:rsidR="00011374" w:rsidRDefault="0001137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049E0"/>
    <w:multiLevelType w:val="multilevel"/>
    <w:tmpl w:val="E22EAF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F82FF2"/>
    <w:multiLevelType w:val="multilevel"/>
    <w:tmpl w:val="16F4CEF8"/>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2325A2"/>
    <w:multiLevelType w:val="multilevel"/>
    <w:tmpl w:val="F31C3A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4070F9F"/>
    <w:multiLevelType w:val="multilevel"/>
    <w:tmpl w:val="D4D0A88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10934"/>
    <w:multiLevelType w:val="multilevel"/>
    <w:tmpl w:val="2E4A1FE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6F1F01"/>
    <w:multiLevelType w:val="multilevel"/>
    <w:tmpl w:val="7834E4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5C15C6"/>
    <w:multiLevelType w:val="multilevel"/>
    <w:tmpl w:val="3AFC1F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04B77"/>
    <w:multiLevelType w:val="multilevel"/>
    <w:tmpl w:val="A89292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AE40FC"/>
    <w:multiLevelType w:val="hybridMultilevel"/>
    <w:tmpl w:val="7212A1B6"/>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260C5F94"/>
    <w:multiLevelType w:val="multilevel"/>
    <w:tmpl w:val="F31C3A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979506F"/>
    <w:multiLevelType w:val="hybridMultilevel"/>
    <w:tmpl w:val="FED256C4"/>
    <w:lvl w:ilvl="0" w:tplc="041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AC27CD6"/>
    <w:multiLevelType w:val="multilevel"/>
    <w:tmpl w:val="B6A67E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2DD908A7"/>
    <w:multiLevelType w:val="hybridMultilevel"/>
    <w:tmpl w:val="89340110"/>
    <w:lvl w:ilvl="0" w:tplc="43BE56FA">
      <w:start w:val="1"/>
      <w:numFmt w:val="decimal"/>
      <w:lvlText w:val="%1."/>
      <w:lvlJc w:val="left"/>
      <w:pPr>
        <w:ind w:left="720" w:hanging="360"/>
      </w:pPr>
      <w:rPr>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363A1266"/>
    <w:multiLevelType w:val="multilevel"/>
    <w:tmpl w:val="F626A1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6B1E5F"/>
    <w:multiLevelType w:val="multilevel"/>
    <w:tmpl w:val="B166294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9E6C53"/>
    <w:multiLevelType w:val="hybridMultilevel"/>
    <w:tmpl w:val="12CC770A"/>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3C3B6643"/>
    <w:multiLevelType w:val="multilevel"/>
    <w:tmpl w:val="C3C615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AB1B37"/>
    <w:multiLevelType w:val="multilevel"/>
    <w:tmpl w:val="D53879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4F5C64"/>
    <w:multiLevelType w:val="multilevel"/>
    <w:tmpl w:val="B2D420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48A33DA"/>
    <w:multiLevelType w:val="multilevel"/>
    <w:tmpl w:val="6C5C70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E244D3"/>
    <w:multiLevelType w:val="multilevel"/>
    <w:tmpl w:val="8C9A63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AA1969"/>
    <w:multiLevelType w:val="multilevel"/>
    <w:tmpl w:val="85E2D0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7517F0"/>
    <w:multiLevelType w:val="multilevel"/>
    <w:tmpl w:val="85966B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8C5E8E"/>
    <w:multiLevelType w:val="hybridMultilevel"/>
    <w:tmpl w:val="59882540"/>
    <w:lvl w:ilvl="0" w:tplc="041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5" w15:restartNumberingAfterBreak="0">
    <w:nsid w:val="561B17A7"/>
    <w:multiLevelType w:val="multilevel"/>
    <w:tmpl w:val="43BCE3D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C664CF"/>
    <w:multiLevelType w:val="hybridMultilevel"/>
    <w:tmpl w:val="64629C76"/>
    <w:lvl w:ilvl="0" w:tplc="041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3142B7"/>
    <w:multiLevelType w:val="multilevel"/>
    <w:tmpl w:val="662C3D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E23FA0"/>
    <w:multiLevelType w:val="hybridMultilevel"/>
    <w:tmpl w:val="53B23DDA"/>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9" w15:restartNumberingAfterBreak="0">
    <w:nsid w:val="633D7A3B"/>
    <w:multiLevelType w:val="multilevel"/>
    <w:tmpl w:val="DF5EC5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764200"/>
    <w:multiLevelType w:val="multilevel"/>
    <w:tmpl w:val="F31C3A9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CEB42F5"/>
    <w:multiLevelType w:val="multilevel"/>
    <w:tmpl w:val="636217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7A3030"/>
    <w:multiLevelType w:val="multilevel"/>
    <w:tmpl w:val="61F087E2"/>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8851C2"/>
    <w:multiLevelType w:val="multilevel"/>
    <w:tmpl w:val="3626DD9A"/>
    <w:lvl w:ilvl="0">
      <w:start w:val="1"/>
      <w:numFmt w:val="decimal"/>
      <w:pStyle w:val="IARefNumber"/>
      <w:suff w:val="nothing"/>
      <w:lvlText w:val="%1"/>
      <w:lvlJc w:val="left"/>
      <w:pPr>
        <w:ind w:firstLine="113"/>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4" w15:restartNumberingAfterBreak="0">
    <w:nsid w:val="76624EB1"/>
    <w:multiLevelType w:val="multilevel"/>
    <w:tmpl w:val="5590D6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BB47E0F"/>
    <w:multiLevelType w:val="multilevel"/>
    <w:tmpl w:val="5E348D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B75C1D"/>
    <w:multiLevelType w:val="multilevel"/>
    <w:tmpl w:val="E2CC615A"/>
    <w:lvl w:ilvl="0">
      <w:start w:val="1"/>
      <w:numFmt w:val="none"/>
      <w:pStyle w:val="EBNumberRestart"/>
      <w:suff w:val="nothing"/>
      <w:lvlText w:val="%1"/>
      <w:lvlJc w:val="left"/>
      <w:rPr>
        <w:rFonts w:cs="Times New Roman" w:hint="default"/>
      </w:rPr>
    </w:lvl>
    <w:lvl w:ilvl="1">
      <w:start w:val="1"/>
      <w:numFmt w:val="decimal"/>
      <w:pStyle w:val="EBNumber"/>
      <w:lvlText w:val="%1%2."/>
      <w:lvlJc w:val="left"/>
      <w:pPr>
        <w:tabs>
          <w:tab w:val="num" w:pos="425"/>
        </w:tabs>
        <w:ind w:left="425" w:hanging="425"/>
      </w:pPr>
      <w:rPr>
        <w:rFonts w:cs="Times New Roman" w:hint="default"/>
      </w:rPr>
    </w:lvl>
    <w:lvl w:ilvl="2">
      <w:start w:val="1"/>
      <w:numFmt w:val="lowerLetter"/>
      <w:lvlText w:val="%1%3."/>
      <w:lvlJc w:val="left"/>
      <w:pPr>
        <w:tabs>
          <w:tab w:val="num" w:pos="851"/>
        </w:tabs>
        <w:ind w:left="851" w:hanging="426"/>
      </w:pPr>
      <w:rPr>
        <w:rFonts w:cs="Times New Roman" w:hint="default"/>
      </w:rPr>
    </w:lvl>
    <w:lvl w:ilvl="3">
      <w:start w:val="1"/>
      <w:numFmt w:val="none"/>
      <w:lvlText w:val="%1"/>
      <w:lvlJc w:val="left"/>
      <w:pPr>
        <w:tabs>
          <w:tab w:val="num" w:pos="2880"/>
        </w:tabs>
        <w:ind w:left="1728" w:hanging="648"/>
      </w:pPr>
      <w:rPr>
        <w:rFonts w:cs="Times New Roman" w:hint="default"/>
      </w:rPr>
    </w:lvl>
    <w:lvl w:ilvl="4">
      <w:start w:val="1"/>
      <w:numFmt w:val="none"/>
      <w:lvlText w:val="%1"/>
      <w:lvlJc w:val="left"/>
      <w:pPr>
        <w:tabs>
          <w:tab w:val="num" w:pos="3600"/>
        </w:tabs>
        <w:ind w:left="2232" w:hanging="792"/>
      </w:pPr>
      <w:rPr>
        <w:rFonts w:cs="Times New Roman" w:hint="default"/>
      </w:rPr>
    </w:lvl>
    <w:lvl w:ilvl="5">
      <w:start w:val="1"/>
      <w:numFmt w:val="none"/>
      <w:lvlText w:val="%1"/>
      <w:lvlJc w:val="left"/>
      <w:pPr>
        <w:tabs>
          <w:tab w:val="num" w:pos="4320"/>
        </w:tabs>
        <w:ind w:left="2736" w:hanging="936"/>
      </w:pPr>
      <w:rPr>
        <w:rFonts w:cs="Times New Roman" w:hint="default"/>
      </w:rPr>
    </w:lvl>
    <w:lvl w:ilvl="6">
      <w:start w:val="1"/>
      <w:numFmt w:val="none"/>
      <w:lvlText w:val="%1"/>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num w:numId="1">
    <w:abstractNumId w:val="33"/>
  </w:num>
  <w:num w:numId="2">
    <w:abstractNumId w:val="12"/>
  </w:num>
  <w:num w:numId="3">
    <w:abstractNumId w:val="37"/>
  </w:num>
  <w:num w:numId="4">
    <w:abstractNumId w:val="35"/>
  </w:num>
  <w:num w:numId="5">
    <w:abstractNumId w:val="1"/>
  </w:num>
  <w:num w:numId="6">
    <w:abstractNumId w:val="8"/>
  </w:num>
  <w:num w:numId="7">
    <w:abstractNumId w:val="16"/>
  </w:num>
  <w:num w:numId="8">
    <w:abstractNumId w:val="13"/>
  </w:num>
  <w:num w:numId="9">
    <w:abstractNumId w:val="15"/>
  </w:num>
  <w:num w:numId="10">
    <w:abstractNumId w:val="28"/>
  </w:num>
  <w:num w:numId="11">
    <w:abstractNumId w:val="4"/>
  </w:num>
  <w:num w:numId="12">
    <w:abstractNumId w:val="25"/>
  </w:num>
  <w:num w:numId="13">
    <w:abstractNumId w:val="2"/>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29"/>
  </w:num>
  <w:num w:numId="20">
    <w:abstractNumId w:val="27"/>
  </w:num>
  <w:num w:numId="21">
    <w:abstractNumId w:val="3"/>
  </w:num>
  <w:num w:numId="22">
    <w:abstractNumId w:val="17"/>
  </w:num>
  <w:num w:numId="23">
    <w:abstractNumId w:val="23"/>
  </w:num>
  <w:num w:numId="24">
    <w:abstractNumId w:val="18"/>
  </w:num>
  <w:num w:numId="25">
    <w:abstractNumId w:val="21"/>
  </w:num>
  <w:num w:numId="26">
    <w:abstractNumId w:val="5"/>
  </w:num>
  <w:num w:numId="27">
    <w:abstractNumId w:val="31"/>
  </w:num>
  <w:num w:numId="28">
    <w:abstractNumId w:val="20"/>
  </w:num>
  <w:num w:numId="29">
    <w:abstractNumId w:val="0"/>
  </w:num>
  <w:num w:numId="30">
    <w:abstractNumId w:val="7"/>
  </w:num>
  <w:num w:numId="31">
    <w:abstractNumId w:val="6"/>
  </w:num>
  <w:num w:numId="32">
    <w:abstractNumId w:val="32"/>
  </w:num>
  <w:num w:numId="33">
    <w:abstractNumId w:val="10"/>
  </w:num>
  <w:num w:numId="34">
    <w:abstractNumId w:val="26"/>
  </w:num>
  <w:num w:numId="35">
    <w:abstractNumId w:val="24"/>
  </w:num>
  <w:num w:numId="36">
    <w:abstractNumId w:val="36"/>
  </w:num>
  <w:num w:numId="37">
    <w:abstractNumId w:val="22"/>
  </w:num>
  <w:num w:numId="38">
    <w:abstractNumId w:val="19"/>
  </w:num>
  <w:num w:numId="39">
    <w:abstractNumId w:val="14"/>
  </w:num>
  <w:num w:numId="40">
    <w:abstractNumId w:val="11"/>
  </w:num>
  <w:num w:numId="41">
    <w:abstractNumId w:val="9"/>
  </w:num>
  <w:num w:numId="42">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formatting="1" w:enforcement="0"/>
  <w:defaultTabStop w:val="720"/>
  <w:hyphenationZone w:val="425"/>
  <w:doNotShadeFormData/>
  <w:characterSpacingControl w:val="doNotCompres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NewDoc" w:val="Created"/>
    <w:docVar w:name="VerNumber" w:val="3.9.0"/>
  </w:docVars>
  <w:rsids>
    <w:rsidRoot w:val="00044FE7"/>
    <w:rsid w:val="00000766"/>
    <w:rsid w:val="000019B2"/>
    <w:rsid w:val="00001E72"/>
    <w:rsid w:val="00003A70"/>
    <w:rsid w:val="000045C0"/>
    <w:rsid w:val="0000505F"/>
    <w:rsid w:val="00006A97"/>
    <w:rsid w:val="000071A5"/>
    <w:rsid w:val="000079C0"/>
    <w:rsid w:val="00007F7E"/>
    <w:rsid w:val="00010950"/>
    <w:rsid w:val="00010AD1"/>
    <w:rsid w:val="00010EE1"/>
    <w:rsid w:val="00011374"/>
    <w:rsid w:val="00012458"/>
    <w:rsid w:val="000142E8"/>
    <w:rsid w:val="000142F1"/>
    <w:rsid w:val="0001460F"/>
    <w:rsid w:val="000166B7"/>
    <w:rsid w:val="00021306"/>
    <w:rsid w:val="000222F1"/>
    <w:rsid w:val="00022BE0"/>
    <w:rsid w:val="00022F52"/>
    <w:rsid w:val="00023080"/>
    <w:rsid w:val="0002370C"/>
    <w:rsid w:val="000239A7"/>
    <w:rsid w:val="00023E62"/>
    <w:rsid w:val="000251D0"/>
    <w:rsid w:val="00025CC4"/>
    <w:rsid w:val="00026555"/>
    <w:rsid w:val="00026AC0"/>
    <w:rsid w:val="00026AF2"/>
    <w:rsid w:val="00027038"/>
    <w:rsid w:val="0003786D"/>
    <w:rsid w:val="0004016B"/>
    <w:rsid w:val="000407D8"/>
    <w:rsid w:val="00044FE7"/>
    <w:rsid w:val="00045828"/>
    <w:rsid w:val="00045BAD"/>
    <w:rsid w:val="00051403"/>
    <w:rsid w:val="00052F44"/>
    <w:rsid w:val="0005543F"/>
    <w:rsid w:val="00056EE6"/>
    <w:rsid w:val="0006047F"/>
    <w:rsid w:val="0006053F"/>
    <w:rsid w:val="00061D9C"/>
    <w:rsid w:val="00063FFC"/>
    <w:rsid w:val="00065D3F"/>
    <w:rsid w:val="000671A2"/>
    <w:rsid w:val="000674E8"/>
    <w:rsid w:val="00067B53"/>
    <w:rsid w:val="000705A0"/>
    <w:rsid w:val="00070EEB"/>
    <w:rsid w:val="00071110"/>
    <w:rsid w:val="00071299"/>
    <w:rsid w:val="00072272"/>
    <w:rsid w:val="00074463"/>
    <w:rsid w:val="0007524C"/>
    <w:rsid w:val="0007532E"/>
    <w:rsid w:val="0007637D"/>
    <w:rsid w:val="000767AC"/>
    <w:rsid w:val="0007695E"/>
    <w:rsid w:val="00076A78"/>
    <w:rsid w:val="00076C08"/>
    <w:rsid w:val="00082659"/>
    <w:rsid w:val="00082B2E"/>
    <w:rsid w:val="00082BAC"/>
    <w:rsid w:val="00083F35"/>
    <w:rsid w:val="000860CC"/>
    <w:rsid w:val="00086128"/>
    <w:rsid w:val="0008731F"/>
    <w:rsid w:val="00090203"/>
    <w:rsid w:val="00093598"/>
    <w:rsid w:val="0009381F"/>
    <w:rsid w:val="00094680"/>
    <w:rsid w:val="000956FD"/>
    <w:rsid w:val="00096BFA"/>
    <w:rsid w:val="00097B41"/>
    <w:rsid w:val="00097F52"/>
    <w:rsid w:val="000A367B"/>
    <w:rsid w:val="000A36EE"/>
    <w:rsid w:val="000A5C5D"/>
    <w:rsid w:val="000A6E4B"/>
    <w:rsid w:val="000A79FC"/>
    <w:rsid w:val="000B07A1"/>
    <w:rsid w:val="000B1176"/>
    <w:rsid w:val="000B1A2E"/>
    <w:rsid w:val="000B3E49"/>
    <w:rsid w:val="000B5172"/>
    <w:rsid w:val="000B6F0E"/>
    <w:rsid w:val="000B7843"/>
    <w:rsid w:val="000B7935"/>
    <w:rsid w:val="000C031E"/>
    <w:rsid w:val="000C1550"/>
    <w:rsid w:val="000C165A"/>
    <w:rsid w:val="000C1D45"/>
    <w:rsid w:val="000C2589"/>
    <w:rsid w:val="000C30D8"/>
    <w:rsid w:val="000C3CF6"/>
    <w:rsid w:val="000C4589"/>
    <w:rsid w:val="000C542B"/>
    <w:rsid w:val="000C57D5"/>
    <w:rsid w:val="000C6A87"/>
    <w:rsid w:val="000C6D20"/>
    <w:rsid w:val="000D00A5"/>
    <w:rsid w:val="000D0E68"/>
    <w:rsid w:val="000D1CB0"/>
    <w:rsid w:val="000D31B0"/>
    <w:rsid w:val="000D55B5"/>
    <w:rsid w:val="000D58BD"/>
    <w:rsid w:val="000D5974"/>
    <w:rsid w:val="000D5ED5"/>
    <w:rsid w:val="000D786D"/>
    <w:rsid w:val="000D7F7C"/>
    <w:rsid w:val="000E02BE"/>
    <w:rsid w:val="000E1FF4"/>
    <w:rsid w:val="000E3308"/>
    <w:rsid w:val="000E3FD7"/>
    <w:rsid w:val="000E452D"/>
    <w:rsid w:val="000F004E"/>
    <w:rsid w:val="000F0840"/>
    <w:rsid w:val="000F37BB"/>
    <w:rsid w:val="000F4481"/>
    <w:rsid w:val="000F5100"/>
    <w:rsid w:val="000F57BB"/>
    <w:rsid w:val="000F6D96"/>
    <w:rsid w:val="00101961"/>
    <w:rsid w:val="00102870"/>
    <w:rsid w:val="00106AD4"/>
    <w:rsid w:val="00107820"/>
    <w:rsid w:val="00110396"/>
    <w:rsid w:val="001110DB"/>
    <w:rsid w:val="00113F78"/>
    <w:rsid w:val="00115D70"/>
    <w:rsid w:val="001171C2"/>
    <w:rsid w:val="00120113"/>
    <w:rsid w:val="00121C8F"/>
    <w:rsid w:val="001235DD"/>
    <w:rsid w:val="0012369A"/>
    <w:rsid w:val="00123A7B"/>
    <w:rsid w:val="001243CD"/>
    <w:rsid w:val="0012460B"/>
    <w:rsid w:val="00124A92"/>
    <w:rsid w:val="00127373"/>
    <w:rsid w:val="0013023A"/>
    <w:rsid w:val="00131CE4"/>
    <w:rsid w:val="00133A17"/>
    <w:rsid w:val="00133C58"/>
    <w:rsid w:val="00134EA8"/>
    <w:rsid w:val="001365F4"/>
    <w:rsid w:val="0014006B"/>
    <w:rsid w:val="0014140D"/>
    <w:rsid w:val="00141B6F"/>
    <w:rsid w:val="0014336D"/>
    <w:rsid w:val="00144215"/>
    <w:rsid w:val="001477D1"/>
    <w:rsid w:val="00150DAE"/>
    <w:rsid w:val="0015254E"/>
    <w:rsid w:val="00152C60"/>
    <w:rsid w:val="001535F3"/>
    <w:rsid w:val="001562BB"/>
    <w:rsid w:val="00156E0C"/>
    <w:rsid w:val="00160691"/>
    <w:rsid w:val="00165113"/>
    <w:rsid w:val="00167BF5"/>
    <w:rsid w:val="001709E2"/>
    <w:rsid w:val="0017419D"/>
    <w:rsid w:val="00174C10"/>
    <w:rsid w:val="00175447"/>
    <w:rsid w:val="00181BA0"/>
    <w:rsid w:val="001822EA"/>
    <w:rsid w:val="00182B85"/>
    <w:rsid w:val="00183038"/>
    <w:rsid w:val="00183882"/>
    <w:rsid w:val="001844B6"/>
    <w:rsid w:val="001851A3"/>
    <w:rsid w:val="001851B9"/>
    <w:rsid w:val="001855B1"/>
    <w:rsid w:val="00186D01"/>
    <w:rsid w:val="0019021E"/>
    <w:rsid w:val="00190A8C"/>
    <w:rsid w:val="00190F9A"/>
    <w:rsid w:val="00194050"/>
    <w:rsid w:val="00194745"/>
    <w:rsid w:val="00194E96"/>
    <w:rsid w:val="001A07F1"/>
    <w:rsid w:val="001A2E6B"/>
    <w:rsid w:val="001A33B2"/>
    <w:rsid w:val="001A3B0B"/>
    <w:rsid w:val="001A4332"/>
    <w:rsid w:val="001A4432"/>
    <w:rsid w:val="001A478E"/>
    <w:rsid w:val="001A509E"/>
    <w:rsid w:val="001A6FE6"/>
    <w:rsid w:val="001A7B61"/>
    <w:rsid w:val="001A7D6D"/>
    <w:rsid w:val="001B1210"/>
    <w:rsid w:val="001B2F84"/>
    <w:rsid w:val="001B305C"/>
    <w:rsid w:val="001B34EB"/>
    <w:rsid w:val="001B4E3F"/>
    <w:rsid w:val="001B7099"/>
    <w:rsid w:val="001C0644"/>
    <w:rsid w:val="001C0B58"/>
    <w:rsid w:val="001C3363"/>
    <w:rsid w:val="001C4862"/>
    <w:rsid w:val="001C55D1"/>
    <w:rsid w:val="001C7C39"/>
    <w:rsid w:val="001D09CC"/>
    <w:rsid w:val="001D0AF4"/>
    <w:rsid w:val="001D12D6"/>
    <w:rsid w:val="001D1FC0"/>
    <w:rsid w:val="001D2096"/>
    <w:rsid w:val="001D3A43"/>
    <w:rsid w:val="001D3C11"/>
    <w:rsid w:val="001D4AA8"/>
    <w:rsid w:val="001D4D42"/>
    <w:rsid w:val="001D5EC9"/>
    <w:rsid w:val="001D6B90"/>
    <w:rsid w:val="001E0A34"/>
    <w:rsid w:val="001E0D36"/>
    <w:rsid w:val="001E152A"/>
    <w:rsid w:val="001E1DA0"/>
    <w:rsid w:val="001E3B6F"/>
    <w:rsid w:val="001E429F"/>
    <w:rsid w:val="001E69A2"/>
    <w:rsid w:val="001F02C1"/>
    <w:rsid w:val="001F0E6B"/>
    <w:rsid w:val="001F27CF"/>
    <w:rsid w:val="001F4352"/>
    <w:rsid w:val="001F5423"/>
    <w:rsid w:val="001F5DD9"/>
    <w:rsid w:val="001F62D3"/>
    <w:rsid w:val="001F69E9"/>
    <w:rsid w:val="001F6D51"/>
    <w:rsid w:val="001F71C9"/>
    <w:rsid w:val="001F7CF8"/>
    <w:rsid w:val="001F7D4B"/>
    <w:rsid w:val="00200315"/>
    <w:rsid w:val="00200B8C"/>
    <w:rsid w:val="0020104C"/>
    <w:rsid w:val="0020151D"/>
    <w:rsid w:val="00201B79"/>
    <w:rsid w:val="00202E56"/>
    <w:rsid w:val="002033D6"/>
    <w:rsid w:val="00203758"/>
    <w:rsid w:val="00204AB1"/>
    <w:rsid w:val="00204B10"/>
    <w:rsid w:val="002053D7"/>
    <w:rsid w:val="00205E05"/>
    <w:rsid w:val="0020708B"/>
    <w:rsid w:val="00207B21"/>
    <w:rsid w:val="00207D2A"/>
    <w:rsid w:val="00211257"/>
    <w:rsid w:val="002125B7"/>
    <w:rsid w:val="0021410F"/>
    <w:rsid w:val="002144F0"/>
    <w:rsid w:val="00216F02"/>
    <w:rsid w:val="0021731F"/>
    <w:rsid w:val="00217CA1"/>
    <w:rsid w:val="00220F29"/>
    <w:rsid w:val="00221FAD"/>
    <w:rsid w:val="00222506"/>
    <w:rsid w:val="0022350E"/>
    <w:rsid w:val="0022490F"/>
    <w:rsid w:val="00225F7F"/>
    <w:rsid w:val="00225F9C"/>
    <w:rsid w:val="002274E5"/>
    <w:rsid w:val="0022767B"/>
    <w:rsid w:val="00227EBE"/>
    <w:rsid w:val="002306B7"/>
    <w:rsid w:val="0023355B"/>
    <w:rsid w:val="00233F75"/>
    <w:rsid w:val="002347A2"/>
    <w:rsid w:val="00235DD9"/>
    <w:rsid w:val="00235F5D"/>
    <w:rsid w:val="00241738"/>
    <w:rsid w:val="002425C2"/>
    <w:rsid w:val="00242C41"/>
    <w:rsid w:val="002437A8"/>
    <w:rsid w:val="00246360"/>
    <w:rsid w:val="0024644D"/>
    <w:rsid w:val="00246AF8"/>
    <w:rsid w:val="00250259"/>
    <w:rsid w:val="00251ED1"/>
    <w:rsid w:val="002530A8"/>
    <w:rsid w:val="00253F4D"/>
    <w:rsid w:val="00253FB0"/>
    <w:rsid w:val="00254E5A"/>
    <w:rsid w:val="0026191F"/>
    <w:rsid w:val="002621C7"/>
    <w:rsid w:val="00262437"/>
    <w:rsid w:val="00264538"/>
    <w:rsid w:val="00265153"/>
    <w:rsid w:val="00265CE0"/>
    <w:rsid w:val="0026604F"/>
    <w:rsid w:val="002708FC"/>
    <w:rsid w:val="002718D6"/>
    <w:rsid w:val="00272539"/>
    <w:rsid w:val="00272775"/>
    <w:rsid w:val="00272F62"/>
    <w:rsid w:val="00272FA0"/>
    <w:rsid w:val="00273A3C"/>
    <w:rsid w:val="002743F4"/>
    <w:rsid w:val="00280F48"/>
    <w:rsid w:val="00281E7E"/>
    <w:rsid w:val="00282EFA"/>
    <w:rsid w:val="002837FC"/>
    <w:rsid w:val="002840A5"/>
    <w:rsid w:val="00284C30"/>
    <w:rsid w:val="00286282"/>
    <w:rsid w:val="002864EF"/>
    <w:rsid w:val="00286786"/>
    <w:rsid w:val="0028755A"/>
    <w:rsid w:val="00287BA8"/>
    <w:rsid w:val="00287DF9"/>
    <w:rsid w:val="00290335"/>
    <w:rsid w:val="0029158C"/>
    <w:rsid w:val="00296D20"/>
    <w:rsid w:val="002A06DA"/>
    <w:rsid w:val="002A33A0"/>
    <w:rsid w:val="002A456F"/>
    <w:rsid w:val="002A5FF4"/>
    <w:rsid w:val="002A6015"/>
    <w:rsid w:val="002A66D3"/>
    <w:rsid w:val="002A6E2B"/>
    <w:rsid w:val="002B2572"/>
    <w:rsid w:val="002B4D79"/>
    <w:rsid w:val="002B7335"/>
    <w:rsid w:val="002B761B"/>
    <w:rsid w:val="002B77F5"/>
    <w:rsid w:val="002C1D0C"/>
    <w:rsid w:val="002C1EC2"/>
    <w:rsid w:val="002C331D"/>
    <w:rsid w:val="002C4806"/>
    <w:rsid w:val="002C76CF"/>
    <w:rsid w:val="002D1AE9"/>
    <w:rsid w:val="002D248F"/>
    <w:rsid w:val="002D2D7E"/>
    <w:rsid w:val="002D3103"/>
    <w:rsid w:val="002D4104"/>
    <w:rsid w:val="002D4177"/>
    <w:rsid w:val="002D548B"/>
    <w:rsid w:val="002D66B1"/>
    <w:rsid w:val="002D7616"/>
    <w:rsid w:val="002D7C25"/>
    <w:rsid w:val="002D7ECF"/>
    <w:rsid w:val="002E1C94"/>
    <w:rsid w:val="002E30E7"/>
    <w:rsid w:val="002E46DE"/>
    <w:rsid w:val="002E5406"/>
    <w:rsid w:val="002E753B"/>
    <w:rsid w:val="002E78D7"/>
    <w:rsid w:val="002F0CC1"/>
    <w:rsid w:val="002F158D"/>
    <w:rsid w:val="002F1CB1"/>
    <w:rsid w:val="002F3633"/>
    <w:rsid w:val="002F5B67"/>
    <w:rsid w:val="002F653C"/>
    <w:rsid w:val="002F7D4C"/>
    <w:rsid w:val="00300CED"/>
    <w:rsid w:val="00300D77"/>
    <w:rsid w:val="00301767"/>
    <w:rsid w:val="003030E1"/>
    <w:rsid w:val="00304677"/>
    <w:rsid w:val="00304C1D"/>
    <w:rsid w:val="0030589E"/>
    <w:rsid w:val="003069E8"/>
    <w:rsid w:val="00307737"/>
    <w:rsid w:val="00307E85"/>
    <w:rsid w:val="00310269"/>
    <w:rsid w:val="0031087D"/>
    <w:rsid w:val="00310BBC"/>
    <w:rsid w:val="00310E67"/>
    <w:rsid w:val="003111DB"/>
    <w:rsid w:val="00311373"/>
    <w:rsid w:val="00311CCB"/>
    <w:rsid w:val="00312FD6"/>
    <w:rsid w:val="00313937"/>
    <w:rsid w:val="00314466"/>
    <w:rsid w:val="003149E9"/>
    <w:rsid w:val="00315292"/>
    <w:rsid w:val="00316B83"/>
    <w:rsid w:val="00317004"/>
    <w:rsid w:val="00317DAD"/>
    <w:rsid w:val="00317FF8"/>
    <w:rsid w:val="003203C7"/>
    <w:rsid w:val="00320415"/>
    <w:rsid w:val="0032145B"/>
    <w:rsid w:val="00321E39"/>
    <w:rsid w:val="003228BF"/>
    <w:rsid w:val="00322E0B"/>
    <w:rsid w:val="00323107"/>
    <w:rsid w:val="00323C5A"/>
    <w:rsid w:val="00323E52"/>
    <w:rsid w:val="00324485"/>
    <w:rsid w:val="00325A1F"/>
    <w:rsid w:val="00331DCE"/>
    <w:rsid w:val="00332011"/>
    <w:rsid w:val="00332055"/>
    <w:rsid w:val="00332280"/>
    <w:rsid w:val="003323DB"/>
    <w:rsid w:val="00332B05"/>
    <w:rsid w:val="00332CA5"/>
    <w:rsid w:val="003330C7"/>
    <w:rsid w:val="00333348"/>
    <w:rsid w:val="00335C9A"/>
    <w:rsid w:val="0034082D"/>
    <w:rsid w:val="003409BF"/>
    <w:rsid w:val="00341926"/>
    <w:rsid w:val="00341944"/>
    <w:rsid w:val="0034461C"/>
    <w:rsid w:val="00345525"/>
    <w:rsid w:val="00346CF7"/>
    <w:rsid w:val="00347039"/>
    <w:rsid w:val="00351302"/>
    <w:rsid w:val="00355E73"/>
    <w:rsid w:val="00356841"/>
    <w:rsid w:val="00357DAD"/>
    <w:rsid w:val="003640B6"/>
    <w:rsid w:val="00364267"/>
    <w:rsid w:val="00364715"/>
    <w:rsid w:val="00365687"/>
    <w:rsid w:val="003657AB"/>
    <w:rsid w:val="003669AB"/>
    <w:rsid w:val="00367799"/>
    <w:rsid w:val="00370920"/>
    <w:rsid w:val="003709CB"/>
    <w:rsid w:val="00370A03"/>
    <w:rsid w:val="00372979"/>
    <w:rsid w:val="00372A69"/>
    <w:rsid w:val="00376491"/>
    <w:rsid w:val="00380189"/>
    <w:rsid w:val="00380A15"/>
    <w:rsid w:val="00381107"/>
    <w:rsid w:val="00381308"/>
    <w:rsid w:val="003818E8"/>
    <w:rsid w:val="00383295"/>
    <w:rsid w:val="003848EF"/>
    <w:rsid w:val="00384905"/>
    <w:rsid w:val="00385BF8"/>
    <w:rsid w:val="00386560"/>
    <w:rsid w:val="00393A76"/>
    <w:rsid w:val="003946A1"/>
    <w:rsid w:val="00395DFD"/>
    <w:rsid w:val="00395F95"/>
    <w:rsid w:val="00396C1A"/>
    <w:rsid w:val="00396C5E"/>
    <w:rsid w:val="003972F5"/>
    <w:rsid w:val="003A12B1"/>
    <w:rsid w:val="003A12EA"/>
    <w:rsid w:val="003A151C"/>
    <w:rsid w:val="003A1E33"/>
    <w:rsid w:val="003A2E39"/>
    <w:rsid w:val="003A53C5"/>
    <w:rsid w:val="003A5EEC"/>
    <w:rsid w:val="003A6079"/>
    <w:rsid w:val="003A6473"/>
    <w:rsid w:val="003A68AB"/>
    <w:rsid w:val="003A7572"/>
    <w:rsid w:val="003B00FB"/>
    <w:rsid w:val="003B04F0"/>
    <w:rsid w:val="003B054E"/>
    <w:rsid w:val="003B1336"/>
    <w:rsid w:val="003B20FC"/>
    <w:rsid w:val="003B30DD"/>
    <w:rsid w:val="003B355A"/>
    <w:rsid w:val="003B381F"/>
    <w:rsid w:val="003B3E18"/>
    <w:rsid w:val="003B440F"/>
    <w:rsid w:val="003B5B49"/>
    <w:rsid w:val="003B5CBC"/>
    <w:rsid w:val="003B5ECC"/>
    <w:rsid w:val="003B72CF"/>
    <w:rsid w:val="003B78AB"/>
    <w:rsid w:val="003C04B8"/>
    <w:rsid w:val="003C1440"/>
    <w:rsid w:val="003C2DEE"/>
    <w:rsid w:val="003C4286"/>
    <w:rsid w:val="003C49D1"/>
    <w:rsid w:val="003C54DD"/>
    <w:rsid w:val="003C582E"/>
    <w:rsid w:val="003C6C81"/>
    <w:rsid w:val="003D11C0"/>
    <w:rsid w:val="003D2341"/>
    <w:rsid w:val="003D2D82"/>
    <w:rsid w:val="003D33A3"/>
    <w:rsid w:val="003D572E"/>
    <w:rsid w:val="003D57B2"/>
    <w:rsid w:val="003D6960"/>
    <w:rsid w:val="003D77EE"/>
    <w:rsid w:val="003E0510"/>
    <w:rsid w:val="003E1BBB"/>
    <w:rsid w:val="003E2295"/>
    <w:rsid w:val="003E54B6"/>
    <w:rsid w:val="003E58BD"/>
    <w:rsid w:val="003E5E49"/>
    <w:rsid w:val="003E66BB"/>
    <w:rsid w:val="003E7A4D"/>
    <w:rsid w:val="003F1D29"/>
    <w:rsid w:val="003F1F49"/>
    <w:rsid w:val="003F2441"/>
    <w:rsid w:val="003F2FA0"/>
    <w:rsid w:val="003F42A7"/>
    <w:rsid w:val="003F4A62"/>
    <w:rsid w:val="003F5E15"/>
    <w:rsid w:val="003F6045"/>
    <w:rsid w:val="003F6081"/>
    <w:rsid w:val="003F71C5"/>
    <w:rsid w:val="004016DE"/>
    <w:rsid w:val="004025DC"/>
    <w:rsid w:val="00402E80"/>
    <w:rsid w:val="004041B8"/>
    <w:rsid w:val="004045D6"/>
    <w:rsid w:val="00405ACA"/>
    <w:rsid w:val="00406B23"/>
    <w:rsid w:val="004071FE"/>
    <w:rsid w:val="00413A54"/>
    <w:rsid w:val="00415552"/>
    <w:rsid w:val="00416050"/>
    <w:rsid w:val="00416A30"/>
    <w:rsid w:val="00417259"/>
    <w:rsid w:val="004175D4"/>
    <w:rsid w:val="00417E17"/>
    <w:rsid w:val="004213F0"/>
    <w:rsid w:val="00422963"/>
    <w:rsid w:val="004240A9"/>
    <w:rsid w:val="0042494E"/>
    <w:rsid w:val="00426AB3"/>
    <w:rsid w:val="00430D68"/>
    <w:rsid w:val="00431C36"/>
    <w:rsid w:val="00432445"/>
    <w:rsid w:val="00433533"/>
    <w:rsid w:val="0043446F"/>
    <w:rsid w:val="00435DA5"/>
    <w:rsid w:val="0043683F"/>
    <w:rsid w:val="0044034F"/>
    <w:rsid w:val="004406D1"/>
    <w:rsid w:val="00440A77"/>
    <w:rsid w:val="004422A6"/>
    <w:rsid w:val="004442E2"/>
    <w:rsid w:val="00444DC8"/>
    <w:rsid w:val="00445634"/>
    <w:rsid w:val="0045253C"/>
    <w:rsid w:val="00452B35"/>
    <w:rsid w:val="00452BDC"/>
    <w:rsid w:val="0045310C"/>
    <w:rsid w:val="004547EA"/>
    <w:rsid w:val="004551C6"/>
    <w:rsid w:val="00455895"/>
    <w:rsid w:val="00455EAA"/>
    <w:rsid w:val="00456494"/>
    <w:rsid w:val="00457408"/>
    <w:rsid w:val="004577E1"/>
    <w:rsid w:val="0045799A"/>
    <w:rsid w:val="00462598"/>
    <w:rsid w:val="00463490"/>
    <w:rsid w:val="00466326"/>
    <w:rsid w:val="00470048"/>
    <w:rsid w:val="00470BEA"/>
    <w:rsid w:val="00471060"/>
    <w:rsid w:val="004716AC"/>
    <w:rsid w:val="00471E07"/>
    <w:rsid w:val="004763AF"/>
    <w:rsid w:val="00481238"/>
    <w:rsid w:val="0048196D"/>
    <w:rsid w:val="00481DBF"/>
    <w:rsid w:val="004832D1"/>
    <w:rsid w:val="00483E1A"/>
    <w:rsid w:val="00483FB7"/>
    <w:rsid w:val="00484C1B"/>
    <w:rsid w:val="00485114"/>
    <w:rsid w:val="004860C0"/>
    <w:rsid w:val="0048674A"/>
    <w:rsid w:val="00487074"/>
    <w:rsid w:val="004902A7"/>
    <w:rsid w:val="0049072A"/>
    <w:rsid w:val="00490FCE"/>
    <w:rsid w:val="00490FF7"/>
    <w:rsid w:val="004930F6"/>
    <w:rsid w:val="00493B5E"/>
    <w:rsid w:val="0049416F"/>
    <w:rsid w:val="004948C9"/>
    <w:rsid w:val="00495404"/>
    <w:rsid w:val="00497931"/>
    <w:rsid w:val="004A14BC"/>
    <w:rsid w:val="004A3381"/>
    <w:rsid w:val="004A3D93"/>
    <w:rsid w:val="004A3EFD"/>
    <w:rsid w:val="004A3F27"/>
    <w:rsid w:val="004A7E39"/>
    <w:rsid w:val="004B1444"/>
    <w:rsid w:val="004B1880"/>
    <w:rsid w:val="004B3B7B"/>
    <w:rsid w:val="004B4937"/>
    <w:rsid w:val="004B5251"/>
    <w:rsid w:val="004B63B6"/>
    <w:rsid w:val="004B6846"/>
    <w:rsid w:val="004C0DDA"/>
    <w:rsid w:val="004C1BBB"/>
    <w:rsid w:val="004C3CF1"/>
    <w:rsid w:val="004C4C8F"/>
    <w:rsid w:val="004C5754"/>
    <w:rsid w:val="004C599F"/>
    <w:rsid w:val="004D0574"/>
    <w:rsid w:val="004D0C7C"/>
    <w:rsid w:val="004D118B"/>
    <w:rsid w:val="004D14B5"/>
    <w:rsid w:val="004D6A72"/>
    <w:rsid w:val="004E1174"/>
    <w:rsid w:val="004E242F"/>
    <w:rsid w:val="004E29C6"/>
    <w:rsid w:val="004E3E8F"/>
    <w:rsid w:val="004E4095"/>
    <w:rsid w:val="004E5E4E"/>
    <w:rsid w:val="004E5E6C"/>
    <w:rsid w:val="004E6683"/>
    <w:rsid w:val="004F5DBA"/>
    <w:rsid w:val="004F5E43"/>
    <w:rsid w:val="004F7BA3"/>
    <w:rsid w:val="00500698"/>
    <w:rsid w:val="00500C9D"/>
    <w:rsid w:val="0050278D"/>
    <w:rsid w:val="00503C39"/>
    <w:rsid w:val="005045B7"/>
    <w:rsid w:val="00506528"/>
    <w:rsid w:val="005075C9"/>
    <w:rsid w:val="00507986"/>
    <w:rsid w:val="00510AC6"/>
    <w:rsid w:val="005116B1"/>
    <w:rsid w:val="00517351"/>
    <w:rsid w:val="0051784B"/>
    <w:rsid w:val="00520444"/>
    <w:rsid w:val="005216AE"/>
    <w:rsid w:val="005238F6"/>
    <w:rsid w:val="0052463E"/>
    <w:rsid w:val="005250E6"/>
    <w:rsid w:val="00525511"/>
    <w:rsid w:val="00526B28"/>
    <w:rsid w:val="00527387"/>
    <w:rsid w:val="00527A7D"/>
    <w:rsid w:val="00531613"/>
    <w:rsid w:val="00531A01"/>
    <w:rsid w:val="00533D7B"/>
    <w:rsid w:val="00535433"/>
    <w:rsid w:val="00536692"/>
    <w:rsid w:val="00537C85"/>
    <w:rsid w:val="005409C5"/>
    <w:rsid w:val="00540A7C"/>
    <w:rsid w:val="00544292"/>
    <w:rsid w:val="005448AD"/>
    <w:rsid w:val="005456EC"/>
    <w:rsid w:val="00547154"/>
    <w:rsid w:val="00554324"/>
    <w:rsid w:val="00554795"/>
    <w:rsid w:val="00556DEA"/>
    <w:rsid w:val="00557775"/>
    <w:rsid w:val="00557C94"/>
    <w:rsid w:val="005603C4"/>
    <w:rsid w:val="00560465"/>
    <w:rsid w:val="0056070C"/>
    <w:rsid w:val="00560972"/>
    <w:rsid w:val="00562014"/>
    <w:rsid w:val="00562485"/>
    <w:rsid w:val="00563378"/>
    <w:rsid w:val="005636D6"/>
    <w:rsid w:val="00563F7B"/>
    <w:rsid w:val="005640A6"/>
    <w:rsid w:val="0056470B"/>
    <w:rsid w:val="00564A9A"/>
    <w:rsid w:val="005661F3"/>
    <w:rsid w:val="0056664A"/>
    <w:rsid w:val="00570267"/>
    <w:rsid w:val="00570467"/>
    <w:rsid w:val="00570F8E"/>
    <w:rsid w:val="005719FD"/>
    <w:rsid w:val="00571B06"/>
    <w:rsid w:val="00572118"/>
    <w:rsid w:val="00573359"/>
    <w:rsid w:val="00573926"/>
    <w:rsid w:val="00574A89"/>
    <w:rsid w:val="00575FFA"/>
    <w:rsid w:val="00576F30"/>
    <w:rsid w:val="00580D6B"/>
    <w:rsid w:val="00582997"/>
    <w:rsid w:val="00584C71"/>
    <w:rsid w:val="00586CE4"/>
    <w:rsid w:val="00586D82"/>
    <w:rsid w:val="005875FD"/>
    <w:rsid w:val="005879B8"/>
    <w:rsid w:val="00591130"/>
    <w:rsid w:val="005920A2"/>
    <w:rsid w:val="00593540"/>
    <w:rsid w:val="00593648"/>
    <w:rsid w:val="00594141"/>
    <w:rsid w:val="00594AC6"/>
    <w:rsid w:val="00594F99"/>
    <w:rsid w:val="0059679F"/>
    <w:rsid w:val="00596F19"/>
    <w:rsid w:val="005970B5"/>
    <w:rsid w:val="005978D0"/>
    <w:rsid w:val="005A0026"/>
    <w:rsid w:val="005A04C4"/>
    <w:rsid w:val="005A0B86"/>
    <w:rsid w:val="005A2FC0"/>
    <w:rsid w:val="005A3880"/>
    <w:rsid w:val="005A408E"/>
    <w:rsid w:val="005A66F6"/>
    <w:rsid w:val="005A7A14"/>
    <w:rsid w:val="005B341F"/>
    <w:rsid w:val="005B3BA3"/>
    <w:rsid w:val="005B44D6"/>
    <w:rsid w:val="005B47AA"/>
    <w:rsid w:val="005B5651"/>
    <w:rsid w:val="005B613F"/>
    <w:rsid w:val="005C0E7F"/>
    <w:rsid w:val="005C248D"/>
    <w:rsid w:val="005C54A9"/>
    <w:rsid w:val="005C5A0C"/>
    <w:rsid w:val="005D0BD1"/>
    <w:rsid w:val="005D16E1"/>
    <w:rsid w:val="005D27B8"/>
    <w:rsid w:val="005D2E03"/>
    <w:rsid w:val="005D3E03"/>
    <w:rsid w:val="005D4544"/>
    <w:rsid w:val="005D4F09"/>
    <w:rsid w:val="005D5178"/>
    <w:rsid w:val="005D6A15"/>
    <w:rsid w:val="005D6EA8"/>
    <w:rsid w:val="005D6F05"/>
    <w:rsid w:val="005E10E3"/>
    <w:rsid w:val="005E16B3"/>
    <w:rsid w:val="005E2091"/>
    <w:rsid w:val="005E3FC7"/>
    <w:rsid w:val="005E5713"/>
    <w:rsid w:val="005F0AD4"/>
    <w:rsid w:val="005F32E7"/>
    <w:rsid w:val="005F446F"/>
    <w:rsid w:val="005F54D7"/>
    <w:rsid w:val="005F60C4"/>
    <w:rsid w:val="005F698B"/>
    <w:rsid w:val="005F75A6"/>
    <w:rsid w:val="00600956"/>
    <w:rsid w:val="006011E1"/>
    <w:rsid w:val="006022EA"/>
    <w:rsid w:val="00602401"/>
    <w:rsid w:val="00604158"/>
    <w:rsid w:val="00604520"/>
    <w:rsid w:val="0060499A"/>
    <w:rsid w:val="0060559A"/>
    <w:rsid w:val="0060666C"/>
    <w:rsid w:val="00606C5F"/>
    <w:rsid w:val="00607F58"/>
    <w:rsid w:val="0061103F"/>
    <w:rsid w:val="00611071"/>
    <w:rsid w:val="00613000"/>
    <w:rsid w:val="00614CE6"/>
    <w:rsid w:val="006158F9"/>
    <w:rsid w:val="00615CA5"/>
    <w:rsid w:val="00615D43"/>
    <w:rsid w:val="006163CF"/>
    <w:rsid w:val="00616BCC"/>
    <w:rsid w:val="0061761A"/>
    <w:rsid w:val="00622448"/>
    <w:rsid w:val="00623DFF"/>
    <w:rsid w:val="00624299"/>
    <w:rsid w:val="006243EB"/>
    <w:rsid w:val="00625536"/>
    <w:rsid w:val="00625AC1"/>
    <w:rsid w:val="00626698"/>
    <w:rsid w:val="006267F8"/>
    <w:rsid w:val="00627C11"/>
    <w:rsid w:val="00630966"/>
    <w:rsid w:val="00630EC4"/>
    <w:rsid w:val="00630EC9"/>
    <w:rsid w:val="00631B4C"/>
    <w:rsid w:val="00632522"/>
    <w:rsid w:val="0063284A"/>
    <w:rsid w:val="006328B1"/>
    <w:rsid w:val="00632CB9"/>
    <w:rsid w:val="00635304"/>
    <w:rsid w:val="0063536A"/>
    <w:rsid w:val="00635BAE"/>
    <w:rsid w:val="00637714"/>
    <w:rsid w:val="00641D5A"/>
    <w:rsid w:val="00642777"/>
    <w:rsid w:val="006439EC"/>
    <w:rsid w:val="00643B89"/>
    <w:rsid w:val="00644C50"/>
    <w:rsid w:val="00645936"/>
    <w:rsid w:val="00646433"/>
    <w:rsid w:val="00646B92"/>
    <w:rsid w:val="00647402"/>
    <w:rsid w:val="00650282"/>
    <w:rsid w:val="00650A11"/>
    <w:rsid w:val="00650A1C"/>
    <w:rsid w:val="006511BB"/>
    <w:rsid w:val="006531EF"/>
    <w:rsid w:val="0065362D"/>
    <w:rsid w:val="00655DA6"/>
    <w:rsid w:val="00656305"/>
    <w:rsid w:val="0066034A"/>
    <w:rsid w:val="006631B8"/>
    <w:rsid w:val="006656EC"/>
    <w:rsid w:val="006662EE"/>
    <w:rsid w:val="00667977"/>
    <w:rsid w:val="00667D10"/>
    <w:rsid w:val="006725A4"/>
    <w:rsid w:val="00672785"/>
    <w:rsid w:val="00673D5D"/>
    <w:rsid w:val="00674043"/>
    <w:rsid w:val="0067720E"/>
    <w:rsid w:val="006776CC"/>
    <w:rsid w:val="00677C65"/>
    <w:rsid w:val="0068051F"/>
    <w:rsid w:val="006812CF"/>
    <w:rsid w:val="00681B40"/>
    <w:rsid w:val="00681E67"/>
    <w:rsid w:val="006820E6"/>
    <w:rsid w:val="006824EE"/>
    <w:rsid w:val="006828FF"/>
    <w:rsid w:val="00682BBC"/>
    <w:rsid w:val="00684490"/>
    <w:rsid w:val="00685985"/>
    <w:rsid w:val="00685CB3"/>
    <w:rsid w:val="006867B7"/>
    <w:rsid w:val="00686F5E"/>
    <w:rsid w:val="006914EF"/>
    <w:rsid w:val="00692DE8"/>
    <w:rsid w:val="0069403E"/>
    <w:rsid w:val="006945C8"/>
    <w:rsid w:val="006A0557"/>
    <w:rsid w:val="006A0782"/>
    <w:rsid w:val="006A16FA"/>
    <w:rsid w:val="006A1B09"/>
    <w:rsid w:val="006A2A2C"/>
    <w:rsid w:val="006A2D92"/>
    <w:rsid w:val="006A39F0"/>
    <w:rsid w:val="006A484B"/>
    <w:rsid w:val="006A56C1"/>
    <w:rsid w:val="006A5731"/>
    <w:rsid w:val="006A5A2E"/>
    <w:rsid w:val="006A6974"/>
    <w:rsid w:val="006A7509"/>
    <w:rsid w:val="006B04D1"/>
    <w:rsid w:val="006B131C"/>
    <w:rsid w:val="006B16DE"/>
    <w:rsid w:val="006B3BEE"/>
    <w:rsid w:val="006B3C41"/>
    <w:rsid w:val="006B4257"/>
    <w:rsid w:val="006B4B0D"/>
    <w:rsid w:val="006B4E05"/>
    <w:rsid w:val="006B70AF"/>
    <w:rsid w:val="006C0521"/>
    <w:rsid w:val="006C17EA"/>
    <w:rsid w:val="006C1B9E"/>
    <w:rsid w:val="006C3B3E"/>
    <w:rsid w:val="006C471C"/>
    <w:rsid w:val="006C4B54"/>
    <w:rsid w:val="006C5C0E"/>
    <w:rsid w:val="006C5CE3"/>
    <w:rsid w:val="006C6483"/>
    <w:rsid w:val="006C740A"/>
    <w:rsid w:val="006C7426"/>
    <w:rsid w:val="006D1474"/>
    <w:rsid w:val="006D1F7D"/>
    <w:rsid w:val="006D29CD"/>
    <w:rsid w:val="006D2BE3"/>
    <w:rsid w:val="006D2BEB"/>
    <w:rsid w:val="006D2BF3"/>
    <w:rsid w:val="006D37CF"/>
    <w:rsid w:val="006D3DCE"/>
    <w:rsid w:val="006D4BB4"/>
    <w:rsid w:val="006D50C0"/>
    <w:rsid w:val="006E11EC"/>
    <w:rsid w:val="006E17B6"/>
    <w:rsid w:val="006E1919"/>
    <w:rsid w:val="006E58A2"/>
    <w:rsid w:val="006E7242"/>
    <w:rsid w:val="006E7CFB"/>
    <w:rsid w:val="006F0945"/>
    <w:rsid w:val="006F3BB8"/>
    <w:rsid w:val="006F694F"/>
    <w:rsid w:val="006F6CF5"/>
    <w:rsid w:val="006F6CFD"/>
    <w:rsid w:val="0070149F"/>
    <w:rsid w:val="00701B24"/>
    <w:rsid w:val="00703D2D"/>
    <w:rsid w:val="0070495F"/>
    <w:rsid w:val="00705EF4"/>
    <w:rsid w:val="00706FE9"/>
    <w:rsid w:val="00710BF9"/>
    <w:rsid w:val="0071191B"/>
    <w:rsid w:val="00712914"/>
    <w:rsid w:val="0071360C"/>
    <w:rsid w:val="0071367B"/>
    <w:rsid w:val="007139B6"/>
    <w:rsid w:val="0071468E"/>
    <w:rsid w:val="007148AA"/>
    <w:rsid w:val="00715630"/>
    <w:rsid w:val="0071686F"/>
    <w:rsid w:val="00716A12"/>
    <w:rsid w:val="00716D5C"/>
    <w:rsid w:val="00716E66"/>
    <w:rsid w:val="00717760"/>
    <w:rsid w:val="00717800"/>
    <w:rsid w:val="007208D9"/>
    <w:rsid w:val="00720AF5"/>
    <w:rsid w:val="00720C9D"/>
    <w:rsid w:val="00720FFE"/>
    <w:rsid w:val="007241FE"/>
    <w:rsid w:val="00724C0F"/>
    <w:rsid w:val="00732185"/>
    <w:rsid w:val="0073258B"/>
    <w:rsid w:val="00732BA8"/>
    <w:rsid w:val="0073350E"/>
    <w:rsid w:val="00733F8C"/>
    <w:rsid w:val="00734E99"/>
    <w:rsid w:val="0073517D"/>
    <w:rsid w:val="007359A7"/>
    <w:rsid w:val="00736976"/>
    <w:rsid w:val="00736A54"/>
    <w:rsid w:val="007377D5"/>
    <w:rsid w:val="0074128D"/>
    <w:rsid w:val="00744ECC"/>
    <w:rsid w:val="0074677C"/>
    <w:rsid w:val="00746E21"/>
    <w:rsid w:val="0074740B"/>
    <w:rsid w:val="00747E73"/>
    <w:rsid w:val="0075002E"/>
    <w:rsid w:val="0075393B"/>
    <w:rsid w:val="0075471A"/>
    <w:rsid w:val="0075771C"/>
    <w:rsid w:val="007608D7"/>
    <w:rsid w:val="00760C0D"/>
    <w:rsid w:val="00761231"/>
    <w:rsid w:val="00763D76"/>
    <w:rsid w:val="00764FAA"/>
    <w:rsid w:val="007659FE"/>
    <w:rsid w:val="0076762C"/>
    <w:rsid w:val="00767A04"/>
    <w:rsid w:val="00770DDA"/>
    <w:rsid w:val="00772141"/>
    <w:rsid w:val="00773719"/>
    <w:rsid w:val="00773B58"/>
    <w:rsid w:val="00774219"/>
    <w:rsid w:val="00774343"/>
    <w:rsid w:val="007754E1"/>
    <w:rsid w:val="0077596B"/>
    <w:rsid w:val="00777487"/>
    <w:rsid w:val="007777A1"/>
    <w:rsid w:val="0078003D"/>
    <w:rsid w:val="00780CF2"/>
    <w:rsid w:val="0078273E"/>
    <w:rsid w:val="00782DCD"/>
    <w:rsid w:val="00782F88"/>
    <w:rsid w:val="0078471D"/>
    <w:rsid w:val="00784EC0"/>
    <w:rsid w:val="00786D45"/>
    <w:rsid w:val="0078730F"/>
    <w:rsid w:val="0078760F"/>
    <w:rsid w:val="007913FD"/>
    <w:rsid w:val="0079221B"/>
    <w:rsid w:val="007925C2"/>
    <w:rsid w:val="00796A50"/>
    <w:rsid w:val="007A01E1"/>
    <w:rsid w:val="007A428A"/>
    <w:rsid w:val="007A49C2"/>
    <w:rsid w:val="007A4BDD"/>
    <w:rsid w:val="007A58BF"/>
    <w:rsid w:val="007A63E8"/>
    <w:rsid w:val="007B0184"/>
    <w:rsid w:val="007B0220"/>
    <w:rsid w:val="007B05B3"/>
    <w:rsid w:val="007B1015"/>
    <w:rsid w:val="007B14CE"/>
    <w:rsid w:val="007B2F03"/>
    <w:rsid w:val="007B33D7"/>
    <w:rsid w:val="007B5AC7"/>
    <w:rsid w:val="007B5F77"/>
    <w:rsid w:val="007B6309"/>
    <w:rsid w:val="007B6556"/>
    <w:rsid w:val="007B732A"/>
    <w:rsid w:val="007C08F8"/>
    <w:rsid w:val="007C10F1"/>
    <w:rsid w:val="007C1837"/>
    <w:rsid w:val="007C2377"/>
    <w:rsid w:val="007C293A"/>
    <w:rsid w:val="007C29F6"/>
    <w:rsid w:val="007D0844"/>
    <w:rsid w:val="007D0CC0"/>
    <w:rsid w:val="007D1195"/>
    <w:rsid w:val="007D2908"/>
    <w:rsid w:val="007D537B"/>
    <w:rsid w:val="007D6F3F"/>
    <w:rsid w:val="007E1522"/>
    <w:rsid w:val="007E190E"/>
    <w:rsid w:val="007E1D58"/>
    <w:rsid w:val="007E2B27"/>
    <w:rsid w:val="007E5728"/>
    <w:rsid w:val="007E6CF8"/>
    <w:rsid w:val="007E6ECC"/>
    <w:rsid w:val="007E7285"/>
    <w:rsid w:val="007F006B"/>
    <w:rsid w:val="007F0ABE"/>
    <w:rsid w:val="007F0ED9"/>
    <w:rsid w:val="007F25A7"/>
    <w:rsid w:val="007F2645"/>
    <w:rsid w:val="007F3983"/>
    <w:rsid w:val="007F435A"/>
    <w:rsid w:val="007F4668"/>
    <w:rsid w:val="007F571B"/>
    <w:rsid w:val="007F64C7"/>
    <w:rsid w:val="008031EC"/>
    <w:rsid w:val="008034D8"/>
    <w:rsid w:val="008054F0"/>
    <w:rsid w:val="00805BD3"/>
    <w:rsid w:val="00805E58"/>
    <w:rsid w:val="00806F86"/>
    <w:rsid w:val="00807DB6"/>
    <w:rsid w:val="00811E66"/>
    <w:rsid w:val="00815425"/>
    <w:rsid w:val="008155E3"/>
    <w:rsid w:val="00817638"/>
    <w:rsid w:val="00822816"/>
    <w:rsid w:val="008228A5"/>
    <w:rsid w:val="00822B3C"/>
    <w:rsid w:val="00825AE2"/>
    <w:rsid w:val="00826741"/>
    <w:rsid w:val="00826F71"/>
    <w:rsid w:val="00830ED9"/>
    <w:rsid w:val="00830F3A"/>
    <w:rsid w:val="008326DB"/>
    <w:rsid w:val="00833215"/>
    <w:rsid w:val="00834367"/>
    <w:rsid w:val="00834AB9"/>
    <w:rsid w:val="008353DA"/>
    <w:rsid w:val="008369A3"/>
    <w:rsid w:val="00837300"/>
    <w:rsid w:val="00837F65"/>
    <w:rsid w:val="00840C35"/>
    <w:rsid w:val="008410B6"/>
    <w:rsid w:val="00845B33"/>
    <w:rsid w:val="008478CE"/>
    <w:rsid w:val="00847C2B"/>
    <w:rsid w:val="00847E7D"/>
    <w:rsid w:val="00847F14"/>
    <w:rsid w:val="0085007E"/>
    <w:rsid w:val="00850B48"/>
    <w:rsid w:val="00850CF7"/>
    <w:rsid w:val="008525F7"/>
    <w:rsid w:val="00854859"/>
    <w:rsid w:val="008548FB"/>
    <w:rsid w:val="00854B58"/>
    <w:rsid w:val="0085583B"/>
    <w:rsid w:val="008576E4"/>
    <w:rsid w:val="0085784A"/>
    <w:rsid w:val="00857E85"/>
    <w:rsid w:val="00860E75"/>
    <w:rsid w:val="0086103A"/>
    <w:rsid w:val="00861155"/>
    <w:rsid w:val="008617EA"/>
    <w:rsid w:val="0086208D"/>
    <w:rsid w:val="008629E3"/>
    <w:rsid w:val="00864321"/>
    <w:rsid w:val="00865DC8"/>
    <w:rsid w:val="00870CA4"/>
    <w:rsid w:val="00870D58"/>
    <w:rsid w:val="008712A0"/>
    <w:rsid w:val="008717D4"/>
    <w:rsid w:val="00872621"/>
    <w:rsid w:val="008727AA"/>
    <w:rsid w:val="008729DD"/>
    <w:rsid w:val="00873250"/>
    <w:rsid w:val="00873825"/>
    <w:rsid w:val="008739EF"/>
    <w:rsid w:val="00873ADE"/>
    <w:rsid w:val="008769F2"/>
    <w:rsid w:val="00876F9A"/>
    <w:rsid w:val="00877C17"/>
    <w:rsid w:val="008814E7"/>
    <w:rsid w:val="008839E5"/>
    <w:rsid w:val="00883C2B"/>
    <w:rsid w:val="00883C78"/>
    <w:rsid w:val="00885A2B"/>
    <w:rsid w:val="0088761A"/>
    <w:rsid w:val="00887D11"/>
    <w:rsid w:val="00890A9E"/>
    <w:rsid w:val="00892576"/>
    <w:rsid w:val="00892BF4"/>
    <w:rsid w:val="00894601"/>
    <w:rsid w:val="00894CD3"/>
    <w:rsid w:val="00895D49"/>
    <w:rsid w:val="0089699B"/>
    <w:rsid w:val="00896E12"/>
    <w:rsid w:val="008A4654"/>
    <w:rsid w:val="008A4B3B"/>
    <w:rsid w:val="008A6491"/>
    <w:rsid w:val="008A6708"/>
    <w:rsid w:val="008A70C3"/>
    <w:rsid w:val="008A7487"/>
    <w:rsid w:val="008A7CF1"/>
    <w:rsid w:val="008B0674"/>
    <w:rsid w:val="008B0B60"/>
    <w:rsid w:val="008B0CFF"/>
    <w:rsid w:val="008B20C2"/>
    <w:rsid w:val="008B333C"/>
    <w:rsid w:val="008B3693"/>
    <w:rsid w:val="008B3CD2"/>
    <w:rsid w:val="008B4BC1"/>
    <w:rsid w:val="008B5C6E"/>
    <w:rsid w:val="008B75E1"/>
    <w:rsid w:val="008C011F"/>
    <w:rsid w:val="008C0805"/>
    <w:rsid w:val="008C096C"/>
    <w:rsid w:val="008C0B6E"/>
    <w:rsid w:val="008C1CAA"/>
    <w:rsid w:val="008C26F4"/>
    <w:rsid w:val="008C3539"/>
    <w:rsid w:val="008C4888"/>
    <w:rsid w:val="008C624A"/>
    <w:rsid w:val="008C65E8"/>
    <w:rsid w:val="008C7725"/>
    <w:rsid w:val="008D1CF1"/>
    <w:rsid w:val="008D1DB1"/>
    <w:rsid w:val="008D1DF0"/>
    <w:rsid w:val="008D281C"/>
    <w:rsid w:val="008D3892"/>
    <w:rsid w:val="008D39AA"/>
    <w:rsid w:val="008D5118"/>
    <w:rsid w:val="008D55F9"/>
    <w:rsid w:val="008D6035"/>
    <w:rsid w:val="008D6A9C"/>
    <w:rsid w:val="008E0D56"/>
    <w:rsid w:val="008E0F34"/>
    <w:rsid w:val="008E1208"/>
    <w:rsid w:val="008E2B2F"/>
    <w:rsid w:val="008E348C"/>
    <w:rsid w:val="008E3CFB"/>
    <w:rsid w:val="008E4DFF"/>
    <w:rsid w:val="008E549E"/>
    <w:rsid w:val="008E54D0"/>
    <w:rsid w:val="008E5E23"/>
    <w:rsid w:val="008E67C0"/>
    <w:rsid w:val="008E7F9F"/>
    <w:rsid w:val="008F09AF"/>
    <w:rsid w:val="008F09FE"/>
    <w:rsid w:val="008F1046"/>
    <w:rsid w:val="008F18B3"/>
    <w:rsid w:val="008F1E40"/>
    <w:rsid w:val="008F281A"/>
    <w:rsid w:val="008F2DC7"/>
    <w:rsid w:val="008F4F23"/>
    <w:rsid w:val="008F5890"/>
    <w:rsid w:val="008F5B59"/>
    <w:rsid w:val="008F6E9D"/>
    <w:rsid w:val="00900C12"/>
    <w:rsid w:val="00901E4A"/>
    <w:rsid w:val="00901EDF"/>
    <w:rsid w:val="00903CAE"/>
    <w:rsid w:val="00904B02"/>
    <w:rsid w:val="00904BBF"/>
    <w:rsid w:val="009050B9"/>
    <w:rsid w:val="00905508"/>
    <w:rsid w:val="00905752"/>
    <w:rsid w:val="00906288"/>
    <w:rsid w:val="00906E14"/>
    <w:rsid w:val="009076FD"/>
    <w:rsid w:val="0091113E"/>
    <w:rsid w:val="009128E8"/>
    <w:rsid w:val="00914213"/>
    <w:rsid w:val="00914581"/>
    <w:rsid w:val="00916A35"/>
    <w:rsid w:val="00920962"/>
    <w:rsid w:val="00920A27"/>
    <w:rsid w:val="0092461B"/>
    <w:rsid w:val="00924E21"/>
    <w:rsid w:val="00926872"/>
    <w:rsid w:val="0092726F"/>
    <w:rsid w:val="00927631"/>
    <w:rsid w:val="009308F0"/>
    <w:rsid w:val="0093251D"/>
    <w:rsid w:val="00932CDB"/>
    <w:rsid w:val="00935F44"/>
    <w:rsid w:val="00935FDB"/>
    <w:rsid w:val="00936C94"/>
    <w:rsid w:val="009371EA"/>
    <w:rsid w:val="00937A89"/>
    <w:rsid w:val="00937CD8"/>
    <w:rsid w:val="00937DFB"/>
    <w:rsid w:val="00940A80"/>
    <w:rsid w:val="00940AA7"/>
    <w:rsid w:val="00940F44"/>
    <w:rsid w:val="00941D69"/>
    <w:rsid w:val="00944597"/>
    <w:rsid w:val="00944936"/>
    <w:rsid w:val="00944AA7"/>
    <w:rsid w:val="0094517E"/>
    <w:rsid w:val="00945280"/>
    <w:rsid w:val="00946AD7"/>
    <w:rsid w:val="00947C30"/>
    <w:rsid w:val="00947F91"/>
    <w:rsid w:val="0095045E"/>
    <w:rsid w:val="00950571"/>
    <w:rsid w:val="00950EF5"/>
    <w:rsid w:val="00951271"/>
    <w:rsid w:val="00952D7C"/>
    <w:rsid w:val="009540D9"/>
    <w:rsid w:val="009546F6"/>
    <w:rsid w:val="0095626F"/>
    <w:rsid w:val="009569C9"/>
    <w:rsid w:val="00956BA1"/>
    <w:rsid w:val="00960DB2"/>
    <w:rsid w:val="0096120E"/>
    <w:rsid w:val="00961356"/>
    <w:rsid w:val="00962C9F"/>
    <w:rsid w:val="00963DA9"/>
    <w:rsid w:val="0096455D"/>
    <w:rsid w:val="00964F55"/>
    <w:rsid w:val="00965401"/>
    <w:rsid w:val="00965CBF"/>
    <w:rsid w:val="009661CD"/>
    <w:rsid w:val="00966271"/>
    <w:rsid w:val="009709DA"/>
    <w:rsid w:val="0097372C"/>
    <w:rsid w:val="0097570D"/>
    <w:rsid w:val="009769C6"/>
    <w:rsid w:val="00977F47"/>
    <w:rsid w:val="00980FD2"/>
    <w:rsid w:val="009837EF"/>
    <w:rsid w:val="00984BDC"/>
    <w:rsid w:val="009857E0"/>
    <w:rsid w:val="00986DE8"/>
    <w:rsid w:val="00987260"/>
    <w:rsid w:val="00987A1D"/>
    <w:rsid w:val="009918FB"/>
    <w:rsid w:val="00991B64"/>
    <w:rsid w:val="00991CE2"/>
    <w:rsid w:val="009922DA"/>
    <w:rsid w:val="009A0497"/>
    <w:rsid w:val="009A1142"/>
    <w:rsid w:val="009A1A9A"/>
    <w:rsid w:val="009A25D0"/>
    <w:rsid w:val="009A2D21"/>
    <w:rsid w:val="009B157C"/>
    <w:rsid w:val="009B2293"/>
    <w:rsid w:val="009B25BD"/>
    <w:rsid w:val="009B36BF"/>
    <w:rsid w:val="009B5872"/>
    <w:rsid w:val="009B5A80"/>
    <w:rsid w:val="009B671B"/>
    <w:rsid w:val="009B6724"/>
    <w:rsid w:val="009B6ACF"/>
    <w:rsid w:val="009B6B48"/>
    <w:rsid w:val="009B7123"/>
    <w:rsid w:val="009B7B65"/>
    <w:rsid w:val="009C0CEB"/>
    <w:rsid w:val="009C2B62"/>
    <w:rsid w:val="009C3E19"/>
    <w:rsid w:val="009C5599"/>
    <w:rsid w:val="009C74B5"/>
    <w:rsid w:val="009C7BD2"/>
    <w:rsid w:val="009D0E47"/>
    <w:rsid w:val="009D13F4"/>
    <w:rsid w:val="009D1F1C"/>
    <w:rsid w:val="009D2902"/>
    <w:rsid w:val="009D2A5A"/>
    <w:rsid w:val="009D3AEC"/>
    <w:rsid w:val="009D47D5"/>
    <w:rsid w:val="009D4877"/>
    <w:rsid w:val="009D4F00"/>
    <w:rsid w:val="009D61D2"/>
    <w:rsid w:val="009D7957"/>
    <w:rsid w:val="009D7CE6"/>
    <w:rsid w:val="009E008F"/>
    <w:rsid w:val="009E0870"/>
    <w:rsid w:val="009E0D56"/>
    <w:rsid w:val="009E262C"/>
    <w:rsid w:val="009E3B03"/>
    <w:rsid w:val="009E5D8C"/>
    <w:rsid w:val="009E6430"/>
    <w:rsid w:val="009E64A4"/>
    <w:rsid w:val="009E720C"/>
    <w:rsid w:val="009E771F"/>
    <w:rsid w:val="009F471D"/>
    <w:rsid w:val="009F48BD"/>
    <w:rsid w:val="009F56A0"/>
    <w:rsid w:val="009F61F2"/>
    <w:rsid w:val="009F625C"/>
    <w:rsid w:val="009F6692"/>
    <w:rsid w:val="00A00F82"/>
    <w:rsid w:val="00A02AB8"/>
    <w:rsid w:val="00A0444F"/>
    <w:rsid w:val="00A05393"/>
    <w:rsid w:val="00A05924"/>
    <w:rsid w:val="00A066D7"/>
    <w:rsid w:val="00A12337"/>
    <w:rsid w:val="00A127AE"/>
    <w:rsid w:val="00A13C00"/>
    <w:rsid w:val="00A143E0"/>
    <w:rsid w:val="00A16DAC"/>
    <w:rsid w:val="00A212FC"/>
    <w:rsid w:val="00A218CC"/>
    <w:rsid w:val="00A21C3A"/>
    <w:rsid w:val="00A22274"/>
    <w:rsid w:val="00A223AF"/>
    <w:rsid w:val="00A2267C"/>
    <w:rsid w:val="00A23419"/>
    <w:rsid w:val="00A32793"/>
    <w:rsid w:val="00A341D1"/>
    <w:rsid w:val="00A376D1"/>
    <w:rsid w:val="00A412A4"/>
    <w:rsid w:val="00A44E29"/>
    <w:rsid w:val="00A45752"/>
    <w:rsid w:val="00A457BB"/>
    <w:rsid w:val="00A46742"/>
    <w:rsid w:val="00A46BA8"/>
    <w:rsid w:val="00A538A9"/>
    <w:rsid w:val="00A54607"/>
    <w:rsid w:val="00A5615B"/>
    <w:rsid w:val="00A564F8"/>
    <w:rsid w:val="00A566F7"/>
    <w:rsid w:val="00A60788"/>
    <w:rsid w:val="00A6143F"/>
    <w:rsid w:val="00A624D4"/>
    <w:rsid w:val="00A63795"/>
    <w:rsid w:val="00A63817"/>
    <w:rsid w:val="00A64DFC"/>
    <w:rsid w:val="00A64E67"/>
    <w:rsid w:val="00A65708"/>
    <w:rsid w:val="00A74AB5"/>
    <w:rsid w:val="00A74FE2"/>
    <w:rsid w:val="00A75DAF"/>
    <w:rsid w:val="00A76ACC"/>
    <w:rsid w:val="00A80316"/>
    <w:rsid w:val="00A80DCD"/>
    <w:rsid w:val="00A827A8"/>
    <w:rsid w:val="00A8360B"/>
    <w:rsid w:val="00A857D9"/>
    <w:rsid w:val="00A859B3"/>
    <w:rsid w:val="00A8607E"/>
    <w:rsid w:val="00A90857"/>
    <w:rsid w:val="00A90A64"/>
    <w:rsid w:val="00A91448"/>
    <w:rsid w:val="00A92245"/>
    <w:rsid w:val="00A93A78"/>
    <w:rsid w:val="00A94548"/>
    <w:rsid w:val="00A95D97"/>
    <w:rsid w:val="00AA0CF2"/>
    <w:rsid w:val="00AA25A1"/>
    <w:rsid w:val="00AA2B6A"/>
    <w:rsid w:val="00AA3306"/>
    <w:rsid w:val="00AA4B70"/>
    <w:rsid w:val="00AA7756"/>
    <w:rsid w:val="00AB020B"/>
    <w:rsid w:val="00AB2055"/>
    <w:rsid w:val="00AB2414"/>
    <w:rsid w:val="00AB2960"/>
    <w:rsid w:val="00AB392E"/>
    <w:rsid w:val="00AB4A42"/>
    <w:rsid w:val="00AB574B"/>
    <w:rsid w:val="00AB6DF3"/>
    <w:rsid w:val="00AB79EC"/>
    <w:rsid w:val="00AC06AD"/>
    <w:rsid w:val="00AC0EB6"/>
    <w:rsid w:val="00AC1849"/>
    <w:rsid w:val="00AC1DB2"/>
    <w:rsid w:val="00AC23DD"/>
    <w:rsid w:val="00AC29B4"/>
    <w:rsid w:val="00AC4436"/>
    <w:rsid w:val="00AC4F88"/>
    <w:rsid w:val="00AC5C07"/>
    <w:rsid w:val="00AC6D7C"/>
    <w:rsid w:val="00AC758F"/>
    <w:rsid w:val="00AC7723"/>
    <w:rsid w:val="00AC7B7B"/>
    <w:rsid w:val="00AD01BB"/>
    <w:rsid w:val="00AD02B4"/>
    <w:rsid w:val="00AD4CDC"/>
    <w:rsid w:val="00AD5620"/>
    <w:rsid w:val="00AD5C7A"/>
    <w:rsid w:val="00AD5FA3"/>
    <w:rsid w:val="00AD606C"/>
    <w:rsid w:val="00AD640D"/>
    <w:rsid w:val="00AD6653"/>
    <w:rsid w:val="00AD6B21"/>
    <w:rsid w:val="00AD6D7F"/>
    <w:rsid w:val="00AE0DAF"/>
    <w:rsid w:val="00AE14C6"/>
    <w:rsid w:val="00AE1E77"/>
    <w:rsid w:val="00AE2076"/>
    <w:rsid w:val="00AE2248"/>
    <w:rsid w:val="00AE311C"/>
    <w:rsid w:val="00AE32FC"/>
    <w:rsid w:val="00AE3926"/>
    <w:rsid w:val="00AE40F9"/>
    <w:rsid w:val="00AE46AA"/>
    <w:rsid w:val="00AE6061"/>
    <w:rsid w:val="00AE7890"/>
    <w:rsid w:val="00AF0388"/>
    <w:rsid w:val="00AF05EF"/>
    <w:rsid w:val="00AF0863"/>
    <w:rsid w:val="00AF29BB"/>
    <w:rsid w:val="00AF2B88"/>
    <w:rsid w:val="00AF5F2E"/>
    <w:rsid w:val="00AF63A9"/>
    <w:rsid w:val="00AF739D"/>
    <w:rsid w:val="00B00194"/>
    <w:rsid w:val="00B006A9"/>
    <w:rsid w:val="00B00A80"/>
    <w:rsid w:val="00B01ECE"/>
    <w:rsid w:val="00B02F33"/>
    <w:rsid w:val="00B059D4"/>
    <w:rsid w:val="00B06148"/>
    <w:rsid w:val="00B068F2"/>
    <w:rsid w:val="00B10278"/>
    <w:rsid w:val="00B10FF8"/>
    <w:rsid w:val="00B12922"/>
    <w:rsid w:val="00B13310"/>
    <w:rsid w:val="00B154EA"/>
    <w:rsid w:val="00B16720"/>
    <w:rsid w:val="00B17990"/>
    <w:rsid w:val="00B20969"/>
    <w:rsid w:val="00B2109F"/>
    <w:rsid w:val="00B21702"/>
    <w:rsid w:val="00B22390"/>
    <w:rsid w:val="00B2258D"/>
    <w:rsid w:val="00B225B0"/>
    <w:rsid w:val="00B2691E"/>
    <w:rsid w:val="00B318B0"/>
    <w:rsid w:val="00B31E83"/>
    <w:rsid w:val="00B3230A"/>
    <w:rsid w:val="00B325B0"/>
    <w:rsid w:val="00B328FC"/>
    <w:rsid w:val="00B3411C"/>
    <w:rsid w:val="00B378D6"/>
    <w:rsid w:val="00B4136C"/>
    <w:rsid w:val="00B4271C"/>
    <w:rsid w:val="00B42A04"/>
    <w:rsid w:val="00B43453"/>
    <w:rsid w:val="00B450F8"/>
    <w:rsid w:val="00B4606E"/>
    <w:rsid w:val="00B469AB"/>
    <w:rsid w:val="00B47A0F"/>
    <w:rsid w:val="00B47CFD"/>
    <w:rsid w:val="00B50649"/>
    <w:rsid w:val="00B51927"/>
    <w:rsid w:val="00B51DCA"/>
    <w:rsid w:val="00B51EDA"/>
    <w:rsid w:val="00B5400D"/>
    <w:rsid w:val="00B549E8"/>
    <w:rsid w:val="00B551B5"/>
    <w:rsid w:val="00B55516"/>
    <w:rsid w:val="00B557B6"/>
    <w:rsid w:val="00B55E3F"/>
    <w:rsid w:val="00B57E3D"/>
    <w:rsid w:val="00B60454"/>
    <w:rsid w:val="00B60A1E"/>
    <w:rsid w:val="00B6156C"/>
    <w:rsid w:val="00B61595"/>
    <w:rsid w:val="00B6327A"/>
    <w:rsid w:val="00B657A0"/>
    <w:rsid w:val="00B65FA8"/>
    <w:rsid w:val="00B66384"/>
    <w:rsid w:val="00B664D8"/>
    <w:rsid w:val="00B67EB0"/>
    <w:rsid w:val="00B7014D"/>
    <w:rsid w:val="00B7017B"/>
    <w:rsid w:val="00B722B5"/>
    <w:rsid w:val="00B73F2E"/>
    <w:rsid w:val="00B74113"/>
    <w:rsid w:val="00B77B55"/>
    <w:rsid w:val="00B827C5"/>
    <w:rsid w:val="00B837DF"/>
    <w:rsid w:val="00B83B44"/>
    <w:rsid w:val="00B83D1F"/>
    <w:rsid w:val="00B84190"/>
    <w:rsid w:val="00B846DE"/>
    <w:rsid w:val="00B84F88"/>
    <w:rsid w:val="00B9057D"/>
    <w:rsid w:val="00B91546"/>
    <w:rsid w:val="00B9161A"/>
    <w:rsid w:val="00B919DC"/>
    <w:rsid w:val="00B91D3B"/>
    <w:rsid w:val="00B91EE7"/>
    <w:rsid w:val="00B93466"/>
    <w:rsid w:val="00B93D1A"/>
    <w:rsid w:val="00B93D9A"/>
    <w:rsid w:val="00B94293"/>
    <w:rsid w:val="00B94B1E"/>
    <w:rsid w:val="00B95E22"/>
    <w:rsid w:val="00B9718C"/>
    <w:rsid w:val="00BA0298"/>
    <w:rsid w:val="00BA1691"/>
    <w:rsid w:val="00BA2000"/>
    <w:rsid w:val="00BA2B44"/>
    <w:rsid w:val="00BA326C"/>
    <w:rsid w:val="00BA4224"/>
    <w:rsid w:val="00BB018C"/>
    <w:rsid w:val="00BB11C9"/>
    <w:rsid w:val="00BB1709"/>
    <w:rsid w:val="00BB249D"/>
    <w:rsid w:val="00BB56E2"/>
    <w:rsid w:val="00BB6A51"/>
    <w:rsid w:val="00BB6A82"/>
    <w:rsid w:val="00BB76DF"/>
    <w:rsid w:val="00BC1511"/>
    <w:rsid w:val="00BC17BE"/>
    <w:rsid w:val="00BC2FCC"/>
    <w:rsid w:val="00BC468A"/>
    <w:rsid w:val="00BC5A3D"/>
    <w:rsid w:val="00BC6D7D"/>
    <w:rsid w:val="00BC7D24"/>
    <w:rsid w:val="00BD0413"/>
    <w:rsid w:val="00BD0C96"/>
    <w:rsid w:val="00BD1479"/>
    <w:rsid w:val="00BD2E17"/>
    <w:rsid w:val="00BD3C6E"/>
    <w:rsid w:val="00BD483E"/>
    <w:rsid w:val="00BD4A55"/>
    <w:rsid w:val="00BD6E3E"/>
    <w:rsid w:val="00BD7B1A"/>
    <w:rsid w:val="00BD7B51"/>
    <w:rsid w:val="00BE2ED0"/>
    <w:rsid w:val="00BE3370"/>
    <w:rsid w:val="00BE4286"/>
    <w:rsid w:val="00BE4622"/>
    <w:rsid w:val="00BE4784"/>
    <w:rsid w:val="00BE5FB9"/>
    <w:rsid w:val="00BE647C"/>
    <w:rsid w:val="00BE650A"/>
    <w:rsid w:val="00BE655B"/>
    <w:rsid w:val="00BE7CC4"/>
    <w:rsid w:val="00BF268F"/>
    <w:rsid w:val="00BF2A2B"/>
    <w:rsid w:val="00BF385C"/>
    <w:rsid w:val="00BF5948"/>
    <w:rsid w:val="00BF690E"/>
    <w:rsid w:val="00BF6B96"/>
    <w:rsid w:val="00C011BB"/>
    <w:rsid w:val="00C03042"/>
    <w:rsid w:val="00C0349A"/>
    <w:rsid w:val="00C03553"/>
    <w:rsid w:val="00C04A7D"/>
    <w:rsid w:val="00C05B46"/>
    <w:rsid w:val="00C06197"/>
    <w:rsid w:val="00C067A1"/>
    <w:rsid w:val="00C06A01"/>
    <w:rsid w:val="00C079DC"/>
    <w:rsid w:val="00C102BF"/>
    <w:rsid w:val="00C120C0"/>
    <w:rsid w:val="00C13270"/>
    <w:rsid w:val="00C133FC"/>
    <w:rsid w:val="00C13EF0"/>
    <w:rsid w:val="00C14AF4"/>
    <w:rsid w:val="00C15A21"/>
    <w:rsid w:val="00C173DC"/>
    <w:rsid w:val="00C17AAA"/>
    <w:rsid w:val="00C17BD0"/>
    <w:rsid w:val="00C202C8"/>
    <w:rsid w:val="00C22EBB"/>
    <w:rsid w:val="00C2545A"/>
    <w:rsid w:val="00C26BA5"/>
    <w:rsid w:val="00C30AB4"/>
    <w:rsid w:val="00C31CC0"/>
    <w:rsid w:val="00C3203A"/>
    <w:rsid w:val="00C327A1"/>
    <w:rsid w:val="00C33045"/>
    <w:rsid w:val="00C34090"/>
    <w:rsid w:val="00C364F8"/>
    <w:rsid w:val="00C3732E"/>
    <w:rsid w:val="00C41A41"/>
    <w:rsid w:val="00C4306B"/>
    <w:rsid w:val="00C45162"/>
    <w:rsid w:val="00C46EA7"/>
    <w:rsid w:val="00C509D3"/>
    <w:rsid w:val="00C522A9"/>
    <w:rsid w:val="00C60191"/>
    <w:rsid w:val="00C60BBD"/>
    <w:rsid w:val="00C63CA5"/>
    <w:rsid w:val="00C65E81"/>
    <w:rsid w:val="00C66208"/>
    <w:rsid w:val="00C67CDD"/>
    <w:rsid w:val="00C734E1"/>
    <w:rsid w:val="00C74661"/>
    <w:rsid w:val="00C746AE"/>
    <w:rsid w:val="00C75C12"/>
    <w:rsid w:val="00C818B7"/>
    <w:rsid w:val="00C84F64"/>
    <w:rsid w:val="00C850F4"/>
    <w:rsid w:val="00C85510"/>
    <w:rsid w:val="00C85607"/>
    <w:rsid w:val="00C8797D"/>
    <w:rsid w:val="00C902D7"/>
    <w:rsid w:val="00C93981"/>
    <w:rsid w:val="00C94463"/>
    <w:rsid w:val="00C94CD6"/>
    <w:rsid w:val="00C96388"/>
    <w:rsid w:val="00C9661C"/>
    <w:rsid w:val="00C971CD"/>
    <w:rsid w:val="00CA10EB"/>
    <w:rsid w:val="00CA13EE"/>
    <w:rsid w:val="00CA17F8"/>
    <w:rsid w:val="00CA31D5"/>
    <w:rsid w:val="00CA40EE"/>
    <w:rsid w:val="00CA5B78"/>
    <w:rsid w:val="00CA6695"/>
    <w:rsid w:val="00CA69C1"/>
    <w:rsid w:val="00CA70B9"/>
    <w:rsid w:val="00CB511B"/>
    <w:rsid w:val="00CB5722"/>
    <w:rsid w:val="00CB58C4"/>
    <w:rsid w:val="00CC043F"/>
    <w:rsid w:val="00CC3809"/>
    <w:rsid w:val="00CC4D9E"/>
    <w:rsid w:val="00CC7744"/>
    <w:rsid w:val="00CD058E"/>
    <w:rsid w:val="00CD2C94"/>
    <w:rsid w:val="00CD2D82"/>
    <w:rsid w:val="00CD3F58"/>
    <w:rsid w:val="00CD44C8"/>
    <w:rsid w:val="00CD53DC"/>
    <w:rsid w:val="00CD5A0E"/>
    <w:rsid w:val="00CD62D0"/>
    <w:rsid w:val="00CD74B8"/>
    <w:rsid w:val="00CD7AAF"/>
    <w:rsid w:val="00CD7C25"/>
    <w:rsid w:val="00CE015A"/>
    <w:rsid w:val="00CE0571"/>
    <w:rsid w:val="00CE2CA9"/>
    <w:rsid w:val="00CE30A6"/>
    <w:rsid w:val="00CE42A1"/>
    <w:rsid w:val="00CE51A3"/>
    <w:rsid w:val="00CE6738"/>
    <w:rsid w:val="00CE6BDB"/>
    <w:rsid w:val="00CE7C01"/>
    <w:rsid w:val="00CF0382"/>
    <w:rsid w:val="00CF2024"/>
    <w:rsid w:val="00CF2ADA"/>
    <w:rsid w:val="00CF3FBF"/>
    <w:rsid w:val="00CF4AD8"/>
    <w:rsid w:val="00CF61B6"/>
    <w:rsid w:val="00CF671F"/>
    <w:rsid w:val="00D00503"/>
    <w:rsid w:val="00D00846"/>
    <w:rsid w:val="00D018AD"/>
    <w:rsid w:val="00D01950"/>
    <w:rsid w:val="00D02C89"/>
    <w:rsid w:val="00D038A0"/>
    <w:rsid w:val="00D04716"/>
    <w:rsid w:val="00D04919"/>
    <w:rsid w:val="00D052B4"/>
    <w:rsid w:val="00D07E33"/>
    <w:rsid w:val="00D10076"/>
    <w:rsid w:val="00D10137"/>
    <w:rsid w:val="00D12778"/>
    <w:rsid w:val="00D13B5A"/>
    <w:rsid w:val="00D1488F"/>
    <w:rsid w:val="00D16690"/>
    <w:rsid w:val="00D20645"/>
    <w:rsid w:val="00D20D4C"/>
    <w:rsid w:val="00D212A3"/>
    <w:rsid w:val="00D22AD5"/>
    <w:rsid w:val="00D2305D"/>
    <w:rsid w:val="00D23A87"/>
    <w:rsid w:val="00D2449C"/>
    <w:rsid w:val="00D24AAD"/>
    <w:rsid w:val="00D252D1"/>
    <w:rsid w:val="00D271E1"/>
    <w:rsid w:val="00D2758D"/>
    <w:rsid w:val="00D3177D"/>
    <w:rsid w:val="00D3286E"/>
    <w:rsid w:val="00D337D1"/>
    <w:rsid w:val="00D33EFF"/>
    <w:rsid w:val="00D3566F"/>
    <w:rsid w:val="00D357D2"/>
    <w:rsid w:val="00D35822"/>
    <w:rsid w:val="00D35E5E"/>
    <w:rsid w:val="00D36E4F"/>
    <w:rsid w:val="00D3772B"/>
    <w:rsid w:val="00D406B9"/>
    <w:rsid w:val="00D41FA2"/>
    <w:rsid w:val="00D420DA"/>
    <w:rsid w:val="00D42E96"/>
    <w:rsid w:val="00D43CE8"/>
    <w:rsid w:val="00D43E31"/>
    <w:rsid w:val="00D45719"/>
    <w:rsid w:val="00D478C9"/>
    <w:rsid w:val="00D47D52"/>
    <w:rsid w:val="00D50283"/>
    <w:rsid w:val="00D50A98"/>
    <w:rsid w:val="00D5127D"/>
    <w:rsid w:val="00D535F4"/>
    <w:rsid w:val="00D570A7"/>
    <w:rsid w:val="00D60604"/>
    <w:rsid w:val="00D64154"/>
    <w:rsid w:val="00D6582C"/>
    <w:rsid w:val="00D65A18"/>
    <w:rsid w:val="00D6757E"/>
    <w:rsid w:val="00D675F9"/>
    <w:rsid w:val="00D6771D"/>
    <w:rsid w:val="00D6772B"/>
    <w:rsid w:val="00D71F7D"/>
    <w:rsid w:val="00D71F97"/>
    <w:rsid w:val="00D7239D"/>
    <w:rsid w:val="00D73421"/>
    <w:rsid w:val="00D7450E"/>
    <w:rsid w:val="00D7478D"/>
    <w:rsid w:val="00D74A41"/>
    <w:rsid w:val="00D768BD"/>
    <w:rsid w:val="00D76907"/>
    <w:rsid w:val="00D814D2"/>
    <w:rsid w:val="00D81644"/>
    <w:rsid w:val="00D81709"/>
    <w:rsid w:val="00D82890"/>
    <w:rsid w:val="00D83C7B"/>
    <w:rsid w:val="00D8549A"/>
    <w:rsid w:val="00D85D6C"/>
    <w:rsid w:val="00D8754E"/>
    <w:rsid w:val="00D93449"/>
    <w:rsid w:val="00D9441D"/>
    <w:rsid w:val="00D95AEB"/>
    <w:rsid w:val="00D95F22"/>
    <w:rsid w:val="00DA04ED"/>
    <w:rsid w:val="00DA166D"/>
    <w:rsid w:val="00DA337B"/>
    <w:rsid w:val="00DA35CD"/>
    <w:rsid w:val="00DA5A51"/>
    <w:rsid w:val="00DA664C"/>
    <w:rsid w:val="00DA791C"/>
    <w:rsid w:val="00DB17A2"/>
    <w:rsid w:val="00DB1D74"/>
    <w:rsid w:val="00DB25E4"/>
    <w:rsid w:val="00DB3596"/>
    <w:rsid w:val="00DB36C2"/>
    <w:rsid w:val="00DB45EC"/>
    <w:rsid w:val="00DB4917"/>
    <w:rsid w:val="00DB5F07"/>
    <w:rsid w:val="00DB6524"/>
    <w:rsid w:val="00DB6D0F"/>
    <w:rsid w:val="00DB76FB"/>
    <w:rsid w:val="00DC14F0"/>
    <w:rsid w:val="00DC1945"/>
    <w:rsid w:val="00DC3DE0"/>
    <w:rsid w:val="00DC41E9"/>
    <w:rsid w:val="00DC4D19"/>
    <w:rsid w:val="00DC5D87"/>
    <w:rsid w:val="00DC68C9"/>
    <w:rsid w:val="00DD073E"/>
    <w:rsid w:val="00DD1B1B"/>
    <w:rsid w:val="00DD32DC"/>
    <w:rsid w:val="00DD537A"/>
    <w:rsid w:val="00DD617D"/>
    <w:rsid w:val="00DE04E0"/>
    <w:rsid w:val="00DE06E0"/>
    <w:rsid w:val="00DE1849"/>
    <w:rsid w:val="00DE34A7"/>
    <w:rsid w:val="00DE39C4"/>
    <w:rsid w:val="00DE55FF"/>
    <w:rsid w:val="00DE5F6F"/>
    <w:rsid w:val="00DE79D3"/>
    <w:rsid w:val="00DE7F03"/>
    <w:rsid w:val="00DF0E1F"/>
    <w:rsid w:val="00DF281F"/>
    <w:rsid w:val="00DF2F4B"/>
    <w:rsid w:val="00DF71A3"/>
    <w:rsid w:val="00E00448"/>
    <w:rsid w:val="00E00B23"/>
    <w:rsid w:val="00E0117D"/>
    <w:rsid w:val="00E0310F"/>
    <w:rsid w:val="00E03125"/>
    <w:rsid w:val="00E04357"/>
    <w:rsid w:val="00E04D95"/>
    <w:rsid w:val="00E0769B"/>
    <w:rsid w:val="00E10B5C"/>
    <w:rsid w:val="00E11760"/>
    <w:rsid w:val="00E119E8"/>
    <w:rsid w:val="00E12973"/>
    <w:rsid w:val="00E139C5"/>
    <w:rsid w:val="00E141EC"/>
    <w:rsid w:val="00E14792"/>
    <w:rsid w:val="00E14DAE"/>
    <w:rsid w:val="00E155FA"/>
    <w:rsid w:val="00E16600"/>
    <w:rsid w:val="00E169CD"/>
    <w:rsid w:val="00E205A2"/>
    <w:rsid w:val="00E21174"/>
    <w:rsid w:val="00E217A2"/>
    <w:rsid w:val="00E2280E"/>
    <w:rsid w:val="00E228DE"/>
    <w:rsid w:val="00E22E53"/>
    <w:rsid w:val="00E23208"/>
    <w:rsid w:val="00E24758"/>
    <w:rsid w:val="00E2763D"/>
    <w:rsid w:val="00E30DD7"/>
    <w:rsid w:val="00E3374A"/>
    <w:rsid w:val="00E345DB"/>
    <w:rsid w:val="00E3545D"/>
    <w:rsid w:val="00E3574A"/>
    <w:rsid w:val="00E3590E"/>
    <w:rsid w:val="00E35A46"/>
    <w:rsid w:val="00E36123"/>
    <w:rsid w:val="00E37445"/>
    <w:rsid w:val="00E3789C"/>
    <w:rsid w:val="00E40533"/>
    <w:rsid w:val="00E405B8"/>
    <w:rsid w:val="00E435D8"/>
    <w:rsid w:val="00E43F8C"/>
    <w:rsid w:val="00E4438C"/>
    <w:rsid w:val="00E4448D"/>
    <w:rsid w:val="00E46F96"/>
    <w:rsid w:val="00E47077"/>
    <w:rsid w:val="00E475AC"/>
    <w:rsid w:val="00E50D28"/>
    <w:rsid w:val="00E51807"/>
    <w:rsid w:val="00E53642"/>
    <w:rsid w:val="00E53896"/>
    <w:rsid w:val="00E5597A"/>
    <w:rsid w:val="00E55ABB"/>
    <w:rsid w:val="00E5686D"/>
    <w:rsid w:val="00E571A7"/>
    <w:rsid w:val="00E6038C"/>
    <w:rsid w:val="00E60876"/>
    <w:rsid w:val="00E60BCA"/>
    <w:rsid w:val="00E60D02"/>
    <w:rsid w:val="00E60D56"/>
    <w:rsid w:val="00E62FEA"/>
    <w:rsid w:val="00E64602"/>
    <w:rsid w:val="00E659E5"/>
    <w:rsid w:val="00E675B6"/>
    <w:rsid w:val="00E675C0"/>
    <w:rsid w:val="00E67B60"/>
    <w:rsid w:val="00E67D90"/>
    <w:rsid w:val="00E71516"/>
    <w:rsid w:val="00E722B4"/>
    <w:rsid w:val="00E72931"/>
    <w:rsid w:val="00E74DC5"/>
    <w:rsid w:val="00E75380"/>
    <w:rsid w:val="00E7665D"/>
    <w:rsid w:val="00E766DF"/>
    <w:rsid w:val="00E8100E"/>
    <w:rsid w:val="00E8172C"/>
    <w:rsid w:val="00E81F35"/>
    <w:rsid w:val="00E82A56"/>
    <w:rsid w:val="00E82B1A"/>
    <w:rsid w:val="00E83D8A"/>
    <w:rsid w:val="00E90731"/>
    <w:rsid w:val="00E938BC"/>
    <w:rsid w:val="00E950F1"/>
    <w:rsid w:val="00E95A84"/>
    <w:rsid w:val="00E9629B"/>
    <w:rsid w:val="00E96CB5"/>
    <w:rsid w:val="00E9789E"/>
    <w:rsid w:val="00E97BF4"/>
    <w:rsid w:val="00EA0B74"/>
    <w:rsid w:val="00EA2A88"/>
    <w:rsid w:val="00EA3842"/>
    <w:rsid w:val="00EA3E93"/>
    <w:rsid w:val="00EA5355"/>
    <w:rsid w:val="00EA6382"/>
    <w:rsid w:val="00EA78FF"/>
    <w:rsid w:val="00EB002B"/>
    <w:rsid w:val="00EB094A"/>
    <w:rsid w:val="00EB14C9"/>
    <w:rsid w:val="00EB279B"/>
    <w:rsid w:val="00EB2CA5"/>
    <w:rsid w:val="00EB3E81"/>
    <w:rsid w:val="00EB43FD"/>
    <w:rsid w:val="00EB44BE"/>
    <w:rsid w:val="00EB4682"/>
    <w:rsid w:val="00EB477D"/>
    <w:rsid w:val="00EB7FCF"/>
    <w:rsid w:val="00EC17A1"/>
    <w:rsid w:val="00EC28E5"/>
    <w:rsid w:val="00EC5183"/>
    <w:rsid w:val="00EC52ED"/>
    <w:rsid w:val="00EC543F"/>
    <w:rsid w:val="00EC6350"/>
    <w:rsid w:val="00EC6B93"/>
    <w:rsid w:val="00EC741D"/>
    <w:rsid w:val="00EC7CB0"/>
    <w:rsid w:val="00ED352C"/>
    <w:rsid w:val="00EE0868"/>
    <w:rsid w:val="00EE1372"/>
    <w:rsid w:val="00EE1BFF"/>
    <w:rsid w:val="00EE1F4E"/>
    <w:rsid w:val="00EE585D"/>
    <w:rsid w:val="00EE58CB"/>
    <w:rsid w:val="00EE6A74"/>
    <w:rsid w:val="00EF0B62"/>
    <w:rsid w:val="00EF1989"/>
    <w:rsid w:val="00EF3A40"/>
    <w:rsid w:val="00EF468B"/>
    <w:rsid w:val="00EF499E"/>
    <w:rsid w:val="00EF5429"/>
    <w:rsid w:val="00F02857"/>
    <w:rsid w:val="00F03424"/>
    <w:rsid w:val="00F04CDD"/>
    <w:rsid w:val="00F0606D"/>
    <w:rsid w:val="00F06858"/>
    <w:rsid w:val="00F071A7"/>
    <w:rsid w:val="00F0778D"/>
    <w:rsid w:val="00F077D3"/>
    <w:rsid w:val="00F07E0C"/>
    <w:rsid w:val="00F129D8"/>
    <w:rsid w:val="00F1328C"/>
    <w:rsid w:val="00F13817"/>
    <w:rsid w:val="00F13939"/>
    <w:rsid w:val="00F1396A"/>
    <w:rsid w:val="00F13B21"/>
    <w:rsid w:val="00F14463"/>
    <w:rsid w:val="00F1653E"/>
    <w:rsid w:val="00F16C75"/>
    <w:rsid w:val="00F175C1"/>
    <w:rsid w:val="00F17FE9"/>
    <w:rsid w:val="00F2128C"/>
    <w:rsid w:val="00F219AD"/>
    <w:rsid w:val="00F23291"/>
    <w:rsid w:val="00F25284"/>
    <w:rsid w:val="00F26CA1"/>
    <w:rsid w:val="00F270C1"/>
    <w:rsid w:val="00F31416"/>
    <w:rsid w:val="00F32138"/>
    <w:rsid w:val="00F33190"/>
    <w:rsid w:val="00F332A2"/>
    <w:rsid w:val="00F337B2"/>
    <w:rsid w:val="00F33D36"/>
    <w:rsid w:val="00F351EA"/>
    <w:rsid w:val="00F4080E"/>
    <w:rsid w:val="00F41DFE"/>
    <w:rsid w:val="00F45799"/>
    <w:rsid w:val="00F46C39"/>
    <w:rsid w:val="00F4755A"/>
    <w:rsid w:val="00F547A2"/>
    <w:rsid w:val="00F551BF"/>
    <w:rsid w:val="00F555C6"/>
    <w:rsid w:val="00F55A3F"/>
    <w:rsid w:val="00F60CC6"/>
    <w:rsid w:val="00F622E8"/>
    <w:rsid w:val="00F62D17"/>
    <w:rsid w:val="00F63895"/>
    <w:rsid w:val="00F63F4E"/>
    <w:rsid w:val="00F64822"/>
    <w:rsid w:val="00F64DC1"/>
    <w:rsid w:val="00F65CB3"/>
    <w:rsid w:val="00F66B4C"/>
    <w:rsid w:val="00F6759D"/>
    <w:rsid w:val="00F7043A"/>
    <w:rsid w:val="00F707E3"/>
    <w:rsid w:val="00F709D0"/>
    <w:rsid w:val="00F70A77"/>
    <w:rsid w:val="00F70E39"/>
    <w:rsid w:val="00F71CD0"/>
    <w:rsid w:val="00F71FC5"/>
    <w:rsid w:val="00F73049"/>
    <w:rsid w:val="00F7378F"/>
    <w:rsid w:val="00F77609"/>
    <w:rsid w:val="00F80AE5"/>
    <w:rsid w:val="00F8273F"/>
    <w:rsid w:val="00F8377D"/>
    <w:rsid w:val="00F846D6"/>
    <w:rsid w:val="00F84D50"/>
    <w:rsid w:val="00F84E50"/>
    <w:rsid w:val="00F85083"/>
    <w:rsid w:val="00F9065F"/>
    <w:rsid w:val="00F9142F"/>
    <w:rsid w:val="00F91F5A"/>
    <w:rsid w:val="00F92F01"/>
    <w:rsid w:val="00F941C2"/>
    <w:rsid w:val="00F94D17"/>
    <w:rsid w:val="00F95B2C"/>
    <w:rsid w:val="00F971E5"/>
    <w:rsid w:val="00FA0AA2"/>
    <w:rsid w:val="00FA509B"/>
    <w:rsid w:val="00FA57EA"/>
    <w:rsid w:val="00FA63FD"/>
    <w:rsid w:val="00FB0F81"/>
    <w:rsid w:val="00FB17F6"/>
    <w:rsid w:val="00FB3263"/>
    <w:rsid w:val="00FB5AAA"/>
    <w:rsid w:val="00FB5BC7"/>
    <w:rsid w:val="00FB5CFE"/>
    <w:rsid w:val="00FB65DA"/>
    <w:rsid w:val="00FB6ED3"/>
    <w:rsid w:val="00FB79D5"/>
    <w:rsid w:val="00FC059D"/>
    <w:rsid w:val="00FC07D5"/>
    <w:rsid w:val="00FC0D50"/>
    <w:rsid w:val="00FC3832"/>
    <w:rsid w:val="00FC4514"/>
    <w:rsid w:val="00FC4754"/>
    <w:rsid w:val="00FC4E53"/>
    <w:rsid w:val="00FC68CF"/>
    <w:rsid w:val="00FC6BFA"/>
    <w:rsid w:val="00FD11FE"/>
    <w:rsid w:val="00FD1B28"/>
    <w:rsid w:val="00FD1F2A"/>
    <w:rsid w:val="00FD4195"/>
    <w:rsid w:val="00FD5FBF"/>
    <w:rsid w:val="00FE41CB"/>
    <w:rsid w:val="00FE574F"/>
    <w:rsid w:val="00FE610F"/>
    <w:rsid w:val="00FE7BCE"/>
    <w:rsid w:val="00FF029E"/>
    <w:rsid w:val="00FF0918"/>
    <w:rsid w:val="00FF0A78"/>
    <w:rsid w:val="00FF0A7D"/>
    <w:rsid w:val="00FF0F21"/>
    <w:rsid w:val="00FF160F"/>
    <w:rsid w:val="00FF20FD"/>
    <w:rsid w:val="00FF2332"/>
    <w:rsid w:val="00FF48F9"/>
    <w:rsid w:val="00FF4BF6"/>
    <w:rsid w:val="00FF616D"/>
    <w:rsid w:val="00FF6F4D"/>
    <w:rsid w:val="00FF7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1B49E2"/>
  <w14:defaultImageDpi w14:val="96"/>
  <w15:docId w15:val="{13645F6E-7655-4309-9882-79F6D5BA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51BF"/>
    <w:rPr>
      <w:lang w:val="sq-AL"/>
    </w:rPr>
  </w:style>
  <w:style w:type="paragraph" w:styleId="Heading1">
    <w:name w:val="heading 1"/>
    <w:basedOn w:val="Normal"/>
    <w:next w:val="Normal"/>
    <w:link w:val="Heading1Char"/>
    <w:uiPriority w:val="9"/>
    <w:qFormat/>
    <w:rsid w:val="00E3545D"/>
    <w:pPr>
      <w:keepNext/>
      <w:tabs>
        <w:tab w:val="right" w:pos="10206"/>
      </w:tabs>
      <w:spacing w:before="240" w:after="60"/>
      <w:outlineLvl w:val="0"/>
    </w:pPr>
    <w:rPr>
      <w:rFonts w:ascii="Arial Bold" w:hAnsi="Arial Bold" w:cs="Arial"/>
      <w:b/>
      <w:bCs/>
      <w:spacing w:val="-4"/>
      <w:kern w:val="32"/>
      <w:sz w:val="32"/>
      <w:szCs w:val="32"/>
    </w:rPr>
  </w:style>
  <w:style w:type="paragraph" w:styleId="Heading2">
    <w:name w:val="heading 2"/>
    <w:aliases w:val="EBHeading1"/>
    <w:basedOn w:val="Normal"/>
    <w:next w:val="EBBodyPara"/>
    <w:link w:val="Heading2Char"/>
    <w:uiPriority w:val="9"/>
    <w:qFormat/>
    <w:rsid w:val="002B7335"/>
    <w:pPr>
      <w:keepNext/>
      <w:keepLines/>
      <w:spacing w:before="480" w:after="240"/>
      <w:outlineLvl w:val="1"/>
    </w:pPr>
    <w:rPr>
      <w:rFonts w:cs="Arial"/>
      <w:bCs/>
      <w:color w:val="000000"/>
      <w:sz w:val="32"/>
      <w:szCs w:val="22"/>
    </w:rPr>
  </w:style>
  <w:style w:type="paragraph" w:styleId="Heading3">
    <w:name w:val="heading 3"/>
    <w:aliases w:val="EBHeading2"/>
    <w:basedOn w:val="Normal"/>
    <w:next w:val="EBBodyPara"/>
    <w:link w:val="Heading3Char"/>
    <w:uiPriority w:val="9"/>
    <w:qFormat/>
    <w:rsid w:val="002B7335"/>
    <w:pPr>
      <w:keepNext/>
      <w:keepLines/>
      <w:spacing w:before="360" w:after="240"/>
      <w:outlineLvl w:val="2"/>
    </w:pPr>
    <w:rPr>
      <w:rFonts w:cs="Arial"/>
      <w:b/>
      <w:bCs/>
      <w:color w:val="000000"/>
      <w:szCs w:val="22"/>
    </w:rPr>
  </w:style>
  <w:style w:type="paragraph" w:styleId="Heading4">
    <w:name w:val="heading 4"/>
    <w:aliases w:val="EBHeading3"/>
    <w:basedOn w:val="EBBodyPara"/>
    <w:next w:val="Normal"/>
    <w:link w:val="Heading4Char"/>
    <w:uiPriority w:val="9"/>
    <w:qFormat/>
    <w:rsid w:val="002B7335"/>
    <w:pPr>
      <w:spacing w:before="240"/>
      <w:outlineLvl w:val="3"/>
    </w:pPr>
    <w:rPr>
      <w:b/>
    </w:rPr>
  </w:style>
  <w:style w:type="paragraph" w:styleId="Heading5">
    <w:name w:val="heading 5"/>
    <w:aliases w:val="EBHeading4"/>
    <w:basedOn w:val="Normal"/>
    <w:next w:val="Normal"/>
    <w:link w:val="Heading5Char"/>
    <w:uiPriority w:val="9"/>
    <w:qFormat/>
    <w:rsid w:val="002B7335"/>
    <w:pPr>
      <w:spacing w:before="240" w:after="120"/>
      <w:outlineLvl w:val="4"/>
    </w:pPr>
    <w:rPr>
      <w:bCs/>
      <w:i/>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aliases w:val="EBHeading1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aliases w:val="EBHeading2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aliases w:val="EBHeading3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aliases w:val="EBHeading4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paragraph" w:customStyle="1" w:styleId="IATableLabel">
    <w:name w:val="IATableLabel"/>
    <w:basedOn w:val="Normal"/>
    <w:link w:val="IATableLabelCharChar"/>
    <w:rsid w:val="00402E80"/>
    <w:pPr>
      <w:spacing w:before="50" w:after="50"/>
      <w:ind w:left="113" w:right="113"/>
    </w:pPr>
    <w:rPr>
      <w:rFonts w:eastAsia="SimSun"/>
      <w:b/>
      <w:color w:val="000000"/>
      <w:spacing w:val="-5"/>
      <w:sz w:val="20"/>
      <w:lang w:eastAsia="zh-CN"/>
    </w:rPr>
  </w:style>
  <w:style w:type="character" w:customStyle="1" w:styleId="IATableLabelCharChar">
    <w:name w:val="IATableLabel Char Char"/>
    <w:link w:val="IATableLabel"/>
    <w:locked/>
    <w:rsid w:val="00402E80"/>
    <w:rPr>
      <w:rFonts w:ascii="Arial" w:eastAsia="SimSun" w:hAnsi="Arial"/>
      <w:b/>
      <w:color w:val="000000"/>
      <w:spacing w:val="-5"/>
      <w:lang w:val="en-GB" w:eastAsia="zh-CN"/>
    </w:rPr>
  </w:style>
  <w:style w:type="paragraph" w:customStyle="1" w:styleId="IASpacer">
    <w:name w:val="IASpacer"/>
    <w:basedOn w:val="Normal"/>
    <w:rsid w:val="007208D9"/>
    <w:pPr>
      <w:spacing w:line="80" w:lineRule="exact"/>
    </w:pPr>
    <w:rPr>
      <w:rFonts w:eastAsia="SimSun"/>
      <w:sz w:val="22"/>
      <w:lang w:eastAsia="zh-CN"/>
    </w:rPr>
  </w:style>
  <w:style w:type="paragraph" w:customStyle="1" w:styleId="IATableText">
    <w:name w:val="IATableText"/>
    <w:basedOn w:val="IATableLabel"/>
    <w:link w:val="IATableTextChar"/>
    <w:rsid w:val="00220F29"/>
    <w:rPr>
      <w:b w:val="0"/>
      <w:color w:val="auto"/>
      <w:sz w:val="22"/>
    </w:rPr>
  </w:style>
  <w:style w:type="character" w:customStyle="1" w:styleId="IATableTextChar">
    <w:name w:val="IATableText Char"/>
    <w:link w:val="IATableText"/>
    <w:locked/>
    <w:rsid w:val="00220F29"/>
    <w:rPr>
      <w:rFonts w:ascii="Arial" w:eastAsia="SimSun" w:hAnsi="Arial"/>
      <w:b/>
      <w:color w:val="000000"/>
      <w:spacing w:val="-5"/>
      <w:sz w:val="22"/>
      <w:lang w:val="en-GB" w:eastAsia="zh-CN"/>
    </w:rPr>
  </w:style>
  <w:style w:type="paragraph" w:styleId="BodyText">
    <w:name w:val="Body Text"/>
    <w:basedOn w:val="Normal"/>
    <w:link w:val="BodyTextChar"/>
    <w:uiPriority w:val="99"/>
    <w:rsid w:val="003E54B6"/>
    <w:pPr>
      <w:spacing w:after="120"/>
    </w:pPr>
    <w:rPr>
      <w:rFonts w:cs="Arial"/>
      <w:bCs/>
      <w:color w:val="000000"/>
      <w:sz w:val="22"/>
      <w:szCs w:val="22"/>
    </w:rPr>
  </w:style>
  <w:style w:type="character" w:customStyle="1" w:styleId="BodyTextChar">
    <w:name w:val="Body Text Char"/>
    <w:basedOn w:val="DefaultParagraphFont"/>
    <w:link w:val="BodyText"/>
    <w:uiPriority w:val="99"/>
    <w:locked/>
    <w:rsid w:val="0049416F"/>
    <w:rPr>
      <w:rFonts w:ascii="Arial" w:hAnsi="Arial" w:cs="Times New Roman"/>
      <w:color w:val="000000"/>
      <w:sz w:val="22"/>
      <w:lang w:val="en-GB" w:eastAsia="en-GB"/>
    </w:rPr>
  </w:style>
  <w:style w:type="table" w:styleId="TableGrid">
    <w:name w:val="Table Grid"/>
    <w:basedOn w:val="TableNormal"/>
    <w:uiPriority w:val="59"/>
    <w:rsid w:val="00026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7F64C7"/>
    <w:pPr>
      <w:ind w:left="113"/>
      <w:outlineLvl w:val="0"/>
    </w:pPr>
    <w:rPr>
      <w:rFonts w:cs="Arial"/>
      <w:bCs/>
      <w:color w:val="FFFFFF"/>
      <w:kern w:val="28"/>
      <w:sz w:val="32"/>
      <w:szCs w:val="32"/>
    </w:rPr>
  </w:style>
  <w:style w:type="character" w:customStyle="1" w:styleId="TitleChar">
    <w:name w:val="Title Char"/>
    <w:basedOn w:val="DefaultParagraphFont"/>
    <w:link w:val="Title"/>
    <w:uiPriority w:val="10"/>
    <w:locked/>
    <w:rsid w:val="00174C10"/>
    <w:rPr>
      <w:rFonts w:ascii="Arial" w:hAnsi="Arial" w:cs="Times New Roman"/>
      <w:color w:val="FFFFFF"/>
      <w:kern w:val="28"/>
      <w:sz w:val="32"/>
      <w:lang w:val="en-GB" w:eastAsia="en-US"/>
    </w:rPr>
  </w:style>
  <w:style w:type="paragraph" w:customStyle="1" w:styleId="IAHeadDept">
    <w:name w:val="IAHeadDept"/>
    <w:basedOn w:val="IATableText"/>
    <w:link w:val="IAHeadDeptChar"/>
    <w:rsid w:val="00C120C0"/>
    <w:pPr>
      <w:spacing w:after="120"/>
      <w:ind w:left="0" w:right="57"/>
    </w:pPr>
    <w:rPr>
      <w:spacing w:val="-6"/>
      <w:szCs w:val="22"/>
    </w:rPr>
  </w:style>
  <w:style w:type="paragraph" w:customStyle="1" w:styleId="IAHeadLabel">
    <w:name w:val="IAHeadLabel"/>
    <w:basedOn w:val="IATableLabel"/>
    <w:link w:val="IAHeadLabelChar"/>
    <w:rsid w:val="00570F8E"/>
    <w:pPr>
      <w:spacing w:before="110"/>
      <w:ind w:left="0" w:right="0"/>
    </w:pPr>
  </w:style>
  <w:style w:type="character" w:customStyle="1" w:styleId="IAHeadLabelChar">
    <w:name w:val="IAHeadLabel Char"/>
    <w:basedOn w:val="IATableLabelCharChar"/>
    <w:link w:val="IAHeadLabel"/>
    <w:locked/>
    <w:rsid w:val="00570F8E"/>
    <w:rPr>
      <w:rFonts w:ascii="Arial" w:eastAsia="SimSun" w:hAnsi="Arial" w:cs="Times New Roman"/>
      <w:b/>
      <w:color w:val="000000"/>
      <w:spacing w:val="-5"/>
      <w:lang w:val="en-GB" w:eastAsia="zh-CN" w:bidi="ar-SA"/>
    </w:rPr>
  </w:style>
  <w:style w:type="table" w:customStyle="1" w:styleId="TableIAHeading">
    <w:name w:val="Table_IAHeading"/>
    <w:basedOn w:val="TableNormal"/>
    <w:semiHidden/>
    <w:rsid w:val="006A5A2E"/>
    <w:rPr>
      <w:rFonts w:eastAsia="SimSun"/>
      <w:color w:val="FFFFFF"/>
    </w:rPr>
    <w:tblPr>
      <w:tblBorders>
        <w:top w:val="single" w:sz="12" w:space="0" w:color="008080"/>
        <w:left w:val="single" w:sz="12" w:space="0" w:color="008080"/>
        <w:bottom w:val="single" w:sz="12" w:space="0" w:color="008080"/>
        <w:right w:val="single" w:sz="12" w:space="0" w:color="008080"/>
        <w:insideH w:val="single" w:sz="12" w:space="0" w:color="008080"/>
      </w:tblBorders>
      <w:tblCellMar>
        <w:left w:w="0" w:type="dxa"/>
        <w:right w:w="0" w:type="dxa"/>
      </w:tblCellMar>
    </w:tblPr>
    <w:tcPr>
      <w:shd w:val="clear" w:color="auto" w:fill="008080"/>
    </w:tcPr>
  </w:style>
  <w:style w:type="paragraph" w:customStyle="1" w:styleId="IATableNotes">
    <w:name w:val="IATableNotes"/>
    <w:basedOn w:val="Normal"/>
    <w:link w:val="IATableNotesChar"/>
    <w:rsid w:val="006A5A2E"/>
    <w:pPr>
      <w:spacing w:before="60" w:after="60"/>
      <w:ind w:left="113" w:right="113"/>
    </w:pPr>
    <w:rPr>
      <w:rFonts w:eastAsia="SimSun"/>
      <w:sz w:val="18"/>
      <w:lang w:eastAsia="zh-CN"/>
    </w:rPr>
  </w:style>
  <w:style w:type="character" w:customStyle="1" w:styleId="IATableNotesChar">
    <w:name w:val="IATableNotes Char"/>
    <w:link w:val="IATableNotes"/>
    <w:locked/>
    <w:rsid w:val="006A5A2E"/>
    <w:rPr>
      <w:rFonts w:ascii="Arial" w:eastAsia="SimSun" w:hAnsi="Arial"/>
      <w:sz w:val="18"/>
      <w:lang w:val="en-GB" w:eastAsia="zh-CN"/>
    </w:rPr>
  </w:style>
  <w:style w:type="paragraph" w:customStyle="1" w:styleId="IASignOff">
    <w:name w:val="IASignOff"/>
    <w:basedOn w:val="IATableNotes"/>
    <w:next w:val="IATableNotes"/>
    <w:link w:val="IASignOffChar"/>
    <w:semiHidden/>
    <w:rsid w:val="006A5A2E"/>
    <w:pPr>
      <w:spacing w:before="120" w:after="120"/>
      <w:ind w:left="567" w:right="567"/>
    </w:pPr>
    <w:rPr>
      <w:b/>
      <w:bCs/>
      <w:i/>
      <w:iCs/>
    </w:rPr>
  </w:style>
  <w:style w:type="character" w:customStyle="1" w:styleId="IASignOffChar">
    <w:name w:val="IASignOff Char"/>
    <w:link w:val="IASignOff"/>
    <w:locked/>
    <w:rsid w:val="006A5A2E"/>
    <w:rPr>
      <w:rFonts w:ascii="Arial" w:eastAsia="SimSun" w:hAnsi="Arial"/>
      <w:b/>
      <w:i/>
      <w:sz w:val="18"/>
      <w:lang w:val="en-GB" w:eastAsia="zh-CN"/>
    </w:rPr>
  </w:style>
  <w:style w:type="paragraph" w:customStyle="1" w:styleId="IAHeadTitle">
    <w:name w:val="IAHeadTitle"/>
    <w:basedOn w:val="IAHeadDept"/>
    <w:link w:val="IAHeadTitleChar"/>
    <w:rsid w:val="008228A5"/>
    <w:pPr>
      <w:spacing w:before="0" w:after="0"/>
    </w:pPr>
    <w:rPr>
      <w:b/>
      <w:sz w:val="28"/>
      <w:szCs w:val="28"/>
    </w:rPr>
  </w:style>
  <w:style w:type="paragraph" w:customStyle="1" w:styleId="IASignature">
    <w:name w:val="IA Signature"/>
    <w:basedOn w:val="IATableText"/>
    <w:rsid w:val="00C67CDD"/>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FB5CFE"/>
    <w:pPr>
      <w:spacing w:after="120"/>
    </w:pPr>
    <w:rPr>
      <w:szCs w:val="22"/>
      <w:u w:val="single"/>
    </w:rPr>
  </w:style>
  <w:style w:type="character" w:customStyle="1" w:styleId="IASign-offlabelChar">
    <w:name w:val="IA Sign-off label Char"/>
    <w:link w:val="IASign-offlabel"/>
    <w:locked/>
    <w:rsid w:val="009050B9"/>
    <w:rPr>
      <w:rFonts w:ascii="Arial" w:eastAsia="SimSun" w:hAnsi="Arial"/>
      <w:b/>
      <w:color w:val="000000"/>
      <w:spacing w:val="-5"/>
      <w:sz w:val="22"/>
      <w:u w:val="single"/>
      <w:lang w:val="en-GB" w:eastAsia="zh-CN"/>
    </w:rPr>
  </w:style>
  <w:style w:type="paragraph" w:customStyle="1" w:styleId="IASign-off">
    <w:name w:val="IA Sign-off"/>
    <w:basedOn w:val="IATableText"/>
    <w:rsid w:val="00C67CDD"/>
    <w:pPr>
      <w:spacing w:before="0" w:after="0"/>
      <w:ind w:left="0" w:right="284"/>
    </w:pPr>
    <w:rPr>
      <w:b/>
      <w:i/>
    </w:rPr>
  </w:style>
  <w:style w:type="paragraph" w:customStyle="1" w:styleId="IAHeading2">
    <w:name w:val="IAHeading2"/>
    <w:basedOn w:val="Normal"/>
    <w:semiHidden/>
    <w:rsid w:val="000A79FC"/>
    <w:pPr>
      <w:keepNext/>
      <w:keepLines/>
      <w:spacing w:before="60" w:after="60"/>
      <w:ind w:left="113" w:right="113"/>
    </w:pPr>
    <w:rPr>
      <w:rFonts w:eastAsia="SimSun"/>
      <w:b/>
      <w:sz w:val="20"/>
      <w:lang w:eastAsia="zh-CN"/>
    </w:rPr>
  </w:style>
  <w:style w:type="table" w:customStyle="1" w:styleId="TableIABox">
    <w:name w:val="Table_IABox"/>
    <w:basedOn w:val="TableNormal"/>
    <w:rsid w:val="007777A1"/>
    <w:rPr>
      <w:rFonts w:eastAsia="SimSu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Header">
    <w:name w:val="header"/>
    <w:basedOn w:val="Normal"/>
    <w:link w:val="HeaderChar"/>
    <w:uiPriority w:val="99"/>
    <w:rsid w:val="00E96CB5"/>
    <w:pPr>
      <w:jc w:val="center"/>
    </w:pPr>
    <w:rPr>
      <w:caps/>
    </w:rPr>
  </w:style>
  <w:style w:type="character" w:customStyle="1" w:styleId="HeaderChar">
    <w:name w:val="Header Char"/>
    <w:basedOn w:val="DefaultParagraphFont"/>
    <w:link w:val="Header"/>
    <w:uiPriority w:val="99"/>
    <w:semiHidden/>
    <w:locked/>
    <w:rPr>
      <w:rFonts w:ascii="Arial" w:hAnsi="Arial" w:cs="Times New Roman"/>
      <w:sz w:val="24"/>
      <w:szCs w:val="24"/>
      <w:lang w:val="x-none" w:eastAsia="en-US"/>
    </w:rPr>
  </w:style>
  <w:style w:type="paragraph" w:styleId="Footer">
    <w:name w:val="footer"/>
    <w:basedOn w:val="Normal"/>
    <w:link w:val="FooterChar"/>
    <w:uiPriority w:val="99"/>
    <w:rsid w:val="000407D8"/>
    <w:pPr>
      <w:tabs>
        <w:tab w:val="center" w:pos="5132"/>
        <w:tab w:val="right" w:pos="10260"/>
      </w:tabs>
      <w:jc w:val="center"/>
    </w:pPr>
    <w:rPr>
      <w:b/>
      <w:sz w:val="18"/>
    </w:rPr>
  </w:style>
  <w:style w:type="character" w:customStyle="1" w:styleId="FooterChar">
    <w:name w:val="Footer Char"/>
    <w:basedOn w:val="DefaultParagraphFont"/>
    <w:link w:val="Footer"/>
    <w:uiPriority w:val="99"/>
    <w:semiHidden/>
    <w:locked/>
    <w:rPr>
      <w:rFonts w:ascii="Arial" w:hAnsi="Arial" w:cs="Times New Roman"/>
      <w:sz w:val="24"/>
      <w:szCs w:val="24"/>
      <w:lang w:val="x-none" w:eastAsia="en-US"/>
    </w:rPr>
  </w:style>
  <w:style w:type="character" w:styleId="PageNumber">
    <w:name w:val="page number"/>
    <w:basedOn w:val="DefaultParagraphFont"/>
    <w:uiPriority w:val="99"/>
    <w:rsid w:val="00EB43FD"/>
    <w:rPr>
      <w:rFonts w:cs="Times New Roman"/>
    </w:rPr>
  </w:style>
  <w:style w:type="paragraph" w:customStyle="1" w:styleId="IANotes">
    <w:name w:val="IANotes"/>
    <w:basedOn w:val="Normal"/>
    <w:semiHidden/>
    <w:rsid w:val="00650282"/>
    <w:rPr>
      <w:rFonts w:eastAsia="SimSun"/>
      <w:color w:val="008080"/>
      <w:sz w:val="22"/>
      <w:lang w:eastAsia="zh-CN"/>
    </w:rPr>
  </w:style>
  <w:style w:type="paragraph" w:customStyle="1" w:styleId="IATableHeading">
    <w:name w:val="IATableHeading"/>
    <w:basedOn w:val="IATableLabel"/>
    <w:rsid w:val="00716D5C"/>
    <w:rPr>
      <w:sz w:val="22"/>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rsid w:val="00490FF7"/>
    <w:rPr>
      <w:rFonts w:eastAsia="SimSun"/>
      <w:sz w:val="16"/>
      <w:lang w:eastAsia="zh-CN"/>
    </w:rPr>
  </w:style>
  <w:style w:type="character" w:customStyle="1" w:styleId="FootnoteTextChar">
    <w:name w:val="Footnote Text Char"/>
    <w:aliases w:val="single space Char1,FOOTNOTES Char,fn Char,Footnote Text Char Char Char Char,Footnote Text Char Char Char1,Footnote Text Char1 Char,single space Char Char,ft Char Char,ft Char1,Footnote Text Char1 Char Char Char Char,Footnote Char"/>
    <w:basedOn w:val="DefaultParagraphFont"/>
    <w:link w:val="FootnoteText"/>
    <w:uiPriority w:val="99"/>
    <w:locked/>
    <w:rPr>
      <w:rFonts w:ascii="Arial" w:hAnsi="Arial" w:cs="Times New Roman"/>
      <w:lang w:val="x-none" w:eastAsia="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basedOn w:val="DefaultParagraphFont"/>
    <w:link w:val="BVIfnrCarCarCarCarChar"/>
    <w:uiPriority w:val="99"/>
    <w:rsid w:val="00B84190"/>
    <w:rPr>
      <w:rFonts w:cs="Times New Roman"/>
      <w:sz w:val="22"/>
      <w:vertAlign w:val="superscript"/>
    </w:rPr>
  </w:style>
  <w:style w:type="paragraph" w:customStyle="1" w:styleId="EBBodyPara">
    <w:name w:val="EBBodyPara"/>
    <w:basedOn w:val="BodyText"/>
    <w:rsid w:val="005A2FC0"/>
  </w:style>
  <w:style w:type="paragraph" w:styleId="BalloonText">
    <w:name w:val="Balloon Text"/>
    <w:basedOn w:val="Normal"/>
    <w:link w:val="BalloonTextChar"/>
    <w:uiPriority w:val="99"/>
    <w:semiHidden/>
    <w:rsid w:val="00300C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x-none" w:eastAsia="en-US"/>
    </w:rPr>
  </w:style>
  <w:style w:type="paragraph" w:customStyle="1" w:styleId="EBNumber">
    <w:name w:val="EBNumber"/>
    <w:basedOn w:val="BodyText"/>
    <w:rsid w:val="002B7335"/>
    <w:pPr>
      <w:numPr>
        <w:ilvl w:val="1"/>
        <w:numId w:val="3"/>
      </w:numPr>
    </w:pPr>
  </w:style>
  <w:style w:type="paragraph" w:customStyle="1" w:styleId="EBNumberRestart">
    <w:name w:val="EBNumberRestart"/>
    <w:basedOn w:val="BodyText"/>
    <w:next w:val="EBNumber"/>
    <w:rsid w:val="002B7335"/>
    <w:pPr>
      <w:numPr>
        <w:numId w:val="3"/>
      </w:numPr>
    </w:pPr>
  </w:style>
  <w:style w:type="paragraph" w:customStyle="1" w:styleId="StyleIATableText10ptRight">
    <w:name w:val="Style IATableText + 10 pt Right"/>
    <w:basedOn w:val="IATableText"/>
    <w:rsid w:val="008D39AA"/>
    <w:pPr>
      <w:ind w:left="0" w:right="57"/>
      <w:jc w:val="right"/>
    </w:pPr>
    <w:rPr>
      <w:rFonts w:eastAsia="Times New Roman"/>
      <w:sz w:val="20"/>
    </w:rPr>
  </w:style>
  <w:style w:type="paragraph" w:customStyle="1" w:styleId="SecurityClass">
    <w:name w:val="SecurityClass"/>
    <w:basedOn w:val="Header"/>
    <w:rsid w:val="00AE46AA"/>
  </w:style>
  <w:style w:type="paragraph" w:customStyle="1" w:styleId="IARefNumber">
    <w:name w:val="IARefNumber"/>
    <w:basedOn w:val="IATableText"/>
    <w:rsid w:val="001E152A"/>
    <w:pPr>
      <w:numPr>
        <w:numId w:val="1"/>
      </w:numPr>
      <w:ind w:left="0"/>
    </w:pPr>
  </w:style>
  <w:style w:type="character" w:styleId="Hyperlink">
    <w:name w:val="Hyperlink"/>
    <w:basedOn w:val="DefaultParagraphFont"/>
    <w:uiPriority w:val="99"/>
    <w:rsid w:val="00B4136C"/>
    <w:rPr>
      <w:rFonts w:cs="Times New Roman"/>
      <w:color w:val="auto"/>
      <w:u w:val="single"/>
    </w:rPr>
  </w:style>
  <w:style w:type="paragraph" w:customStyle="1" w:styleId="POPBY">
    <w:name w:val="POPBY"/>
    <w:basedOn w:val="IATableLabel"/>
    <w:rsid w:val="00AB574B"/>
  </w:style>
  <w:style w:type="paragraph" w:customStyle="1" w:styleId="EBBullet">
    <w:name w:val="EBBullet"/>
    <w:basedOn w:val="BodyText"/>
    <w:rsid w:val="002B7335"/>
    <w:pPr>
      <w:numPr>
        <w:numId w:val="2"/>
      </w:numPr>
    </w:pPr>
  </w:style>
  <w:style w:type="paragraph" w:customStyle="1" w:styleId="IAHeadText">
    <w:name w:val="IAHeadText"/>
    <w:basedOn w:val="IATableText"/>
    <w:rsid w:val="00632CB9"/>
    <w:pPr>
      <w:spacing w:before="0" w:after="0"/>
      <w:ind w:left="0" w:right="57"/>
    </w:pPr>
    <w:rPr>
      <w:spacing w:val="-6"/>
    </w:rPr>
  </w:style>
  <w:style w:type="paragraph" w:customStyle="1" w:styleId="IAHeadLabel0">
    <w:name w:val="IAHeadLabel0"/>
    <w:basedOn w:val="IAHeadLabel"/>
    <w:next w:val="IAHeadTitle"/>
    <w:rsid w:val="00632CB9"/>
    <w:pPr>
      <w:spacing w:before="0"/>
    </w:pPr>
  </w:style>
  <w:style w:type="paragraph" w:customStyle="1" w:styleId="IATableLines">
    <w:name w:val="IATableLines"/>
    <w:basedOn w:val="IATableText"/>
    <w:link w:val="IATableLinesChar"/>
    <w:rsid w:val="00E82A56"/>
    <w:pPr>
      <w:spacing w:before="0" w:after="0"/>
    </w:pPr>
  </w:style>
  <w:style w:type="paragraph" w:customStyle="1" w:styleId="EvidenceHeadPIR">
    <w:name w:val="EvidenceHeadPIR"/>
    <w:rsid w:val="00BE650A"/>
    <w:pPr>
      <w:spacing w:after="120"/>
    </w:pPr>
    <w:rPr>
      <w:rFonts w:ascii="Arial" w:hAnsi="Arial" w:cs="Arial"/>
      <w:bCs/>
      <w:color w:val="000000"/>
      <w:sz w:val="22"/>
      <w:szCs w:val="22"/>
    </w:rPr>
  </w:style>
  <w:style w:type="character" w:styleId="FollowedHyperlink">
    <w:name w:val="FollowedHyperlink"/>
    <w:basedOn w:val="DefaultParagraphFont"/>
    <w:uiPriority w:val="99"/>
    <w:rsid w:val="006D37CF"/>
    <w:rPr>
      <w:rFonts w:cs="Times New Roman"/>
      <w:color w:val="auto"/>
      <w:u w:val="single"/>
    </w:rPr>
  </w:style>
  <w:style w:type="paragraph" w:customStyle="1" w:styleId="IASpacer2">
    <w:name w:val="IASpacer2"/>
    <w:basedOn w:val="IASpacer"/>
    <w:rsid w:val="00311373"/>
    <w:pPr>
      <w:spacing w:line="40" w:lineRule="exact"/>
    </w:pPr>
  </w:style>
  <w:style w:type="paragraph" w:customStyle="1" w:styleId="POPVBY">
    <w:name w:val="POPVBY"/>
    <w:basedOn w:val="IATableLabel"/>
    <w:rsid w:val="00AB574B"/>
  </w:style>
  <w:style w:type="paragraph" w:customStyle="1" w:styleId="POTPY">
    <w:name w:val="POTPY"/>
    <w:basedOn w:val="IATableLabel"/>
    <w:rsid w:val="00F622E8"/>
  </w:style>
  <w:style w:type="paragraph" w:customStyle="1" w:styleId="PONBLow">
    <w:name w:val="PONBLow"/>
    <w:basedOn w:val="IATableLabel"/>
    <w:link w:val="PONBLowCharChar"/>
    <w:rsid w:val="00F622E8"/>
    <w:rPr>
      <w:b w:val="0"/>
      <w:szCs w:val="22"/>
    </w:rPr>
  </w:style>
  <w:style w:type="character" w:customStyle="1" w:styleId="PONBLowCharChar">
    <w:name w:val="PONBLow Char Char"/>
    <w:link w:val="PONBLow"/>
    <w:locked/>
    <w:rsid w:val="00F622E8"/>
    <w:rPr>
      <w:rFonts w:ascii="Arial" w:eastAsia="SimSun" w:hAnsi="Arial"/>
      <w:b/>
      <w:color w:val="000000"/>
      <w:spacing w:val="-5"/>
      <w:sz w:val="22"/>
      <w:lang w:val="en-GB" w:eastAsia="zh-CN"/>
    </w:rPr>
  </w:style>
  <w:style w:type="paragraph" w:customStyle="1" w:styleId="PONBHigh">
    <w:name w:val="PONBHigh"/>
    <w:basedOn w:val="IATableLabel"/>
    <w:link w:val="PONBHighChar"/>
    <w:rsid w:val="00F622E8"/>
    <w:rPr>
      <w:b w:val="0"/>
      <w:szCs w:val="22"/>
    </w:rPr>
  </w:style>
  <w:style w:type="character" w:customStyle="1" w:styleId="PONBHighChar">
    <w:name w:val="PONBHigh Char"/>
    <w:link w:val="PONBHigh"/>
    <w:locked/>
    <w:rsid w:val="00F622E8"/>
    <w:rPr>
      <w:rFonts w:ascii="Arial" w:eastAsia="SimSun" w:hAnsi="Arial"/>
      <w:b/>
      <w:color w:val="000000"/>
      <w:spacing w:val="-5"/>
      <w:sz w:val="22"/>
      <w:lang w:val="en-GB" w:eastAsia="zh-CN"/>
    </w:rPr>
  </w:style>
  <w:style w:type="paragraph" w:customStyle="1" w:styleId="PONBBestEst">
    <w:name w:val="PONBBestEst"/>
    <w:basedOn w:val="IATableLabel"/>
    <w:link w:val="PONBBestEstChar"/>
    <w:rsid w:val="00F622E8"/>
    <w:rPr>
      <w:b w:val="0"/>
      <w:szCs w:val="22"/>
    </w:rPr>
  </w:style>
  <w:style w:type="character" w:customStyle="1" w:styleId="PONBBestEstChar">
    <w:name w:val="PONBBestEst Char"/>
    <w:link w:val="PONBBestEst"/>
    <w:locked/>
    <w:rsid w:val="00F622E8"/>
    <w:rPr>
      <w:rFonts w:ascii="Arial" w:eastAsia="SimSun" w:hAnsi="Arial"/>
      <w:b/>
      <w:color w:val="000000"/>
      <w:spacing w:val="-5"/>
      <w:sz w:val="22"/>
      <w:lang w:val="en-GB" w:eastAsia="zh-CN"/>
    </w:rPr>
  </w:style>
  <w:style w:type="paragraph" w:customStyle="1" w:styleId="POTTCostsHigh">
    <w:name w:val="POTTCostsHigh"/>
    <w:basedOn w:val="IATableText"/>
    <w:rsid w:val="00B318B0"/>
    <w:pPr>
      <w:jc w:val="right"/>
    </w:pPr>
  </w:style>
  <w:style w:type="paragraph" w:customStyle="1" w:styleId="POTTCostsLow">
    <w:name w:val="POTTCostsLow"/>
    <w:basedOn w:val="POTTCostsHigh"/>
    <w:rsid w:val="00B318B0"/>
  </w:style>
  <w:style w:type="paragraph" w:customStyle="1" w:styleId="POTTCostsBest">
    <w:name w:val="POTTCostsBest"/>
    <w:basedOn w:val="IATableText"/>
    <w:rsid w:val="00B318B0"/>
    <w:pPr>
      <w:jc w:val="right"/>
    </w:pPr>
  </w:style>
  <w:style w:type="paragraph" w:customStyle="1" w:styleId="POTTCostsYear">
    <w:name w:val="POTTCostsYear"/>
    <w:basedOn w:val="IATableText"/>
    <w:rsid w:val="00B318B0"/>
    <w:pPr>
      <w:jc w:val="center"/>
    </w:pPr>
    <w:rPr>
      <w:szCs w:val="18"/>
    </w:rPr>
  </w:style>
  <w:style w:type="paragraph" w:customStyle="1" w:styleId="POAACostsLow">
    <w:name w:val="POAACostsLow"/>
    <w:basedOn w:val="IATableText"/>
    <w:rsid w:val="00B318B0"/>
    <w:pPr>
      <w:jc w:val="right"/>
    </w:pPr>
  </w:style>
  <w:style w:type="paragraph" w:customStyle="1" w:styleId="POAACostsHigh">
    <w:name w:val="POAACostsHigh"/>
    <w:basedOn w:val="POAACostsLow"/>
    <w:rsid w:val="00B318B0"/>
  </w:style>
  <w:style w:type="paragraph" w:customStyle="1" w:styleId="POAACostsBest">
    <w:name w:val="POAACostsBest"/>
    <w:basedOn w:val="IATableText"/>
    <w:rsid w:val="00B318B0"/>
    <w:pPr>
      <w:jc w:val="right"/>
    </w:pPr>
  </w:style>
  <w:style w:type="paragraph" w:customStyle="1" w:styleId="POTCCostsLow">
    <w:name w:val="POTCCostsLow"/>
    <w:basedOn w:val="IATableText"/>
    <w:rsid w:val="00B318B0"/>
    <w:pPr>
      <w:jc w:val="right"/>
    </w:pPr>
    <w:rPr>
      <w:b/>
    </w:rPr>
  </w:style>
  <w:style w:type="paragraph" w:customStyle="1" w:styleId="POTCCostsHigh">
    <w:name w:val="POTCCostsHigh"/>
    <w:basedOn w:val="IATableText"/>
    <w:rsid w:val="00B318B0"/>
    <w:pPr>
      <w:jc w:val="right"/>
    </w:pPr>
    <w:rPr>
      <w:b/>
    </w:rPr>
  </w:style>
  <w:style w:type="paragraph" w:customStyle="1" w:styleId="POTCCostsBest">
    <w:name w:val="POTCCostsBest"/>
    <w:basedOn w:val="IATableText"/>
    <w:rsid w:val="00B318B0"/>
    <w:pPr>
      <w:jc w:val="right"/>
    </w:pPr>
    <w:rPr>
      <w:b/>
    </w:rPr>
  </w:style>
  <w:style w:type="paragraph" w:customStyle="1" w:styleId="IAPOQ1">
    <w:name w:val="IAPOQ1"/>
    <w:basedOn w:val="IATableLabel"/>
    <w:rsid w:val="00B006A9"/>
  </w:style>
  <w:style w:type="paragraph" w:customStyle="1" w:styleId="IAPOA1">
    <w:name w:val="IAPOA1"/>
    <w:basedOn w:val="IATableLines"/>
    <w:rsid w:val="00B006A9"/>
  </w:style>
  <w:style w:type="paragraph" w:customStyle="1" w:styleId="IAPOQ2">
    <w:name w:val="IAPOQ2"/>
    <w:basedOn w:val="IATableLabel"/>
    <w:link w:val="IAPOQ2Char"/>
    <w:rsid w:val="00B006A9"/>
  </w:style>
  <w:style w:type="paragraph" w:customStyle="1" w:styleId="IAPOA2">
    <w:name w:val="IAPOA2"/>
    <w:basedOn w:val="IATableLines"/>
    <w:rsid w:val="00B006A9"/>
  </w:style>
  <w:style w:type="paragraph" w:customStyle="1" w:styleId="POTTBenLow">
    <w:name w:val="POTTBenLow"/>
    <w:basedOn w:val="POTTCostsLow"/>
    <w:rsid w:val="00B006A9"/>
  </w:style>
  <w:style w:type="paragraph" w:customStyle="1" w:styleId="POTTBenHigh">
    <w:name w:val="POTTBenHigh"/>
    <w:basedOn w:val="POTTCostsHigh"/>
    <w:rsid w:val="00B006A9"/>
  </w:style>
  <w:style w:type="paragraph" w:customStyle="1" w:styleId="POTTBenBest">
    <w:name w:val="POTTBenBest"/>
    <w:basedOn w:val="POTTCostsBest"/>
    <w:rsid w:val="00B006A9"/>
  </w:style>
  <w:style w:type="paragraph" w:customStyle="1" w:styleId="POAABenLow">
    <w:name w:val="POAABenLow"/>
    <w:basedOn w:val="POAACostsLow"/>
    <w:rsid w:val="00B006A9"/>
  </w:style>
  <w:style w:type="paragraph" w:customStyle="1" w:styleId="POAABenHigh">
    <w:name w:val="POAABenHigh"/>
    <w:basedOn w:val="POAABenLow"/>
    <w:rsid w:val="00B006A9"/>
  </w:style>
  <w:style w:type="paragraph" w:customStyle="1" w:styleId="POAABenBest">
    <w:name w:val="POAABenBest"/>
    <w:basedOn w:val="POAABenHigh"/>
    <w:rsid w:val="00B006A9"/>
  </w:style>
  <w:style w:type="paragraph" w:customStyle="1" w:styleId="POTBBenLow">
    <w:name w:val="POTBBenLow"/>
    <w:basedOn w:val="POTCCostsLow"/>
    <w:rsid w:val="00B006A9"/>
  </w:style>
  <w:style w:type="paragraph" w:customStyle="1" w:styleId="POTBBenHigh">
    <w:name w:val="POTBBenHigh"/>
    <w:basedOn w:val="POTBBenLow"/>
    <w:rsid w:val="00B006A9"/>
  </w:style>
  <w:style w:type="paragraph" w:customStyle="1" w:styleId="POTBBenBest">
    <w:name w:val="POTBBenBest"/>
    <w:basedOn w:val="POTBBenHigh"/>
    <w:rsid w:val="00B006A9"/>
  </w:style>
  <w:style w:type="paragraph" w:customStyle="1" w:styleId="IPPOQ3">
    <w:name w:val="IPPOQ3"/>
    <w:basedOn w:val="IAPOQ2"/>
    <w:link w:val="IPPOQ3Char"/>
    <w:rsid w:val="00F1653E"/>
  </w:style>
  <w:style w:type="paragraph" w:customStyle="1" w:styleId="IAPOQ4">
    <w:name w:val="IAPOQ4"/>
    <w:basedOn w:val="IPPOQ3"/>
    <w:link w:val="IAPOQ4Char"/>
    <w:rsid w:val="00F1653E"/>
  </w:style>
  <w:style w:type="paragraph" w:customStyle="1" w:styleId="IAPOA3">
    <w:name w:val="IAPOA3"/>
    <w:basedOn w:val="IAPOA2"/>
    <w:rsid w:val="00F1653E"/>
  </w:style>
  <w:style w:type="paragraph" w:customStyle="1" w:styleId="IAPOA4">
    <w:name w:val="IAPOA4"/>
    <w:basedOn w:val="IAPOA3"/>
    <w:rsid w:val="00F1653E"/>
  </w:style>
  <w:style w:type="paragraph" w:customStyle="1" w:styleId="IAPOA5">
    <w:name w:val="IAPOA5"/>
    <w:basedOn w:val="IAPOA4"/>
    <w:rsid w:val="00F1653E"/>
  </w:style>
  <w:style w:type="paragraph" w:customStyle="1" w:styleId="IAPOQ5">
    <w:name w:val="IAPOQ5"/>
    <w:basedOn w:val="IAPOQ4"/>
    <w:link w:val="IAPOQ5Char"/>
    <w:rsid w:val="00F1653E"/>
  </w:style>
  <w:style w:type="character" w:customStyle="1" w:styleId="IAPOQ2Char">
    <w:name w:val="IAPOQ2 Char"/>
    <w:basedOn w:val="IATableLabelCharChar"/>
    <w:link w:val="IAPOQ2"/>
    <w:locked/>
    <w:rsid w:val="00F1653E"/>
    <w:rPr>
      <w:rFonts w:ascii="Arial" w:eastAsia="SimSun" w:hAnsi="Arial" w:cs="Times New Roman"/>
      <w:b/>
      <w:color w:val="000000"/>
      <w:spacing w:val="-5"/>
      <w:lang w:val="en-GB" w:eastAsia="zh-CN" w:bidi="ar-SA"/>
    </w:rPr>
  </w:style>
  <w:style w:type="character" w:customStyle="1" w:styleId="IPPOQ3Char">
    <w:name w:val="IPPOQ3 Char"/>
    <w:basedOn w:val="IAPOQ2Char"/>
    <w:link w:val="IPPOQ3"/>
    <w:locked/>
    <w:rsid w:val="00F1653E"/>
    <w:rPr>
      <w:rFonts w:ascii="Arial" w:eastAsia="SimSun" w:hAnsi="Arial" w:cs="Times New Roman"/>
      <w:b/>
      <w:color w:val="000000"/>
      <w:spacing w:val="-5"/>
      <w:lang w:val="en-GB" w:eastAsia="zh-CN" w:bidi="ar-SA"/>
    </w:rPr>
  </w:style>
  <w:style w:type="character" w:customStyle="1" w:styleId="IAPOQ4Char">
    <w:name w:val="IAPOQ4 Char"/>
    <w:basedOn w:val="IPPOQ3Char"/>
    <w:link w:val="IAPOQ4"/>
    <w:locked/>
    <w:rsid w:val="00F1653E"/>
    <w:rPr>
      <w:rFonts w:ascii="Arial" w:eastAsia="SimSun" w:hAnsi="Arial" w:cs="Times New Roman"/>
      <w:b/>
      <w:color w:val="000000"/>
      <w:spacing w:val="-5"/>
      <w:lang w:val="en-GB" w:eastAsia="zh-CN" w:bidi="ar-SA"/>
    </w:rPr>
  </w:style>
  <w:style w:type="character" w:customStyle="1" w:styleId="IAPOQ5Char">
    <w:name w:val="IAPOQ5 Char"/>
    <w:basedOn w:val="IAPOQ4Char"/>
    <w:link w:val="IAPOQ5"/>
    <w:locked/>
    <w:rsid w:val="00F1653E"/>
    <w:rPr>
      <w:rFonts w:ascii="Arial" w:eastAsia="SimSun" w:hAnsi="Arial" w:cs="Times New Roman"/>
      <w:b/>
      <w:color w:val="000000"/>
      <w:spacing w:val="-5"/>
      <w:lang w:val="en-GB" w:eastAsia="zh-CN" w:bidi="ar-SA"/>
    </w:rPr>
  </w:style>
  <w:style w:type="paragraph" w:customStyle="1" w:styleId="IAPODisRate">
    <w:name w:val="IAPODisRate"/>
    <w:basedOn w:val="IATableLabel"/>
    <w:rsid w:val="00F1653E"/>
    <w:pPr>
      <w:ind w:left="0"/>
      <w:jc w:val="center"/>
    </w:pPr>
    <w:rPr>
      <w:b w:val="0"/>
    </w:rPr>
  </w:style>
  <w:style w:type="paragraph" w:customStyle="1" w:styleId="IAPODICost">
    <w:name w:val="IAPODICost"/>
    <w:basedOn w:val="IATableLabel"/>
    <w:link w:val="IAPODICostChar"/>
    <w:rsid w:val="000E3FD7"/>
    <w:rPr>
      <w:b w:val="0"/>
      <w:sz w:val="22"/>
      <w:szCs w:val="22"/>
    </w:rPr>
  </w:style>
  <w:style w:type="character" w:customStyle="1" w:styleId="IAPODICostChar">
    <w:name w:val="IAPODICost Char"/>
    <w:link w:val="IAPODICost"/>
    <w:locked/>
    <w:rsid w:val="000E3FD7"/>
    <w:rPr>
      <w:rFonts w:ascii="Arial" w:eastAsia="SimSun" w:hAnsi="Arial"/>
      <w:b/>
      <w:color w:val="000000"/>
      <w:spacing w:val="-5"/>
      <w:sz w:val="22"/>
      <w:lang w:val="en-GB" w:eastAsia="zh-CN"/>
    </w:rPr>
  </w:style>
  <w:style w:type="paragraph" w:customStyle="1" w:styleId="IAPODIBen">
    <w:name w:val="IAPODIBen"/>
    <w:basedOn w:val="IATableLabel"/>
    <w:link w:val="IAPODIBenChar"/>
    <w:rsid w:val="000E3FD7"/>
    <w:rPr>
      <w:b w:val="0"/>
      <w:sz w:val="22"/>
      <w:szCs w:val="22"/>
    </w:rPr>
  </w:style>
  <w:style w:type="paragraph" w:customStyle="1" w:styleId="IAPODINet">
    <w:name w:val="IAPODINet"/>
    <w:basedOn w:val="IATableLabel"/>
    <w:link w:val="IAPODINetChar"/>
    <w:rsid w:val="000E3FD7"/>
    <w:rPr>
      <w:b w:val="0"/>
      <w:sz w:val="22"/>
      <w:szCs w:val="22"/>
    </w:rPr>
  </w:style>
  <w:style w:type="paragraph" w:customStyle="1" w:styleId="IAPODIOIOO">
    <w:name w:val="IAPODIOIOO"/>
    <w:basedOn w:val="IATableLabel"/>
    <w:rsid w:val="000E3FD7"/>
    <w:rPr>
      <w:b w:val="0"/>
      <w:sz w:val="22"/>
      <w:szCs w:val="22"/>
    </w:rPr>
  </w:style>
  <w:style w:type="character" w:customStyle="1" w:styleId="IAPODINetChar">
    <w:name w:val="IAPODINet Char"/>
    <w:link w:val="IAPODINet"/>
    <w:locked/>
    <w:rsid w:val="000E3FD7"/>
    <w:rPr>
      <w:rFonts w:ascii="Arial" w:eastAsia="SimSun" w:hAnsi="Arial"/>
      <w:b/>
      <w:color w:val="000000"/>
      <w:spacing w:val="-5"/>
      <w:sz w:val="22"/>
      <w:lang w:val="en-GB" w:eastAsia="zh-CN"/>
    </w:rPr>
  </w:style>
  <w:style w:type="character" w:customStyle="1" w:styleId="IAPODIBenChar">
    <w:name w:val="IAPODIBen Char"/>
    <w:link w:val="IAPODIBen"/>
    <w:locked/>
    <w:rsid w:val="000E3FD7"/>
    <w:rPr>
      <w:rFonts w:ascii="Arial" w:eastAsia="SimSun" w:hAnsi="Arial"/>
      <w:b/>
      <w:color w:val="000000"/>
      <w:spacing w:val="-5"/>
      <w:sz w:val="22"/>
      <w:lang w:val="en-GB" w:eastAsia="zh-CN"/>
    </w:rPr>
  </w:style>
  <w:style w:type="paragraph" w:customStyle="1" w:styleId="IAPODIMQ">
    <w:name w:val="IAPODIMQ"/>
    <w:basedOn w:val="IATableText"/>
    <w:rsid w:val="000E3FD7"/>
    <w:rPr>
      <w:color w:val="000000"/>
      <w:sz w:val="20"/>
    </w:rPr>
  </w:style>
  <w:style w:type="paragraph" w:customStyle="1" w:styleId="ebbullet0">
    <w:name w:val="ebbullet"/>
    <w:basedOn w:val="Normal"/>
    <w:rsid w:val="001F5423"/>
    <w:pPr>
      <w:spacing w:before="100" w:beforeAutospacing="1" w:after="100" w:afterAutospacing="1"/>
    </w:pPr>
  </w:style>
  <w:style w:type="paragraph" w:customStyle="1" w:styleId="IATitle">
    <w:name w:val="IATitle"/>
    <w:basedOn w:val="Normal"/>
    <w:rsid w:val="005F32E7"/>
    <w:pPr>
      <w:ind w:left="113"/>
    </w:pPr>
    <w:rPr>
      <w:rFonts w:eastAsia="SimSun" w:cs="Arial"/>
      <w:sz w:val="20"/>
    </w:rPr>
  </w:style>
  <w:style w:type="paragraph" w:customStyle="1" w:styleId="IANo">
    <w:name w:val="IANo"/>
    <w:basedOn w:val="Normal"/>
    <w:link w:val="IANoChar"/>
    <w:rsid w:val="005F32E7"/>
    <w:pPr>
      <w:ind w:left="113"/>
    </w:pPr>
    <w:rPr>
      <w:sz w:val="20"/>
      <w:szCs w:val="22"/>
    </w:rPr>
  </w:style>
  <w:style w:type="character" w:customStyle="1" w:styleId="IAHeadDeptChar">
    <w:name w:val="IAHeadDept Char"/>
    <w:link w:val="IAHeadDept"/>
    <w:locked/>
    <w:rsid w:val="008031EC"/>
    <w:rPr>
      <w:rFonts w:ascii="Arial" w:eastAsia="SimSun" w:hAnsi="Arial"/>
      <w:b/>
      <w:color w:val="000000"/>
      <w:spacing w:val="-6"/>
      <w:sz w:val="22"/>
      <w:lang w:val="en-GB" w:eastAsia="zh-CN"/>
    </w:rPr>
  </w:style>
  <w:style w:type="character" w:customStyle="1" w:styleId="IAHeadTitleChar">
    <w:name w:val="IAHeadTitle Char"/>
    <w:link w:val="IAHeadTitle"/>
    <w:locked/>
    <w:rsid w:val="008031EC"/>
    <w:rPr>
      <w:rFonts w:ascii="Arial" w:eastAsia="SimSun" w:hAnsi="Arial"/>
      <w:b/>
      <w:color w:val="000000"/>
      <w:spacing w:val="-6"/>
      <w:sz w:val="28"/>
      <w:lang w:val="en-GB" w:eastAsia="zh-CN"/>
    </w:rPr>
  </w:style>
  <w:style w:type="character" w:customStyle="1" w:styleId="IANoChar">
    <w:name w:val="IANo Char"/>
    <w:link w:val="IANo"/>
    <w:locked/>
    <w:rsid w:val="005F32E7"/>
    <w:rPr>
      <w:rFonts w:ascii="Arial" w:eastAsia="SimSun" w:hAnsi="Arial"/>
      <w:b/>
      <w:color w:val="000000"/>
      <w:spacing w:val="-6"/>
      <w:sz w:val="22"/>
      <w:lang w:val="en-GB" w:eastAsia="en-US"/>
    </w:rPr>
  </w:style>
  <w:style w:type="paragraph" w:customStyle="1" w:styleId="IALeadDept">
    <w:name w:val="IALeadDept"/>
    <w:basedOn w:val="Normal"/>
    <w:rsid w:val="005F32E7"/>
    <w:pPr>
      <w:ind w:left="113"/>
    </w:pPr>
    <w:rPr>
      <w:rFonts w:cs="Arial"/>
      <w:noProof/>
      <w:sz w:val="20"/>
    </w:rPr>
  </w:style>
  <w:style w:type="paragraph" w:customStyle="1" w:styleId="IAOtherDepts">
    <w:name w:val="IAOtherDepts"/>
    <w:basedOn w:val="IATableLabel"/>
    <w:rsid w:val="008031EC"/>
    <w:pPr>
      <w:spacing w:after="0"/>
    </w:pPr>
    <w:rPr>
      <w:b w:val="0"/>
    </w:rPr>
  </w:style>
  <w:style w:type="paragraph" w:customStyle="1" w:styleId="IADate">
    <w:name w:val="IADate"/>
    <w:basedOn w:val="IATableLabel"/>
    <w:link w:val="IADateChar"/>
    <w:rsid w:val="008031EC"/>
    <w:rPr>
      <w:b w:val="0"/>
      <w:sz w:val="22"/>
      <w:szCs w:val="22"/>
    </w:rPr>
  </w:style>
  <w:style w:type="paragraph" w:customStyle="1" w:styleId="IAStage">
    <w:name w:val="IAStage"/>
    <w:basedOn w:val="IATableLabel"/>
    <w:link w:val="IAStageChar"/>
    <w:rsid w:val="008031EC"/>
    <w:rPr>
      <w:b w:val="0"/>
      <w:sz w:val="22"/>
    </w:rPr>
  </w:style>
  <w:style w:type="paragraph" w:customStyle="1" w:styleId="IASOI">
    <w:name w:val="IASOI"/>
    <w:basedOn w:val="IATableLabel"/>
    <w:link w:val="IASOIChar"/>
    <w:rsid w:val="008031EC"/>
    <w:rPr>
      <w:b w:val="0"/>
      <w:sz w:val="22"/>
    </w:rPr>
  </w:style>
  <w:style w:type="paragraph" w:customStyle="1" w:styleId="IATOM">
    <w:name w:val="IATOM"/>
    <w:basedOn w:val="IATableLabel"/>
    <w:link w:val="IATOMChar"/>
    <w:rsid w:val="008031EC"/>
    <w:rPr>
      <w:b w:val="0"/>
      <w:sz w:val="22"/>
    </w:rPr>
  </w:style>
  <w:style w:type="paragraph" w:customStyle="1" w:styleId="IACOE">
    <w:name w:val="IACOE"/>
    <w:basedOn w:val="Normal"/>
    <w:link w:val="IACOEChar"/>
    <w:autoRedefine/>
    <w:rsid w:val="00B225B0"/>
    <w:rPr>
      <w:rFonts w:eastAsia="SimSun"/>
      <w:spacing w:val="-5"/>
      <w:sz w:val="20"/>
      <w:lang w:eastAsia="zh-CN"/>
    </w:rPr>
  </w:style>
  <w:style w:type="paragraph" w:customStyle="1" w:styleId="IARPC">
    <w:name w:val="IARPC"/>
    <w:basedOn w:val="Title"/>
    <w:link w:val="IARPCChar"/>
    <w:rsid w:val="00174C10"/>
    <w:rPr>
      <w:rFonts w:eastAsia="SimSun"/>
      <w:color w:val="000000"/>
      <w:sz w:val="24"/>
      <w:szCs w:val="24"/>
    </w:rPr>
  </w:style>
  <w:style w:type="paragraph" w:customStyle="1" w:styleId="IAIIOTNPV">
    <w:name w:val="IAIIOTNPV"/>
    <w:basedOn w:val="IATableLabel"/>
    <w:rsid w:val="008031EC"/>
    <w:pPr>
      <w:spacing w:before="0" w:after="0"/>
      <w:jc w:val="both"/>
    </w:pPr>
    <w:rPr>
      <w:b w:val="0"/>
      <w:sz w:val="22"/>
      <w:szCs w:val="22"/>
    </w:rPr>
  </w:style>
  <w:style w:type="paragraph" w:customStyle="1" w:styleId="IAIOBNPV">
    <w:name w:val="IAIOBNPV"/>
    <w:basedOn w:val="IATableLabel"/>
    <w:rsid w:val="008031EC"/>
    <w:pPr>
      <w:spacing w:before="0" w:after="0"/>
    </w:pPr>
    <w:rPr>
      <w:b w:val="0"/>
      <w:sz w:val="22"/>
      <w:szCs w:val="22"/>
    </w:rPr>
  </w:style>
  <w:style w:type="paragraph" w:customStyle="1" w:styleId="IAIONCTBPY">
    <w:name w:val="IAIONCTBPY"/>
    <w:basedOn w:val="IATableLabel"/>
    <w:rsid w:val="008031EC"/>
    <w:pPr>
      <w:spacing w:before="0" w:after="0"/>
    </w:pPr>
    <w:rPr>
      <w:b w:val="0"/>
      <w:sz w:val="22"/>
      <w:szCs w:val="22"/>
    </w:rPr>
  </w:style>
  <w:style w:type="paragraph" w:customStyle="1" w:styleId="IAIOInScopeInOut">
    <w:name w:val="IAIOInScopeInOut"/>
    <w:basedOn w:val="IATableLabel"/>
    <w:rsid w:val="008369A3"/>
    <w:pPr>
      <w:spacing w:before="0" w:after="0"/>
    </w:pPr>
    <w:rPr>
      <w:b w:val="0"/>
      <w:sz w:val="22"/>
      <w:szCs w:val="22"/>
    </w:rPr>
  </w:style>
  <w:style w:type="paragraph" w:customStyle="1" w:styleId="IAIOPrefMQ">
    <w:name w:val="IAIOPrefMQ"/>
    <w:basedOn w:val="IATableText"/>
    <w:rsid w:val="008369A3"/>
    <w:pPr>
      <w:spacing w:before="0" w:after="0"/>
    </w:pPr>
    <w:rPr>
      <w:color w:val="000000"/>
      <w:szCs w:val="22"/>
    </w:rPr>
  </w:style>
  <w:style w:type="paragraph" w:customStyle="1" w:styleId="IAIOQ1">
    <w:name w:val="IAIOQ1"/>
    <w:basedOn w:val="IATableLabel"/>
    <w:rsid w:val="008369A3"/>
  </w:style>
  <w:style w:type="paragraph" w:customStyle="1" w:styleId="IAIOA1">
    <w:name w:val="IAIOA1"/>
    <w:basedOn w:val="IATableLines"/>
    <w:rsid w:val="008369A3"/>
  </w:style>
  <w:style w:type="paragraph" w:customStyle="1" w:styleId="IAIOQ2">
    <w:name w:val="IAIOQ2"/>
    <w:basedOn w:val="IATableLabel"/>
    <w:rsid w:val="008369A3"/>
  </w:style>
  <w:style w:type="paragraph" w:customStyle="1" w:styleId="IAIOA2">
    <w:name w:val="IAIOA2"/>
    <w:basedOn w:val="IATableLines"/>
    <w:rsid w:val="008369A3"/>
  </w:style>
  <w:style w:type="paragraph" w:customStyle="1" w:styleId="IAIOQ3">
    <w:name w:val="IAIOQ3"/>
    <w:basedOn w:val="IATableLabel"/>
    <w:rsid w:val="008369A3"/>
  </w:style>
  <w:style w:type="paragraph" w:customStyle="1" w:styleId="IAIOA3">
    <w:name w:val="IAIOA3"/>
    <w:basedOn w:val="IATableLines"/>
    <w:rsid w:val="008369A3"/>
  </w:style>
  <w:style w:type="paragraph" w:customStyle="1" w:styleId="IAIOPolicyReview">
    <w:name w:val="IAIOPolicyReview"/>
    <w:basedOn w:val="IATableLabel"/>
    <w:link w:val="IAIOPolicyReviewChar"/>
    <w:rsid w:val="00F91F5A"/>
    <w:rPr>
      <w:b w:val="0"/>
      <w:sz w:val="22"/>
      <w:szCs w:val="22"/>
    </w:rPr>
  </w:style>
  <w:style w:type="character" w:customStyle="1" w:styleId="IAIOPolicyReviewChar">
    <w:name w:val="IAIOPolicyReview Char"/>
    <w:link w:val="IAIOPolicyReview"/>
    <w:locked/>
    <w:rsid w:val="00F91F5A"/>
    <w:rPr>
      <w:rFonts w:ascii="Arial" w:eastAsia="SimSun" w:hAnsi="Arial"/>
      <w:b/>
      <w:color w:val="000000"/>
      <w:spacing w:val="-5"/>
      <w:sz w:val="22"/>
      <w:lang w:val="en-GB" w:eastAsia="zh-CN"/>
    </w:rPr>
  </w:style>
  <w:style w:type="paragraph" w:customStyle="1" w:styleId="IAIOReviewMonth">
    <w:name w:val="IAIOReviewMonth"/>
    <w:basedOn w:val="IATableLabel"/>
    <w:link w:val="IAIOReviewMonthChar"/>
    <w:rsid w:val="00F91F5A"/>
    <w:rPr>
      <w:b w:val="0"/>
      <w:sz w:val="22"/>
      <w:szCs w:val="22"/>
    </w:rPr>
  </w:style>
  <w:style w:type="paragraph" w:customStyle="1" w:styleId="IAIOReviewYear">
    <w:name w:val="IAIOReviewYear"/>
    <w:basedOn w:val="IATableLabel"/>
    <w:link w:val="IAIOReviewYearChar"/>
    <w:rsid w:val="00F91F5A"/>
    <w:rPr>
      <w:b w:val="0"/>
      <w:sz w:val="22"/>
      <w:szCs w:val="22"/>
    </w:rPr>
  </w:style>
  <w:style w:type="paragraph" w:customStyle="1" w:styleId="IAIOCheckEU">
    <w:name w:val="IAIOCheckEU"/>
    <w:basedOn w:val="IATableText"/>
    <w:rsid w:val="00F91F5A"/>
    <w:pPr>
      <w:spacing w:before="0" w:after="0"/>
    </w:pPr>
    <w:rPr>
      <w:sz w:val="20"/>
    </w:rPr>
  </w:style>
  <w:style w:type="character" w:customStyle="1" w:styleId="IAIOReviewYearChar">
    <w:name w:val="IAIOReviewYear Char"/>
    <w:link w:val="IAIOReviewYear"/>
    <w:locked/>
    <w:rsid w:val="00F91F5A"/>
    <w:rPr>
      <w:rFonts w:ascii="Arial" w:eastAsia="SimSun" w:hAnsi="Arial"/>
      <w:b/>
      <w:color w:val="000000"/>
      <w:spacing w:val="-5"/>
      <w:sz w:val="22"/>
      <w:lang w:val="en-GB" w:eastAsia="zh-CN"/>
    </w:rPr>
  </w:style>
  <w:style w:type="character" w:customStyle="1" w:styleId="IAIOReviewMonthChar">
    <w:name w:val="IAIOReviewMonth Char"/>
    <w:link w:val="IAIOReviewMonth"/>
    <w:locked/>
    <w:rsid w:val="00F91F5A"/>
    <w:rPr>
      <w:rFonts w:ascii="Arial" w:eastAsia="SimSun" w:hAnsi="Arial"/>
      <w:b/>
      <w:color w:val="000000"/>
      <w:spacing w:val="-5"/>
      <w:sz w:val="22"/>
      <w:lang w:val="en-GB" w:eastAsia="zh-CN"/>
    </w:rPr>
  </w:style>
  <w:style w:type="paragraph" w:customStyle="1" w:styleId="IAIOCheckMicro">
    <w:name w:val="IAIOCheckMicro"/>
    <w:basedOn w:val="IATableLines"/>
    <w:link w:val="IAIOCheckMicroChar"/>
    <w:rsid w:val="00F91F5A"/>
    <w:rPr>
      <w:sz w:val="20"/>
    </w:rPr>
  </w:style>
  <w:style w:type="paragraph" w:customStyle="1" w:styleId="IAIOCheck20">
    <w:name w:val="IAIOCheck20"/>
    <w:basedOn w:val="IATableLines"/>
    <w:rsid w:val="00F91F5A"/>
    <w:rPr>
      <w:sz w:val="20"/>
    </w:rPr>
  </w:style>
  <w:style w:type="paragraph" w:customStyle="1" w:styleId="IAIOCheckSmall">
    <w:name w:val="IAIOCheckSmall"/>
    <w:basedOn w:val="IATableLines"/>
    <w:link w:val="IAIOCheckSmallChar"/>
    <w:rsid w:val="00F91F5A"/>
    <w:rPr>
      <w:sz w:val="20"/>
    </w:rPr>
  </w:style>
  <w:style w:type="paragraph" w:customStyle="1" w:styleId="IAIOCheckMedium">
    <w:name w:val="IAIOCheckMedium"/>
    <w:basedOn w:val="IATableLines"/>
    <w:link w:val="IAIOCheckMediumChar"/>
    <w:rsid w:val="00F91F5A"/>
    <w:rPr>
      <w:sz w:val="20"/>
    </w:rPr>
  </w:style>
  <w:style w:type="paragraph" w:customStyle="1" w:styleId="IAIOCheckLarge">
    <w:name w:val="IAIOCheckLarge"/>
    <w:basedOn w:val="IATableLines"/>
    <w:link w:val="IAIOCheckLargeChar"/>
    <w:rsid w:val="00F91F5A"/>
    <w:rPr>
      <w:sz w:val="20"/>
    </w:rPr>
  </w:style>
  <w:style w:type="paragraph" w:customStyle="1" w:styleId="IAIOCO2Traded">
    <w:name w:val="IAIOCO2Traded"/>
    <w:basedOn w:val="IATableLabel"/>
    <w:link w:val="IAIOCO2TradedChar"/>
    <w:rsid w:val="00F91F5A"/>
    <w:rPr>
      <w:b w:val="0"/>
      <w:sz w:val="22"/>
    </w:rPr>
  </w:style>
  <w:style w:type="paragraph" w:customStyle="1" w:styleId="IAIOCO2NonTraded">
    <w:name w:val="IAIOCO2NonTraded"/>
    <w:basedOn w:val="IAIOCO2Traded"/>
    <w:rsid w:val="008155E3"/>
    <w:rPr>
      <w:sz w:val="20"/>
    </w:rPr>
  </w:style>
  <w:style w:type="paragraph" w:customStyle="1" w:styleId="IAIOtextSign">
    <w:name w:val="IAIOtextSign"/>
    <w:basedOn w:val="Normal"/>
    <w:rsid w:val="00F91F5A"/>
    <w:pPr>
      <w:jc w:val="center"/>
    </w:pPr>
  </w:style>
  <w:style w:type="paragraph" w:customStyle="1" w:styleId="IAIOSigDate">
    <w:name w:val="IAIOSigDate"/>
    <w:basedOn w:val="Normal"/>
    <w:rsid w:val="00F91F5A"/>
    <w:pPr>
      <w:jc w:val="center"/>
    </w:pPr>
    <w:rPr>
      <w:sz w:val="22"/>
      <w:szCs w:val="22"/>
    </w:rPr>
  </w:style>
  <w:style w:type="paragraph" w:customStyle="1" w:styleId="IAPODescription">
    <w:name w:val="IAPODescription"/>
    <w:basedOn w:val="IAHeadLabel"/>
    <w:link w:val="IAPODescriptionCharChar"/>
    <w:rsid w:val="00D00846"/>
    <w:pPr>
      <w:spacing w:before="50"/>
    </w:pPr>
    <w:rPr>
      <w:b w:val="0"/>
    </w:rPr>
  </w:style>
  <w:style w:type="character" w:customStyle="1" w:styleId="IAPODescriptionCharChar">
    <w:name w:val="IAPODescription Char Char"/>
    <w:basedOn w:val="IAHeadLabelChar"/>
    <w:link w:val="IAPODescription"/>
    <w:locked/>
    <w:rsid w:val="00D00846"/>
    <w:rPr>
      <w:rFonts w:ascii="Arial" w:eastAsia="SimSun" w:hAnsi="Arial" w:cs="Times New Roman"/>
      <w:b/>
      <w:color w:val="000000"/>
      <w:spacing w:val="-5"/>
      <w:lang w:val="en-GB" w:eastAsia="zh-CN" w:bidi="ar-SA"/>
    </w:rPr>
  </w:style>
  <w:style w:type="character" w:customStyle="1" w:styleId="IADateChar">
    <w:name w:val="IADate Char"/>
    <w:link w:val="IADate"/>
    <w:locked/>
    <w:rsid w:val="00174C10"/>
    <w:rPr>
      <w:rFonts w:ascii="Arial" w:eastAsia="SimSun" w:hAnsi="Arial"/>
      <w:b/>
      <w:color w:val="000000"/>
      <w:spacing w:val="-5"/>
      <w:sz w:val="22"/>
      <w:lang w:val="en-GB" w:eastAsia="zh-CN"/>
    </w:rPr>
  </w:style>
  <w:style w:type="character" w:customStyle="1" w:styleId="IATableLinesChar">
    <w:name w:val="IATableLines Char"/>
    <w:basedOn w:val="IATableTextChar"/>
    <w:link w:val="IATableLines"/>
    <w:locked/>
    <w:rsid w:val="00174C10"/>
    <w:rPr>
      <w:rFonts w:ascii="Arial" w:eastAsia="SimSun" w:hAnsi="Arial" w:cs="Times New Roman"/>
      <w:b/>
      <w:color w:val="000000"/>
      <w:spacing w:val="-5"/>
      <w:sz w:val="22"/>
      <w:lang w:val="en-GB" w:eastAsia="zh-CN" w:bidi="ar-SA"/>
    </w:rPr>
  </w:style>
  <w:style w:type="character" w:customStyle="1" w:styleId="IACOEChar">
    <w:name w:val="IACOE Char"/>
    <w:link w:val="IACOE"/>
    <w:locked/>
    <w:rsid w:val="00B225B0"/>
    <w:rPr>
      <w:rFonts w:ascii="Arial" w:eastAsia="SimSun" w:hAnsi="Arial"/>
      <w:b/>
      <w:color w:val="000000"/>
      <w:spacing w:val="-5"/>
      <w:sz w:val="24"/>
      <w:lang w:val="en-GB" w:eastAsia="zh-CN"/>
    </w:rPr>
  </w:style>
  <w:style w:type="character" w:customStyle="1" w:styleId="IAStageChar">
    <w:name w:val="IAStage Char"/>
    <w:link w:val="IAStage"/>
    <w:locked/>
    <w:rsid w:val="00174C10"/>
    <w:rPr>
      <w:rFonts w:ascii="Arial" w:eastAsia="SimSun" w:hAnsi="Arial"/>
      <w:b/>
      <w:color w:val="000000"/>
      <w:spacing w:val="-5"/>
      <w:sz w:val="22"/>
      <w:lang w:val="en-GB" w:eastAsia="zh-CN"/>
    </w:rPr>
  </w:style>
  <w:style w:type="character" w:customStyle="1" w:styleId="IASOIChar">
    <w:name w:val="IASOI Char"/>
    <w:link w:val="IASOI"/>
    <w:locked/>
    <w:rsid w:val="00174C10"/>
    <w:rPr>
      <w:rFonts w:ascii="Arial" w:eastAsia="SimSun" w:hAnsi="Arial"/>
      <w:b/>
      <w:color w:val="000000"/>
      <w:spacing w:val="-5"/>
      <w:sz w:val="22"/>
      <w:lang w:val="en-GB" w:eastAsia="zh-CN"/>
    </w:rPr>
  </w:style>
  <w:style w:type="character" w:customStyle="1" w:styleId="IATOMChar">
    <w:name w:val="IATOM Char"/>
    <w:link w:val="IATOM"/>
    <w:locked/>
    <w:rsid w:val="00174C10"/>
    <w:rPr>
      <w:rFonts w:ascii="Arial" w:eastAsia="SimSun" w:hAnsi="Arial"/>
      <w:b/>
      <w:color w:val="000000"/>
      <w:spacing w:val="-5"/>
      <w:sz w:val="22"/>
      <w:lang w:val="en-GB" w:eastAsia="zh-CN"/>
    </w:rPr>
  </w:style>
  <w:style w:type="character" w:customStyle="1" w:styleId="IARPCChar">
    <w:name w:val="IARPC Char"/>
    <w:link w:val="IARPC"/>
    <w:locked/>
    <w:rsid w:val="00174C10"/>
    <w:rPr>
      <w:rFonts w:ascii="Arial" w:eastAsia="SimSun" w:hAnsi="Arial"/>
      <w:color w:val="000000"/>
      <w:kern w:val="28"/>
      <w:sz w:val="24"/>
      <w:lang w:val="en-GB" w:eastAsia="en-US"/>
    </w:rPr>
  </w:style>
  <w:style w:type="character" w:customStyle="1" w:styleId="IAIOCheckMicroChar">
    <w:name w:val="IAIOCheckMicro Char"/>
    <w:basedOn w:val="IATableLinesChar"/>
    <w:link w:val="IAIOCheckMicro"/>
    <w:locked/>
    <w:rsid w:val="00D478C9"/>
    <w:rPr>
      <w:rFonts w:ascii="Arial" w:eastAsia="SimSun" w:hAnsi="Arial" w:cs="Times New Roman"/>
      <w:b/>
      <w:color w:val="000000"/>
      <w:spacing w:val="-5"/>
      <w:sz w:val="22"/>
      <w:lang w:val="en-GB" w:eastAsia="zh-CN" w:bidi="ar-SA"/>
    </w:rPr>
  </w:style>
  <w:style w:type="character" w:customStyle="1" w:styleId="IAIOCheckSmallChar">
    <w:name w:val="IAIOCheckSmall Char"/>
    <w:basedOn w:val="IATableLinesChar"/>
    <w:link w:val="IAIOCheckSmall"/>
    <w:locked/>
    <w:rsid w:val="00D478C9"/>
    <w:rPr>
      <w:rFonts w:ascii="Arial" w:eastAsia="SimSun" w:hAnsi="Arial" w:cs="Times New Roman"/>
      <w:b/>
      <w:color w:val="000000"/>
      <w:spacing w:val="-5"/>
      <w:sz w:val="22"/>
      <w:lang w:val="en-GB" w:eastAsia="zh-CN" w:bidi="ar-SA"/>
    </w:rPr>
  </w:style>
  <w:style w:type="character" w:customStyle="1" w:styleId="IAIOCheckMediumChar">
    <w:name w:val="IAIOCheckMedium Char"/>
    <w:basedOn w:val="IATableLinesChar"/>
    <w:link w:val="IAIOCheckMedium"/>
    <w:locked/>
    <w:rsid w:val="00D478C9"/>
    <w:rPr>
      <w:rFonts w:ascii="Arial" w:eastAsia="SimSun" w:hAnsi="Arial" w:cs="Times New Roman"/>
      <w:b/>
      <w:color w:val="000000"/>
      <w:spacing w:val="-5"/>
      <w:sz w:val="22"/>
      <w:lang w:val="en-GB" w:eastAsia="zh-CN" w:bidi="ar-SA"/>
    </w:rPr>
  </w:style>
  <w:style w:type="character" w:customStyle="1" w:styleId="IAIOCheckLargeChar">
    <w:name w:val="IAIOCheckLarge Char"/>
    <w:basedOn w:val="IATableLinesChar"/>
    <w:link w:val="IAIOCheckLarge"/>
    <w:locked/>
    <w:rsid w:val="00D478C9"/>
    <w:rPr>
      <w:rFonts w:ascii="Arial" w:eastAsia="SimSun" w:hAnsi="Arial" w:cs="Times New Roman"/>
      <w:b/>
      <w:color w:val="000000"/>
      <w:spacing w:val="-5"/>
      <w:sz w:val="22"/>
      <w:lang w:val="en-GB" w:eastAsia="zh-CN" w:bidi="ar-SA"/>
    </w:rPr>
  </w:style>
  <w:style w:type="character" w:customStyle="1" w:styleId="IAIOCO2TradedChar">
    <w:name w:val="IAIOCO2Traded Char"/>
    <w:link w:val="IAIOCO2Traded"/>
    <w:locked/>
    <w:rsid w:val="00D478C9"/>
    <w:rPr>
      <w:rFonts w:ascii="Arial" w:eastAsia="SimSun" w:hAnsi="Arial"/>
      <w:b/>
      <w:color w:val="000000"/>
      <w:spacing w:val="-5"/>
      <w:sz w:val="22"/>
      <w:lang w:val="en-GB" w:eastAsia="zh-CN"/>
    </w:rPr>
  </w:style>
  <w:style w:type="character" w:customStyle="1" w:styleId="IALabel">
    <w:name w:val="IALabel"/>
    <w:rsid w:val="009F6692"/>
    <w:rPr>
      <w:color w:val="000000"/>
      <w:sz w:val="20"/>
    </w:rPr>
  </w:style>
  <w:style w:type="character" w:styleId="CommentReference">
    <w:name w:val="annotation reference"/>
    <w:basedOn w:val="DefaultParagraphFont"/>
    <w:uiPriority w:val="99"/>
    <w:unhideWhenUsed/>
    <w:rsid w:val="00CA40EE"/>
    <w:rPr>
      <w:sz w:val="16"/>
      <w:szCs w:val="16"/>
    </w:rPr>
  </w:style>
  <w:style w:type="paragraph" w:styleId="CommentText">
    <w:name w:val="annotation text"/>
    <w:basedOn w:val="Normal"/>
    <w:link w:val="CommentTextChar"/>
    <w:uiPriority w:val="99"/>
    <w:unhideWhenUsed/>
    <w:rsid w:val="00CA40EE"/>
    <w:rPr>
      <w:sz w:val="20"/>
    </w:rPr>
  </w:style>
  <w:style w:type="character" w:customStyle="1" w:styleId="CommentTextChar">
    <w:name w:val="Comment Text Char"/>
    <w:basedOn w:val="DefaultParagraphFont"/>
    <w:link w:val="CommentText"/>
    <w:uiPriority w:val="99"/>
    <w:rsid w:val="00CA40EE"/>
    <w:rPr>
      <w:rFonts w:ascii="Arial" w:hAnsi="Arial"/>
      <w:lang w:eastAsia="en-US"/>
    </w:rPr>
  </w:style>
  <w:style w:type="character" w:styleId="PlaceholderText">
    <w:name w:val="Placeholder Text"/>
    <w:basedOn w:val="DefaultParagraphFont"/>
    <w:uiPriority w:val="99"/>
    <w:semiHidden/>
    <w:rsid w:val="00CA40EE"/>
    <w:rPr>
      <w:color w:val="80808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TOC style,l"/>
    <w:basedOn w:val="Normal"/>
    <w:link w:val="ListParagraphChar"/>
    <w:uiPriority w:val="34"/>
    <w:qFormat/>
    <w:rsid w:val="002125B7"/>
    <w:pPr>
      <w:tabs>
        <w:tab w:val="left" w:pos="567"/>
      </w:tabs>
      <w:spacing w:after="120"/>
      <w:ind w:left="567" w:hanging="567"/>
    </w:pPr>
    <w:rPr>
      <w:rFonts w:ascii="Calibri" w:hAnsi="Calibri"/>
      <w:sz w:val="22"/>
    </w:rPr>
  </w:style>
  <w:style w:type="paragraph" w:styleId="NoSpacing">
    <w:name w:val="No Spacing"/>
    <w:uiPriority w:val="1"/>
    <w:qFormat/>
    <w:rsid w:val="002125B7"/>
    <w:rPr>
      <w:rFonts w:ascii="Arial" w:hAnsi="Arial"/>
      <w:sz w:val="22"/>
      <w:lang w:eastAsia="en-US"/>
    </w:rPr>
  </w:style>
  <w:style w:type="paragraph" w:customStyle="1" w:styleId="Style1-BodyText">
    <w:name w:val="Style1- Body Text"/>
    <w:basedOn w:val="Normal"/>
    <w:link w:val="Style1-BodyTextChar"/>
    <w:qFormat/>
    <w:rsid w:val="002125B7"/>
    <w:pPr>
      <w:spacing w:after="120"/>
      <w:jc w:val="both"/>
    </w:pPr>
    <w:rPr>
      <w:rFonts w:cs="Arial"/>
      <w:sz w:val="22"/>
    </w:rPr>
  </w:style>
  <w:style w:type="character" w:customStyle="1" w:styleId="Style1-BodyTextChar">
    <w:name w:val="Style1- Body Text Char"/>
    <w:basedOn w:val="DefaultParagraphFont"/>
    <w:link w:val="Style1-BodyText"/>
    <w:rsid w:val="002125B7"/>
    <w:rPr>
      <w:rFonts w:ascii="Arial" w:hAnsi="Arial" w:cs="Arial"/>
      <w:sz w:val="22"/>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2125B7"/>
    <w:rPr>
      <w:rFonts w:ascii="Calibri" w:hAnsi="Calibri"/>
      <w:sz w:val="22"/>
      <w:lang w:eastAsia="en-US"/>
    </w:rPr>
  </w:style>
  <w:style w:type="character" w:styleId="Strong">
    <w:name w:val="Strong"/>
    <w:basedOn w:val="DefaultParagraphFont"/>
    <w:uiPriority w:val="22"/>
    <w:qFormat/>
    <w:rsid w:val="002125B7"/>
    <w:rPr>
      <w:b/>
      <w:bCs/>
    </w:rPr>
  </w:style>
  <w:style w:type="paragraph" w:styleId="CommentSubject">
    <w:name w:val="annotation subject"/>
    <w:basedOn w:val="CommentText"/>
    <w:next w:val="CommentText"/>
    <w:link w:val="CommentSubjectChar"/>
    <w:rsid w:val="00C133FC"/>
    <w:rPr>
      <w:b/>
      <w:bCs/>
    </w:rPr>
  </w:style>
  <w:style w:type="character" w:customStyle="1" w:styleId="CommentSubjectChar">
    <w:name w:val="Comment Subject Char"/>
    <w:basedOn w:val="CommentTextChar"/>
    <w:link w:val="CommentSubject"/>
    <w:rsid w:val="00C133FC"/>
    <w:rPr>
      <w:rFonts w:ascii="Arial" w:hAnsi="Arial"/>
      <w:b/>
      <w:bCs/>
      <w:sz w:val="20"/>
      <w:lang w:eastAsia="en-US"/>
    </w:rPr>
  </w:style>
  <w:style w:type="paragraph" w:customStyle="1" w:styleId="BVIfnrCarCarCarCarChar">
    <w:name w:val="BVI fnr Car Car Car Car Char"/>
    <w:basedOn w:val="Normal"/>
    <w:link w:val="FootnoteReference"/>
    <w:uiPriority w:val="99"/>
    <w:rsid w:val="00096BFA"/>
    <w:pPr>
      <w:spacing w:after="160" w:line="240" w:lineRule="exact"/>
    </w:pPr>
    <w:rPr>
      <w:sz w:val="22"/>
      <w:vertAlign w:val="superscript"/>
    </w:rPr>
  </w:style>
  <w:style w:type="paragraph" w:styleId="NormalWeb">
    <w:name w:val="Normal (Web)"/>
    <w:basedOn w:val="Normal"/>
    <w:uiPriority w:val="99"/>
    <w:unhideWhenUsed/>
    <w:rsid w:val="00074463"/>
    <w:pPr>
      <w:spacing w:before="100" w:beforeAutospacing="1" w:after="100" w:afterAutospacing="1"/>
    </w:pPr>
    <w:rPr>
      <w:szCs w:val="24"/>
      <w:lang w:val="en-US" w:eastAsia="en-US"/>
    </w:rPr>
  </w:style>
  <w:style w:type="paragraph" w:styleId="Revision">
    <w:name w:val="Revision"/>
    <w:hidden/>
    <w:uiPriority w:val="99"/>
    <w:semiHidden/>
    <w:rsid w:val="00AC7723"/>
    <w:rPr>
      <w:lang w:val="sq-AL"/>
    </w:rPr>
  </w:style>
  <w:style w:type="character" w:styleId="Emphasis">
    <w:name w:val="Emphasis"/>
    <w:basedOn w:val="DefaultParagraphFont"/>
    <w:uiPriority w:val="20"/>
    <w:qFormat/>
    <w:rsid w:val="00BB018C"/>
    <w:rPr>
      <w:i/>
      <w:iCs/>
    </w:rPr>
  </w:style>
  <w:style w:type="paragraph" w:customStyle="1" w:styleId="font-claude-response-body">
    <w:name w:val="font-claude-response-body"/>
    <w:basedOn w:val="Normal"/>
    <w:rsid w:val="00C65E81"/>
    <w:pPr>
      <w:spacing w:before="100" w:beforeAutospacing="1" w:after="100" w:afterAutospacing="1"/>
    </w:pPr>
    <w:rPr>
      <w:szCs w:val="24"/>
      <w:lang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50412">
      <w:bodyDiv w:val="1"/>
      <w:marLeft w:val="0"/>
      <w:marRight w:val="0"/>
      <w:marTop w:val="0"/>
      <w:marBottom w:val="0"/>
      <w:divBdr>
        <w:top w:val="none" w:sz="0" w:space="0" w:color="auto"/>
        <w:left w:val="none" w:sz="0" w:space="0" w:color="auto"/>
        <w:bottom w:val="none" w:sz="0" w:space="0" w:color="auto"/>
        <w:right w:val="none" w:sz="0" w:space="0" w:color="auto"/>
      </w:divBdr>
    </w:div>
    <w:div w:id="179391979">
      <w:bodyDiv w:val="1"/>
      <w:marLeft w:val="0"/>
      <w:marRight w:val="0"/>
      <w:marTop w:val="0"/>
      <w:marBottom w:val="0"/>
      <w:divBdr>
        <w:top w:val="none" w:sz="0" w:space="0" w:color="auto"/>
        <w:left w:val="none" w:sz="0" w:space="0" w:color="auto"/>
        <w:bottom w:val="none" w:sz="0" w:space="0" w:color="auto"/>
        <w:right w:val="none" w:sz="0" w:space="0" w:color="auto"/>
      </w:divBdr>
    </w:div>
    <w:div w:id="185826766">
      <w:bodyDiv w:val="1"/>
      <w:marLeft w:val="0"/>
      <w:marRight w:val="0"/>
      <w:marTop w:val="0"/>
      <w:marBottom w:val="0"/>
      <w:divBdr>
        <w:top w:val="none" w:sz="0" w:space="0" w:color="auto"/>
        <w:left w:val="none" w:sz="0" w:space="0" w:color="auto"/>
        <w:bottom w:val="none" w:sz="0" w:space="0" w:color="auto"/>
        <w:right w:val="none" w:sz="0" w:space="0" w:color="auto"/>
      </w:divBdr>
    </w:div>
    <w:div w:id="226500588">
      <w:bodyDiv w:val="1"/>
      <w:marLeft w:val="0"/>
      <w:marRight w:val="0"/>
      <w:marTop w:val="0"/>
      <w:marBottom w:val="0"/>
      <w:divBdr>
        <w:top w:val="none" w:sz="0" w:space="0" w:color="auto"/>
        <w:left w:val="none" w:sz="0" w:space="0" w:color="auto"/>
        <w:bottom w:val="none" w:sz="0" w:space="0" w:color="auto"/>
        <w:right w:val="none" w:sz="0" w:space="0" w:color="auto"/>
      </w:divBdr>
    </w:div>
    <w:div w:id="232786982">
      <w:bodyDiv w:val="1"/>
      <w:marLeft w:val="0"/>
      <w:marRight w:val="0"/>
      <w:marTop w:val="0"/>
      <w:marBottom w:val="0"/>
      <w:divBdr>
        <w:top w:val="none" w:sz="0" w:space="0" w:color="auto"/>
        <w:left w:val="none" w:sz="0" w:space="0" w:color="auto"/>
        <w:bottom w:val="none" w:sz="0" w:space="0" w:color="auto"/>
        <w:right w:val="none" w:sz="0" w:space="0" w:color="auto"/>
      </w:divBdr>
    </w:div>
    <w:div w:id="329481458">
      <w:bodyDiv w:val="1"/>
      <w:marLeft w:val="0"/>
      <w:marRight w:val="0"/>
      <w:marTop w:val="0"/>
      <w:marBottom w:val="0"/>
      <w:divBdr>
        <w:top w:val="none" w:sz="0" w:space="0" w:color="auto"/>
        <w:left w:val="none" w:sz="0" w:space="0" w:color="auto"/>
        <w:bottom w:val="none" w:sz="0" w:space="0" w:color="auto"/>
        <w:right w:val="none" w:sz="0" w:space="0" w:color="auto"/>
      </w:divBdr>
    </w:div>
    <w:div w:id="343627201">
      <w:bodyDiv w:val="1"/>
      <w:marLeft w:val="0"/>
      <w:marRight w:val="0"/>
      <w:marTop w:val="0"/>
      <w:marBottom w:val="0"/>
      <w:divBdr>
        <w:top w:val="none" w:sz="0" w:space="0" w:color="auto"/>
        <w:left w:val="none" w:sz="0" w:space="0" w:color="auto"/>
        <w:bottom w:val="none" w:sz="0" w:space="0" w:color="auto"/>
        <w:right w:val="none" w:sz="0" w:space="0" w:color="auto"/>
      </w:divBdr>
    </w:div>
    <w:div w:id="362439360">
      <w:bodyDiv w:val="1"/>
      <w:marLeft w:val="0"/>
      <w:marRight w:val="0"/>
      <w:marTop w:val="0"/>
      <w:marBottom w:val="0"/>
      <w:divBdr>
        <w:top w:val="none" w:sz="0" w:space="0" w:color="auto"/>
        <w:left w:val="none" w:sz="0" w:space="0" w:color="auto"/>
        <w:bottom w:val="none" w:sz="0" w:space="0" w:color="auto"/>
        <w:right w:val="none" w:sz="0" w:space="0" w:color="auto"/>
      </w:divBdr>
    </w:div>
    <w:div w:id="394164094">
      <w:bodyDiv w:val="1"/>
      <w:marLeft w:val="0"/>
      <w:marRight w:val="0"/>
      <w:marTop w:val="0"/>
      <w:marBottom w:val="0"/>
      <w:divBdr>
        <w:top w:val="none" w:sz="0" w:space="0" w:color="auto"/>
        <w:left w:val="none" w:sz="0" w:space="0" w:color="auto"/>
        <w:bottom w:val="none" w:sz="0" w:space="0" w:color="auto"/>
        <w:right w:val="none" w:sz="0" w:space="0" w:color="auto"/>
      </w:divBdr>
    </w:div>
    <w:div w:id="421296506">
      <w:bodyDiv w:val="1"/>
      <w:marLeft w:val="0"/>
      <w:marRight w:val="0"/>
      <w:marTop w:val="0"/>
      <w:marBottom w:val="0"/>
      <w:divBdr>
        <w:top w:val="none" w:sz="0" w:space="0" w:color="auto"/>
        <w:left w:val="none" w:sz="0" w:space="0" w:color="auto"/>
        <w:bottom w:val="none" w:sz="0" w:space="0" w:color="auto"/>
        <w:right w:val="none" w:sz="0" w:space="0" w:color="auto"/>
      </w:divBdr>
    </w:div>
    <w:div w:id="472869621">
      <w:bodyDiv w:val="1"/>
      <w:marLeft w:val="0"/>
      <w:marRight w:val="0"/>
      <w:marTop w:val="0"/>
      <w:marBottom w:val="0"/>
      <w:divBdr>
        <w:top w:val="none" w:sz="0" w:space="0" w:color="auto"/>
        <w:left w:val="none" w:sz="0" w:space="0" w:color="auto"/>
        <w:bottom w:val="none" w:sz="0" w:space="0" w:color="auto"/>
        <w:right w:val="none" w:sz="0" w:space="0" w:color="auto"/>
      </w:divBdr>
    </w:div>
    <w:div w:id="500004781">
      <w:bodyDiv w:val="1"/>
      <w:marLeft w:val="0"/>
      <w:marRight w:val="0"/>
      <w:marTop w:val="0"/>
      <w:marBottom w:val="0"/>
      <w:divBdr>
        <w:top w:val="none" w:sz="0" w:space="0" w:color="auto"/>
        <w:left w:val="none" w:sz="0" w:space="0" w:color="auto"/>
        <w:bottom w:val="none" w:sz="0" w:space="0" w:color="auto"/>
        <w:right w:val="none" w:sz="0" w:space="0" w:color="auto"/>
      </w:divBdr>
    </w:div>
    <w:div w:id="509181694">
      <w:bodyDiv w:val="1"/>
      <w:marLeft w:val="0"/>
      <w:marRight w:val="0"/>
      <w:marTop w:val="0"/>
      <w:marBottom w:val="0"/>
      <w:divBdr>
        <w:top w:val="none" w:sz="0" w:space="0" w:color="auto"/>
        <w:left w:val="none" w:sz="0" w:space="0" w:color="auto"/>
        <w:bottom w:val="none" w:sz="0" w:space="0" w:color="auto"/>
        <w:right w:val="none" w:sz="0" w:space="0" w:color="auto"/>
      </w:divBdr>
    </w:div>
    <w:div w:id="546452047">
      <w:bodyDiv w:val="1"/>
      <w:marLeft w:val="0"/>
      <w:marRight w:val="0"/>
      <w:marTop w:val="0"/>
      <w:marBottom w:val="0"/>
      <w:divBdr>
        <w:top w:val="none" w:sz="0" w:space="0" w:color="auto"/>
        <w:left w:val="none" w:sz="0" w:space="0" w:color="auto"/>
        <w:bottom w:val="none" w:sz="0" w:space="0" w:color="auto"/>
        <w:right w:val="none" w:sz="0" w:space="0" w:color="auto"/>
      </w:divBdr>
    </w:div>
    <w:div w:id="647169866">
      <w:bodyDiv w:val="1"/>
      <w:marLeft w:val="0"/>
      <w:marRight w:val="0"/>
      <w:marTop w:val="0"/>
      <w:marBottom w:val="0"/>
      <w:divBdr>
        <w:top w:val="none" w:sz="0" w:space="0" w:color="auto"/>
        <w:left w:val="none" w:sz="0" w:space="0" w:color="auto"/>
        <w:bottom w:val="none" w:sz="0" w:space="0" w:color="auto"/>
        <w:right w:val="none" w:sz="0" w:space="0" w:color="auto"/>
      </w:divBdr>
    </w:div>
    <w:div w:id="702513063">
      <w:bodyDiv w:val="1"/>
      <w:marLeft w:val="0"/>
      <w:marRight w:val="0"/>
      <w:marTop w:val="0"/>
      <w:marBottom w:val="0"/>
      <w:divBdr>
        <w:top w:val="none" w:sz="0" w:space="0" w:color="auto"/>
        <w:left w:val="none" w:sz="0" w:space="0" w:color="auto"/>
        <w:bottom w:val="none" w:sz="0" w:space="0" w:color="auto"/>
        <w:right w:val="none" w:sz="0" w:space="0" w:color="auto"/>
      </w:divBdr>
    </w:div>
    <w:div w:id="778181299">
      <w:bodyDiv w:val="1"/>
      <w:marLeft w:val="0"/>
      <w:marRight w:val="0"/>
      <w:marTop w:val="0"/>
      <w:marBottom w:val="0"/>
      <w:divBdr>
        <w:top w:val="none" w:sz="0" w:space="0" w:color="auto"/>
        <w:left w:val="none" w:sz="0" w:space="0" w:color="auto"/>
        <w:bottom w:val="none" w:sz="0" w:space="0" w:color="auto"/>
        <w:right w:val="none" w:sz="0" w:space="0" w:color="auto"/>
      </w:divBdr>
    </w:div>
    <w:div w:id="814837839">
      <w:bodyDiv w:val="1"/>
      <w:marLeft w:val="0"/>
      <w:marRight w:val="0"/>
      <w:marTop w:val="0"/>
      <w:marBottom w:val="0"/>
      <w:divBdr>
        <w:top w:val="none" w:sz="0" w:space="0" w:color="auto"/>
        <w:left w:val="none" w:sz="0" w:space="0" w:color="auto"/>
        <w:bottom w:val="none" w:sz="0" w:space="0" w:color="auto"/>
        <w:right w:val="none" w:sz="0" w:space="0" w:color="auto"/>
      </w:divBdr>
    </w:div>
    <w:div w:id="819813282">
      <w:bodyDiv w:val="1"/>
      <w:marLeft w:val="0"/>
      <w:marRight w:val="0"/>
      <w:marTop w:val="0"/>
      <w:marBottom w:val="0"/>
      <w:divBdr>
        <w:top w:val="none" w:sz="0" w:space="0" w:color="auto"/>
        <w:left w:val="none" w:sz="0" w:space="0" w:color="auto"/>
        <w:bottom w:val="none" w:sz="0" w:space="0" w:color="auto"/>
        <w:right w:val="none" w:sz="0" w:space="0" w:color="auto"/>
      </w:divBdr>
    </w:div>
    <w:div w:id="900409568">
      <w:bodyDiv w:val="1"/>
      <w:marLeft w:val="0"/>
      <w:marRight w:val="0"/>
      <w:marTop w:val="0"/>
      <w:marBottom w:val="0"/>
      <w:divBdr>
        <w:top w:val="none" w:sz="0" w:space="0" w:color="auto"/>
        <w:left w:val="none" w:sz="0" w:space="0" w:color="auto"/>
        <w:bottom w:val="none" w:sz="0" w:space="0" w:color="auto"/>
        <w:right w:val="none" w:sz="0" w:space="0" w:color="auto"/>
      </w:divBdr>
    </w:div>
    <w:div w:id="921334673">
      <w:bodyDiv w:val="1"/>
      <w:marLeft w:val="0"/>
      <w:marRight w:val="0"/>
      <w:marTop w:val="0"/>
      <w:marBottom w:val="0"/>
      <w:divBdr>
        <w:top w:val="none" w:sz="0" w:space="0" w:color="auto"/>
        <w:left w:val="none" w:sz="0" w:space="0" w:color="auto"/>
        <w:bottom w:val="none" w:sz="0" w:space="0" w:color="auto"/>
        <w:right w:val="none" w:sz="0" w:space="0" w:color="auto"/>
      </w:divBdr>
    </w:div>
    <w:div w:id="942031296">
      <w:bodyDiv w:val="1"/>
      <w:marLeft w:val="0"/>
      <w:marRight w:val="0"/>
      <w:marTop w:val="0"/>
      <w:marBottom w:val="0"/>
      <w:divBdr>
        <w:top w:val="none" w:sz="0" w:space="0" w:color="auto"/>
        <w:left w:val="none" w:sz="0" w:space="0" w:color="auto"/>
        <w:bottom w:val="none" w:sz="0" w:space="0" w:color="auto"/>
        <w:right w:val="none" w:sz="0" w:space="0" w:color="auto"/>
      </w:divBdr>
    </w:div>
    <w:div w:id="952982446">
      <w:bodyDiv w:val="1"/>
      <w:marLeft w:val="0"/>
      <w:marRight w:val="0"/>
      <w:marTop w:val="0"/>
      <w:marBottom w:val="0"/>
      <w:divBdr>
        <w:top w:val="none" w:sz="0" w:space="0" w:color="auto"/>
        <w:left w:val="none" w:sz="0" w:space="0" w:color="auto"/>
        <w:bottom w:val="none" w:sz="0" w:space="0" w:color="auto"/>
        <w:right w:val="none" w:sz="0" w:space="0" w:color="auto"/>
      </w:divBdr>
    </w:div>
    <w:div w:id="955260653">
      <w:bodyDiv w:val="1"/>
      <w:marLeft w:val="0"/>
      <w:marRight w:val="0"/>
      <w:marTop w:val="0"/>
      <w:marBottom w:val="0"/>
      <w:divBdr>
        <w:top w:val="none" w:sz="0" w:space="0" w:color="auto"/>
        <w:left w:val="none" w:sz="0" w:space="0" w:color="auto"/>
        <w:bottom w:val="none" w:sz="0" w:space="0" w:color="auto"/>
        <w:right w:val="none" w:sz="0" w:space="0" w:color="auto"/>
      </w:divBdr>
    </w:div>
    <w:div w:id="1000424685">
      <w:bodyDiv w:val="1"/>
      <w:marLeft w:val="0"/>
      <w:marRight w:val="0"/>
      <w:marTop w:val="0"/>
      <w:marBottom w:val="0"/>
      <w:divBdr>
        <w:top w:val="none" w:sz="0" w:space="0" w:color="auto"/>
        <w:left w:val="none" w:sz="0" w:space="0" w:color="auto"/>
        <w:bottom w:val="none" w:sz="0" w:space="0" w:color="auto"/>
        <w:right w:val="none" w:sz="0" w:space="0" w:color="auto"/>
      </w:divBdr>
    </w:div>
    <w:div w:id="1013147654">
      <w:bodyDiv w:val="1"/>
      <w:marLeft w:val="0"/>
      <w:marRight w:val="0"/>
      <w:marTop w:val="0"/>
      <w:marBottom w:val="0"/>
      <w:divBdr>
        <w:top w:val="none" w:sz="0" w:space="0" w:color="auto"/>
        <w:left w:val="none" w:sz="0" w:space="0" w:color="auto"/>
        <w:bottom w:val="none" w:sz="0" w:space="0" w:color="auto"/>
        <w:right w:val="none" w:sz="0" w:space="0" w:color="auto"/>
      </w:divBdr>
    </w:div>
    <w:div w:id="1053507900">
      <w:bodyDiv w:val="1"/>
      <w:marLeft w:val="0"/>
      <w:marRight w:val="0"/>
      <w:marTop w:val="0"/>
      <w:marBottom w:val="0"/>
      <w:divBdr>
        <w:top w:val="none" w:sz="0" w:space="0" w:color="auto"/>
        <w:left w:val="none" w:sz="0" w:space="0" w:color="auto"/>
        <w:bottom w:val="none" w:sz="0" w:space="0" w:color="auto"/>
        <w:right w:val="none" w:sz="0" w:space="0" w:color="auto"/>
      </w:divBdr>
    </w:div>
    <w:div w:id="1090538893">
      <w:bodyDiv w:val="1"/>
      <w:marLeft w:val="0"/>
      <w:marRight w:val="0"/>
      <w:marTop w:val="0"/>
      <w:marBottom w:val="0"/>
      <w:divBdr>
        <w:top w:val="none" w:sz="0" w:space="0" w:color="auto"/>
        <w:left w:val="none" w:sz="0" w:space="0" w:color="auto"/>
        <w:bottom w:val="none" w:sz="0" w:space="0" w:color="auto"/>
        <w:right w:val="none" w:sz="0" w:space="0" w:color="auto"/>
      </w:divBdr>
    </w:div>
    <w:div w:id="1113667013">
      <w:bodyDiv w:val="1"/>
      <w:marLeft w:val="0"/>
      <w:marRight w:val="0"/>
      <w:marTop w:val="0"/>
      <w:marBottom w:val="0"/>
      <w:divBdr>
        <w:top w:val="none" w:sz="0" w:space="0" w:color="auto"/>
        <w:left w:val="none" w:sz="0" w:space="0" w:color="auto"/>
        <w:bottom w:val="none" w:sz="0" w:space="0" w:color="auto"/>
        <w:right w:val="none" w:sz="0" w:space="0" w:color="auto"/>
      </w:divBdr>
    </w:div>
    <w:div w:id="1145318351">
      <w:bodyDiv w:val="1"/>
      <w:marLeft w:val="0"/>
      <w:marRight w:val="0"/>
      <w:marTop w:val="0"/>
      <w:marBottom w:val="0"/>
      <w:divBdr>
        <w:top w:val="none" w:sz="0" w:space="0" w:color="auto"/>
        <w:left w:val="none" w:sz="0" w:space="0" w:color="auto"/>
        <w:bottom w:val="none" w:sz="0" w:space="0" w:color="auto"/>
        <w:right w:val="none" w:sz="0" w:space="0" w:color="auto"/>
      </w:divBdr>
    </w:div>
    <w:div w:id="1154182227">
      <w:bodyDiv w:val="1"/>
      <w:marLeft w:val="0"/>
      <w:marRight w:val="0"/>
      <w:marTop w:val="0"/>
      <w:marBottom w:val="0"/>
      <w:divBdr>
        <w:top w:val="none" w:sz="0" w:space="0" w:color="auto"/>
        <w:left w:val="none" w:sz="0" w:space="0" w:color="auto"/>
        <w:bottom w:val="none" w:sz="0" w:space="0" w:color="auto"/>
        <w:right w:val="none" w:sz="0" w:space="0" w:color="auto"/>
      </w:divBdr>
    </w:div>
    <w:div w:id="1175808268">
      <w:bodyDiv w:val="1"/>
      <w:marLeft w:val="0"/>
      <w:marRight w:val="0"/>
      <w:marTop w:val="0"/>
      <w:marBottom w:val="0"/>
      <w:divBdr>
        <w:top w:val="none" w:sz="0" w:space="0" w:color="auto"/>
        <w:left w:val="none" w:sz="0" w:space="0" w:color="auto"/>
        <w:bottom w:val="none" w:sz="0" w:space="0" w:color="auto"/>
        <w:right w:val="none" w:sz="0" w:space="0" w:color="auto"/>
      </w:divBdr>
    </w:div>
    <w:div w:id="1189568926">
      <w:bodyDiv w:val="1"/>
      <w:marLeft w:val="0"/>
      <w:marRight w:val="0"/>
      <w:marTop w:val="0"/>
      <w:marBottom w:val="0"/>
      <w:divBdr>
        <w:top w:val="none" w:sz="0" w:space="0" w:color="auto"/>
        <w:left w:val="none" w:sz="0" w:space="0" w:color="auto"/>
        <w:bottom w:val="none" w:sz="0" w:space="0" w:color="auto"/>
        <w:right w:val="none" w:sz="0" w:space="0" w:color="auto"/>
      </w:divBdr>
    </w:div>
    <w:div w:id="1207911073">
      <w:bodyDiv w:val="1"/>
      <w:marLeft w:val="0"/>
      <w:marRight w:val="0"/>
      <w:marTop w:val="0"/>
      <w:marBottom w:val="0"/>
      <w:divBdr>
        <w:top w:val="none" w:sz="0" w:space="0" w:color="auto"/>
        <w:left w:val="none" w:sz="0" w:space="0" w:color="auto"/>
        <w:bottom w:val="none" w:sz="0" w:space="0" w:color="auto"/>
        <w:right w:val="none" w:sz="0" w:space="0" w:color="auto"/>
      </w:divBdr>
    </w:div>
    <w:div w:id="1261141582">
      <w:bodyDiv w:val="1"/>
      <w:marLeft w:val="0"/>
      <w:marRight w:val="0"/>
      <w:marTop w:val="0"/>
      <w:marBottom w:val="0"/>
      <w:divBdr>
        <w:top w:val="none" w:sz="0" w:space="0" w:color="auto"/>
        <w:left w:val="none" w:sz="0" w:space="0" w:color="auto"/>
        <w:bottom w:val="none" w:sz="0" w:space="0" w:color="auto"/>
        <w:right w:val="none" w:sz="0" w:space="0" w:color="auto"/>
      </w:divBdr>
    </w:div>
    <w:div w:id="1263414652">
      <w:bodyDiv w:val="1"/>
      <w:marLeft w:val="0"/>
      <w:marRight w:val="0"/>
      <w:marTop w:val="0"/>
      <w:marBottom w:val="0"/>
      <w:divBdr>
        <w:top w:val="none" w:sz="0" w:space="0" w:color="auto"/>
        <w:left w:val="none" w:sz="0" w:space="0" w:color="auto"/>
        <w:bottom w:val="none" w:sz="0" w:space="0" w:color="auto"/>
        <w:right w:val="none" w:sz="0" w:space="0" w:color="auto"/>
      </w:divBdr>
    </w:div>
    <w:div w:id="1276981394">
      <w:bodyDiv w:val="1"/>
      <w:marLeft w:val="0"/>
      <w:marRight w:val="0"/>
      <w:marTop w:val="0"/>
      <w:marBottom w:val="0"/>
      <w:divBdr>
        <w:top w:val="none" w:sz="0" w:space="0" w:color="auto"/>
        <w:left w:val="none" w:sz="0" w:space="0" w:color="auto"/>
        <w:bottom w:val="none" w:sz="0" w:space="0" w:color="auto"/>
        <w:right w:val="none" w:sz="0" w:space="0" w:color="auto"/>
      </w:divBdr>
    </w:div>
    <w:div w:id="1383747550">
      <w:bodyDiv w:val="1"/>
      <w:marLeft w:val="0"/>
      <w:marRight w:val="0"/>
      <w:marTop w:val="0"/>
      <w:marBottom w:val="0"/>
      <w:divBdr>
        <w:top w:val="none" w:sz="0" w:space="0" w:color="auto"/>
        <w:left w:val="none" w:sz="0" w:space="0" w:color="auto"/>
        <w:bottom w:val="none" w:sz="0" w:space="0" w:color="auto"/>
        <w:right w:val="none" w:sz="0" w:space="0" w:color="auto"/>
      </w:divBdr>
    </w:div>
    <w:div w:id="1487473770">
      <w:bodyDiv w:val="1"/>
      <w:marLeft w:val="0"/>
      <w:marRight w:val="0"/>
      <w:marTop w:val="0"/>
      <w:marBottom w:val="0"/>
      <w:divBdr>
        <w:top w:val="none" w:sz="0" w:space="0" w:color="auto"/>
        <w:left w:val="none" w:sz="0" w:space="0" w:color="auto"/>
        <w:bottom w:val="none" w:sz="0" w:space="0" w:color="auto"/>
        <w:right w:val="none" w:sz="0" w:space="0" w:color="auto"/>
      </w:divBdr>
    </w:div>
    <w:div w:id="1494681972">
      <w:bodyDiv w:val="1"/>
      <w:marLeft w:val="0"/>
      <w:marRight w:val="0"/>
      <w:marTop w:val="0"/>
      <w:marBottom w:val="0"/>
      <w:divBdr>
        <w:top w:val="none" w:sz="0" w:space="0" w:color="auto"/>
        <w:left w:val="none" w:sz="0" w:space="0" w:color="auto"/>
        <w:bottom w:val="none" w:sz="0" w:space="0" w:color="auto"/>
        <w:right w:val="none" w:sz="0" w:space="0" w:color="auto"/>
      </w:divBdr>
    </w:div>
    <w:div w:id="1508639873">
      <w:bodyDiv w:val="1"/>
      <w:marLeft w:val="0"/>
      <w:marRight w:val="0"/>
      <w:marTop w:val="0"/>
      <w:marBottom w:val="0"/>
      <w:divBdr>
        <w:top w:val="none" w:sz="0" w:space="0" w:color="auto"/>
        <w:left w:val="none" w:sz="0" w:space="0" w:color="auto"/>
        <w:bottom w:val="none" w:sz="0" w:space="0" w:color="auto"/>
        <w:right w:val="none" w:sz="0" w:space="0" w:color="auto"/>
      </w:divBdr>
    </w:div>
    <w:div w:id="1531531468">
      <w:bodyDiv w:val="1"/>
      <w:marLeft w:val="0"/>
      <w:marRight w:val="0"/>
      <w:marTop w:val="0"/>
      <w:marBottom w:val="0"/>
      <w:divBdr>
        <w:top w:val="none" w:sz="0" w:space="0" w:color="auto"/>
        <w:left w:val="none" w:sz="0" w:space="0" w:color="auto"/>
        <w:bottom w:val="none" w:sz="0" w:space="0" w:color="auto"/>
        <w:right w:val="none" w:sz="0" w:space="0" w:color="auto"/>
      </w:divBdr>
    </w:div>
    <w:div w:id="1553619315">
      <w:bodyDiv w:val="1"/>
      <w:marLeft w:val="0"/>
      <w:marRight w:val="0"/>
      <w:marTop w:val="0"/>
      <w:marBottom w:val="0"/>
      <w:divBdr>
        <w:top w:val="none" w:sz="0" w:space="0" w:color="auto"/>
        <w:left w:val="none" w:sz="0" w:space="0" w:color="auto"/>
        <w:bottom w:val="none" w:sz="0" w:space="0" w:color="auto"/>
        <w:right w:val="none" w:sz="0" w:space="0" w:color="auto"/>
      </w:divBdr>
    </w:div>
    <w:div w:id="1617366100">
      <w:bodyDiv w:val="1"/>
      <w:marLeft w:val="0"/>
      <w:marRight w:val="0"/>
      <w:marTop w:val="0"/>
      <w:marBottom w:val="0"/>
      <w:divBdr>
        <w:top w:val="none" w:sz="0" w:space="0" w:color="auto"/>
        <w:left w:val="none" w:sz="0" w:space="0" w:color="auto"/>
        <w:bottom w:val="none" w:sz="0" w:space="0" w:color="auto"/>
        <w:right w:val="none" w:sz="0" w:space="0" w:color="auto"/>
      </w:divBdr>
    </w:div>
    <w:div w:id="1622415186">
      <w:bodyDiv w:val="1"/>
      <w:marLeft w:val="0"/>
      <w:marRight w:val="0"/>
      <w:marTop w:val="0"/>
      <w:marBottom w:val="0"/>
      <w:divBdr>
        <w:top w:val="none" w:sz="0" w:space="0" w:color="auto"/>
        <w:left w:val="none" w:sz="0" w:space="0" w:color="auto"/>
        <w:bottom w:val="none" w:sz="0" w:space="0" w:color="auto"/>
        <w:right w:val="none" w:sz="0" w:space="0" w:color="auto"/>
      </w:divBdr>
    </w:div>
    <w:div w:id="1686862760">
      <w:bodyDiv w:val="1"/>
      <w:marLeft w:val="0"/>
      <w:marRight w:val="0"/>
      <w:marTop w:val="0"/>
      <w:marBottom w:val="0"/>
      <w:divBdr>
        <w:top w:val="none" w:sz="0" w:space="0" w:color="auto"/>
        <w:left w:val="none" w:sz="0" w:space="0" w:color="auto"/>
        <w:bottom w:val="none" w:sz="0" w:space="0" w:color="auto"/>
        <w:right w:val="none" w:sz="0" w:space="0" w:color="auto"/>
      </w:divBdr>
    </w:div>
    <w:div w:id="1702510955">
      <w:bodyDiv w:val="1"/>
      <w:marLeft w:val="0"/>
      <w:marRight w:val="0"/>
      <w:marTop w:val="0"/>
      <w:marBottom w:val="0"/>
      <w:divBdr>
        <w:top w:val="none" w:sz="0" w:space="0" w:color="auto"/>
        <w:left w:val="none" w:sz="0" w:space="0" w:color="auto"/>
        <w:bottom w:val="none" w:sz="0" w:space="0" w:color="auto"/>
        <w:right w:val="none" w:sz="0" w:space="0" w:color="auto"/>
      </w:divBdr>
    </w:div>
    <w:div w:id="1777210799">
      <w:bodyDiv w:val="1"/>
      <w:marLeft w:val="0"/>
      <w:marRight w:val="0"/>
      <w:marTop w:val="0"/>
      <w:marBottom w:val="0"/>
      <w:divBdr>
        <w:top w:val="none" w:sz="0" w:space="0" w:color="auto"/>
        <w:left w:val="none" w:sz="0" w:space="0" w:color="auto"/>
        <w:bottom w:val="none" w:sz="0" w:space="0" w:color="auto"/>
        <w:right w:val="none" w:sz="0" w:space="0" w:color="auto"/>
      </w:divBdr>
    </w:div>
    <w:div w:id="1807164946">
      <w:bodyDiv w:val="1"/>
      <w:marLeft w:val="0"/>
      <w:marRight w:val="0"/>
      <w:marTop w:val="0"/>
      <w:marBottom w:val="0"/>
      <w:divBdr>
        <w:top w:val="none" w:sz="0" w:space="0" w:color="auto"/>
        <w:left w:val="none" w:sz="0" w:space="0" w:color="auto"/>
        <w:bottom w:val="none" w:sz="0" w:space="0" w:color="auto"/>
        <w:right w:val="none" w:sz="0" w:space="0" w:color="auto"/>
      </w:divBdr>
    </w:div>
    <w:div w:id="1833567084">
      <w:bodyDiv w:val="1"/>
      <w:marLeft w:val="0"/>
      <w:marRight w:val="0"/>
      <w:marTop w:val="0"/>
      <w:marBottom w:val="0"/>
      <w:divBdr>
        <w:top w:val="none" w:sz="0" w:space="0" w:color="auto"/>
        <w:left w:val="none" w:sz="0" w:space="0" w:color="auto"/>
        <w:bottom w:val="none" w:sz="0" w:space="0" w:color="auto"/>
        <w:right w:val="none" w:sz="0" w:space="0" w:color="auto"/>
      </w:divBdr>
    </w:div>
    <w:div w:id="1937402797">
      <w:bodyDiv w:val="1"/>
      <w:marLeft w:val="0"/>
      <w:marRight w:val="0"/>
      <w:marTop w:val="0"/>
      <w:marBottom w:val="0"/>
      <w:divBdr>
        <w:top w:val="none" w:sz="0" w:space="0" w:color="auto"/>
        <w:left w:val="none" w:sz="0" w:space="0" w:color="auto"/>
        <w:bottom w:val="none" w:sz="0" w:space="0" w:color="auto"/>
        <w:right w:val="none" w:sz="0" w:space="0" w:color="auto"/>
      </w:divBdr>
    </w:div>
    <w:div w:id="1948464181">
      <w:marLeft w:val="0"/>
      <w:marRight w:val="0"/>
      <w:marTop w:val="0"/>
      <w:marBottom w:val="0"/>
      <w:divBdr>
        <w:top w:val="none" w:sz="0" w:space="0" w:color="auto"/>
        <w:left w:val="none" w:sz="0" w:space="0" w:color="auto"/>
        <w:bottom w:val="none" w:sz="0" w:space="0" w:color="auto"/>
        <w:right w:val="none" w:sz="0" w:space="0" w:color="auto"/>
      </w:divBdr>
    </w:div>
    <w:div w:id="1948464182">
      <w:marLeft w:val="0"/>
      <w:marRight w:val="0"/>
      <w:marTop w:val="0"/>
      <w:marBottom w:val="0"/>
      <w:divBdr>
        <w:top w:val="none" w:sz="0" w:space="0" w:color="auto"/>
        <w:left w:val="none" w:sz="0" w:space="0" w:color="auto"/>
        <w:bottom w:val="none" w:sz="0" w:space="0" w:color="auto"/>
        <w:right w:val="none" w:sz="0" w:space="0" w:color="auto"/>
      </w:divBdr>
    </w:div>
    <w:div w:id="1948464183">
      <w:marLeft w:val="0"/>
      <w:marRight w:val="0"/>
      <w:marTop w:val="0"/>
      <w:marBottom w:val="0"/>
      <w:divBdr>
        <w:top w:val="none" w:sz="0" w:space="0" w:color="auto"/>
        <w:left w:val="none" w:sz="0" w:space="0" w:color="auto"/>
        <w:bottom w:val="none" w:sz="0" w:space="0" w:color="auto"/>
        <w:right w:val="none" w:sz="0" w:space="0" w:color="auto"/>
      </w:divBdr>
    </w:div>
    <w:div w:id="1948464184">
      <w:marLeft w:val="0"/>
      <w:marRight w:val="0"/>
      <w:marTop w:val="0"/>
      <w:marBottom w:val="0"/>
      <w:divBdr>
        <w:top w:val="none" w:sz="0" w:space="0" w:color="auto"/>
        <w:left w:val="none" w:sz="0" w:space="0" w:color="auto"/>
        <w:bottom w:val="none" w:sz="0" w:space="0" w:color="auto"/>
        <w:right w:val="none" w:sz="0" w:space="0" w:color="auto"/>
      </w:divBdr>
    </w:div>
    <w:div w:id="2135832169">
      <w:bodyDiv w:val="1"/>
      <w:marLeft w:val="0"/>
      <w:marRight w:val="0"/>
      <w:marTop w:val="0"/>
      <w:marBottom w:val="0"/>
      <w:divBdr>
        <w:top w:val="none" w:sz="0" w:space="0" w:color="auto"/>
        <w:left w:val="none" w:sz="0" w:space="0" w:color="auto"/>
        <w:bottom w:val="none" w:sz="0" w:space="0" w:color="auto"/>
        <w:right w:val="none" w:sz="0" w:space="0" w:color="auto"/>
      </w:divBdr>
    </w:div>
    <w:div w:id="213779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AB908C8-27EE-4D99-9FDE-9F039F4AB235}"/>
      </w:docPartPr>
      <w:docPartBody>
        <w:p w:rsidR="008C2583" w:rsidRDefault="00862925">
          <w:r w:rsidRPr="00CC5954">
            <w:rPr>
              <w:rStyle w:val="PlaceholderText"/>
            </w:rPr>
            <w:t>Click here to enter text.</w:t>
          </w:r>
        </w:p>
      </w:docPartBody>
    </w:docPart>
    <w:docPart>
      <w:docPartPr>
        <w:name w:val="467F15D558F0444BB35BCB17F1E0E252"/>
        <w:category>
          <w:name w:val="General"/>
          <w:gallery w:val="placeholder"/>
        </w:category>
        <w:types>
          <w:type w:val="bbPlcHdr"/>
        </w:types>
        <w:behaviors>
          <w:behavior w:val="content"/>
        </w:behaviors>
        <w:guid w:val="{8000B4C6-51C2-49AA-A8DA-0324D5D69360}"/>
      </w:docPartPr>
      <w:docPartBody>
        <w:p w:rsidR="008C2583" w:rsidRDefault="00862925" w:rsidP="00862925">
          <w:pPr>
            <w:pStyle w:val="467F15D558F0444BB35BCB17F1E0E252"/>
          </w:pPr>
          <w:r w:rsidRPr="00CC5954">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68D63B8F-2FB8-4C54-90B2-0C6A1D28955D}"/>
      </w:docPartPr>
      <w:docPartBody>
        <w:p w:rsidR="00B91967" w:rsidRDefault="00265E85">
          <w:r w:rsidRPr="00C0534C">
            <w:rPr>
              <w:rStyle w:val="PlaceholderText"/>
            </w:rPr>
            <w:t>Click or tap here to enter text.</w:t>
          </w:r>
        </w:p>
      </w:docPartBody>
    </w:docPart>
    <w:docPart>
      <w:docPartPr>
        <w:name w:val="873E64307E5F40099245506EC819755B"/>
        <w:category>
          <w:name w:val="General"/>
          <w:gallery w:val="placeholder"/>
        </w:category>
        <w:types>
          <w:type w:val="bbPlcHdr"/>
        </w:types>
        <w:behaviors>
          <w:behavior w:val="content"/>
        </w:behaviors>
        <w:guid w:val="{9C5C2FFD-248E-4EFC-AD37-AFC976E2B435}"/>
      </w:docPartPr>
      <w:docPartBody>
        <w:p w:rsidR="00861778" w:rsidRDefault="00D71EBA" w:rsidP="00D71EBA">
          <w:pPr>
            <w:pStyle w:val="873E64307E5F40099245506EC819755B"/>
          </w:pPr>
          <w:r w:rsidRPr="00CC5954">
            <w:rPr>
              <w:rStyle w:val="PlaceholderText"/>
            </w:rPr>
            <w:t>Click here to enter text.</w:t>
          </w:r>
        </w:p>
      </w:docPartBody>
    </w:docPart>
    <w:docPart>
      <w:docPartPr>
        <w:name w:val="902FE64B29424F659DBB099D6CE88D80"/>
        <w:category>
          <w:name w:val="General"/>
          <w:gallery w:val="placeholder"/>
        </w:category>
        <w:types>
          <w:type w:val="bbPlcHdr"/>
        </w:types>
        <w:behaviors>
          <w:behavior w:val="content"/>
        </w:behaviors>
        <w:guid w:val="{66B93AB9-C6F0-423C-BE69-18C2918E2302}"/>
      </w:docPartPr>
      <w:docPartBody>
        <w:p w:rsidR="006F1ED4" w:rsidRDefault="00616558" w:rsidP="00616558">
          <w:pPr>
            <w:pStyle w:val="902FE64B29424F659DBB099D6CE88D809"/>
          </w:pPr>
          <w:r w:rsidRPr="003B5CBC">
            <w:rPr>
              <w:rStyle w:val="PlaceholderText"/>
              <w:rFonts w:eastAsiaTheme="majorEastAsia"/>
            </w:rPr>
            <w:t xml:space="preserve">Data e </w:t>
          </w:r>
          <w:r w:rsidRPr="003B5CBC">
            <w:rPr>
              <w:rStyle w:val="PlaceholderText"/>
            </w:rPr>
            <w:t>vlerës</w:t>
          </w:r>
          <w:r w:rsidRPr="003B5CBC">
            <w:rPr>
              <w:rStyle w:val="PlaceholderText"/>
              <w:rFonts w:eastAsiaTheme="majorEastAsia"/>
            </w:rPr>
            <w:t>imit të ndikimit</w:t>
          </w:r>
        </w:p>
      </w:docPartBody>
    </w:docPart>
    <w:docPart>
      <w:docPartPr>
        <w:name w:val="84F1B2FD99CD499F9C01942AB6C2B425"/>
        <w:category>
          <w:name w:val="General"/>
          <w:gallery w:val="placeholder"/>
        </w:category>
        <w:types>
          <w:type w:val="bbPlcHdr"/>
        </w:types>
        <w:behaviors>
          <w:behavior w:val="content"/>
        </w:behaviors>
        <w:guid w:val="{693E9B42-3780-414E-B528-424B8EF760E4}"/>
      </w:docPartPr>
      <w:docPartBody>
        <w:p w:rsidR="003844E1" w:rsidRDefault="004C5883" w:rsidP="004C5883">
          <w:pPr>
            <w:pStyle w:val="84F1B2FD99CD499F9C01942AB6C2B425"/>
          </w:pPr>
          <w:r w:rsidRPr="00932CDB">
            <w:rPr>
              <w:rStyle w:val="PlaceholderText"/>
              <w:rFonts w:eastAsiaTheme="majorEastAsia"/>
            </w:rPr>
            <w:t xml:space="preserve">Data/Asnjë konsultim </w:t>
          </w:r>
          <w:r>
            <w:rPr>
              <w:rStyle w:val="PlaceholderText"/>
              <w:rFonts w:eastAsiaTheme="majorEastAsia"/>
            </w:rPr>
            <w:t>publik.</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925"/>
    <w:rsid w:val="000208A8"/>
    <w:rsid w:val="0003006C"/>
    <w:rsid w:val="000F5B7B"/>
    <w:rsid w:val="00214EEF"/>
    <w:rsid w:val="00222CDE"/>
    <w:rsid w:val="00265E85"/>
    <w:rsid w:val="003419A6"/>
    <w:rsid w:val="0036461E"/>
    <w:rsid w:val="003844E1"/>
    <w:rsid w:val="00451DE6"/>
    <w:rsid w:val="004C2F27"/>
    <w:rsid w:val="004C5883"/>
    <w:rsid w:val="004D3172"/>
    <w:rsid w:val="00544EEF"/>
    <w:rsid w:val="005D6CB7"/>
    <w:rsid w:val="005E22FF"/>
    <w:rsid w:val="00613314"/>
    <w:rsid w:val="00616558"/>
    <w:rsid w:val="00616F29"/>
    <w:rsid w:val="006358C9"/>
    <w:rsid w:val="006A739B"/>
    <w:rsid w:val="006F1ED4"/>
    <w:rsid w:val="0077513C"/>
    <w:rsid w:val="007B4F71"/>
    <w:rsid w:val="00813C7B"/>
    <w:rsid w:val="008357AF"/>
    <w:rsid w:val="0085530F"/>
    <w:rsid w:val="0085784A"/>
    <w:rsid w:val="00861778"/>
    <w:rsid w:val="00862925"/>
    <w:rsid w:val="008C2583"/>
    <w:rsid w:val="008D08FE"/>
    <w:rsid w:val="008E7E8D"/>
    <w:rsid w:val="008F0DFF"/>
    <w:rsid w:val="00937CC8"/>
    <w:rsid w:val="00957F42"/>
    <w:rsid w:val="009C24FA"/>
    <w:rsid w:val="00A953A5"/>
    <w:rsid w:val="00AC23AD"/>
    <w:rsid w:val="00AC6FE9"/>
    <w:rsid w:val="00AE6BEE"/>
    <w:rsid w:val="00B520DD"/>
    <w:rsid w:val="00B91967"/>
    <w:rsid w:val="00C010D2"/>
    <w:rsid w:val="00D16692"/>
    <w:rsid w:val="00D71EBA"/>
    <w:rsid w:val="00D73CAC"/>
    <w:rsid w:val="00DA1BDD"/>
    <w:rsid w:val="00DC3C88"/>
    <w:rsid w:val="00DF7551"/>
    <w:rsid w:val="00E2340F"/>
    <w:rsid w:val="00EE1FB5"/>
    <w:rsid w:val="00F750E7"/>
    <w:rsid w:val="00F80994"/>
    <w:rsid w:val="00FA6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5883"/>
    <w:rPr>
      <w:color w:val="808080"/>
    </w:rPr>
  </w:style>
  <w:style w:type="paragraph" w:customStyle="1" w:styleId="467F15D558F0444BB35BCB17F1E0E252">
    <w:name w:val="467F15D558F0444BB35BCB17F1E0E252"/>
    <w:rsid w:val="00862925"/>
  </w:style>
  <w:style w:type="paragraph" w:customStyle="1" w:styleId="873E64307E5F40099245506EC819755B">
    <w:name w:val="873E64307E5F40099245506EC819755B"/>
    <w:rsid w:val="00D71EBA"/>
  </w:style>
  <w:style w:type="paragraph" w:customStyle="1" w:styleId="902FE64B29424F659DBB099D6CE88D809">
    <w:name w:val="902FE64B29424F659DBB099D6CE88D809"/>
    <w:rsid w:val="00616558"/>
    <w:pPr>
      <w:spacing w:after="0" w:line="240" w:lineRule="auto"/>
    </w:pPr>
    <w:rPr>
      <w:rFonts w:ascii="Times New Roman" w:eastAsia="Times New Roman" w:hAnsi="Times New Roman" w:cs="Times New Roman"/>
      <w:sz w:val="24"/>
      <w:szCs w:val="20"/>
      <w:lang w:val="en-GB" w:eastAsia="en-GB"/>
    </w:rPr>
  </w:style>
  <w:style w:type="paragraph" w:customStyle="1" w:styleId="84F1B2FD99CD499F9C01942AB6C2B425">
    <w:name w:val="84F1B2FD99CD499F9C01942AB6C2B425"/>
    <w:rsid w:val="004C5883"/>
    <w:rPr>
      <w:lang w:val="sq-AL" w:eastAsia="sq-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0E1B1B8547ACD2F4CB4622AF8B1F5AA6C" ma:contentTypeVersion="" ma:contentTypeDescription="" ma:contentTypeScope="" ma:versionID="5855168c34e86209b88319d01a610f0f">
  <xsd:schema xmlns:xsd="http://www.w3.org/2001/XMLSchema" xmlns:xs="http://www.w3.org/2001/XMLSchema" xmlns:p="http://schemas.microsoft.com/office/2006/metadata/properties" xmlns:ns1="http://schemas.microsoft.com/sharepoint/v3" targetNamespace="http://schemas.microsoft.com/office/2006/metadata/properties" ma:root="true" ma:fieldsID="88b2cf56787c63537583ebf0465db89b" ns1:_="">
    <xsd:import namespace="http://schemas.microsoft.com/sharepoint/v3"/>
    <xsd:element name="properties">
      <xsd:complexType>
        <xsd:sequence>
          <xsd:element name="documentManagement">
            <xsd:complexType>
              <xsd:all>
                <xsd:element ref="ns1:ID" minOccurs="0"/>
                <xsd:element ref="ns1:ContentTypeId" minOccurs="0"/>
                <xsd:element ref="ns1:Author" minOccurs="0"/>
                <xsd:element ref="ns1:Editor" minOccurs="0"/>
                <xsd:element ref="ns1:_HasCopyDestinations" minOccurs="0"/>
                <xsd:element ref="ns1:_CopySource" minOccurs="0"/>
                <xsd:element ref="ns1:_ModerationStatus" minOccurs="0"/>
                <xsd:element ref="ns1:_ModerationComment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File_x0020_Type" minOccurs="0"/>
                <xsd:element ref="ns1:HTML_x0020_File_x0020_Type" minOccurs="0"/>
                <xsd:element ref="ns1:_SourceUrl" minOccurs="0"/>
                <xsd:element ref="ns1:_SharedFileIndex" minOccurs="0"/>
                <xsd:element ref="ns1:MetaInfo" minOccurs="0"/>
                <xsd:element ref="ns1:_Level" minOccurs="0"/>
                <xsd:element ref="ns1:_IsCurrentVersion" minOccurs="0"/>
                <xsd:element ref="ns1:ItemChildCount" minOccurs="0"/>
                <xsd:element ref="ns1:FolderChildCount"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1:TemplateUrl" minOccurs="0"/>
                <xsd:element ref="ns1:xd_ProgID" minOccurs="0"/>
                <xsd:element ref="ns1:xd_Signature" minOccurs="0"/>
                <xsd:element ref="ns1:DocumentTypeId" minOccurs="0"/>
                <xsd:element ref="ns1:ProtocolNumberIn" minOccurs="0"/>
                <xsd:element ref="ns1:ProtocolNumberOu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D" ma:index="0" nillable="true" ma:displayName="ID" ma:internalName="ID" ma:readOnly="true">
      <xsd:simpleType>
        <xsd:restriction base="dms:Unknown"/>
      </xsd:simpleType>
    </xsd:element>
    <xsd:element name="ContentTypeId" ma:index="1" nillable="true" ma:displayName="Content Type ID" ma:hidden="true" ma:internalName="ContentTypeId" ma:readOnly="true">
      <xsd:simpleType>
        <xsd:restriction base="dms:Unknown"/>
      </xsd:simpleType>
    </xsd:element>
    <xsd:element name="Author" ma:index="4" nillable="true" ma:displayName="Created By"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6" nillable="true" ma:displayName="Modified By"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7" nillable="true" ma:displayName="Has Copy Destinations" ma:hidden="true" ma:internalName="_HasCopyDestinations" ma:readOnly="true">
      <xsd:simpleType>
        <xsd:restriction base="dms:Boolean"/>
      </xsd:simpleType>
    </xsd:element>
    <xsd:element name="_CopySource" ma:index="8" nillable="true" ma:displayName="Copy Source" ma:internalName="_CopySource" ma:readOnly="true">
      <xsd:simpleType>
        <xsd:restriction base="dms:Text"/>
      </xsd:simpleType>
    </xsd:element>
    <xsd:element name="_ModerationStatus" ma:index="9" nillable="true" ma:displayName="Approval Status" ma:default="0" ma:hidden="true" ma:internalName="_ModerationStatus" ma:readOnly="true">
      <xsd:simpleType>
        <xsd:restriction base="dms:Unknown"/>
      </xsd:simpleType>
    </xsd:element>
    <xsd:element name="_ModerationComments" ma:index="10" nillable="true" ma:displayName="Approver Comments" ma:hidden="true" ma:internalName="_ModerationComments" ma:readOnly="true">
      <xsd:simpleType>
        <xsd:restriction base="dms:Note"/>
      </xsd:simpleType>
    </xsd:element>
    <xsd:element name="FileRef" ma:index="11" nillable="true" ma:displayName="URL Path" ma:hidden="true" ma:list="Docs" ma:internalName="FileRef" ma:readOnly="true" ma:showField="FullUrl">
      <xsd:simpleType>
        <xsd:restriction base="dms:Lookup"/>
      </xsd:simpleType>
    </xsd:element>
    <xsd:element name="FileDirRef" ma:index="12" nillable="true" ma:displayName="Path" ma:hidden="true" ma:list="Docs" ma:internalName="FileDirRef" ma:readOnly="true" ma:showField="DirName">
      <xsd:simpleType>
        <xsd:restriction base="dms:Lookup"/>
      </xsd:simpleType>
    </xsd:element>
    <xsd:element name="Last_x0020_Modified" ma:index="13" nillable="true" ma:displayName="Modified" ma:format="TRUE" ma:hidden="true" ma:list="Docs" ma:internalName="Last_x0020_Modified" ma:readOnly="true" ma:showField="TimeLastModified">
      <xsd:simpleType>
        <xsd:restriction base="dms:Lookup"/>
      </xsd:simpleType>
    </xsd:element>
    <xsd:element name="Created_x0020_Date" ma:index="14" nillable="true" ma:displayName="Created" ma:format="TRUE" ma:hidden="true" ma:list="Docs" ma:internalName="Created_x0020_Date" ma:readOnly="true" ma:showField="TimeCreated">
      <xsd:simpleType>
        <xsd:restriction base="dms:Lookup"/>
      </xsd:simpleType>
    </xsd:element>
    <xsd:element name="File_x0020_Size" ma:index="15" nillable="true" ma:displayName="File Size" ma:format="TRUE" ma:hidden="true" ma:list="Docs" ma:internalName="File_x0020_Size" ma:readOnly="true" ma:showField="SizeInKB">
      <xsd:simpleType>
        <xsd:restriction base="dms:Lookup"/>
      </xsd:simpleType>
    </xsd:element>
    <xsd:element name="FSObjType" ma:index="16" nillable="true" ma:displayName="Item Type" ma:hidden="true" ma:list="Docs" ma:internalName="FSObjType" ma:readOnly="true" ma:showField="FSType">
      <xsd:simpleType>
        <xsd:restriction base="dms:Lookup"/>
      </xsd:simpleType>
    </xsd:element>
    <xsd:element name="SortBehavior" ma:index="17" nillable="true" ma:displayName="Sort Type" ma:hidden="true" ma:list="Docs" ma:internalName="SortBehavior" ma:readOnly="true" ma:showField="SortBehavior">
      <xsd:simpleType>
        <xsd:restriction base="dms:Lookup"/>
      </xsd:simpleType>
    </xsd:element>
    <xsd:element name="CheckedOutUserId" ma:index="19" nillable="true" ma:displayName="ID of the User who has the item Checked Out" ma:hidden="true" ma:list="Docs" ma:internalName="CheckedOutUserId" ma:readOnly="true" ma:showField="CheckoutUserId">
      <xsd:simpleType>
        <xsd:restriction base="dms:Lookup"/>
      </xsd:simpleType>
    </xsd:element>
    <xsd:element name="IsCheckedoutToLocal" ma:index="20" nillable="true" ma:displayName="Is Checked out to local" ma:hidden="true" ma:list="Docs" ma:internalName="IsCheckedoutToLocal" ma:readOnly="true" ma:showField="IsCheckoutToLocal">
      <xsd:simpleType>
        <xsd:restriction base="dms:Lookup"/>
      </xsd:simpleType>
    </xsd:element>
    <xsd:element name="CheckoutUser" ma:index="21" nillable="true" ma:displayName="Checked Out T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23" nillable="true" ma:displayName="Unique Id" ma:hidden="true" ma:list="Docs" ma:internalName="UniqueId" ma:readOnly="true" ma:showField="UniqueId">
      <xsd:simpleType>
        <xsd:restriction base="dms:Lookup"/>
      </xsd:simpleType>
    </xsd:element>
    <xsd:element name="SyncClientId" ma:index="24" nillable="true" ma:displayName="Client Id" ma:hidden="true" ma:list="Docs" ma:internalName="SyncClientId" ma:readOnly="true" ma:showField="SyncClientId">
      <xsd:simpleType>
        <xsd:restriction base="dms:Lookup"/>
      </xsd:simpleType>
    </xsd:element>
    <xsd:element name="ProgId" ma:index="25" nillable="true" ma:displayName="ProgId" ma:hidden="true" ma:list="Docs" ma:internalName="ProgId" ma:readOnly="true" ma:showField="ProgId">
      <xsd:simpleType>
        <xsd:restriction base="dms:Lookup"/>
      </xsd:simpleType>
    </xsd:element>
    <xsd:element name="ScopeId" ma:index="26" nillable="true" ma:displayName="ScopeId" ma:hidden="true" ma:list="Docs" ma:internalName="ScopeId" ma:readOnly="true" ma:showField="ScopeId">
      <xsd:simpleType>
        <xsd:restriction base="dms:Lookup"/>
      </xsd:simpleType>
    </xsd:element>
    <xsd:element name="VirusStatus" ma:index="27" nillable="true" ma:displayName="Virus Status" ma:format="TRUE" ma:hidden="true" ma:list="Docs" ma:internalName="VirusStatus" ma:readOnly="true" ma:showField="Size">
      <xsd:simpleType>
        <xsd:restriction base="dms:Lookup"/>
      </xsd:simpleType>
    </xsd:element>
    <xsd:element name="CheckedOutTitle" ma:index="28" nillable="true" ma:displayName="Checked Out To" ma:format="TRUE" ma:hidden="true" ma:list="Docs" ma:internalName="CheckedOutTitle" ma:readOnly="true" ma:showField="CheckedOutTitle">
      <xsd:simpleType>
        <xsd:restriction base="dms:Lookup"/>
      </xsd:simpleType>
    </xsd:element>
    <xsd:element name="_CheckinComment" ma:index="29" nillable="true" ma:displayName="Check In Comment" ma:format="TRUE" ma:list="Docs" ma:internalName="_CheckinComment" ma:readOnly="true" ma:showField="CheckinComment">
      <xsd:simpleType>
        <xsd:restriction base="dms:Lookup"/>
      </xsd:simpleType>
    </xsd:element>
    <xsd:element name="File_x0020_Type" ma:index="33" nillable="true" ma:displayName="File Type" ma:hidden="true" ma:internalName="File_x0020_Type" ma:readOnly="true">
      <xsd:simpleType>
        <xsd:restriction base="dms:Text"/>
      </xsd:simpleType>
    </xsd:element>
    <xsd:element name="HTML_x0020_File_x0020_Type" ma:index="34" nillable="true" ma:displayName="HTML File Type" ma:hidden="true" ma:internalName="HTML_x0020_File_x0020_Type" ma:readOnly="true">
      <xsd:simpleType>
        <xsd:restriction base="dms:Text"/>
      </xsd:simpleType>
    </xsd:element>
    <xsd:element name="_SourceUrl" ma:index="35" nillable="true" ma:displayName="Source URL" ma:hidden="true" ma:internalName="_SourceUrl">
      <xsd:simpleType>
        <xsd:restriction base="dms:Text"/>
      </xsd:simpleType>
    </xsd:element>
    <xsd:element name="_SharedFileIndex" ma:index="36" nillable="true" ma:displayName="Shared File Index" ma:hidden="true" ma:internalName="_SharedFileIndex">
      <xsd:simpleType>
        <xsd:restriction base="dms:Text"/>
      </xsd:simpleType>
    </xsd:element>
    <xsd:element name="MetaInfo" ma:index="48" nillable="true" ma:displayName="Property Bag" ma:hidden="true" ma:list="Docs" ma:internalName="MetaInfo" ma:showField="MetaInfo">
      <xsd:simpleType>
        <xsd:restriction base="dms:Lookup"/>
      </xsd:simpleType>
    </xsd:element>
    <xsd:element name="_Level" ma:index="49" nillable="true" ma:displayName="Level" ma:hidden="true" ma:internalName="_Level" ma:readOnly="true">
      <xsd:simpleType>
        <xsd:restriction base="dms:Unknown"/>
      </xsd:simpleType>
    </xsd:element>
    <xsd:element name="_IsCurrentVersion" ma:index="50" nillable="true" ma:displayName="Is Current Version" ma:hidden="true" ma:internalName="_IsCurrentVersion" ma:readOnly="true">
      <xsd:simpleType>
        <xsd:restriction base="dms:Boolean"/>
      </xsd:simpleType>
    </xsd:element>
    <xsd:element name="ItemChildCount" ma:index="51" nillable="true" ma:displayName="Item Child Count" ma:hidden="true" ma:list="Docs" ma:internalName="ItemChildCount" ma:readOnly="true" ma:showField="ItemChildCount">
      <xsd:simpleType>
        <xsd:restriction base="dms:Lookup"/>
      </xsd:simpleType>
    </xsd:element>
    <xsd:element name="FolderChildCount" ma:index="52" nillable="true" ma:displayName="Folder Child Count" ma:hidden="true" ma:list="Docs" ma:internalName="FolderChildCount" ma:readOnly="true" ma:showField="FolderChildCount">
      <xsd:simpleType>
        <xsd:restriction base="dms:Lookup"/>
      </xsd:simpleType>
    </xsd:element>
    <xsd:element name="owshiddenversion" ma:index="56" nillable="true" ma:displayName="owshiddenversion" ma:hidden="true" ma:internalName="owshiddenversion" ma:readOnly="true">
      <xsd:simpleType>
        <xsd:restriction base="dms:Unknown"/>
      </xsd:simpleType>
    </xsd:element>
    <xsd:element name="_UIVersion" ma:index="57" nillable="true" ma:displayName="UI Version" ma:hidden="true" ma:internalName="_UIVersion" ma:readOnly="true">
      <xsd:simpleType>
        <xsd:restriction base="dms:Unknown"/>
      </xsd:simpleType>
    </xsd:element>
    <xsd:element name="_UIVersionString" ma:index="58" nillable="true" ma:displayName="Version" ma:internalName="_UIVersionString" ma:readOnly="true">
      <xsd:simpleType>
        <xsd:restriction base="dms:Text"/>
      </xsd:simpleType>
    </xsd:element>
    <xsd:element name="InstanceID" ma:index="59" nillable="true" ma:displayName="Instance ID" ma:hidden="true" ma:internalName="InstanceID" ma:readOnly="true">
      <xsd:simpleType>
        <xsd:restriction base="dms:Unknown"/>
      </xsd:simpleType>
    </xsd:element>
    <xsd:element name="Order" ma:index="60" nillable="true" ma:displayName="Order" ma:hidden="true" ma:internalName="Order">
      <xsd:simpleType>
        <xsd:restriction base="dms:Number"/>
      </xsd:simpleType>
    </xsd:element>
    <xsd:element name="GUID" ma:index="61" nillable="true" ma:displayName="GUID" ma:hidden="true" ma:internalName="GUID" ma:readOnly="true">
      <xsd:simpleType>
        <xsd:restriction base="dms:Unknown"/>
      </xsd:simpleType>
    </xsd:element>
    <xsd:element name="WorkflowVersion" ma:index="62" nillable="true" ma:displayName="Workflow Version" ma:hidden="true" ma:internalName="WorkflowVersion" ma:readOnly="true">
      <xsd:simpleType>
        <xsd:restriction base="dms:Unknown"/>
      </xsd:simpleType>
    </xsd:element>
    <xsd:element name="WorkflowInstanceID" ma:index="63" nillable="true" ma:displayName="Workflow Instance ID" ma:hidden="true" ma:internalName="WorkflowInstanceID" ma:readOnly="true">
      <xsd:simpleType>
        <xsd:restriction base="dms:Unknown"/>
      </xsd:simpleType>
    </xsd:element>
    <xsd:element name="ParentVersionString" ma:index="64" nillable="true" ma:displayName="Source Version (Converted Document)" ma:hidden="true" ma:list="Docs" ma:internalName="ParentVersionString" ma:readOnly="true" ma:showField="ParentVersionString">
      <xsd:simpleType>
        <xsd:restriction base="dms:Lookup"/>
      </xsd:simpleType>
    </xsd:element>
    <xsd:element name="ParentLeafName" ma:index="65" nillable="true" ma:displayName="Source Name (Converted Document)" ma:hidden="true" ma:list="Docs" ma:internalName="ParentLeafName" ma:readOnly="true" ma:showField="ParentLeafName">
      <xsd:simpleType>
        <xsd:restriction base="dms:Lookup"/>
      </xsd:simpleType>
    </xsd:element>
    <xsd:element name="DocConcurrencyNumber" ma:index="66" nillable="true" ma:displayName="Document Concurrency Number" ma:hidden="true" ma:list="Docs" ma:internalName="DocConcurrencyNumber" ma:readOnly="true" ma:showField="DocConcurrencyNumber">
      <xsd:simpleType>
        <xsd:restriction base="dms:Lookup"/>
      </xsd:simpleType>
    </xsd:element>
    <xsd:element name="TemplateUrl" ma:index="68" nillable="true" ma:displayName="Template Link" ma:hidden="true" ma:internalName="TemplateUrl">
      <xsd:simpleType>
        <xsd:restriction base="dms:Text"/>
      </xsd:simpleType>
    </xsd:element>
    <xsd:element name="xd_ProgID" ma:index="69" nillable="true" ma:displayName="HTML File Link" ma:hidden="true" ma:internalName="xd_ProgID">
      <xsd:simpleType>
        <xsd:restriction base="dms:Text"/>
      </xsd:simpleType>
    </xsd:element>
    <xsd:element name="xd_Signature" ma:index="70" nillable="true" ma:displayName="Is Signed" ma:hidden="true" ma:internalName="xd_Signature" ma:readOnly="true">
      <xsd:simpleType>
        <xsd:restriction base="dms:Boolean"/>
      </xsd:simpleType>
    </xsd:element>
    <xsd:element name="DocumentTypeId" ma:index="73" nillable="true" ma:displayName="DocumentTypeId" ma:hidden="true" ma:internalName="DocumentTypeId">
      <xsd:simpleType>
        <xsd:restriction base="dms:Text">
          <xsd:maxLength value="255"/>
        </xsd:restriction>
      </xsd:simpleType>
    </xsd:element>
    <xsd:element name="ProtocolNumberIn" ma:index="74" nillable="true" ma:displayName="ProtocolNumberIn" ma:hidden="true" ma:internalName="ProtocolNumberIn">
      <xsd:simpleType>
        <xsd:restriction base="dms:Text">
          <xsd:maxLength value="255"/>
        </xsd:restriction>
      </xsd:simpleType>
    </xsd:element>
    <xsd:element name="ProtocolNumberOut" ma:index="75" nillable="true" ma:displayName="ProtocolNumberOut" ma:hidden="true" ma:internalName="ProtocolNumberOu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6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0x00E1B1B8547ACD2F4CB4622AF8B1F5AA6C</ContentTypeId>
    <TemplateUrl xmlns="http://schemas.microsoft.com/sharepoint/v3" xsi:nil="true"/>
    <ProtocolNumberIn xmlns="http://schemas.microsoft.com/sharepoint/v3" xsi:nil="true"/>
    <DocumentTypeId xmlns="http://schemas.microsoft.com/sharepoint/v3">3</DocumentTypeId>
    <ProtocolNumberOut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18A6A-A1AE-4D6D-96BB-979E39F0E4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966E00-7C02-431A-B75F-788856842D3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03C9965A-0C51-4678-93DD-0DD25EBA7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8671</Words>
  <Characters>49430</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RIA i konfirmuar</vt:lpstr>
    </vt:vector>
  </TitlesOfParts>
  <Company>BIS</Company>
  <LinksUpToDate>false</LinksUpToDate>
  <CharactersWithSpaces>57986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RIA i konfirmuar</dc:title>
  <dc:subject/>
  <dc:creator>Ricketts Simon (GO-Science)</dc:creator>
  <cp:keywords/>
  <dc:description/>
  <cp:lastModifiedBy>Anisa Leka</cp:lastModifiedBy>
  <cp:revision>2</cp:revision>
  <cp:lastPrinted>2023-05-09T11:33:00Z</cp:lastPrinted>
  <dcterms:created xsi:type="dcterms:W3CDTF">2026-06-17T09:47:00Z</dcterms:created>
  <dcterms:modified xsi:type="dcterms:W3CDTF">2026-06-17T09:47:00Z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Stage">
    <vt:lpwstr>Development/Options</vt:lpwstr>
  </property>
</Properties>
</file>