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1F74D9A7" w:rsidR="00922FEB" w:rsidRDefault="00922FEB" w:rsidP="00874B0C">
      <w:pPr>
        <w:pStyle w:val="BodyText"/>
        <w:spacing w:line="276" w:lineRule="auto"/>
        <w:jc w:val="center"/>
        <w:rPr>
          <w:rFonts w:ascii="Times New Roman" w:hAnsi="Times New Roman" w:cs="Times New Roman"/>
          <w:sz w:val="18"/>
          <w:szCs w:val="18"/>
          <w:lang w:val="en-US"/>
        </w:rPr>
      </w:pPr>
      <w:r w:rsidRPr="00874B0C">
        <w:rPr>
          <w:rFonts w:ascii="Times New Roman" w:hAnsi="Times New Roman" w:cs="Times New Roman"/>
          <w:sz w:val="18"/>
          <w:szCs w:val="18"/>
          <w:lang w:val="en-US"/>
        </w:rPr>
        <w:t>TRANSPOSITION TABLE</w:t>
      </w:r>
    </w:p>
    <w:p w14:paraId="706A43B2" w14:textId="77777777" w:rsidR="00874B0C" w:rsidRPr="00874B0C" w:rsidRDefault="00874B0C" w:rsidP="00874B0C">
      <w:pPr>
        <w:pStyle w:val="BodyText"/>
        <w:spacing w:line="276" w:lineRule="auto"/>
        <w:jc w:val="center"/>
        <w:rPr>
          <w:rFonts w:ascii="Times New Roman" w:hAnsi="Times New Roman" w:cs="Times New Roman"/>
          <w:sz w:val="18"/>
          <w:szCs w:val="18"/>
          <w:lang w:val="en-US"/>
        </w:rPr>
      </w:pPr>
    </w:p>
    <w:p w14:paraId="34DF4CE6" w14:textId="77777777" w:rsidR="00922FEB" w:rsidRPr="00874B0C" w:rsidRDefault="00922FEB" w:rsidP="00874B0C">
      <w:pPr>
        <w:spacing w:after="0" w:line="276"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720"/>
        <w:gridCol w:w="5220"/>
        <w:gridCol w:w="1080"/>
        <w:gridCol w:w="720"/>
        <w:gridCol w:w="3870"/>
        <w:gridCol w:w="1170"/>
        <w:gridCol w:w="3420"/>
      </w:tblGrid>
      <w:tr w:rsidR="00260632" w:rsidRPr="00874B0C" w14:paraId="61092F5B" w14:textId="77777777" w:rsidTr="00874B0C">
        <w:trPr>
          <w:tblHeader/>
        </w:trPr>
        <w:tc>
          <w:tcPr>
            <w:tcW w:w="5940" w:type="dxa"/>
            <w:gridSpan w:val="2"/>
          </w:tcPr>
          <w:p w14:paraId="454107F7" w14:textId="77777777" w:rsidR="00874B0C" w:rsidRPr="00874B0C" w:rsidRDefault="00874B0C" w:rsidP="00874B0C">
            <w:pPr>
              <w:pBdr>
                <w:top w:val="nil"/>
                <w:left w:val="nil"/>
                <w:bottom w:val="nil"/>
                <w:right w:val="nil"/>
                <w:between w:val="nil"/>
              </w:pBdr>
              <w:spacing w:before="120" w:line="276" w:lineRule="auto"/>
              <w:jc w:val="both"/>
              <w:rPr>
                <w:rFonts w:ascii="Times New Roman" w:hAnsi="Times New Roman" w:cs="Times New Roman"/>
                <w:color w:val="333333"/>
                <w:sz w:val="18"/>
                <w:szCs w:val="18"/>
                <w:shd w:val="clear" w:color="auto" w:fill="FFFFFF"/>
              </w:rPr>
            </w:pPr>
            <w:r w:rsidRPr="00874B0C">
              <w:rPr>
                <w:rFonts w:ascii="Times New Roman" w:hAnsi="Times New Roman" w:cs="Times New Roman"/>
                <w:color w:val="333333"/>
                <w:sz w:val="18"/>
                <w:szCs w:val="18"/>
                <w:shd w:val="clear" w:color="auto" w:fill="FFFFFF"/>
              </w:rPr>
              <w:t>European Union legislation:</w:t>
            </w:r>
          </w:p>
          <w:p w14:paraId="7595DA82" w14:textId="0E94D22A" w:rsidR="009D0B38" w:rsidRPr="00874B0C" w:rsidRDefault="0038082A" w:rsidP="00874B0C">
            <w:pPr>
              <w:pBdr>
                <w:top w:val="nil"/>
                <w:left w:val="nil"/>
                <w:bottom w:val="nil"/>
                <w:right w:val="nil"/>
                <w:between w:val="nil"/>
              </w:pBdr>
              <w:spacing w:before="120" w:line="276" w:lineRule="auto"/>
              <w:jc w:val="both"/>
              <w:rPr>
                <w:rFonts w:ascii="Times New Roman" w:eastAsia="Calibri" w:hAnsi="Times New Roman" w:cs="Times New Roman"/>
                <w:sz w:val="18"/>
                <w:szCs w:val="18"/>
              </w:rPr>
            </w:pPr>
            <w:r w:rsidRPr="00874B0C">
              <w:rPr>
                <w:rFonts w:ascii="Times New Roman" w:eastAsia="Calibri" w:hAnsi="Times New Roman" w:cs="Times New Roman"/>
                <w:sz w:val="18"/>
                <w:szCs w:val="18"/>
              </w:rPr>
              <w:t>Council Directive (EU) 2023/2226 of 17 October 2023 amending Directive 2011/16/EU on administrative cooperation in the field of taxation</w:t>
            </w:r>
          </w:p>
        </w:tc>
        <w:tc>
          <w:tcPr>
            <w:tcW w:w="10260" w:type="dxa"/>
            <w:gridSpan w:val="5"/>
            <w:vAlign w:val="center"/>
          </w:tcPr>
          <w:p w14:paraId="34449988" w14:textId="77777777" w:rsidR="00874B0C" w:rsidRPr="00874B0C" w:rsidRDefault="00874B0C" w:rsidP="00874B0C">
            <w:pPr>
              <w:spacing w:line="276" w:lineRule="auto"/>
              <w:jc w:val="both"/>
              <w:rPr>
                <w:rFonts w:ascii="Times New Roman" w:eastAsia="Calibri" w:hAnsi="Times New Roman" w:cs="Times New Roman"/>
                <w:sz w:val="18"/>
                <w:szCs w:val="18"/>
                <w:lang w:val="en-US"/>
              </w:rPr>
            </w:pPr>
          </w:p>
          <w:p w14:paraId="10ECADF5" w14:textId="5F96B903" w:rsidR="00922FEB" w:rsidRPr="00874B0C" w:rsidRDefault="00922FEB" w:rsidP="00874B0C">
            <w:pPr>
              <w:spacing w:line="276" w:lineRule="auto"/>
              <w:jc w:val="both"/>
              <w:rPr>
                <w:rFonts w:ascii="Times New Roman" w:eastAsia="Calibri" w:hAnsi="Times New Roman" w:cs="Times New Roman"/>
                <w:sz w:val="18"/>
                <w:szCs w:val="18"/>
                <w:lang w:val="en-US"/>
              </w:rPr>
            </w:pPr>
            <w:r w:rsidRPr="00874B0C">
              <w:rPr>
                <w:rFonts w:ascii="Times New Roman" w:eastAsia="Calibri" w:hAnsi="Times New Roman" w:cs="Times New Roman"/>
                <w:sz w:val="18"/>
                <w:szCs w:val="18"/>
                <w:lang w:val="en-US"/>
              </w:rPr>
              <w:t>Albanian legislation</w:t>
            </w:r>
            <w:r w:rsidR="00874B0C" w:rsidRPr="00874B0C">
              <w:rPr>
                <w:rFonts w:ascii="Times New Roman" w:eastAsia="Calibri" w:hAnsi="Times New Roman" w:cs="Times New Roman"/>
                <w:sz w:val="18"/>
                <w:szCs w:val="18"/>
                <w:lang w:val="en-US"/>
              </w:rPr>
              <w:t xml:space="preserve"> proposed</w:t>
            </w:r>
            <w:r w:rsidRPr="00874B0C">
              <w:rPr>
                <w:rFonts w:ascii="Times New Roman" w:eastAsia="Calibri" w:hAnsi="Times New Roman" w:cs="Times New Roman"/>
                <w:sz w:val="18"/>
                <w:szCs w:val="18"/>
                <w:lang w:val="en-US"/>
              </w:rPr>
              <w:t>:</w:t>
            </w:r>
          </w:p>
          <w:p w14:paraId="7ACAF46C" w14:textId="77777777" w:rsidR="00462F38" w:rsidRPr="00874B0C" w:rsidRDefault="00462F38" w:rsidP="00874B0C">
            <w:pPr>
              <w:spacing w:line="276" w:lineRule="auto"/>
              <w:jc w:val="both"/>
              <w:rPr>
                <w:rFonts w:ascii="Times New Roman" w:eastAsia="Calibri" w:hAnsi="Times New Roman" w:cs="Times New Roman"/>
                <w:sz w:val="18"/>
                <w:szCs w:val="18"/>
                <w:lang w:val="en-US"/>
              </w:rPr>
            </w:pPr>
          </w:p>
          <w:p w14:paraId="0899A6A6" w14:textId="55C3147E" w:rsidR="00D84EF8" w:rsidRPr="00874B0C" w:rsidRDefault="00D84EF8" w:rsidP="00874B0C">
            <w:pPr>
              <w:pStyle w:val="ListParagraph"/>
              <w:numPr>
                <w:ilvl w:val="0"/>
                <w:numId w:val="1"/>
              </w:numPr>
              <w:spacing w:after="0"/>
              <w:jc w:val="both"/>
              <w:rPr>
                <w:rFonts w:ascii="Times New Roman" w:hAnsi="Times New Roman" w:cs="Times New Roman"/>
                <w:sz w:val="18"/>
                <w:szCs w:val="18"/>
              </w:rPr>
            </w:pPr>
            <w:r w:rsidRPr="00874B0C">
              <w:rPr>
                <w:rFonts w:ascii="Times New Roman" w:eastAsia="Calibri" w:hAnsi="Times New Roman" w:cs="Times New Roman"/>
                <w:sz w:val="18"/>
                <w:szCs w:val="18"/>
              </w:rPr>
              <w:t>Law</w:t>
            </w:r>
            <w:r w:rsidR="0038082A" w:rsidRPr="00874B0C">
              <w:rPr>
                <w:rFonts w:ascii="Times New Roman" w:eastAsia="Calibri" w:hAnsi="Times New Roman" w:cs="Times New Roman"/>
                <w:sz w:val="18"/>
                <w:szCs w:val="18"/>
              </w:rPr>
              <w:t xml:space="preserve"> </w:t>
            </w:r>
            <w:r w:rsidR="009E71CE">
              <w:rPr>
                <w:rFonts w:ascii="Times New Roman" w:hAnsi="Times New Roman" w:cs="Times New Roman"/>
                <w:sz w:val="18"/>
                <w:szCs w:val="18"/>
              </w:rPr>
              <w:t>“</w:t>
            </w:r>
            <w:r w:rsidR="0038082A" w:rsidRPr="00874B0C">
              <w:rPr>
                <w:rFonts w:ascii="Times New Roman" w:hAnsi="Times New Roman" w:cs="Times New Roman"/>
                <w:sz w:val="18"/>
                <w:szCs w:val="18"/>
              </w:rPr>
              <w:t>On the automatic exchange of information on crypto-asset</w:t>
            </w:r>
            <w:r w:rsidR="00D57B4D">
              <w:rPr>
                <w:rFonts w:ascii="Times New Roman" w:hAnsi="Times New Roman" w:cs="Times New Roman"/>
                <w:sz w:val="18"/>
                <w:szCs w:val="18"/>
              </w:rPr>
              <w:t>s</w:t>
            </w:r>
            <w:r w:rsidR="009E71CE">
              <w:rPr>
                <w:rFonts w:ascii="Times New Roman" w:hAnsi="Times New Roman" w:cs="Times New Roman"/>
                <w:sz w:val="18"/>
                <w:szCs w:val="18"/>
              </w:rPr>
              <w:t>”</w:t>
            </w:r>
          </w:p>
          <w:p w14:paraId="3AC1924D" w14:textId="77777777" w:rsidR="00874B0C" w:rsidRPr="00874B0C" w:rsidRDefault="00874B0C" w:rsidP="00874B0C">
            <w:pPr>
              <w:pStyle w:val="ListParagraph"/>
              <w:spacing w:after="0"/>
              <w:jc w:val="both"/>
              <w:rPr>
                <w:rFonts w:ascii="Times New Roman" w:hAnsi="Times New Roman" w:cs="Times New Roman"/>
                <w:sz w:val="18"/>
                <w:szCs w:val="18"/>
              </w:rPr>
            </w:pPr>
          </w:p>
          <w:p w14:paraId="5306AA67" w14:textId="099AD2B9" w:rsidR="001D652C" w:rsidRPr="00874B0C" w:rsidRDefault="001D652C" w:rsidP="00874B0C">
            <w:pPr>
              <w:spacing w:line="276" w:lineRule="auto"/>
              <w:jc w:val="both"/>
              <w:rPr>
                <w:rFonts w:ascii="Times New Roman" w:hAnsi="Times New Roman" w:cs="Times New Roman"/>
                <w:sz w:val="18"/>
                <w:szCs w:val="18"/>
              </w:rPr>
            </w:pPr>
            <w:r w:rsidRPr="00874B0C">
              <w:rPr>
                <w:rFonts w:ascii="Times New Roman" w:hAnsi="Times New Roman" w:cs="Times New Roman"/>
                <w:sz w:val="18"/>
                <w:szCs w:val="18"/>
              </w:rPr>
              <w:t>F - full compliance</w:t>
            </w:r>
          </w:p>
          <w:p w14:paraId="41C41513" w14:textId="77777777" w:rsidR="001D652C" w:rsidRPr="00874B0C" w:rsidRDefault="001D652C" w:rsidP="00874B0C">
            <w:pPr>
              <w:spacing w:line="276" w:lineRule="auto"/>
              <w:jc w:val="both"/>
              <w:rPr>
                <w:rFonts w:ascii="Times New Roman" w:hAnsi="Times New Roman" w:cs="Times New Roman"/>
                <w:sz w:val="18"/>
                <w:szCs w:val="18"/>
              </w:rPr>
            </w:pPr>
            <w:r w:rsidRPr="00874B0C">
              <w:rPr>
                <w:rFonts w:ascii="Times New Roman" w:hAnsi="Times New Roman" w:cs="Times New Roman"/>
                <w:sz w:val="18"/>
                <w:szCs w:val="18"/>
              </w:rPr>
              <w:t>P - partial compliance</w:t>
            </w:r>
          </w:p>
          <w:p w14:paraId="289EB650" w14:textId="14CE508D" w:rsidR="00922FEB" w:rsidRPr="00874B0C" w:rsidRDefault="001D652C" w:rsidP="00874B0C">
            <w:pPr>
              <w:spacing w:line="276" w:lineRule="auto"/>
              <w:jc w:val="both"/>
              <w:rPr>
                <w:rFonts w:ascii="Times New Roman" w:eastAsia="Calibri" w:hAnsi="Times New Roman" w:cs="Times New Roman"/>
                <w:sz w:val="18"/>
                <w:szCs w:val="18"/>
              </w:rPr>
            </w:pPr>
            <w:r w:rsidRPr="00874B0C">
              <w:rPr>
                <w:rFonts w:ascii="Times New Roman" w:hAnsi="Times New Roman" w:cs="Times New Roman"/>
                <w:sz w:val="18"/>
                <w:szCs w:val="18"/>
              </w:rPr>
              <w:t>N - non-compliance</w:t>
            </w:r>
          </w:p>
          <w:p w14:paraId="6BC4DEF2" w14:textId="77777777" w:rsidR="00922FEB" w:rsidRPr="00874B0C" w:rsidRDefault="00922FEB" w:rsidP="00874B0C">
            <w:pPr>
              <w:spacing w:line="276" w:lineRule="auto"/>
              <w:rPr>
                <w:rFonts w:ascii="Times New Roman" w:eastAsia="Calibri" w:hAnsi="Times New Roman" w:cs="Times New Roman"/>
                <w:sz w:val="18"/>
                <w:szCs w:val="18"/>
              </w:rPr>
            </w:pPr>
          </w:p>
          <w:p w14:paraId="7AA9D97B" w14:textId="77777777" w:rsidR="00922FEB" w:rsidRPr="00874B0C" w:rsidRDefault="00922FEB"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 xml:space="preserve"> </w:t>
            </w:r>
          </w:p>
        </w:tc>
      </w:tr>
      <w:tr w:rsidR="00260632" w:rsidRPr="00874B0C" w14:paraId="01827783" w14:textId="77777777" w:rsidTr="00874B0C">
        <w:trPr>
          <w:tblHeader/>
        </w:trPr>
        <w:tc>
          <w:tcPr>
            <w:tcW w:w="720" w:type="dxa"/>
            <w:shd w:val="clear" w:color="auto" w:fill="BFBFBF"/>
          </w:tcPr>
          <w:p w14:paraId="52A84D2B" w14:textId="721D3075" w:rsidR="004F619A" w:rsidRPr="00874B0C" w:rsidRDefault="004F619A" w:rsidP="00874B0C">
            <w:pPr>
              <w:spacing w:line="276" w:lineRule="auto"/>
              <w:jc w:val="center"/>
              <w:rPr>
                <w:rFonts w:ascii="Times New Roman" w:eastAsia="Times New Roman" w:hAnsi="Times New Roman" w:cs="Times New Roman"/>
                <w:sz w:val="18"/>
                <w:szCs w:val="18"/>
              </w:rPr>
            </w:pPr>
            <w:r w:rsidRPr="00874B0C">
              <w:rPr>
                <w:rFonts w:ascii="Times New Roman" w:hAnsi="Times New Roman" w:cs="Times New Roman"/>
                <w:sz w:val="18"/>
                <w:szCs w:val="18"/>
              </w:rPr>
              <w:t>1</w:t>
            </w:r>
          </w:p>
        </w:tc>
        <w:tc>
          <w:tcPr>
            <w:tcW w:w="5220" w:type="dxa"/>
            <w:shd w:val="clear" w:color="auto" w:fill="BFBFBF"/>
          </w:tcPr>
          <w:p w14:paraId="1DA553D3" w14:textId="64D8F57B" w:rsidR="004F619A" w:rsidRPr="00874B0C" w:rsidRDefault="004F619A"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2</w:t>
            </w:r>
          </w:p>
        </w:tc>
        <w:tc>
          <w:tcPr>
            <w:tcW w:w="1080" w:type="dxa"/>
            <w:shd w:val="clear" w:color="auto" w:fill="BFBFBF"/>
          </w:tcPr>
          <w:p w14:paraId="6A8D7A06" w14:textId="724E6EFC" w:rsidR="004F619A" w:rsidRPr="00874B0C" w:rsidRDefault="004F619A"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3</w:t>
            </w:r>
          </w:p>
        </w:tc>
        <w:tc>
          <w:tcPr>
            <w:tcW w:w="720" w:type="dxa"/>
            <w:shd w:val="clear" w:color="auto" w:fill="BFBFBF"/>
          </w:tcPr>
          <w:p w14:paraId="508F371C" w14:textId="4604AAB0" w:rsidR="004F619A" w:rsidRPr="00874B0C" w:rsidRDefault="004F619A"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4</w:t>
            </w:r>
          </w:p>
        </w:tc>
        <w:tc>
          <w:tcPr>
            <w:tcW w:w="3870" w:type="dxa"/>
            <w:shd w:val="clear" w:color="auto" w:fill="BFBFBF"/>
          </w:tcPr>
          <w:p w14:paraId="2141FB79" w14:textId="3C150691" w:rsidR="004F619A" w:rsidRPr="00874B0C" w:rsidRDefault="004F619A"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5</w:t>
            </w:r>
          </w:p>
        </w:tc>
        <w:tc>
          <w:tcPr>
            <w:tcW w:w="1170" w:type="dxa"/>
            <w:shd w:val="clear" w:color="auto" w:fill="BFBFBF"/>
          </w:tcPr>
          <w:p w14:paraId="7B5923AD" w14:textId="0DA9C058" w:rsidR="004F619A" w:rsidRPr="00874B0C" w:rsidRDefault="004F619A"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6</w:t>
            </w:r>
          </w:p>
        </w:tc>
        <w:tc>
          <w:tcPr>
            <w:tcW w:w="3420" w:type="dxa"/>
            <w:shd w:val="clear" w:color="auto" w:fill="BFBFBF"/>
          </w:tcPr>
          <w:p w14:paraId="25BA9212" w14:textId="4444B760" w:rsidR="004F619A" w:rsidRPr="00874B0C" w:rsidRDefault="004F619A"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7</w:t>
            </w:r>
          </w:p>
        </w:tc>
      </w:tr>
      <w:tr w:rsidR="00260632" w:rsidRPr="00874B0C" w14:paraId="405531F1" w14:textId="77777777" w:rsidTr="00874B0C">
        <w:trPr>
          <w:tblHeader/>
        </w:trPr>
        <w:tc>
          <w:tcPr>
            <w:tcW w:w="720" w:type="dxa"/>
            <w:shd w:val="clear" w:color="auto" w:fill="BFBFBF"/>
            <w:vAlign w:val="center"/>
          </w:tcPr>
          <w:p w14:paraId="1E9FDE14" w14:textId="77777777" w:rsidR="004F619A" w:rsidRPr="00874B0C" w:rsidRDefault="004F619A" w:rsidP="00874B0C">
            <w:pPr>
              <w:spacing w:line="276" w:lineRule="auto"/>
              <w:jc w:val="center"/>
              <w:rPr>
                <w:rFonts w:ascii="Times New Roman" w:eastAsia="Times New Roman" w:hAnsi="Times New Roman" w:cs="Times New Roman"/>
                <w:sz w:val="18"/>
                <w:szCs w:val="18"/>
                <w:lang w:val="en-US"/>
              </w:rPr>
            </w:pPr>
            <w:r w:rsidRPr="00874B0C">
              <w:rPr>
                <w:rFonts w:ascii="Times New Roman" w:eastAsia="Times New Roman" w:hAnsi="Times New Roman" w:cs="Times New Roman"/>
                <w:sz w:val="18"/>
                <w:szCs w:val="18"/>
                <w:lang w:val="en-US"/>
              </w:rPr>
              <w:t>Article</w:t>
            </w:r>
          </w:p>
        </w:tc>
        <w:tc>
          <w:tcPr>
            <w:tcW w:w="5220" w:type="dxa"/>
            <w:shd w:val="clear" w:color="auto" w:fill="BFBFBF"/>
            <w:vAlign w:val="center"/>
          </w:tcPr>
          <w:p w14:paraId="76176853" w14:textId="77777777" w:rsidR="004F619A" w:rsidRPr="00874B0C" w:rsidRDefault="004F619A"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Text</w:t>
            </w:r>
          </w:p>
        </w:tc>
        <w:tc>
          <w:tcPr>
            <w:tcW w:w="1080" w:type="dxa"/>
            <w:shd w:val="clear" w:color="auto" w:fill="BFBFBF"/>
            <w:vAlign w:val="center"/>
          </w:tcPr>
          <w:p w14:paraId="7B0A27CB" w14:textId="77777777" w:rsidR="004F619A" w:rsidRPr="00874B0C" w:rsidRDefault="004F619A"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References</w:t>
            </w:r>
          </w:p>
        </w:tc>
        <w:tc>
          <w:tcPr>
            <w:tcW w:w="720" w:type="dxa"/>
            <w:shd w:val="clear" w:color="auto" w:fill="BFBFBF"/>
            <w:vAlign w:val="center"/>
          </w:tcPr>
          <w:p w14:paraId="4FA58976" w14:textId="77777777" w:rsidR="004F619A" w:rsidRPr="00874B0C" w:rsidRDefault="004F619A"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Article</w:t>
            </w:r>
          </w:p>
        </w:tc>
        <w:tc>
          <w:tcPr>
            <w:tcW w:w="3870" w:type="dxa"/>
            <w:shd w:val="clear" w:color="auto" w:fill="BFBFBF"/>
            <w:vAlign w:val="center"/>
          </w:tcPr>
          <w:p w14:paraId="1C97514E" w14:textId="77777777" w:rsidR="004F619A" w:rsidRPr="00874B0C" w:rsidRDefault="004F619A"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Text</w:t>
            </w:r>
          </w:p>
        </w:tc>
        <w:tc>
          <w:tcPr>
            <w:tcW w:w="1170" w:type="dxa"/>
            <w:shd w:val="clear" w:color="auto" w:fill="BFBFBF"/>
            <w:vAlign w:val="center"/>
          </w:tcPr>
          <w:p w14:paraId="7416E437" w14:textId="77777777" w:rsidR="004F619A" w:rsidRPr="00874B0C" w:rsidRDefault="004F619A"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Compliance</w:t>
            </w:r>
          </w:p>
        </w:tc>
        <w:tc>
          <w:tcPr>
            <w:tcW w:w="3420" w:type="dxa"/>
            <w:shd w:val="clear" w:color="auto" w:fill="BFBFBF"/>
            <w:vAlign w:val="center"/>
          </w:tcPr>
          <w:p w14:paraId="2D3E0BBE" w14:textId="77777777" w:rsidR="004F619A" w:rsidRPr="00874B0C" w:rsidRDefault="004F619A"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Notes</w:t>
            </w:r>
          </w:p>
        </w:tc>
      </w:tr>
    </w:tbl>
    <w:p w14:paraId="1F69D40D" w14:textId="3855042B" w:rsidR="00922FEB" w:rsidRPr="00874B0C" w:rsidRDefault="00922FEB" w:rsidP="00874B0C">
      <w:pPr>
        <w:spacing w:after="200" w:line="276" w:lineRule="auto"/>
        <w:rPr>
          <w:rFonts w:ascii="Times New Roman" w:eastAsia="Calibri"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720"/>
        <w:gridCol w:w="5220"/>
        <w:gridCol w:w="1080"/>
        <w:gridCol w:w="720"/>
        <w:gridCol w:w="3870"/>
        <w:gridCol w:w="1184"/>
        <w:gridCol w:w="3406"/>
      </w:tblGrid>
      <w:tr w:rsidR="00260632" w:rsidRPr="00874B0C" w14:paraId="32F4D837" w14:textId="77777777" w:rsidTr="00874B0C">
        <w:trPr>
          <w:tblHeader/>
        </w:trPr>
        <w:tc>
          <w:tcPr>
            <w:tcW w:w="720" w:type="dxa"/>
            <w:shd w:val="clear" w:color="auto" w:fill="BFBFBF"/>
          </w:tcPr>
          <w:p w14:paraId="623B109C" w14:textId="4AA779B1" w:rsidR="000A7EA3" w:rsidRPr="00874B0C" w:rsidRDefault="000A7EA3" w:rsidP="00874B0C">
            <w:pPr>
              <w:spacing w:line="276" w:lineRule="auto"/>
              <w:jc w:val="center"/>
              <w:rPr>
                <w:rFonts w:ascii="Times New Roman" w:eastAsia="Times New Roman" w:hAnsi="Times New Roman" w:cs="Times New Roman"/>
                <w:sz w:val="18"/>
                <w:szCs w:val="18"/>
              </w:rPr>
            </w:pPr>
            <w:r w:rsidRPr="00874B0C">
              <w:rPr>
                <w:rFonts w:ascii="Times New Roman" w:hAnsi="Times New Roman" w:cs="Times New Roman"/>
                <w:sz w:val="18"/>
                <w:szCs w:val="18"/>
              </w:rPr>
              <w:t>1</w:t>
            </w:r>
          </w:p>
        </w:tc>
        <w:tc>
          <w:tcPr>
            <w:tcW w:w="5220" w:type="dxa"/>
            <w:shd w:val="clear" w:color="auto" w:fill="BFBFBF"/>
          </w:tcPr>
          <w:p w14:paraId="0EF916BA" w14:textId="15F44D6D" w:rsidR="000A7EA3" w:rsidRPr="00874B0C" w:rsidRDefault="000A7EA3" w:rsidP="00874B0C">
            <w:pPr>
              <w:spacing w:line="276" w:lineRule="auto"/>
              <w:jc w:val="center"/>
              <w:rPr>
                <w:rFonts w:ascii="Times New Roman" w:eastAsia="Times New Roman" w:hAnsi="Times New Roman" w:cs="Times New Roman"/>
                <w:iCs/>
                <w:sz w:val="18"/>
                <w:szCs w:val="18"/>
              </w:rPr>
            </w:pPr>
            <w:r w:rsidRPr="00874B0C">
              <w:rPr>
                <w:rFonts w:ascii="Times New Roman" w:hAnsi="Times New Roman" w:cs="Times New Roman"/>
                <w:sz w:val="18"/>
                <w:szCs w:val="18"/>
              </w:rPr>
              <w:t>2</w:t>
            </w:r>
          </w:p>
        </w:tc>
        <w:tc>
          <w:tcPr>
            <w:tcW w:w="1080" w:type="dxa"/>
            <w:shd w:val="clear" w:color="auto" w:fill="D0CECE" w:themeFill="background2" w:themeFillShade="E6"/>
          </w:tcPr>
          <w:p w14:paraId="04E9A02F" w14:textId="584B0512" w:rsidR="000A7EA3" w:rsidRPr="00874B0C" w:rsidRDefault="000A7EA3" w:rsidP="00874B0C">
            <w:pPr>
              <w:spacing w:line="276" w:lineRule="auto"/>
              <w:jc w:val="center"/>
              <w:rPr>
                <w:rFonts w:ascii="Times New Roman" w:hAnsi="Times New Roman" w:cs="Times New Roman"/>
                <w:sz w:val="18"/>
                <w:szCs w:val="18"/>
              </w:rPr>
            </w:pPr>
            <w:r w:rsidRPr="00874B0C">
              <w:rPr>
                <w:rFonts w:ascii="Times New Roman" w:hAnsi="Times New Roman" w:cs="Times New Roman"/>
                <w:sz w:val="18"/>
                <w:szCs w:val="18"/>
              </w:rPr>
              <w:t>3</w:t>
            </w:r>
          </w:p>
        </w:tc>
        <w:tc>
          <w:tcPr>
            <w:tcW w:w="720" w:type="dxa"/>
            <w:shd w:val="clear" w:color="auto" w:fill="BFBFBF"/>
          </w:tcPr>
          <w:p w14:paraId="11B2F0E9" w14:textId="510E5F67" w:rsidR="000A7EA3" w:rsidRPr="00874B0C" w:rsidRDefault="000A7EA3"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4</w:t>
            </w:r>
          </w:p>
        </w:tc>
        <w:tc>
          <w:tcPr>
            <w:tcW w:w="3870" w:type="dxa"/>
            <w:shd w:val="clear" w:color="auto" w:fill="BFBFBF"/>
          </w:tcPr>
          <w:p w14:paraId="18D0D936" w14:textId="2F6EC06B" w:rsidR="000A7EA3" w:rsidRPr="00874B0C" w:rsidRDefault="000A7EA3"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5</w:t>
            </w:r>
          </w:p>
        </w:tc>
        <w:tc>
          <w:tcPr>
            <w:tcW w:w="1184" w:type="dxa"/>
            <w:shd w:val="clear" w:color="auto" w:fill="BFBFBF"/>
          </w:tcPr>
          <w:p w14:paraId="1F29B9CC" w14:textId="46D8A615" w:rsidR="000A7EA3" w:rsidRPr="00874B0C" w:rsidRDefault="000A7EA3"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6</w:t>
            </w:r>
          </w:p>
        </w:tc>
        <w:tc>
          <w:tcPr>
            <w:tcW w:w="3406" w:type="dxa"/>
            <w:shd w:val="clear" w:color="auto" w:fill="BFBFBF"/>
          </w:tcPr>
          <w:p w14:paraId="1EC97E09" w14:textId="00684BF9" w:rsidR="000A7EA3" w:rsidRPr="00874B0C" w:rsidRDefault="000A7EA3" w:rsidP="00874B0C">
            <w:pPr>
              <w:spacing w:line="276" w:lineRule="auto"/>
              <w:jc w:val="center"/>
              <w:rPr>
                <w:rFonts w:ascii="Times New Roman" w:eastAsia="Times New Roman" w:hAnsi="Times New Roman" w:cs="Times New Roman"/>
                <w:i/>
                <w:sz w:val="18"/>
                <w:szCs w:val="18"/>
              </w:rPr>
            </w:pPr>
            <w:r w:rsidRPr="00874B0C">
              <w:rPr>
                <w:rFonts w:ascii="Times New Roman" w:hAnsi="Times New Roman" w:cs="Times New Roman"/>
                <w:sz w:val="18"/>
                <w:szCs w:val="18"/>
              </w:rPr>
              <w:t>7</w:t>
            </w:r>
          </w:p>
        </w:tc>
      </w:tr>
      <w:tr w:rsidR="00260632" w:rsidRPr="00874B0C" w14:paraId="33DF4310" w14:textId="77777777" w:rsidTr="00874B0C">
        <w:trPr>
          <w:tblHeader/>
        </w:trPr>
        <w:tc>
          <w:tcPr>
            <w:tcW w:w="720" w:type="dxa"/>
            <w:shd w:val="clear" w:color="auto" w:fill="BFBFBF"/>
            <w:vAlign w:val="center"/>
          </w:tcPr>
          <w:p w14:paraId="39F8C6F9" w14:textId="77777777" w:rsidR="000A7EA3" w:rsidRPr="00874B0C" w:rsidRDefault="000A7EA3" w:rsidP="00874B0C">
            <w:pPr>
              <w:spacing w:line="276" w:lineRule="auto"/>
              <w:jc w:val="center"/>
              <w:rPr>
                <w:rFonts w:ascii="Times New Roman" w:eastAsia="Times New Roman" w:hAnsi="Times New Roman" w:cs="Times New Roman"/>
                <w:sz w:val="18"/>
                <w:szCs w:val="18"/>
                <w:lang w:val="en-US"/>
              </w:rPr>
            </w:pPr>
            <w:r w:rsidRPr="00874B0C">
              <w:rPr>
                <w:rFonts w:ascii="Times New Roman" w:eastAsia="Times New Roman" w:hAnsi="Times New Roman" w:cs="Times New Roman"/>
                <w:sz w:val="18"/>
                <w:szCs w:val="18"/>
                <w:lang w:val="en-US"/>
              </w:rPr>
              <w:t>Article</w:t>
            </w:r>
          </w:p>
        </w:tc>
        <w:tc>
          <w:tcPr>
            <w:tcW w:w="5220" w:type="dxa"/>
            <w:shd w:val="clear" w:color="auto" w:fill="BFBFBF"/>
            <w:vAlign w:val="center"/>
          </w:tcPr>
          <w:p w14:paraId="17F6068A" w14:textId="77777777" w:rsidR="000A7EA3" w:rsidRPr="00874B0C" w:rsidRDefault="000A7EA3" w:rsidP="00874B0C">
            <w:pPr>
              <w:spacing w:line="276" w:lineRule="auto"/>
              <w:jc w:val="center"/>
              <w:rPr>
                <w:rFonts w:ascii="Times New Roman" w:eastAsia="Times New Roman" w:hAnsi="Times New Roman" w:cs="Times New Roman"/>
                <w:iCs/>
                <w:sz w:val="18"/>
                <w:szCs w:val="18"/>
                <w:lang w:val="en-US"/>
              </w:rPr>
            </w:pPr>
            <w:r w:rsidRPr="00874B0C">
              <w:rPr>
                <w:rFonts w:ascii="Times New Roman" w:eastAsia="Times New Roman" w:hAnsi="Times New Roman" w:cs="Times New Roman"/>
                <w:iCs/>
                <w:sz w:val="18"/>
                <w:szCs w:val="18"/>
                <w:lang w:val="en-US"/>
              </w:rPr>
              <w:t>Text</w:t>
            </w:r>
          </w:p>
        </w:tc>
        <w:tc>
          <w:tcPr>
            <w:tcW w:w="1080" w:type="dxa"/>
            <w:shd w:val="clear" w:color="auto" w:fill="D0CECE" w:themeFill="background2" w:themeFillShade="E6"/>
          </w:tcPr>
          <w:p w14:paraId="476E07DB" w14:textId="1B56A2D0" w:rsidR="000A7EA3" w:rsidRPr="00874B0C" w:rsidRDefault="000A7EA3" w:rsidP="00874B0C">
            <w:pPr>
              <w:spacing w:line="276" w:lineRule="auto"/>
              <w:jc w:val="center"/>
              <w:rPr>
                <w:rFonts w:ascii="Times New Roman" w:hAnsi="Times New Roman" w:cs="Times New Roman"/>
                <w:sz w:val="18"/>
                <w:szCs w:val="18"/>
              </w:rPr>
            </w:pPr>
            <w:r w:rsidRPr="00874B0C">
              <w:rPr>
                <w:rFonts w:ascii="Times New Roman" w:hAnsi="Times New Roman" w:cs="Times New Roman"/>
                <w:sz w:val="18"/>
                <w:szCs w:val="18"/>
              </w:rPr>
              <w:t>References</w:t>
            </w:r>
          </w:p>
        </w:tc>
        <w:tc>
          <w:tcPr>
            <w:tcW w:w="720" w:type="dxa"/>
            <w:shd w:val="clear" w:color="auto" w:fill="BFBFBF"/>
            <w:vAlign w:val="center"/>
          </w:tcPr>
          <w:p w14:paraId="5B81B475" w14:textId="25304259" w:rsidR="000A7EA3" w:rsidRPr="00874B0C" w:rsidRDefault="000A7EA3"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Article</w:t>
            </w:r>
          </w:p>
        </w:tc>
        <w:tc>
          <w:tcPr>
            <w:tcW w:w="3870" w:type="dxa"/>
            <w:shd w:val="clear" w:color="auto" w:fill="BFBFBF"/>
            <w:vAlign w:val="center"/>
          </w:tcPr>
          <w:p w14:paraId="19F4D508" w14:textId="77777777" w:rsidR="000A7EA3" w:rsidRPr="00874B0C" w:rsidRDefault="000A7EA3"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Text</w:t>
            </w:r>
          </w:p>
        </w:tc>
        <w:tc>
          <w:tcPr>
            <w:tcW w:w="1184" w:type="dxa"/>
            <w:shd w:val="clear" w:color="auto" w:fill="BFBFBF"/>
            <w:vAlign w:val="center"/>
          </w:tcPr>
          <w:p w14:paraId="609D564B" w14:textId="77777777" w:rsidR="000A7EA3" w:rsidRPr="00874B0C" w:rsidRDefault="000A7EA3"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Compliance</w:t>
            </w:r>
          </w:p>
        </w:tc>
        <w:tc>
          <w:tcPr>
            <w:tcW w:w="3406" w:type="dxa"/>
            <w:shd w:val="clear" w:color="auto" w:fill="BFBFBF"/>
            <w:vAlign w:val="center"/>
          </w:tcPr>
          <w:p w14:paraId="0F04528A" w14:textId="77777777" w:rsidR="000A7EA3" w:rsidRPr="00874B0C" w:rsidRDefault="000A7EA3" w:rsidP="00874B0C">
            <w:pPr>
              <w:spacing w:line="276" w:lineRule="auto"/>
              <w:jc w:val="center"/>
              <w:rPr>
                <w:rFonts w:ascii="Times New Roman" w:eastAsia="Times New Roman" w:hAnsi="Times New Roman" w:cs="Times New Roman"/>
                <w:i/>
                <w:sz w:val="18"/>
                <w:szCs w:val="18"/>
                <w:lang w:val="en-US"/>
              </w:rPr>
            </w:pPr>
            <w:r w:rsidRPr="00874B0C">
              <w:rPr>
                <w:rFonts w:ascii="Times New Roman" w:eastAsia="Times New Roman" w:hAnsi="Times New Roman" w:cs="Times New Roman"/>
                <w:i/>
                <w:sz w:val="18"/>
                <w:szCs w:val="18"/>
                <w:lang w:val="en-US"/>
              </w:rPr>
              <w:t>Notes</w:t>
            </w:r>
          </w:p>
        </w:tc>
      </w:tr>
      <w:tr w:rsidR="00260632" w:rsidRPr="00874B0C" w14:paraId="3101C841" w14:textId="77777777" w:rsidTr="00874B0C">
        <w:tc>
          <w:tcPr>
            <w:tcW w:w="720" w:type="dxa"/>
            <w:shd w:val="clear" w:color="auto" w:fill="92D050"/>
          </w:tcPr>
          <w:p w14:paraId="171C88DE" w14:textId="77777777" w:rsidR="000A7EA3" w:rsidRPr="00874B0C" w:rsidRDefault="000A7EA3" w:rsidP="00874B0C">
            <w:pPr>
              <w:spacing w:line="276" w:lineRule="auto"/>
              <w:rPr>
                <w:rFonts w:ascii="Times New Roman" w:eastAsia="Calibri" w:hAnsi="Times New Roman" w:cs="Times New Roman"/>
                <w:sz w:val="18"/>
                <w:szCs w:val="18"/>
                <w:lang w:val="en-US"/>
              </w:rPr>
            </w:pPr>
          </w:p>
        </w:tc>
        <w:tc>
          <w:tcPr>
            <w:tcW w:w="5220" w:type="dxa"/>
            <w:shd w:val="clear" w:color="auto" w:fill="92D050"/>
          </w:tcPr>
          <w:p w14:paraId="3CBB6E23" w14:textId="71A0F858" w:rsidR="000A7EA3" w:rsidRPr="00874B0C" w:rsidRDefault="000A7EA3" w:rsidP="00874B0C">
            <w:pPr>
              <w:pStyle w:val="Heading1"/>
              <w:spacing w:line="276" w:lineRule="auto"/>
              <w:rPr>
                <w:rFonts w:ascii="Times New Roman" w:eastAsia="Calibri" w:hAnsi="Times New Roman" w:cs="Times New Roman"/>
                <w:color w:val="auto"/>
                <w:sz w:val="18"/>
                <w:szCs w:val="18"/>
                <w:lang w:val="en-US"/>
              </w:rPr>
            </w:pPr>
          </w:p>
        </w:tc>
        <w:tc>
          <w:tcPr>
            <w:tcW w:w="1080" w:type="dxa"/>
          </w:tcPr>
          <w:p w14:paraId="4950B37F" w14:textId="77777777" w:rsidR="000A7EA3" w:rsidRPr="00874B0C" w:rsidRDefault="000A7EA3" w:rsidP="00874B0C">
            <w:pPr>
              <w:spacing w:line="276" w:lineRule="auto"/>
              <w:rPr>
                <w:rFonts w:ascii="Times New Roman" w:eastAsia="Calibri" w:hAnsi="Times New Roman" w:cs="Times New Roman"/>
                <w:sz w:val="18"/>
                <w:szCs w:val="18"/>
              </w:rPr>
            </w:pPr>
          </w:p>
        </w:tc>
        <w:tc>
          <w:tcPr>
            <w:tcW w:w="720" w:type="dxa"/>
            <w:shd w:val="clear" w:color="auto" w:fill="92D050"/>
          </w:tcPr>
          <w:p w14:paraId="4039FF8E" w14:textId="633026E3" w:rsidR="000A7EA3" w:rsidRPr="00874B0C" w:rsidRDefault="000A7EA3" w:rsidP="00874B0C">
            <w:pPr>
              <w:spacing w:line="276" w:lineRule="auto"/>
              <w:rPr>
                <w:rFonts w:ascii="Times New Roman" w:eastAsia="Calibri" w:hAnsi="Times New Roman" w:cs="Times New Roman"/>
                <w:sz w:val="18"/>
                <w:szCs w:val="18"/>
                <w:lang w:val="en-US"/>
              </w:rPr>
            </w:pPr>
          </w:p>
        </w:tc>
        <w:tc>
          <w:tcPr>
            <w:tcW w:w="3870" w:type="dxa"/>
            <w:shd w:val="clear" w:color="auto" w:fill="92D050"/>
          </w:tcPr>
          <w:p w14:paraId="60873817" w14:textId="3B143B39" w:rsidR="00E94486" w:rsidRPr="00874B0C" w:rsidRDefault="00E94486" w:rsidP="00874B0C">
            <w:pPr>
              <w:spacing w:line="276" w:lineRule="auto"/>
              <w:jc w:val="center"/>
              <w:rPr>
                <w:rFonts w:ascii="Times New Roman" w:hAnsi="Times New Roman" w:cs="Times New Roman"/>
                <w:sz w:val="18"/>
                <w:szCs w:val="18"/>
              </w:rPr>
            </w:pPr>
          </w:p>
          <w:p w14:paraId="3E7FC550" w14:textId="77777777" w:rsidR="00E94486" w:rsidRPr="00874B0C" w:rsidRDefault="00E94486" w:rsidP="00874B0C">
            <w:pPr>
              <w:spacing w:line="276" w:lineRule="auto"/>
              <w:jc w:val="center"/>
              <w:rPr>
                <w:rFonts w:ascii="Times New Roman" w:hAnsi="Times New Roman" w:cs="Times New Roman"/>
                <w:sz w:val="18"/>
                <w:szCs w:val="18"/>
              </w:rPr>
            </w:pPr>
            <w:r w:rsidRPr="00874B0C">
              <w:rPr>
                <w:rFonts w:ascii="Times New Roman" w:hAnsi="Times New Roman" w:cs="Times New Roman"/>
                <w:sz w:val="18"/>
                <w:szCs w:val="18"/>
              </w:rPr>
              <w:t>GENERAL PROVISIONS</w:t>
            </w:r>
          </w:p>
          <w:p w14:paraId="0C0DB225" w14:textId="77777777" w:rsidR="000A7EA3" w:rsidRPr="00874B0C" w:rsidRDefault="000A7EA3" w:rsidP="00874B0C">
            <w:pPr>
              <w:spacing w:line="276" w:lineRule="auto"/>
              <w:jc w:val="center"/>
              <w:rPr>
                <w:rFonts w:ascii="Times New Roman" w:eastAsia="Calibri" w:hAnsi="Times New Roman" w:cs="Times New Roman"/>
                <w:sz w:val="18"/>
                <w:szCs w:val="18"/>
                <w:lang w:val="en-US"/>
              </w:rPr>
            </w:pPr>
          </w:p>
        </w:tc>
        <w:tc>
          <w:tcPr>
            <w:tcW w:w="1184" w:type="dxa"/>
            <w:shd w:val="clear" w:color="auto" w:fill="92D050"/>
          </w:tcPr>
          <w:p w14:paraId="0477FAD4" w14:textId="77777777" w:rsidR="000A7EA3" w:rsidRPr="00874B0C" w:rsidRDefault="000A7EA3" w:rsidP="00874B0C">
            <w:pPr>
              <w:spacing w:line="276" w:lineRule="auto"/>
              <w:rPr>
                <w:rFonts w:ascii="Times New Roman" w:eastAsia="Calibri" w:hAnsi="Times New Roman" w:cs="Times New Roman"/>
                <w:sz w:val="18"/>
                <w:szCs w:val="18"/>
                <w:lang w:val="en-US"/>
              </w:rPr>
            </w:pPr>
          </w:p>
        </w:tc>
        <w:tc>
          <w:tcPr>
            <w:tcW w:w="3406" w:type="dxa"/>
            <w:shd w:val="clear" w:color="auto" w:fill="92D050"/>
          </w:tcPr>
          <w:p w14:paraId="09DE5223" w14:textId="77777777" w:rsidR="000A7EA3" w:rsidRPr="00874B0C" w:rsidRDefault="000A7EA3" w:rsidP="00874B0C">
            <w:pPr>
              <w:spacing w:line="276" w:lineRule="auto"/>
              <w:rPr>
                <w:rFonts w:ascii="Times New Roman" w:eastAsia="Calibri" w:hAnsi="Times New Roman" w:cs="Times New Roman"/>
                <w:sz w:val="18"/>
                <w:szCs w:val="18"/>
                <w:lang w:val="en-US"/>
              </w:rPr>
            </w:pPr>
          </w:p>
        </w:tc>
      </w:tr>
      <w:tr w:rsidR="00260632" w:rsidRPr="00874B0C" w14:paraId="6560FCB0" w14:textId="77777777" w:rsidTr="00874B0C">
        <w:tc>
          <w:tcPr>
            <w:tcW w:w="720" w:type="dxa"/>
            <w:shd w:val="clear" w:color="auto" w:fill="F2F2F2"/>
          </w:tcPr>
          <w:p w14:paraId="2C6C40A7" w14:textId="77777777" w:rsidR="000A7EA3" w:rsidRPr="00874B0C" w:rsidRDefault="000A7EA3" w:rsidP="00874B0C">
            <w:pPr>
              <w:spacing w:line="276" w:lineRule="auto"/>
              <w:jc w:val="center"/>
              <w:rPr>
                <w:rFonts w:ascii="Times New Roman" w:eastAsia="Calibri" w:hAnsi="Times New Roman" w:cs="Times New Roman"/>
                <w:i/>
                <w:iCs/>
                <w:sz w:val="18"/>
                <w:szCs w:val="18"/>
                <w:lang w:val="en-US"/>
              </w:rPr>
            </w:pPr>
          </w:p>
        </w:tc>
        <w:tc>
          <w:tcPr>
            <w:tcW w:w="5220" w:type="dxa"/>
            <w:shd w:val="clear" w:color="auto" w:fill="F2F2F2"/>
          </w:tcPr>
          <w:p w14:paraId="4FF914BE" w14:textId="7A1302B7" w:rsidR="00990A3C" w:rsidRPr="00874B0C" w:rsidRDefault="00990A3C" w:rsidP="00874B0C">
            <w:pPr>
              <w:spacing w:line="276" w:lineRule="auto"/>
              <w:rPr>
                <w:rFonts w:ascii="Times New Roman" w:hAnsi="Times New Roman" w:cs="Times New Roman"/>
                <w:sz w:val="18"/>
                <w:szCs w:val="18"/>
              </w:rPr>
            </w:pPr>
            <w:bookmarkStart w:id="0" w:name="articolul1"/>
            <w:bookmarkEnd w:id="0"/>
          </w:p>
        </w:tc>
        <w:tc>
          <w:tcPr>
            <w:tcW w:w="1080" w:type="dxa"/>
          </w:tcPr>
          <w:p w14:paraId="63FB219E" w14:textId="77777777" w:rsidR="000A7EA3" w:rsidRPr="00874B0C" w:rsidRDefault="000A7EA3" w:rsidP="00874B0C">
            <w:pPr>
              <w:spacing w:line="276" w:lineRule="auto"/>
              <w:rPr>
                <w:rFonts w:ascii="Times New Roman" w:eastAsia="Calibri" w:hAnsi="Times New Roman" w:cs="Times New Roman"/>
                <w:sz w:val="18"/>
                <w:szCs w:val="18"/>
              </w:rPr>
            </w:pPr>
          </w:p>
        </w:tc>
        <w:tc>
          <w:tcPr>
            <w:tcW w:w="720" w:type="dxa"/>
            <w:shd w:val="clear" w:color="auto" w:fill="F2F2F2"/>
          </w:tcPr>
          <w:p w14:paraId="373E1C1C" w14:textId="3802F198" w:rsidR="000A7EA3" w:rsidRPr="00874B0C" w:rsidRDefault="000A7EA3" w:rsidP="00874B0C">
            <w:pPr>
              <w:spacing w:line="276" w:lineRule="auto"/>
              <w:rPr>
                <w:rFonts w:ascii="Times New Roman" w:eastAsia="Calibri" w:hAnsi="Times New Roman" w:cs="Times New Roman"/>
                <w:sz w:val="18"/>
                <w:szCs w:val="18"/>
                <w:lang w:val="en-US"/>
              </w:rPr>
            </w:pPr>
          </w:p>
        </w:tc>
        <w:tc>
          <w:tcPr>
            <w:tcW w:w="3870" w:type="dxa"/>
            <w:shd w:val="clear" w:color="auto" w:fill="F2F2F2"/>
          </w:tcPr>
          <w:p w14:paraId="64C93E4E" w14:textId="449C89EF" w:rsidR="000A7EA3" w:rsidRPr="00874B0C" w:rsidRDefault="000A7EA3" w:rsidP="00874B0C">
            <w:pPr>
              <w:spacing w:line="276" w:lineRule="auto"/>
              <w:rPr>
                <w:rFonts w:ascii="Times New Roman" w:hAnsi="Times New Roman" w:cs="Times New Roman"/>
                <w:sz w:val="18"/>
                <w:szCs w:val="18"/>
              </w:rPr>
            </w:pPr>
          </w:p>
        </w:tc>
        <w:tc>
          <w:tcPr>
            <w:tcW w:w="1184" w:type="dxa"/>
            <w:shd w:val="clear" w:color="auto" w:fill="F2F2F2"/>
          </w:tcPr>
          <w:p w14:paraId="176811E7" w14:textId="77777777" w:rsidR="000A7EA3" w:rsidRPr="00874B0C" w:rsidRDefault="000A7EA3" w:rsidP="00874B0C">
            <w:pPr>
              <w:spacing w:line="276" w:lineRule="auto"/>
              <w:jc w:val="center"/>
              <w:rPr>
                <w:rFonts w:ascii="Times New Roman" w:eastAsia="Calibri" w:hAnsi="Times New Roman" w:cs="Times New Roman"/>
                <w:sz w:val="18"/>
                <w:szCs w:val="18"/>
                <w:lang w:val="en-US"/>
              </w:rPr>
            </w:pPr>
          </w:p>
        </w:tc>
        <w:tc>
          <w:tcPr>
            <w:tcW w:w="3406" w:type="dxa"/>
            <w:shd w:val="clear" w:color="auto" w:fill="F2F2F2"/>
          </w:tcPr>
          <w:p w14:paraId="0E837D0C" w14:textId="77777777" w:rsidR="000A7EA3" w:rsidRPr="00874B0C" w:rsidRDefault="000A7EA3" w:rsidP="00874B0C">
            <w:pPr>
              <w:spacing w:line="276" w:lineRule="auto"/>
              <w:rPr>
                <w:rFonts w:ascii="Times New Roman" w:eastAsia="Calibri" w:hAnsi="Times New Roman" w:cs="Times New Roman"/>
                <w:sz w:val="18"/>
                <w:szCs w:val="18"/>
                <w:lang w:val="en-US"/>
              </w:rPr>
            </w:pPr>
          </w:p>
        </w:tc>
      </w:tr>
      <w:tr w:rsidR="000E7263" w:rsidRPr="00874B0C" w14:paraId="67621EF0" w14:textId="77777777" w:rsidTr="00874B0C">
        <w:trPr>
          <w:trHeight w:val="70"/>
        </w:trPr>
        <w:tc>
          <w:tcPr>
            <w:tcW w:w="720" w:type="dxa"/>
            <w:shd w:val="clear" w:color="auto" w:fill="F2F2F2"/>
          </w:tcPr>
          <w:p w14:paraId="48E4FBD0" w14:textId="77777777" w:rsidR="000E7263" w:rsidRPr="00874B0C" w:rsidRDefault="000E7263" w:rsidP="00874B0C">
            <w:pPr>
              <w:spacing w:line="276" w:lineRule="auto"/>
              <w:jc w:val="center"/>
              <w:rPr>
                <w:rFonts w:ascii="Times New Roman" w:eastAsia="Calibri" w:hAnsi="Times New Roman" w:cs="Times New Roman"/>
                <w:sz w:val="18"/>
                <w:szCs w:val="18"/>
              </w:rPr>
            </w:pPr>
          </w:p>
        </w:tc>
        <w:tc>
          <w:tcPr>
            <w:tcW w:w="5220" w:type="dxa"/>
            <w:shd w:val="clear" w:color="auto" w:fill="FFFFFF" w:themeFill="background1"/>
          </w:tcPr>
          <w:p w14:paraId="501D5741" w14:textId="3D3D8BFB"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Article 1</w:t>
            </w:r>
          </w:p>
          <w:p w14:paraId="44944E3D" w14:textId="7D2FE7B5"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Directive 2011/16/EU is amended as follows:</w:t>
            </w:r>
          </w:p>
          <w:p w14:paraId="3BA60E1D" w14:textId="31D90E8E"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(1)</w:t>
            </w:r>
          </w:p>
          <w:p w14:paraId="5F29A947" w14:textId="6F10248A"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Article 3 is amended as follows:</w:t>
            </w:r>
          </w:p>
          <w:p w14:paraId="55EEB737" w14:textId="7B989339"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(a)point 9 is amended as follows:</w:t>
            </w:r>
          </w:p>
          <w:p w14:paraId="049132AF" w14:textId="02669716"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(i)</w:t>
            </w:r>
            <w:r w:rsidR="00C064BA" w:rsidRPr="00874B0C">
              <w:rPr>
                <w:rFonts w:eastAsia="Calibri"/>
                <w:iCs/>
                <w:sz w:val="18"/>
                <w:szCs w:val="18"/>
              </w:rPr>
              <w:t xml:space="preserve"> </w:t>
            </w:r>
            <w:r w:rsidRPr="00874B0C">
              <w:rPr>
                <w:rFonts w:eastAsia="Calibri"/>
                <w:iCs/>
                <w:sz w:val="18"/>
                <w:szCs w:val="18"/>
              </w:rPr>
              <w:t>in the first subparagraph, point (a) is replaced by the following:</w:t>
            </w:r>
          </w:p>
          <w:p w14:paraId="18C2D607" w14:textId="17E729BF"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lastRenderedPageBreak/>
              <w:t>(a)</w:t>
            </w:r>
            <w:r w:rsidR="00C064BA" w:rsidRPr="00874B0C">
              <w:rPr>
                <w:rFonts w:eastAsia="Calibri"/>
                <w:iCs/>
                <w:sz w:val="18"/>
                <w:szCs w:val="18"/>
              </w:rPr>
              <w:t xml:space="preserve"> </w:t>
            </w:r>
            <w:r w:rsidRPr="00874B0C">
              <w:rPr>
                <w:rFonts w:eastAsia="Calibri"/>
                <w:iCs/>
                <w:sz w:val="18"/>
                <w:szCs w:val="18"/>
              </w:rPr>
              <w:t>for the purposes of Article 8(1) and Articles 8a to 8ad, the systematic communication of predefined information to another Member State, without prior request, at pre-established regular intervals. For the purposes of Article 8(1), reference to available information relates to information in the tax files of the Member State communicating the information, which is retrievable in accordance with the procedures for gathering and processing information in that Member State;’;</w:t>
            </w:r>
          </w:p>
          <w:p w14:paraId="23805422" w14:textId="21CA57D2"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(ii)</w:t>
            </w:r>
            <w:r w:rsidR="00C064BA" w:rsidRPr="00874B0C">
              <w:rPr>
                <w:rFonts w:eastAsia="Calibri"/>
                <w:iCs/>
                <w:sz w:val="18"/>
                <w:szCs w:val="18"/>
              </w:rPr>
              <w:t xml:space="preserve"> </w:t>
            </w:r>
            <w:r w:rsidRPr="00874B0C">
              <w:rPr>
                <w:rFonts w:eastAsia="Calibri"/>
                <w:iCs/>
                <w:sz w:val="18"/>
                <w:szCs w:val="18"/>
              </w:rPr>
              <w:t>in the first subparagraph, point (c) is replaced by the following:</w:t>
            </w:r>
          </w:p>
          <w:p w14:paraId="2181B631" w14:textId="5C3558ED"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‘(c)</w:t>
            </w:r>
            <w:r w:rsidR="00C064BA" w:rsidRPr="00874B0C">
              <w:rPr>
                <w:rFonts w:eastAsia="Calibri"/>
                <w:iCs/>
                <w:sz w:val="18"/>
                <w:szCs w:val="18"/>
              </w:rPr>
              <w:t xml:space="preserve"> </w:t>
            </w:r>
            <w:r w:rsidRPr="00874B0C">
              <w:rPr>
                <w:rFonts w:eastAsia="Calibri"/>
                <w:iCs/>
                <w:sz w:val="18"/>
                <w:szCs w:val="18"/>
              </w:rPr>
              <w:t>for the purposes of provisions of this Directive other than Article 8(1) and (3a) and Articles 8a to 8ad, the systematic communication of predefined information provided in the first subparagraph, points (a) and (b), of this point.’;</w:t>
            </w:r>
          </w:p>
          <w:p w14:paraId="797ECA1D" w14:textId="19AFA6C2"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(iii)</w:t>
            </w:r>
            <w:r w:rsidR="00C064BA" w:rsidRPr="00874B0C">
              <w:rPr>
                <w:rFonts w:eastAsia="Calibri"/>
                <w:iCs/>
                <w:sz w:val="18"/>
                <w:szCs w:val="18"/>
              </w:rPr>
              <w:t xml:space="preserve"> </w:t>
            </w:r>
            <w:r w:rsidRPr="00874B0C">
              <w:rPr>
                <w:rFonts w:eastAsia="Calibri"/>
                <w:iCs/>
                <w:sz w:val="18"/>
                <w:szCs w:val="18"/>
              </w:rPr>
              <w:t>the second subparagraph is replaced by the following:</w:t>
            </w:r>
          </w:p>
          <w:p w14:paraId="378B498C" w14:textId="7A3E2937"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‘In the context of this Article, Articles 8(3a), 8(7a), 21(2) and Annex IV, any capitalised term shall have the meaning that it has under the corresponding definitions set out in Annex I. In the context of Article 21(5) and Article 25(3) and (4), any capitalised term shall have the meaning that it has under the corresponding definitions set out in Annex I, V or VI. In the context of Article 8aa and Annex III, any capitalised term shall have the meaning that it has under the corresponding definitions set out in Annex III. In the context of Article 8ac and Annex V, any capitalised term shall have the meaning that it has under the corresponding definitions set out in Annex V. In the context of Article 8ad and Annex VI, any capitalised term shall have the meaning that it has under the corresponding definitions set out in Annex VI.’;</w:t>
            </w:r>
          </w:p>
          <w:p w14:paraId="7612AB10" w14:textId="616EEE27"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lastRenderedPageBreak/>
              <w:t>(b)</w:t>
            </w:r>
            <w:r w:rsidR="00C064BA" w:rsidRPr="00874B0C">
              <w:rPr>
                <w:rFonts w:eastAsia="Calibri"/>
                <w:iCs/>
                <w:sz w:val="18"/>
                <w:szCs w:val="18"/>
              </w:rPr>
              <w:t xml:space="preserve"> </w:t>
            </w:r>
            <w:r w:rsidRPr="00874B0C">
              <w:rPr>
                <w:rFonts w:eastAsia="Calibri"/>
                <w:iCs/>
                <w:sz w:val="18"/>
                <w:szCs w:val="18"/>
              </w:rPr>
              <w:t>in point 14, first subparagraph, point (d) is replaced by the following:</w:t>
            </w:r>
          </w:p>
          <w:p w14:paraId="57DC1732" w14:textId="499D5C8D"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‘(d)</w:t>
            </w:r>
            <w:r w:rsidR="00C064BA" w:rsidRPr="00874B0C">
              <w:rPr>
                <w:rFonts w:eastAsia="Calibri"/>
                <w:iCs/>
                <w:sz w:val="18"/>
                <w:szCs w:val="18"/>
              </w:rPr>
              <w:t xml:space="preserve"> </w:t>
            </w:r>
            <w:r w:rsidRPr="00874B0C">
              <w:rPr>
                <w:rFonts w:eastAsia="Calibri"/>
                <w:iCs/>
                <w:sz w:val="18"/>
                <w:szCs w:val="18"/>
              </w:rPr>
              <w:t>relates to a cross-border transaction, or to the question of whether or not activities carried on by a person in another jurisdiction create a permanent establishment or to the question of whether or not a natural person is resident for tax purposes in the Member State issuing the ruling; and’;</w:t>
            </w:r>
          </w:p>
          <w:p w14:paraId="333B4DF5" w14:textId="21058CC3"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(c)</w:t>
            </w:r>
            <w:r w:rsidR="00C064BA" w:rsidRPr="00874B0C">
              <w:rPr>
                <w:rFonts w:eastAsia="Calibri"/>
                <w:iCs/>
                <w:sz w:val="18"/>
                <w:szCs w:val="18"/>
              </w:rPr>
              <w:t xml:space="preserve"> </w:t>
            </w:r>
            <w:r w:rsidRPr="00874B0C">
              <w:rPr>
                <w:rFonts w:eastAsia="Calibri"/>
                <w:iCs/>
                <w:sz w:val="18"/>
                <w:szCs w:val="18"/>
              </w:rPr>
              <w:t>the following points are added:</w:t>
            </w:r>
          </w:p>
          <w:p w14:paraId="57E6206F" w14:textId="7798AFEB"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‘28.</w:t>
            </w:r>
            <w:r w:rsidR="00C064BA" w:rsidRPr="00874B0C">
              <w:rPr>
                <w:rFonts w:eastAsia="Calibri"/>
                <w:iCs/>
                <w:sz w:val="18"/>
                <w:szCs w:val="18"/>
              </w:rPr>
              <w:t xml:space="preserve"> </w:t>
            </w:r>
            <w:r w:rsidR="009E71CE">
              <w:rPr>
                <w:rFonts w:eastAsia="Calibri"/>
                <w:iCs/>
                <w:sz w:val="18"/>
                <w:szCs w:val="18"/>
              </w:rPr>
              <w:t>“</w:t>
            </w:r>
            <w:r w:rsidRPr="00874B0C">
              <w:rPr>
                <w:rFonts w:eastAsia="Calibri"/>
                <w:iCs/>
                <w:sz w:val="18"/>
                <w:szCs w:val="18"/>
              </w:rPr>
              <w:t>non-custodial dividend income</w:t>
            </w:r>
            <w:r w:rsidR="009E71CE">
              <w:rPr>
                <w:rFonts w:eastAsia="Calibri"/>
                <w:iCs/>
                <w:sz w:val="18"/>
                <w:szCs w:val="18"/>
              </w:rPr>
              <w:t>”</w:t>
            </w:r>
            <w:r w:rsidRPr="00874B0C">
              <w:rPr>
                <w:rFonts w:eastAsia="Calibri"/>
                <w:iCs/>
                <w:sz w:val="18"/>
                <w:szCs w:val="18"/>
              </w:rPr>
              <w:t xml:space="preserve"> means dividends or other income treated as dividends in the payer’s Member State which are paid or credited to an account other than a Custodial Account as defined in Section VIII, subparagraph C(3), of Annex I;</w:t>
            </w:r>
          </w:p>
          <w:p w14:paraId="522B13A1" w14:textId="2D263B49"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29.</w:t>
            </w:r>
            <w:r w:rsidR="00C064BA" w:rsidRPr="00874B0C">
              <w:rPr>
                <w:rFonts w:eastAsia="Calibri"/>
                <w:iCs/>
                <w:sz w:val="18"/>
                <w:szCs w:val="18"/>
              </w:rPr>
              <w:t xml:space="preserve"> </w:t>
            </w:r>
            <w:r w:rsidR="009E71CE">
              <w:rPr>
                <w:rFonts w:eastAsia="Calibri"/>
                <w:iCs/>
                <w:sz w:val="18"/>
                <w:szCs w:val="18"/>
              </w:rPr>
              <w:t>“</w:t>
            </w:r>
            <w:r w:rsidRPr="00874B0C">
              <w:rPr>
                <w:rFonts w:eastAsia="Calibri"/>
                <w:iCs/>
                <w:sz w:val="18"/>
                <w:szCs w:val="18"/>
              </w:rPr>
              <w:t>life insurance products not covered by other Union legal instruments on exchange of information and other similar measures</w:t>
            </w:r>
            <w:r w:rsidR="009E71CE">
              <w:rPr>
                <w:rFonts w:eastAsia="Calibri"/>
                <w:iCs/>
                <w:sz w:val="18"/>
                <w:szCs w:val="18"/>
              </w:rPr>
              <w:t>”</w:t>
            </w:r>
            <w:r w:rsidRPr="00874B0C">
              <w:rPr>
                <w:rFonts w:eastAsia="Calibri"/>
                <w:iCs/>
                <w:sz w:val="18"/>
                <w:szCs w:val="18"/>
              </w:rPr>
              <w:t xml:space="preserve"> means Insurance Contracts, other than Cash Value Insurance Contracts subject to reporting under Section I of Annex I, where benefits under the contracts are payable on death of a policy holder;</w:t>
            </w:r>
          </w:p>
          <w:p w14:paraId="6AB8ACD4" w14:textId="114BF171"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30.</w:t>
            </w:r>
            <w:r w:rsidR="00C064BA" w:rsidRPr="00874B0C">
              <w:rPr>
                <w:rFonts w:eastAsia="Calibri"/>
                <w:iCs/>
                <w:sz w:val="18"/>
                <w:szCs w:val="18"/>
              </w:rPr>
              <w:t xml:space="preserve"> </w:t>
            </w:r>
            <w:r w:rsidR="009E71CE">
              <w:rPr>
                <w:rFonts w:eastAsia="Calibri"/>
                <w:iCs/>
                <w:sz w:val="18"/>
                <w:szCs w:val="18"/>
              </w:rPr>
              <w:t>“</w:t>
            </w:r>
            <w:r w:rsidRPr="00874B0C">
              <w:rPr>
                <w:rFonts w:eastAsia="Calibri"/>
                <w:iCs/>
                <w:sz w:val="18"/>
                <w:szCs w:val="18"/>
              </w:rPr>
              <w:t>distributed ledger address</w:t>
            </w:r>
            <w:r w:rsidR="009E71CE">
              <w:rPr>
                <w:rFonts w:eastAsia="Calibri"/>
                <w:iCs/>
                <w:sz w:val="18"/>
                <w:szCs w:val="18"/>
              </w:rPr>
              <w:t>”</w:t>
            </w:r>
            <w:r w:rsidRPr="00874B0C">
              <w:rPr>
                <w:rFonts w:eastAsia="Calibri"/>
                <w:iCs/>
                <w:sz w:val="18"/>
                <w:szCs w:val="18"/>
              </w:rPr>
              <w:t xml:space="preserve"> means distributed ledger address referred to in Regulation (EU) 2023/1114 of the European Parliament and of the Council (*1);</w:t>
            </w:r>
          </w:p>
          <w:p w14:paraId="07D6937C" w14:textId="43CAD37C"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31.</w:t>
            </w:r>
            <w:r w:rsidR="00C064BA" w:rsidRPr="00874B0C">
              <w:rPr>
                <w:rFonts w:eastAsia="Calibri"/>
                <w:iCs/>
                <w:sz w:val="18"/>
                <w:szCs w:val="18"/>
              </w:rPr>
              <w:t xml:space="preserve"> </w:t>
            </w:r>
            <w:r w:rsidR="009E71CE">
              <w:rPr>
                <w:rFonts w:eastAsia="Calibri"/>
                <w:iCs/>
                <w:sz w:val="18"/>
                <w:szCs w:val="18"/>
              </w:rPr>
              <w:t>“</w:t>
            </w:r>
            <w:r w:rsidRPr="00874B0C">
              <w:rPr>
                <w:rFonts w:eastAsia="Calibri"/>
                <w:iCs/>
                <w:sz w:val="18"/>
                <w:szCs w:val="18"/>
              </w:rPr>
              <w:t>client</w:t>
            </w:r>
            <w:r w:rsidR="009E71CE">
              <w:rPr>
                <w:rFonts w:eastAsia="Calibri"/>
                <w:iCs/>
                <w:sz w:val="18"/>
                <w:szCs w:val="18"/>
              </w:rPr>
              <w:t>”</w:t>
            </w:r>
            <w:r w:rsidRPr="00874B0C">
              <w:rPr>
                <w:rFonts w:eastAsia="Calibri"/>
                <w:iCs/>
                <w:sz w:val="18"/>
                <w:szCs w:val="18"/>
              </w:rPr>
              <w:t xml:space="preserve"> means, for the purposes of Article 8ab, any intermediary or relevant taxpayer that receives services, including assistance, advice, counsel or guidance, from an intermediary subject to legal professional privilege in relation to a reportable cross-border arrangement.</w:t>
            </w:r>
          </w:p>
          <w:p w14:paraId="5AF784CA" w14:textId="071C5E4F"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 xml:space="preserve">(*1)  Regulation (EU) 2023/1114 of the European Parliament and of the Council of 31 May 2023 on markets in crypto-assets, and </w:t>
            </w:r>
            <w:r w:rsidRPr="00874B0C">
              <w:rPr>
                <w:rFonts w:eastAsia="Calibri"/>
                <w:iCs/>
                <w:sz w:val="18"/>
                <w:szCs w:val="18"/>
              </w:rPr>
              <w:lastRenderedPageBreak/>
              <w:t>amending Regulations (EU) No 1093/2010 and (EU) No 1095/2010 and Directives 2013/36/EU and (EU) 2019/1937 (OJ L 150, 9.6.2023, p. 40).’;</w:t>
            </w:r>
            <w:r w:rsidR="009E71CE">
              <w:rPr>
                <w:rFonts w:eastAsia="Calibri"/>
                <w:iCs/>
                <w:sz w:val="18"/>
                <w:szCs w:val="18"/>
              </w:rPr>
              <w:t>”</w:t>
            </w:r>
          </w:p>
          <w:p w14:paraId="35906A2F" w14:textId="622D937A"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(2)</w:t>
            </w:r>
            <w:r w:rsidR="00C064BA" w:rsidRPr="00874B0C">
              <w:rPr>
                <w:rFonts w:eastAsia="Calibri"/>
                <w:iCs/>
                <w:sz w:val="18"/>
                <w:szCs w:val="18"/>
              </w:rPr>
              <w:t xml:space="preserve"> </w:t>
            </w:r>
            <w:r w:rsidRPr="00874B0C">
              <w:rPr>
                <w:rFonts w:eastAsia="Calibri"/>
                <w:iCs/>
                <w:sz w:val="18"/>
                <w:szCs w:val="18"/>
              </w:rPr>
              <w:t>Article 8 is amended as follows:</w:t>
            </w:r>
          </w:p>
          <w:p w14:paraId="49C5A715" w14:textId="7F55BDB0"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w:t>
            </w:r>
            <w:r w:rsidR="00C064BA" w:rsidRPr="00874B0C">
              <w:rPr>
                <w:rFonts w:eastAsia="Calibri"/>
                <w:iCs/>
                <w:sz w:val="18"/>
                <w:szCs w:val="18"/>
              </w:rPr>
              <w:t xml:space="preserve"> </w:t>
            </w:r>
            <w:r w:rsidRPr="00874B0C">
              <w:rPr>
                <w:rFonts w:eastAsia="Calibri"/>
                <w:iCs/>
                <w:sz w:val="18"/>
                <w:szCs w:val="18"/>
              </w:rPr>
              <w:t>in paragraph 1, the first subparagraph is replaced by the following:</w:t>
            </w:r>
          </w:p>
          <w:p w14:paraId="412F702C" w14:textId="4680E772"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‘1.   The competent authority of each Member State shall, by automatic exchange, communicate to the competent authority of any other Member State all information that is available concerning residents of that other Member State, on the following specific categories of income and capital as they are to be understood under the national legislation of the Member State which communicates the information:</w:t>
            </w:r>
          </w:p>
          <w:p w14:paraId="5A8911C1" w14:textId="1B7A503E"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w:t>
            </w:r>
            <w:r w:rsidR="00C064BA" w:rsidRPr="00874B0C">
              <w:rPr>
                <w:rFonts w:eastAsia="Calibri"/>
                <w:iCs/>
                <w:sz w:val="18"/>
                <w:szCs w:val="18"/>
              </w:rPr>
              <w:t xml:space="preserve"> </w:t>
            </w:r>
            <w:r w:rsidRPr="00874B0C">
              <w:rPr>
                <w:rFonts w:eastAsia="Calibri"/>
                <w:iCs/>
                <w:sz w:val="18"/>
                <w:szCs w:val="18"/>
              </w:rPr>
              <w:t>income from employment;</w:t>
            </w:r>
          </w:p>
          <w:p w14:paraId="3D5939F1" w14:textId="484C6B59"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(b)</w:t>
            </w:r>
            <w:r w:rsidR="00C064BA" w:rsidRPr="00874B0C">
              <w:rPr>
                <w:rFonts w:eastAsia="Calibri"/>
                <w:iCs/>
                <w:sz w:val="18"/>
                <w:szCs w:val="18"/>
              </w:rPr>
              <w:t xml:space="preserve"> </w:t>
            </w:r>
            <w:r w:rsidRPr="00874B0C">
              <w:rPr>
                <w:rFonts w:eastAsia="Calibri"/>
                <w:iCs/>
                <w:sz w:val="18"/>
                <w:szCs w:val="18"/>
              </w:rPr>
              <w:t>director’s fees;</w:t>
            </w:r>
          </w:p>
          <w:p w14:paraId="495600DA" w14:textId="5D5F1E01"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(c)</w:t>
            </w:r>
            <w:r w:rsidR="00C064BA" w:rsidRPr="00874B0C">
              <w:rPr>
                <w:rFonts w:eastAsia="Calibri"/>
                <w:iCs/>
                <w:sz w:val="18"/>
                <w:szCs w:val="18"/>
              </w:rPr>
              <w:t xml:space="preserve"> </w:t>
            </w:r>
            <w:r w:rsidRPr="00874B0C">
              <w:rPr>
                <w:rFonts w:eastAsia="Calibri"/>
                <w:iCs/>
                <w:sz w:val="18"/>
                <w:szCs w:val="18"/>
              </w:rPr>
              <w:t>income from life insurance products not covered by other Union legal instruments on exchange of information and other similar measures;</w:t>
            </w:r>
          </w:p>
          <w:p w14:paraId="23B57ED8" w14:textId="4AAD2784"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(d)</w:t>
            </w:r>
            <w:r w:rsidR="00C064BA" w:rsidRPr="00874B0C">
              <w:rPr>
                <w:rFonts w:eastAsia="Calibri"/>
                <w:iCs/>
                <w:sz w:val="18"/>
                <w:szCs w:val="18"/>
              </w:rPr>
              <w:t xml:space="preserve"> </w:t>
            </w:r>
            <w:r w:rsidRPr="00874B0C">
              <w:rPr>
                <w:rFonts w:eastAsia="Calibri"/>
                <w:iCs/>
                <w:sz w:val="18"/>
                <w:szCs w:val="18"/>
              </w:rPr>
              <w:t>pensions;</w:t>
            </w:r>
          </w:p>
          <w:p w14:paraId="0799593B" w14:textId="5DF54190"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(e)</w:t>
            </w:r>
            <w:r w:rsidR="00C064BA" w:rsidRPr="00874B0C">
              <w:rPr>
                <w:rFonts w:eastAsia="Calibri"/>
                <w:iCs/>
                <w:sz w:val="18"/>
                <w:szCs w:val="18"/>
              </w:rPr>
              <w:t xml:space="preserve"> </w:t>
            </w:r>
            <w:r w:rsidRPr="00874B0C">
              <w:rPr>
                <w:rFonts w:eastAsia="Calibri"/>
                <w:iCs/>
                <w:sz w:val="18"/>
                <w:szCs w:val="18"/>
              </w:rPr>
              <w:t>ownership of and income from immovable property;</w:t>
            </w:r>
          </w:p>
          <w:p w14:paraId="483D85F4" w14:textId="6CD0F6A9"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(f)</w:t>
            </w:r>
            <w:r w:rsidR="00C064BA" w:rsidRPr="00874B0C">
              <w:rPr>
                <w:rFonts w:eastAsia="Calibri"/>
                <w:iCs/>
                <w:sz w:val="18"/>
                <w:szCs w:val="18"/>
              </w:rPr>
              <w:t xml:space="preserve"> </w:t>
            </w:r>
            <w:r w:rsidRPr="00874B0C">
              <w:rPr>
                <w:rFonts w:eastAsia="Calibri"/>
                <w:iCs/>
                <w:sz w:val="18"/>
                <w:szCs w:val="18"/>
              </w:rPr>
              <w:t>royalties;</w:t>
            </w:r>
          </w:p>
          <w:p w14:paraId="60CFED55" w14:textId="64177A1C"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(g)</w:t>
            </w:r>
            <w:r w:rsidR="00C064BA" w:rsidRPr="00874B0C">
              <w:rPr>
                <w:rFonts w:eastAsia="Calibri"/>
                <w:iCs/>
                <w:sz w:val="18"/>
                <w:szCs w:val="18"/>
              </w:rPr>
              <w:t xml:space="preserve"> </w:t>
            </w:r>
            <w:r w:rsidRPr="00874B0C">
              <w:rPr>
                <w:rFonts w:eastAsia="Calibri"/>
                <w:iCs/>
                <w:sz w:val="18"/>
                <w:szCs w:val="18"/>
              </w:rPr>
              <w:t>non-custodial dividend income other than income from dividends exempt from corporate income tax pursuant to Articles 4, 5 or 6 of Council Directive 2011/96/EU (*2).</w:t>
            </w:r>
          </w:p>
          <w:p w14:paraId="1A369D65" w14:textId="423C27F7"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(*2)  Council Directive 2011/96/EU of 30 November 2011 on the common system of taxation applicable in the case of parent companies and subsidiaries of different Member States (OJ L 345, 29.12.2011, p. 8).’;</w:t>
            </w:r>
            <w:r w:rsidR="009E71CE">
              <w:rPr>
                <w:rFonts w:eastAsia="Calibri"/>
                <w:iCs/>
                <w:sz w:val="18"/>
                <w:szCs w:val="18"/>
              </w:rPr>
              <w:t>”</w:t>
            </w:r>
          </w:p>
          <w:p w14:paraId="0E5A8D74" w14:textId="6AA9BDB3"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(b)</w:t>
            </w:r>
            <w:r w:rsidR="00C064BA" w:rsidRPr="00874B0C">
              <w:rPr>
                <w:rFonts w:eastAsia="Calibri"/>
                <w:iCs/>
                <w:sz w:val="18"/>
                <w:szCs w:val="18"/>
              </w:rPr>
              <w:t xml:space="preserve"> </w:t>
            </w:r>
            <w:r w:rsidRPr="00874B0C">
              <w:rPr>
                <w:rFonts w:eastAsia="Calibri"/>
                <w:iCs/>
                <w:sz w:val="18"/>
                <w:szCs w:val="18"/>
              </w:rPr>
              <w:t>in paragraph 2, the following subparagraph is added:</w:t>
            </w:r>
          </w:p>
          <w:p w14:paraId="3EA6D1F8" w14:textId="673F3C60"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‘Before 1 January 2026, Member States shall inform the Commission of at least five categories listed in paragraph 1, first subparagraph, in respect of which the competent authority of each Member State shall, by automatic exchange, communicate to the competent authority of any other Member State information concerning residents of that other Member State. Such information shall concern taxable periods starting on or after 1 January 2026.’;</w:t>
            </w:r>
          </w:p>
          <w:p w14:paraId="63780B08" w14:textId="6FBCEE02"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(c)</w:t>
            </w:r>
            <w:r w:rsidR="00C064BA" w:rsidRPr="00874B0C">
              <w:rPr>
                <w:rFonts w:eastAsia="Calibri"/>
                <w:iCs/>
                <w:sz w:val="18"/>
                <w:szCs w:val="18"/>
              </w:rPr>
              <w:t xml:space="preserve"> </w:t>
            </w:r>
            <w:r w:rsidRPr="00874B0C">
              <w:rPr>
                <w:rFonts w:eastAsia="Calibri"/>
                <w:iCs/>
                <w:sz w:val="18"/>
                <w:szCs w:val="18"/>
              </w:rPr>
              <w:t>paragraph 7a is replaced by the following:</w:t>
            </w:r>
          </w:p>
          <w:p w14:paraId="3E52E4B9" w14:textId="26239BE2"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‘7a.   Member States shall ensure that entities and accounts that are to be treated, respectively, as Non-Reporting Financial Institutions and Excluded Accounts satisfy all the requirements listed in Section VIII, subparagraph B(1), point (c), and subparagraph C(17), point (g), of Annex I, and in particular that the status of a Financial Institution as a Non-Reporting Financial Institution or the status of an account as an Excluded Account does not frustrate the purposes of this Directive.’</w:t>
            </w:r>
          </w:p>
          <w:p w14:paraId="3C3CCA85" w14:textId="2D0FE79D"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(3)</w:t>
            </w:r>
            <w:r w:rsidR="00C064BA" w:rsidRPr="00874B0C">
              <w:rPr>
                <w:rFonts w:eastAsia="Calibri"/>
                <w:iCs/>
                <w:sz w:val="18"/>
                <w:szCs w:val="18"/>
              </w:rPr>
              <w:t xml:space="preserve"> </w:t>
            </w:r>
            <w:r w:rsidRPr="00874B0C">
              <w:rPr>
                <w:rFonts w:eastAsia="Calibri"/>
                <w:iCs/>
                <w:sz w:val="18"/>
                <w:szCs w:val="18"/>
              </w:rPr>
              <w:t>Article 8a is amended as follows:</w:t>
            </w:r>
          </w:p>
          <w:p w14:paraId="4C5A263B" w14:textId="511AB6AF"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w:t>
            </w:r>
            <w:r w:rsidR="00C064BA" w:rsidRPr="00874B0C">
              <w:rPr>
                <w:rFonts w:eastAsia="Calibri"/>
                <w:iCs/>
                <w:sz w:val="18"/>
                <w:szCs w:val="18"/>
              </w:rPr>
              <w:t xml:space="preserve"> </w:t>
            </w:r>
            <w:r w:rsidRPr="00874B0C">
              <w:rPr>
                <w:rFonts w:eastAsia="Calibri"/>
                <w:iCs/>
                <w:sz w:val="18"/>
                <w:szCs w:val="18"/>
              </w:rPr>
              <w:t>paragraph 4 is replaced by the following:</w:t>
            </w:r>
          </w:p>
          <w:p w14:paraId="0819AF51" w14:textId="1D139D77"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‘4.   Paragraphs 1 and 2 shall not apply in a case where an advance cross-border ruling exclusively concerns and involves the tax affairs of one or more natural persons, except where such an advance cross-border ruling was issued, amended or renewed after 1 January 2026 and where:</w:t>
            </w:r>
          </w:p>
          <w:p w14:paraId="017CAF1C" w14:textId="73CB3472"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w:t>
            </w:r>
            <w:r w:rsidR="00C064BA" w:rsidRPr="00874B0C">
              <w:rPr>
                <w:rFonts w:eastAsia="Calibri"/>
                <w:iCs/>
                <w:sz w:val="18"/>
                <w:szCs w:val="18"/>
              </w:rPr>
              <w:t xml:space="preserve"> </w:t>
            </w:r>
            <w:r w:rsidRPr="00874B0C">
              <w:rPr>
                <w:rFonts w:eastAsia="Calibri"/>
                <w:iCs/>
                <w:sz w:val="18"/>
                <w:szCs w:val="18"/>
              </w:rPr>
              <w:t>the amount of the transaction or series of transactions of the advance cross-border ruling exceeds EUR 1 500 000 (or the equivalent amount in any other currency), if such amount is referred to in the advance cross-border ruling; or</w:t>
            </w:r>
          </w:p>
          <w:p w14:paraId="27567EA5"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6B83933F" w14:textId="3EFC3C31"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(b)</w:t>
            </w:r>
            <w:r w:rsidR="00C064BA" w:rsidRPr="00874B0C">
              <w:rPr>
                <w:rFonts w:eastAsia="Calibri"/>
                <w:iCs/>
                <w:sz w:val="18"/>
                <w:szCs w:val="18"/>
              </w:rPr>
              <w:t xml:space="preserve"> </w:t>
            </w:r>
            <w:r w:rsidRPr="00874B0C">
              <w:rPr>
                <w:rFonts w:eastAsia="Calibri"/>
                <w:iCs/>
                <w:sz w:val="18"/>
                <w:szCs w:val="18"/>
              </w:rPr>
              <w:t>the advance cross-border ruling determines whether a person is or is not resident for tax purposes in the Member State issuing the ruling.</w:t>
            </w:r>
          </w:p>
          <w:p w14:paraId="31B4D3E5"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0131C359"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For the purposes of the first subparagraph, point (a), and without prejudice to the amount referred to in the advance cross-border ruling, in a series of transactions regarding different goods, services or assets the amount of the advance cross-border ruling shall comprise the total underlying value. The amounts shall not be aggregated if the same goods, services or assets are transacted several times.</w:t>
            </w:r>
          </w:p>
          <w:p w14:paraId="6D1FE7EC"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7C114A95"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Notwithstanding the first subparagraph, point (b), the exchange of information on advance cross-border rulings concerning natural persons shall not include such rulings on taxation at source with regard to non-residents’ income from employment, director’s fees or pensions.’</w:t>
            </w:r>
          </w:p>
          <w:p w14:paraId="3E6739A1"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191AA6F0" w14:textId="6D9DFE03"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2D853188" w14:textId="23DED82B"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(b)</w:t>
            </w:r>
            <w:r w:rsidR="00C064BA" w:rsidRPr="00874B0C">
              <w:rPr>
                <w:rFonts w:eastAsia="Calibri"/>
                <w:iCs/>
                <w:sz w:val="18"/>
                <w:szCs w:val="18"/>
              </w:rPr>
              <w:t xml:space="preserve"> </w:t>
            </w:r>
            <w:r w:rsidRPr="00874B0C">
              <w:rPr>
                <w:rFonts w:eastAsia="Calibri"/>
                <w:iCs/>
                <w:sz w:val="18"/>
                <w:szCs w:val="18"/>
              </w:rPr>
              <w:t>paragraph 6 is amended as follows:</w:t>
            </w:r>
          </w:p>
          <w:p w14:paraId="69CA04F2"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6C5FD3E8" w14:textId="2547FC53"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(i)</w:t>
            </w:r>
            <w:r w:rsidR="00C064BA" w:rsidRPr="00874B0C">
              <w:rPr>
                <w:rFonts w:eastAsia="Calibri"/>
                <w:iCs/>
                <w:sz w:val="18"/>
                <w:szCs w:val="18"/>
              </w:rPr>
              <w:t xml:space="preserve"> </w:t>
            </w:r>
            <w:r w:rsidRPr="00874B0C">
              <w:rPr>
                <w:rFonts w:eastAsia="Calibri"/>
                <w:iCs/>
                <w:sz w:val="18"/>
                <w:szCs w:val="18"/>
              </w:rPr>
              <w:t>point (a) is replaced by the following:</w:t>
            </w:r>
          </w:p>
          <w:p w14:paraId="33515EE6"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1E22FCDA" w14:textId="23BB6C0F"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w:t>
            </w:r>
            <w:r w:rsidR="00C064BA" w:rsidRPr="00874B0C">
              <w:rPr>
                <w:rFonts w:eastAsia="Calibri"/>
                <w:iCs/>
                <w:sz w:val="18"/>
                <w:szCs w:val="18"/>
              </w:rPr>
              <w:t xml:space="preserve"> </w:t>
            </w:r>
            <w:r w:rsidRPr="00874B0C">
              <w:rPr>
                <w:rFonts w:eastAsia="Calibri"/>
                <w:iCs/>
                <w:sz w:val="18"/>
                <w:szCs w:val="18"/>
              </w:rPr>
              <w:t>the identification of the person, other than a natural person, except where the advance-cross border ruling concerns a natural person and shall be communicated pursuant to paragraphs 1 and 4, and where appropriate the group of persons to which it belongs;’;</w:t>
            </w:r>
          </w:p>
          <w:p w14:paraId="3F4AED38"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05E0D7DC" w14:textId="00A48571"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(ii)</w:t>
            </w:r>
            <w:r w:rsidR="00C064BA" w:rsidRPr="00874B0C">
              <w:rPr>
                <w:rFonts w:eastAsia="Calibri"/>
                <w:iCs/>
                <w:sz w:val="18"/>
                <w:szCs w:val="18"/>
              </w:rPr>
              <w:t xml:space="preserve"> </w:t>
            </w:r>
            <w:r w:rsidRPr="00874B0C">
              <w:rPr>
                <w:rFonts w:eastAsia="Calibri"/>
                <w:iCs/>
                <w:sz w:val="18"/>
                <w:szCs w:val="18"/>
              </w:rPr>
              <w:t>point (k) is replaced by the following:</w:t>
            </w:r>
          </w:p>
          <w:p w14:paraId="1DC5B3D1"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258DAE76" w14:textId="6248AD31"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‘(k)</w:t>
            </w:r>
            <w:r w:rsidR="00C064BA" w:rsidRPr="00874B0C">
              <w:rPr>
                <w:rFonts w:eastAsia="Calibri"/>
                <w:iCs/>
                <w:sz w:val="18"/>
                <w:szCs w:val="18"/>
              </w:rPr>
              <w:t xml:space="preserve"> </w:t>
            </w:r>
            <w:r w:rsidRPr="00874B0C">
              <w:rPr>
                <w:rFonts w:eastAsia="Calibri"/>
                <w:iCs/>
                <w:sz w:val="18"/>
                <w:szCs w:val="18"/>
              </w:rPr>
              <w:t>the identification of any person, other than a natural person, except where the advance-cross border ruling concerns a natural person and shall be communicated pursuant to paragraphs 1 and 4, in the other Member States, if any, likely to be affected by the advance cross-border ruling, or advance pricing arrangement (indicating to which Member States the affected persons are linked); and’;</w:t>
            </w:r>
          </w:p>
          <w:p w14:paraId="253368D8" w14:textId="5741FEF9"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(4)</w:t>
            </w:r>
            <w:r w:rsidR="00C064BA" w:rsidRPr="00874B0C">
              <w:rPr>
                <w:rFonts w:eastAsia="Calibri"/>
                <w:iCs/>
                <w:sz w:val="18"/>
                <w:szCs w:val="18"/>
              </w:rPr>
              <w:t xml:space="preserve"> </w:t>
            </w:r>
            <w:r w:rsidRPr="00874B0C">
              <w:rPr>
                <w:rFonts w:eastAsia="Calibri"/>
                <w:iCs/>
                <w:sz w:val="18"/>
                <w:szCs w:val="18"/>
              </w:rPr>
              <w:t>Article 8ab is amended as follows:</w:t>
            </w:r>
          </w:p>
          <w:p w14:paraId="4049FCB6"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3EAAEB7C" w14:textId="5CD3D234"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w:t>
            </w:r>
            <w:r w:rsidR="00C064BA" w:rsidRPr="00874B0C">
              <w:rPr>
                <w:rFonts w:eastAsia="Calibri"/>
                <w:iCs/>
                <w:sz w:val="18"/>
                <w:szCs w:val="18"/>
              </w:rPr>
              <w:t xml:space="preserve"> </w:t>
            </w:r>
            <w:r w:rsidRPr="00874B0C">
              <w:rPr>
                <w:rFonts w:eastAsia="Calibri"/>
                <w:iCs/>
                <w:sz w:val="18"/>
                <w:szCs w:val="18"/>
              </w:rPr>
              <w:t>in paragraph 5, the first subparagraph is replaced by the following:</w:t>
            </w:r>
          </w:p>
          <w:p w14:paraId="3E18D65A"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384AFFF2" w14:textId="51662C09"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‘5.   Each Member State may take the necessary measures to give intermediaries the right to a waiver from filing information on a reportable cross-border arrangement where the reporting obligation would breach the legal professional privilege under the national law of that Member State. In such circumstances, each Member State shall take the necessary measures to require any intermediaries that have been granted a waiver to notify, without delay, their client, if that client is an intermediary or, where there is no such intermediary, that client is the relevant taxpayer, of that client’s reporting obligations under paragraph 6.’</w:t>
            </w:r>
          </w:p>
          <w:p w14:paraId="129F64DF" w14:textId="366ED79F"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(b)</w:t>
            </w:r>
            <w:r w:rsidR="00C064BA" w:rsidRPr="00874B0C">
              <w:rPr>
                <w:rFonts w:eastAsia="Calibri"/>
                <w:iCs/>
                <w:sz w:val="18"/>
                <w:szCs w:val="18"/>
              </w:rPr>
              <w:t xml:space="preserve"> </w:t>
            </w:r>
            <w:r w:rsidRPr="00874B0C">
              <w:rPr>
                <w:rFonts w:eastAsia="Calibri"/>
                <w:iCs/>
                <w:sz w:val="18"/>
                <w:szCs w:val="18"/>
              </w:rPr>
              <w:t>paragraph 14 is amended as follows:</w:t>
            </w:r>
          </w:p>
          <w:p w14:paraId="07ED7257"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31B07FA3" w14:textId="231DFC58"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(i)</w:t>
            </w:r>
            <w:r w:rsidR="00C064BA" w:rsidRPr="00874B0C">
              <w:rPr>
                <w:rFonts w:eastAsia="Calibri"/>
                <w:iCs/>
                <w:sz w:val="18"/>
                <w:szCs w:val="18"/>
              </w:rPr>
              <w:t xml:space="preserve"> </w:t>
            </w:r>
            <w:r w:rsidRPr="00874B0C">
              <w:rPr>
                <w:rFonts w:eastAsia="Calibri"/>
                <w:iCs/>
                <w:sz w:val="18"/>
                <w:szCs w:val="18"/>
              </w:rPr>
              <w:t>point (a) is replaced by the following:</w:t>
            </w:r>
          </w:p>
          <w:p w14:paraId="5B1D6302"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741FCAD0" w14:textId="7A2DA7C0"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(a)</w:t>
            </w:r>
            <w:r w:rsidR="00C064BA" w:rsidRPr="00874B0C">
              <w:rPr>
                <w:rFonts w:eastAsia="Calibri"/>
                <w:iCs/>
                <w:sz w:val="18"/>
                <w:szCs w:val="18"/>
              </w:rPr>
              <w:t xml:space="preserve"> </w:t>
            </w:r>
            <w:r w:rsidRPr="00874B0C">
              <w:rPr>
                <w:rFonts w:eastAsia="Calibri"/>
                <w:iCs/>
                <w:sz w:val="18"/>
                <w:szCs w:val="18"/>
              </w:rPr>
              <w:t>he identification of intermediaries, other than intermediaries exempt from the reporting obligation on account of the legal professional privilege pursuant to paragraph 5, and relevant taxpayers, including their name, date and place of birth (in the case of an individual), residence for tax purposes, TIN and, where appropriate, the persons that are associated enterprises to the relevant taxpayer;’;</w:t>
            </w:r>
          </w:p>
          <w:p w14:paraId="02B47199"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1131D516" w14:textId="7A4CD5CE"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(ii)</w:t>
            </w:r>
            <w:r w:rsidR="00C064BA" w:rsidRPr="00874B0C">
              <w:rPr>
                <w:rFonts w:eastAsia="Calibri"/>
                <w:iCs/>
                <w:sz w:val="18"/>
                <w:szCs w:val="18"/>
              </w:rPr>
              <w:t xml:space="preserve"> </w:t>
            </w:r>
            <w:r w:rsidRPr="00874B0C">
              <w:rPr>
                <w:rFonts w:eastAsia="Calibri"/>
                <w:iCs/>
                <w:sz w:val="18"/>
                <w:szCs w:val="18"/>
              </w:rPr>
              <w:t>point (c) is replaced by the following:</w:t>
            </w:r>
          </w:p>
          <w:p w14:paraId="3FC85D79"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3F7055D5" w14:textId="25FD64C8"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‘(c)</w:t>
            </w:r>
            <w:r w:rsidR="00C064BA" w:rsidRPr="00874B0C">
              <w:rPr>
                <w:rFonts w:eastAsia="Calibri"/>
                <w:iCs/>
                <w:sz w:val="18"/>
                <w:szCs w:val="18"/>
              </w:rPr>
              <w:t xml:space="preserve"> </w:t>
            </w:r>
            <w:r w:rsidRPr="00874B0C">
              <w:rPr>
                <w:rFonts w:eastAsia="Calibri"/>
                <w:iCs/>
                <w:sz w:val="18"/>
                <w:szCs w:val="18"/>
              </w:rPr>
              <w:t>a summary of the content of the reportable cross-border arrangement, including a reference to the name by which it is commonly known, if any, and a description of the relevant arrangements and any other information that could assist the competent authority in assessing a potential tax risk, without leading to the disclosure of a commercial, industrial or professional secret or of a commercial process, or of information whose disclosure would be contrary to public policy;’;</w:t>
            </w:r>
          </w:p>
          <w:p w14:paraId="5399B1E8"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24B21A54" w14:textId="4704259B" w:rsidR="00E94486"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(5)</w:t>
            </w:r>
            <w:r w:rsidR="00C064BA" w:rsidRPr="00874B0C">
              <w:rPr>
                <w:rFonts w:eastAsia="Calibri"/>
                <w:iCs/>
                <w:sz w:val="18"/>
                <w:szCs w:val="18"/>
              </w:rPr>
              <w:t xml:space="preserve"> </w:t>
            </w:r>
            <w:r w:rsidRPr="00874B0C">
              <w:rPr>
                <w:rFonts w:eastAsia="Calibri"/>
                <w:iCs/>
                <w:sz w:val="18"/>
                <w:szCs w:val="18"/>
              </w:rPr>
              <w:t>in Article 8ac(2), first subparagraph, the following point is added:</w:t>
            </w:r>
          </w:p>
          <w:p w14:paraId="5FA8C7FA" w14:textId="77777777" w:rsidR="00E94486" w:rsidRPr="00874B0C" w:rsidRDefault="00E94486" w:rsidP="00874B0C">
            <w:pPr>
              <w:pStyle w:val="oj-ti-grseq-1"/>
              <w:shd w:val="clear" w:color="auto" w:fill="FFFFFF"/>
              <w:spacing w:before="240" w:after="120" w:line="276" w:lineRule="auto"/>
              <w:jc w:val="both"/>
              <w:rPr>
                <w:rFonts w:eastAsia="Calibri"/>
                <w:iCs/>
                <w:sz w:val="18"/>
                <w:szCs w:val="18"/>
              </w:rPr>
            </w:pPr>
          </w:p>
          <w:p w14:paraId="66E5CC83" w14:textId="50B334D2" w:rsidR="00B84C0D" w:rsidRPr="00874B0C" w:rsidRDefault="00E94486" w:rsidP="00874B0C">
            <w:pPr>
              <w:pStyle w:val="oj-ti-grseq-1"/>
              <w:shd w:val="clear" w:color="auto" w:fill="FFFFFF"/>
              <w:spacing w:before="240" w:after="120" w:line="276" w:lineRule="auto"/>
              <w:jc w:val="both"/>
              <w:rPr>
                <w:rFonts w:eastAsia="Calibri"/>
                <w:iCs/>
                <w:sz w:val="18"/>
                <w:szCs w:val="18"/>
              </w:rPr>
            </w:pPr>
            <w:r w:rsidRPr="00874B0C">
              <w:rPr>
                <w:rFonts w:eastAsia="Calibri"/>
                <w:iCs/>
                <w:sz w:val="18"/>
                <w:szCs w:val="18"/>
              </w:rPr>
              <w:t>‘(m)</w:t>
            </w:r>
            <w:r w:rsidR="00C064BA" w:rsidRPr="00874B0C">
              <w:rPr>
                <w:rFonts w:eastAsia="Calibri"/>
                <w:iCs/>
                <w:sz w:val="18"/>
                <w:szCs w:val="18"/>
              </w:rPr>
              <w:t xml:space="preserve"> </w:t>
            </w:r>
            <w:r w:rsidRPr="00874B0C">
              <w:rPr>
                <w:rFonts w:eastAsia="Calibri"/>
                <w:iCs/>
                <w:sz w:val="18"/>
                <w:szCs w:val="18"/>
              </w:rPr>
              <w:t>the Identification Service identifier and the Member State of issuance, where the Reporting Platform Operator relies on direct confirmation of the identity and residence of the Seller through an Identification Service made available by a Member State or the Union to ascertain the identity and tax residence of the Seller; in such cases it is not necessary to communicate to the Member State of issuance of the Identification Service identifier the information referred to in points (c) to (g).’;</w:t>
            </w:r>
          </w:p>
          <w:p w14:paraId="139D3A67" w14:textId="625CD46C" w:rsidR="000E7263" w:rsidRPr="00874B0C" w:rsidRDefault="000E7263" w:rsidP="00874B0C">
            <w:pPr>
              <w:pStyle w:val="oj-ti-grseq-1"/>
              <w:shd w:val="clear" w:color="auto" w:fill="FFFFFF"/>
              <w:spacing w:before="240" w:after="120" w:line="276" w:lineRule="auto"/>
              <w:jc w:val="center"/>
              <w:rPr>
                <w:rFonts w:eastAsia="Calibri"/>
                <w:iCs/>
                <w:sz w:val="18"/>
                <w:szCs w:val="18"/>
              </w:rPr>
            </w:pPr>
          </w:p>
        </w:tc>
        <w:tc>
          <w:tcPr>
            <w:tcW w:w="1080" w:type="dxa"/>
            <w:shd w:val="clear" w:color="auto" w:fill="FFFFFF" w:themeFill="background1"/>
          </w:tcPr>
          <w:p w14:paraId="11D631C0" w14:textId="77777777" w:rsidR="000E7263" w:rsidRPr="00874B0C" w:rsidRDefault="000E7263" w:rsidP="00874B0C">
            <w:pPr>
              <w:spacing w:line="276" w:lineRule="auto"/>
              <w:jc w:val="center"/>
              <w:rPr>
                <w:rFonts w:ascii="Times New Roman" w:eastAsia="Calibri" w:hAnsi="Times New Roman" w:cs="Times New Roman"/>
                <w:sz w:val="18"/>
                <w:szCs w:val="18"/>
              </w:rPr>
            </w:pPr>
          </w:p>
        </w:tc>
        <w:tc>
          <w:tcPr>
            <w:tcW w:w="720" w:type="dxa"/>
            <w:shd w:val="clear" w:color="auto" w:fill="FFFFFF" w:themeFill="background1"/>
          </w:tcPr>
          <w:p w14:paraId="613F4C4B" w14:textId="366C653C" w:rsidR="000E7263" w:rsidRPr="00874B0C" w:rsidRDefault="00F8202D"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3870" w:type="dxa"/>
            <w:shd w:val="clear" w:color="auto" w:fill="FFFFFF" w:themeFill="background1"/>
          </w:tcPr>
          <w:p w14:paraId="545EC644" w14:textId="50B4C988" w:rsidR="000E7263" w:rsidRPr="00874B0C" w:rsidRDefault="00F8202D"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1184" w:type="dxa"/>
            <w:shd w:val="clear" w:color="auto" w:fill="FFFFFF" w:themeFill="background1"/>
          </w:tcPr>
          <w:p w14:paraId="52E9038E" w14:textId="66E3BE32" w:rsidR="000E7263" w:rsidRPr="00874B0C" w:rsidRDefault="000E7263" w:rsidP="00874B0C">
            <w:pPr>
              <w:spacing w:line="276" w:lineRule="auto"/>
              <w:rPr>
                <w:rFonts w:ascii="Times New Roman" w:eastAsia="Calibri" w:hAnsi="Times New Roman" w:cs="Times New Roman"/>
                <w:sz w:val="18"/>
                <w:szCs w:val="18"/>
              </w:rPr>
            </w:pPr>
          </w:p>
        </w:tc>
        <w:tc>
          <w:tcPr>
            <w:tcW w:w="3406" w:type="dxa"/>
            <w:shd w:val="clear" w:color="auto" w:fill="FFFFFF" w:themeFill="background1"/>
          </w:tcPr>
          <w:p w14:paraId="499CFD26" w14:textId="77777777" w:rsidR="00A919CD" w:rsidRPr="00874B0C" w:rsidRDefault="00A919CD"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 xml:space="preserve">Not applicable for direct transposition within this draft law. </w:t>
            </w:r>
          </w:p>
          <w:p w14:paraId="26A87AA4" w14:textId="77777777" w:rsidR="00A919CD" w:rsidRPr="00874B0C" w:rsidRDefault="00A919CD"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These amendments concern horizontal modifications to Directive 2011/16/EU, including definitions, scope, and provisions related to other categories of automatic exchange of information (such as DAC3, DAC6, DAC7).</w:t>
            </w:r>
          </w:p>
          <w:p w14:paraId="2875A545" w14:textId="77777777" w:rsidR="00A919CD" w:rsidRPr="00874B0C" w:rsidRDefault="00A919CD" w:rsidP="00874B0C">
            <w:pPr>
              <w:spacing w:line="276" w:lineRule="auto"/>
              <w:rPr>
                <w:rFonts w:ascii="Times New Roman" w:eastAsia="Calibri" w:hAnsi="Times New Roman" w:cs="Times New Roman"/>
                <w:sz w:val="18"/>
                <w:szCs w:val="18"/>
              </w:rPr>
            </w:pPr>
          </w:p>
          <w:p w14:paraId="503A4B28" w14:textId="44520AAD" w:rsidR="000E7263" w:rsidRPr="00874B0C" w:rsidRDefault="00A919CD"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The present draft law is limited to the transposition of Article 8ad and Annex VI (DAC8 – crypto-assets).</w:t>
            </w:r>
          </w:p>
        </w:tc>
      </w:tr>
      <w:tr w:rsidR="000E7263" w:rsidRPr="00874B0C" w14:paraId="7DE381A3" w14:textId="77777777" w:rsidTr="00874B0C">
        <w:trPr>
          <w:trHeight w:val="764"/>
        </w:trPr>
        <w:tc>
          <w:tcPr>
            <w:tcW w:w="720" w:type="dxa"/>
            <w:shd w:val="clear" w:color="auto" w:fill="F2F2F2"/>
          </w:tcPr>
          <w:p w14:paraId="32924530" w14:textId="77777777" w:rsidR="000E7263" w:rsidRPr="00874B0C" w:rsidRDefault="000E7263" w:rsidP="00874B0C">
            <w:pPr>
              <w:spacing w:line="276" w:lineRule="auto"/>
              <w:jc w:val="center"/>
              <w:rPr>
                <w:rFonts w:ascii="Times New Roman" w:eastAsia="Calibri" w:hAnsi="Times New Roman" w:cs="Times New Roman"/>
                <w:i/>
                <w:sz w:val="18"/>
                <w:szCs w:val="18"/>
              </w:rPr>
            </w:pPr>
          </w:p>
        </w:tc>
        <w:tc>
          <w:tcPr>
            <w:tcW w:w="5220" w:type="dxa"/>
            <w:shd w:val="clear" w:color="auto" w:fill="FFFFFF" w:themeFill="background1"/>
          </w:tcPr>
          <w:p w14:paraId="72ABEB96" w14:textId="083E9C4B" w:rsidR="00C064BA" w:rsidRPr="00874B0C" w:rsidRDefault="00C064BA" w:rsidP="00874B0C">
            <w:pPr>
              <w:pStyle w:val="oj-ti-grseq-1"/>
              <w:shd w:val="clear" w:color="auto" w:fill="FFFFFF"/>
              <w:spacing w:before="240" w:after="120" w:line="276" w:lineRule="auto"/>
              <w:jc w:val="center"/>
              <w:rPr>
                <w:rFonts w:eastAsia="Calibri"/>
                <w:b/>
                <w:iCs/>
                <w:sz w:val="18"/>
                <w:szCs w:val="18"/>
              </w:rPr>
            </w:pPr>
            <w:r w:rsidRPr="00874B0C">
              <w:rPr>
                <w:rFonts w:eastAsia="Calibri"/>
                <w:b/>
                <w:iCs/>
                <w:sz w:val="18"/>
                <w:szCs w:val="18"/>
              </w:rPr>
              <w:t>‘Article 8ad</w:t>
            </w:r>
          </w:p>
          <w:p w14:paraId="01D5BF21" w14:textId="59FC1829" w:rsidR="00C064BA" w:rsidRPr="00874B0C" w:rsidRDefault="00C064BA" w:rsidP="00874B0C">
            <w:pPr>
              <w:pStyle w:val="oj-ti-grseq-1"/>
              <w:shd w:val="clear" w:color="auto" w:fill="FFFFFF"/>
              <w:spacing w:before="240" w:after="120" w:line="276" w:lineRule="auto"/>
              <w:jc w:val="center"/>
              <w:rPr>
                <w:rFonts w:eastAsia="Calibri"/>
                <w:b/>
                <w:iCs/>
                <w:sz w:val="18"/>
                <w:szCs w:val="18"/>
              </w:rPr>
            </w:pPr>
            <w:r w:rsidRPr="00874B0C">
              <w:rPr>
                <w:rFonts w:eastAsia="Calibri"/>
                <w:b/>
                <w:iCs/>
                <w:sz w:val="18"/>
                <w:szCs w:val="18"/>
              </w:rPr>
              <w:t>Scope and conditions of mandatory automatic exchange of information reported by Reporting Crypto-Asset Service Providers</w:t>
            </w:r>
          </w:p>
          <w:p w14:paraId="4BDC116F" w14:textId="64FEA99C"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Each Member State shall take the necessary measures to require Reporting Crypto-Asset Service Providers to fulfil the reporting requirements and carry out the due diligence procedures laid down in Sections II and III of Annex VI, respectively. Each Member State shall also ensure the effective implementation of, and compliance with, such measures in accordance with Section V of Annex VI.</w:t>
            </w:r>
          </w:p>
          <w:p w14:paraId="5495B37F" w14:textId="77777777"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Pursuant to the applicable reporting requirements and due diligence procedures contained in Sections II and III of Annex VI, respectively, the competent authority of a Member State where the reporting referred to in paragraph 1 of this Article takes place shall, by means of automatic exchange, and within the time limit laid down in paragraph 6 of this Article, communicate the information specified in paragraph 3 of this Article to the competent authorities of the Member States concerned in accordance with the practical arrangements adopted pursuant to Article 21.</w:t>
            </w:r>
          </w:p>
          <w:p w14:paraId="0E13F8CA" w14:textId="77777777" w:rsidR="00C064BA" w:rsidRPr="00874B0C" w:rsidRDefault="00C064BA" w:rsidP="00874B0C">
            <w:pPr>
              <w:pStyle w:val="oj-ti-grseq-1"/>
              <w:shd w:val="clear" w:color="auto" w:fill="FFFFFF"/>
              <w:spacing w:before="240" w:after="120" w:line="276" w:lineRule="auto"/>
              <w:rPr>
                <w:rFonts w:eastAsia="Calibri"/>
                <w:iCs/>
                <w:sz w:val="18"/>
                <w:szCs w:val="18"/>
              </w:rPr>
            </w:pPr>
          </w:p>
          <w:p w14:paraId="2F065218" w14:textId="3737B490"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The competent authority of a Member State shall communicate the following information regarding each Reportable Person:</w:t>
            </w:r>
          </w:p>
          <w:p w14:paraId="6D0C493F" w14:textId="6F16BFB7"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the name, address, Member State(s) of residence, TIN(s) and, in the case of an individual, date and place of birth of each Reportable User and, in the case of any Entity that, after application of the due diligence procedures laid down in Section III of Annex VI is identified as having one or more Controlling Persons that is a Reportable Person, the name, address, Member State(s) of residence and TIN(s) of the Entity and the name, address, Member State(s) of residence, TIN(s) and date and place of birth of each Controlling Person of the Entity that is a Reportable Person, as well as the role(s) by virtue of which each such Reportable Person is a Controlling Person of the Entity;</w:t>
            </w:r>
          </w:p>
          <w:p w14:paraId="6E9EA111" w14:textId="56C5D3A7"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notwithstanding the first subparagraph of this point, where the Reporting Crypto-Asset Service Provider relies on direct confirmation of the identity and residence of the Reportable Person through an Identification Service made available by a Member State or the Union to ascertain the identity and tax residence of the Reportable Person, the information to be communicated to the Member State of issuance of the Identification Service identifier regarding the Reportable Person shall include the name, the Identification Service identifier and the Member State of issuance, as well as the role(s) by virtue of which each Reportable Person is a Controlling Person of the Entity;</w:t>
            </w:r>
          </w:p>
          <w:p w14:paraId="55B46EB3" w14:textId="7E559763"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the name, address, TIN and, if available, the individual identification number referred to in paragraph 7 and the global legal entity identifier of the Reporting Crypto-Asset Service Provider;</w:t>
            </w:r>
          </w:p>
          <w:p w14:paraId="737C4017" w14:textId="349DBC7B"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for each type of Reportable Crypto-Asset with respect to which the Reporting Crypto-Asset Service Provider has effectuated Reportable Transactions during the relevant calendar year or other appropriate reporting period, where relevant:</w:t>
            </w:r>
          </w:p>
          <w:p w14:paraId="74DCEC45" w14:textId="22549CEB"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the full name of the type of Reportable Crypto-Asset;</w:t>
            </w:r>
          </w:p>
          <w:p w14:paraId="23699D13" w14:textId="74B1FB9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 the aggregate gross amount paid, the aggregate number of units and the number of Reportable Transactions in respect of acquisitions against Fiat Currency;</w:t>
            </w:r>
          </w:p>
          <w:p w14:paraId="1A1A729C" w14:textId="23149BDE"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(iii) the aggregate gross amount received, the aggregate number of units and the number of Reportable Transactions in respect of disposals against Fiat Currency;</w:t>
            </w:r>
          </w:p>
          <w:p w14:paraId="08E174C9" w14:textId="68AC6BD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(iv) the aggregate fair market value, the aggregate number of units and the number of Reportable Transactions in respect of acquisitions against other Reportable Crypto-Assets;</w:t>
            </w:r>
          </w:p>
          <w:p w14:paraId="2DD93BEF" w14:textId="39B1E8EE"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(v) the aggregate fair market value, the aggregate number of units and the number of Reportable Transactions in respect of disposals against other Reportable Crypto-Assets;</w:t>
            </w:r>
          </w:p>
          <w:p w14:paraId="7E0B8F74" w14:textId="7941B36C"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(vi) the aggregate fair market value, the aggregate number of units and the number of Reportable Retail Payment Transactions;</w:t>
            </w:r>
          </w:p>
          <w:p w14:paraId="19588903" w14:textId="575A72D1"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(vii) the aggregate fair market value, the aggregate number of units and the number of Reportable Transactions, and subdivided by transfer type where known by the Reporting Crypto-Asset Service Provider, in respect of Transfers to the Reportable User not covered by points (ii) and (iv);</w:t>
            </w:r>
          </w:p>
          <w:p w14:paraId="748CFFCB" w14:textId="77777777" w:rsidR="00C064BA" w:rsidRPr="00874B0C" w:rsidRDefault="00C064BA" w:rsidP="00874B0C">
            <w:pPr>
              <w:pStyle w:val="oj-ti-grseq-1"/>
              <w:shd w:val="clear" w:color="auto" w:fill="FFFFFF"/>
              <w:spacing w:before="240" w:after="120" w:line="276" w:lineRule="auto"/>
              <w:rPr>
                <w:rFonts w:eastAsia="Calibri"/>
                <w:iCs/>
                <w:sz w:val="18"/>
                <w:szCs w:val="18"/>
              </w:rPr>
            </w:pPr>
          </w:p>
          <w:p w14:paraId="4A6B1CB5" w14:textId="688D2294"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(viii) the aggregate fair market value, the aggregate number of units and the number of Reportable Transactions, and subdivided by transfer type where known by the Reporting Crypto-Asset Service Provider, in respect of Transfers by the Reportable User not covered by points (iii), (v) and (vi); and</w:t>
            </w:r>
          </w:p>
          <w:p w14:paraId="47D0A007" w14:textId="09747AC9"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(ix) the aggregate fair market value, as well as the aggregate number of units of Transfers effectuated by the Reporting Crypto-Asset Service Provider to distributed ledger addresses referred to in Regulation (EU) 2023/1114 not known to be associated with a virtual asset service provider or financial institution.</w:t>
            </w:r>
          </w:p>
          <w:p w14:paraId="4B4A6BF8" w14:textId="54971D87"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For the purposes of point (c)(ii) and (iii), the amount paid or received shall be communicated in the Fiat Currency in which it was paid or received. In case the amounts were paid or received in multiple Fiat Currencies, the amounts shall be communicated in a single Fiat Currency, converted at the time of each Reportable Transaction in a manner that is consistently applied by the Reporting Crypto-Asset Service Provider.</w:t>
            </w:r>
          </w:p>
          <w:p w14:paraId="4A4972DE" w14:textId="445499D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For the purposes of point (c)(iv) to (ix), the fair market value shall be determined and communicated in a single Fiat Currency, valued at the time of each Reportable Transaction in a manner that is consistently applied by the Reporting Crypto-Asset Service Provider.</w:t>
            </w:r>
          </w:p>
          <w:p w14:paraId="7EC89E70" w14:textId="77777777"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information communicated shall specify the Fiat Currency in which each amount is reported.</w:t>
            </w:r>
          </w:p>
          <w:p w14:paraId="71733AA7" w14:textId="77777777" w:rsidR="00C064BA" w:rsidRPr="00874B0C" w:rsidRDefault="00C064BA" w:rsidP="00874B0C">
            <w:pPr>
              <w:pStyle w:val="oj-ti-grseq-1"/>
              <w:shd w:val="clear" w:color="auto" w:fill="FFFFFF"/>
              <w:spacing w:before="240" w:after="120" w:line="276" w:lineRule="auto"/>
              <w:rPr>
                <w:rFonts w:eastAsia="Calibri"/>
                <w:iCs/>
                <w:sz w:val="18"/>
                <w:szCs w:val="18"/>
              </w:rPr>
            </w:pPr>
          </w:p>
          <w:p w14:paraId="042DA2CD" w14:textId="7C9E7FC1"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To facilitate the exchange of information referred to in paragraph 3 of this Article, the Commission shall, by means of implementing acts, adopt the necessary practical arrangements, including measures to standardise the communication of the information set out in that paragraph, as part of the procedure for establishing the standard computerised form provided for in Article 20(5). Those implementing acts shall be adopted in accordance with the procedure referred to in Article 26(2).</w:t>
            </w:r>
          </w:p>
          <w:p w14:paraId="44A8B188" w14:textId="67980739"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5.   The Commission shall not have access to information referred to in paragraph 3, points (a) and (b).</w:t>
            </w:r>
          </w:p>
          <w:p w14:paraId="6846DC55" w14:textId="4E59F624"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6.   The communication pursuant to paragraph 3 of this Article shall take place using the standard computerised form referred to in Article 20(5) within nine months following the end of the calendar year to which the reporting requirements applicable to Reporting Crypto-Asset Service Providers relate. The first information shall be communicated for the relevant calendar year or other appropriate reporting period as from 1 January 2026.</w:t>
            </w:r>
          </w:p>
          <w:p w14:paraId="14C39323" w14:textId="6C44942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7.   For the purpose of complying with the reporting requirements referred to in paragraph 1, each Member State shall lay down the necessary rules to require a Crypto-Asset Operator to register within the Union. The competent authority of the Member State of registration shall allocate an individual identification number to such Crypto-Asset Operator.</w:t>
            </w:r>
          </w:p>
          <w:p w14:paraId="7BAE2689" w14:textId="1DF4642D"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Member States shall lay down rules pursuant to which a Crypto-Asset Operator shall register with the competent authority of a single Member State in accordance with the rules laid down in Section V, paragraph F, of Annex VI.</w:t>
            </w:r>
          </w:p>
          <w:p w14:paraId="77D69771" w14:textId="43B3DB41"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Member States shall take the necessary measures to require that a Crypto-Asset Operator whose registration has been revoked in accordance with Section V, subparagraph F(7), of Annex VI can be permitted to register again only if it provides to the authorities of a Member State concerned appropriate assurance as regards its commitment to comply with the reporting requirements within the Union, including any outstanding unfulfilled reporting requirements.</w:t>
            </w:r>
          </w:p>
          <w:p w14:paraId="12FAE1B6" w14:textId="65EF1C5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8.   Paragraph 7 of this Article shall not apply to Crypto-Asset Service Providers within the meaning of Section IV, subparagraph B(1), of Annex VI.</w:t>
            </w:r>
          </w:p>
          <w:p w14:paraId="695A0CFD" w14:textId="211EF34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9.   The Commission shall, by means of implementing acts, lay down the practical and technical arrangements necessary for the registration and identification of Crypto-Asset Operators. Those implementing acts shall be adopted in accordance with the procedure referred to in Article 26(2).</w:t>
            </w:r>
          </w:p>
          <w:p w14:paraId="2D2A0E44" w14:textId="3B678AB7"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10.   The Commission shall, by 31 December 2025, establish a Crypto-Asset Operator register where information to be communicated in accordance with Section V, subparagraph F(2), of Annex VI shall be recorded. That Crypto-Asset Operator register shall be available to the competent authorities of all Member States.</w:t>
            </w:r>
          </w:p>
          <w:p w14:paraId="51B64D69" w14:textId="0E41507F"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11.   The Commission shall, by means of implementing acts, following a reasoned request by any Member State or on its own initiative, determine whether the information that is required to be automatically exchanged pursuant to an agreement between competent authorities of the Member State concerned and a non-Union jurisdiction corresponds to that specified in Section II, paragraph B, of Annex VI, within the meaning of Section IV, subparagraph F(5), of Annex VI. Those implementing acts shall be adopted in accordance with the procedure referred to in Article 26(2).</w:t>
            </w:r>
          </w:p>
          <w:p w14:paraId="64B3EAF5" w14:textId="7AB9CC95"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Member State requesting the measure referred to in the first subparagraph shall send a reasoned request to the Commission.</w:t>
            </w:r>
          </w:p>
          <w:p w14:paraId="570586ED" w14:textId="44EA7607"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If the Commission considers that it does not have all the information necessary for the appraisal of the request, it shall contact the Member State concerned within two months of receipt of the request and specify what additional information is required. Once the Commission has all the information it considers necessary, it shall, within one month, notify the requesting Member State and it shall submit the relevant information to the Committee referred to in Article 26(1).</w:t>
            </w:r>
          </w:p>
          <w:p w14:paraId="0D69EA1E" w14:textId="71BEB4CB"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When acting on its own initiative, the Commission shall adopt an implementing act as referred to in the first subparagraph only in respect of a competent authority agreement with a non-Union jurisdiction that requires the automatic exchange of information on an individual or Entity that is a customer of a Reporting Crypto-Asset Service Provider for the purpose of carrying out Reportable Transactions, concluded by a Member State.</w:t>
            </w:r>
          </w:p>
          <w:p w14:paraId="4F4F05EC" w14:textId="3C2AD02C"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When determining whether information is corresponding information within the meaning of the first subparagraph in relation to Reportable Transactions, the Commission shall take into due account the extent to which the regime on which such information is based corresponds to that set out in Annex VI, in particular with regard to:</w:t>
            </w:r>
          </w:p>
          <w:p w14:paraId="1A01D636" w14:textId="0117D9DD"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the definitions of Reporting Crypto-Asset Service Provider, Reportable User, and Reportable Transaction;</w:t>
            </w:r>
          </w:p>
          <w:p w14:paraId="5383947B" w14:textId="77777777" w:rsidR="00C064BA" w:rsidRPr="00874B0C" w:rsidRDefault="00C064BA" w:rsidP="00874B0C">
            <w:pPr>
              <w:pStyle w:val="oj-ti-grseq-1"/>
              <w:shd w:val="clear" w:color="auto" w:fill="FFFFFF"/>
              <w:spacing w:before="240" w:after="120" w:line="276" w:lineRule="auto"/>
              <w:rPr>
                <w:rFonts w:eastAsia="Calibri"/>
                <w:iCs/>
                <w:sz w:val="18"/>
                <w:szCs w:val="18"/>
              </w:rPr>
            </w:pPr>
          </w:p>
          <w:p w14:paraId="1962A341" w14:textId="51810EB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the procedures applicable for the purpose of identifying Reportable Users;</w:t>
            </w:r>
          </w:p>
          <w:p w14:paraId="405CB070" w14:textId="5F1E3714"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the reporting requirements;</w:t>
            </w:r>
          </w:p>
          <w:p w14:paraId="3B1CC26A" w14:textId="2533E7BD"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the rules and administrative procedures that non-Union jurisdictions are to have in place to ensure effective implementation of, and compliance with, the due diligence procedures and reporting requirements set out in that regime.</w:t>
            </w:r>
          </w:p>
          <w:p w14:paraId="17AEAF22" w14:textId="534DFF99"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procedure set out in this paragraph shall also apply for determining that the information is no longer corresponding within the meaning of Section IV, subparagraph F(5), of Annex VI.</w:t>
            </w:r>
          </w:p>
          <w:p w14:paraId="5A7DF504" w14:textId="7253646D"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12.   Notwithstanding paragraph 11, where an international standard on the reporting and automatic exchange of information on crypto-assets is determined to be a minimum standard or equivalent, any determination by the Commission, by means of implementing acts, on whether the information that is required to be automatically exchanged pursuant to the implementation of that standard and the competent authority agreement between the Member State(s) concerned and a non-Union jurisdiction is corresponding information shall no longer be required. That information shall be deemed to correspond to the information that is required under this Directive, provided that there is a competent authority agreement in place between the competent authorities of all Member States concerned and the non-Union jurisdiction that requires the automatic exchange of information on an individual or Entity that is a customer of a Reporting Crypto-Asset Service Provider for the purpose of carrying out Reportable Transactions. The corresponding provisions in this Article and in Annex VI shall no longer apply for such purposes.’</w:t>
            </w:r>
          </w:p>
          <w:p w14:paraId="7ECE96AF" w14:textId="04408D42"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(7) Article 16 is amended as follows:</w:t>
            </w:r>
          </w:p>
          <w:p w14:paraId="36D4D842" w14:textId="3B77C091"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in paragraph 1, the first subparagraph is replaced by the following:</w:t>
            </w:r>
          </w:p>
          <w:p w14:paraId="275468FB" w14:textId="7C235F3A"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Information communicated between Member States in any form pursuant to this Directive shall be covered by the obligation of official secrecy and enjoy the protection extended to similar information under the national law of the Member State which received it. Such information may be used for the assessment, administration and enforcement of the national law of Member States concerning the taxes referred to in Article 2 as well as VAT, other indirect taxes, customs duties and anti-money laundering and countering the financing of terrorism.’</w:t>
            </w:r>
          </w:p>
          <w:p w14:paraId="2722BD64" w14:textId="74092B21"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in paragraph 2, the following subparagraph is added:</w:t>
            </w:r>
          </w:p>
          <w:p w14:paraId="77F46F9A" w14:textId="1EC882F5"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competent authority that receives information and documents may also use the received information and documents without the permission referred to in the first subparagraph of this paragraph for any purpose that is covered by an act based on Article 215 of the Treaty on the Functioning of the European Union and share them for such purpose with the competent authority in charge of restrictive measures in the Member State concerned.’;</w:t>
            </w:r>
          </w:p>
          <w:p w14:paraId="0B618EF7" w14:textId="583ECCF0"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paragraph 3 is replaced by the following:</w:t>
            </w:r>
          </w:p>
          <w:p w14:paraId="38B65CB8" w14:textId="77777777" w:rsidR="00C064BA" w:rsidRPr="00874B0C" w:rsidRDefault="00C064BA" w:rsidP="00874B0C">
            <w:pPr>
              <w:pStyle w:val="oj-ti-grseq-1"/>
              <w:shd w:val="clear" w:color="auto" w:fill="FFFFFF"/>
              <w:spacing w:before="240" w:after="120" w:line="276" w:lineRule="auto"/>
              <w:rPr>
                <w:rFonts w:eastAsia="Calibri"/>
                <w:iCs/>
                <w:sz w:val="18"/>
                <w:szCs w:val="18"/>
              </w:rPr>
            </w:pPr>
          </w:p>
          <w:p w14:paraId="2771FF9C" w14:textId="0D54AF1F"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Where a competent authority of a Member State considers that information which it has received from the competent authority of another Member State is likely to be useful for the purposes referred to in paragraph 1 to the competent authority of a third Member State, it may transmit that information to the latter competent authority, provided that the transmission is in accordance with the rules and procedures laid down in this Directive. It shall inform the competent authority of the Member State from which the information originates about its intention to share that information with a third Member State. The Member State of origin of the information may oppose such a sharing of information within 15 calendar days of receipt of the communication from the Member State wishing to share the information.’</w:t>
            </w:r>
          </w:p>
          <w:p w14:paraId="0BE4B0D7" w14:textId="64E4E8D9"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(8) in Article 18, the following paragraph is added:</w:t>
            </w:r>
          </w:p>
          <w:p w14:paraId="17AF3CD9" w14:textId="3CC5B3EF"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The competent authority of each Member State shall put in place an effective mechanism to ensure the use of information acquired through the reporting or the exchange of information under Articles 8 to 8ad.’</w:t>
            </w:r>
          </w:p>
          <w:p w14:paraId="2B5FC87C" w14:textId="04CF01FF"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(9) in Article 20, paragraph 5 is replaced by the following:</w:t>
            </w:r>
          </w:p>
          <w:p w14:paraId="1809EAD8" w14:textId="27C750DA"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‘5.   The Commission shall adopt implementing acts laying down standard computerised forms, including the linguistic arrangements, in the following cases:</w:t>
            </w:r>
          </w:p>
          <w:p w14:paraId="7B4375EF" w14:textId="4A5CB48D"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for the automatic exchange of information on advance cross-border rulings and advance pricing arrangements pursuant to Article 8a before 1 January 2017;</w:t>
            </w:r>
          </w:p>
          <w:p w14:paraId="66104BBB" w14:textId="77777777" w:rsidR="00C064BA" w:rsidRPr="00874B0C" w:rsidRDefault="00C064BA" w:rsidP="00874B0C">
            <w:pPr>
              <w:pStyle w:val="oj-ti-grseq-1"/>
              <w:shd w:val="clear" w:color="auto" w:fill="FFFFFF"/>
              <w:spacing w:before="240" w:after="120" w:line="276" w:lineRule="auto"/>
              <w:rPr>
                <w:rFonts w:eastAsia="Calibri"/>
                <w:iCs/>
                <w:sz w:val="18"/>
                <w:szCs w:val="18"/>
              </w:rPr>
            </w:pPr>
          </w:p>
          <w:p w14:paraId="478DBC9F" w14:textId="148C3CED"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for the automatic exchange of information on reportable cross-border arrangements pursuant to Article 8ab before 30 June 2019;</w:t>
            </w:r>
          </w:p>
          <w:p w14:paraId="0D8788CF" w14:textId="630A06CB"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for the automatic exchange of information on Reportable Crypto-Assets pursuant to Article 8ad before 30 June 2025.</w:t>
            </w:r>
          </w:p>
          <w:p w14:paraId="21A2968F" w14:textId="12B38A84"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Those standard computerised forms shall not exceed the components for the exchange of information listed in Articles 8a(6), 8ab(14) and 8ad(3), and such other related fields which are linked to those components which are necessary to achieve the objectives of Articles 8a, 8ab and 8ad, respectively.</w:t>
            </w:r>
          </w:p>
          <w:p w14:paraId="6760D5A2" w14:textId="0CD5AB98"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linguistic arrangements referred to in the first subparagraph of this paragraph shall not preclude Member States from communicating the information referred to in Articles 8a and 8ab in any of the official languages of the Union. However, those linguistic arrangements may provide that the key elements of such information shall also be sent in another official language of the Union.</w:t>
            </w:r>
          </w:p>
          <w:p w14:paraId="146E22C3" w14:textId="7C249E30"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implementing acts referred to in this paragraph shall be adopted in accordance with the procedure referred to in Article 26(2).’</w:t>
            </w:r>
          </w:p>
          <w:p w14:paraId="3AD417D9" w14:textId="23D58B94"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(10) Article 21 is amended as follows:</w:t>
            </w:r>
          </w:p>
          <w:p w14:paraId="7C2C5A26" w14:textId="52587538"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paragraph 5 is replaced by the following:</w:t>
            </w:r>
          </w:p>
          <w:p w14:paraId="1A9F7171" w14:textId="2695D7FC"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‘5.   The Commission shall by 31 December 2017 develop and provide with technical and logistical support a secure Member State central directory on administrative cooperation in the field of taxation where information to be communicated in the framework of Article 8a(1) and (2) shall be recorded in order to satisfy the automatic exchange provided for in those paragraphs.</w:t>
            </w:r>
          </w:p>
          <w:p w14:paraId="4956AB27" w14:textId="5D8BB4F0"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Commission shall by 31 December 2019 develop and provide with technical and logistical support a secure Member State central directory on administrative cooperation in the field of taxation where information to be communicated in the framework of Article 8ab(13), (14) and (16) shall be recorded in order to satisfy the automatic exchange provided for in those paragraphs.</w:t>
            </w:r>
          </w:p>
          <w:p w14:paraId="5D0AD159" w14:textId="53A9459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Commission shall by 31 December 2026 develop and provide with technical and logistical support a secure Member State central directory on administrative cooperation in the field of taxation where information to be communicated in the framework of Article 8ad(2) and (3) shall be recorded in order to satisfy the automatic exchange provided for in those paragraphs.</w:t>
            </w:r>
          </w:p>
          <w:p w14:paraId="4F1A7750" w14:textId="65A3A28A"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competent authorities of all Member States shall have access to the information recorded in that directory. With respect to the information to be communicated in the framework of Article 8ad(2) and (3), the competent authority of a Member State shall, however, have access only to information pertaining to Reportable Users and Reportable Persons resident in that Member State. The Commission shall also have access to the information recorded in that directory, however with the limitations set out in Articles 8a(8), 8ab(17) and 8ad(5), and only for the purpose of collecting statistics in accordance with paragraph 7 of this Article. The Commission shall, by means of implementing acts, adopt the necessary practical arrangements. Those implementing acts shall be adopted in accordance with the procedure referred to in Article 26(2).</w:t>
            </w:r>
          </w:p>
          <w:p w14:paraId="519F6917" w14:textId="77777777" w:rsidR="00C064BA" w:rsidRPr="00874B0C" w:rsidRDefault="00C064BA" w:rsidP="00874B0C">
            <w:pPr>
              <w:pStyle w:val="oj-ti-grseq-1"/>
              <w:shd w:val="clear" w:color="auto" w:fill="FFFFFF"/>
              <w:spacing w:before="240" w:after="120" w:line="276" w:lineRule="auto"/>
              <w:rPr>
                <w:rFonts w:eastAsia="Calibri"/>
                <w:iCs/>
                <w:sz w:val="18"/>
                <w:szCs w:val="18"/>
              </w:rPr>
            </w:pPr>
          </w:p>
          <w:p w14:paraId="3CEB02A2" w14:textId="1FDF62A3"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Until that secure central directory is operational, the automatic exchange provided for in Article 8a(1) and (2), Article 8ab(13), (14) and (16) and Article 8ad(2) and (3) shall be carried out in accordance with paragraph 1 of this Article and the applicable practical arrangements.’</w:t>
            </w:r>
          </w:p>
          <w:p w14:paraId="206628A7" w14:textId="57D7C435"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the following paragraph is added:</w:t>
            </w:r>
          </w:p>
          <w:p w14:paraId="49D7A0CC" w14:textId="0B8EF98D"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‘8.   The Commission shall provide Member States with a tool allowing an electronic and automated verification of the correctness of the TIN provided by a reporting entity or a taxpayer for the purposes of the automatic exchange of information.</w:t>
            </w:r>
          </w:p>
          <w:p w14:paraId="5AFA88E2" w14:textId="070856F7"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Commission shall develop the technical parameters of the tool referred to in the first subparagraph by means of implementing acts. Those implementing acts shall be adopted in accordance with the procedure referred to in Article 26(2).’</w:t>
            </w:r>
          </w:p>
          <w:p w14:paraId="3507E8FC" w14:textId="65FCF2CE"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(11) in Article 22, the following paragraphs are added:</w:t>
            </w:r>
          </w:p>
          <w:p w14:paraId="11A5D480" w14:textId="33FBC811"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Member States shall retain the records of the information received through the automatic exchange of information pursuant to Articles 8 to 8ad for no longer than necessary but in any event not less than five years from its date of receipt to achieve the purposes of this Directive.</w:t>
            </w:r>
          </w:p>
          <w:p w14:paraId="42A65554" w14:textId="5D36F7FC"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Member States shall endeavour to ensure that a reporting entity is allowed to obtain confirmation by electronic means of the validity of the information on the TIN of any taxpayer subject to the exchange of information under Articles 8 to 8ad. The confirmation of the information on the TIN may be requested only for the purposes of validation of the correctness of data referred to in Articles 8(1), 8(3a), 8a(6), 8aa(3), 8ab(14), 8ac(2) and 8ad(3).’</w:t>
            </w:r>
          </w:p>
          <w:p w14:paraId="0C4F6039" w14:textId="20D4672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(12) in Article 23, paragraph 3 is replaced by the following:</w:t>
            </w:r>
          </w:p>
          <w:p w14:paraId="2FFD7C10" w14:textId="0F85E62A"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Each Member State shall monitor and assess, in relation to itself, the effectiveness of administrative cooperation in accordance with this Directive, including in combating tax evasion and tax avoidance, and shall communicate the results of its assessment to the Commission once a year. The Commission shall, by means of implementing acts, adopt the form and the conditions of communication for that yearly assessment. Those implementing acts shall be adopted in accordance with the procedure referred to in Article 26(2).’</w:t>
            </w:r>
          </w:p>
          <w:p w14:paraId="78380A2C" w14:textId="1EDB8611"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(13) Article 25 is amended as follows:</w:t>
            </w:r>
          </w:p>
          <w:p w14:paraId="57DF7287" w14:textId="66B3057A"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paragraph 3 is replaced by the following:</w:t>
            </w:r>
          </w:p>
          <w:p w14:paraId="10A7E929" w14:textId="7CE60836"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Reporting Financial Institutions, intermediaries, Reporting Platform Operators, Reporting Crypto-Asset Service Providers and the competent authorities of Member States shall be considered to be controllers, acting alone or jointly. When processing personal data for the purposes of this Directive, the Commission shall be considered to process the personal data on behalf of the controllers and shall comply with the requirements for processors set out in Regulation (EU) 2018/1725. The processing shall be governed by a contract within the meaning of Article 28(3) of Regulation (EU) 2016/679 and Article 29(3) of Regulation (EU) 2018/1725.’</w:t>
            </w:r>
          </w:p>
          <w:p w14:paraId="540BF856" w14:textId="1FD5F93A"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in paragraph 4, the first subparagraph is replaced by the following:</w:t>
            </w:r>
          </w:p>
          <w:p w14:paraId="214014F1" w14:textId="6EC6F86A"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Notwithstanding paragraph 1, each Member State shall ensure that each Reporting Financial Institution or intermediary or Reporting Platform Operator or Reporting Crypto-Asset Service Provider, as the case may be, which is under its jurisdiction:</w:t>
            </w:r>
          </w:p>
          <w:p w14:paraId="555F7103" w14:textId="6234EC3F" w:rsidR="00C064BA"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informs each individual concerned that information relating to that individual will be collected and transferred in accordance with this Directive; and</w:t>
            </w:r>
          </w:p>
          <w:p w14:paraId="30750054" w14:textId="417607B8" w:rsidR="000E7263" w:rsidRPr="00874B0C" w:rsidRDefault="00C064BA"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provides to each individual concerned all information that the individual is entitled to from the data controller in sufficient time for that individual to exercise his or her data protection rights and, in any case, before the information is reported.’</w:t>
            </w:r>
          </w:p>
        </w:tc>
        <w:tc>
          <w:tcPr>
            <w:tcW w:w="1080" w:type="dxa"/>
            <w:shd w:val="clear" w:color="auto" w:fill="FFFFFF" w:themeFill="background1"/>
          </w:tcPr>
          <w:p w14:paraId="139A71B5" w14:textId="77777777" w:rsidR="000E7263" w:rsidRPr="00874B0C" w:rsidRDefault="000E7263" w:rsidP="00874B0C">
            <w:pPr>
              <w:spacing w:line="276" w:lineRule="auto"/>
              <w:jc w:val="center"/>
              <w:rPr>
                <w:rFonts w:ascii="Times New Roman" w:eastAsia="Calibri" w:hAnsi="Times New Roman" w:cs="Times New Roman"/>
                <w:sz w:val="18"/>
                <w:szCs w:val="18"/>
              </w:rPr>
            </w:pPr>
          </w:p>
        </w:tc>
        <w:tc>
          <w:tcPr>
            <w:tcW w:w="720" w:type="dxa"/>
            <w:shd w:val="clear" w:color="auto" w:fill="FFFFFF" w:themeFill="background1"/>
          </w:tcPr>
          <w:p w14:paraId="2708E268" w14:textId="18C845D3" w:rsidR="000E7263" w:rsidRPr="00874B0C" w:rsidRDefault="000E7263" w:rsidP="00874B0C">
            <w:pPr>
              <w:spacing w:line="276" w:lineRule="auto"/>
              <w:jc w:val="center"/>
              <w:rPr>
                <w:rFonts w:ascii="Times New Roman" w:eastAsia="Times New Roman" w:hAnsi="Times New Roman" w:cs="Times New Roman"/>
                <w:sz w:val="18"/>
                <w:szCs w:val="18"/>
                <w:lang w:eastAsia="sq-AL"/>
              </w:rPr>
            </w:pPr>
          </w:p>
        </w:tc>
        <w:tc>
          <w:tcPr>
            <w:tcW w:w="3870" w:type="dxa"/>
            <w:shd w:val="clear" w:color="auto" w:fill="FFFFFF" w:themeFill="background1"/>
          </w:tcPr>
          <w:p w14:paraId="5F888185" w14:textId="77777777" w:rsidR="00450B0B" w:rsidRPr="00874B0C" w:rsidRDefault="00450B0B"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1</w:t>
            </w:r>
          </w:p>
          <w:p w14:paraId="12DDA90E" w14:textId="77777777" w:rsidR="00450B0B" w:rsidRPr="00874B0C" w:rsidRDefault="00450B0B"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Subject matter and scope of application</w:t>
            </w:r>
          </w:p>
          <w:p w14:paraId="5CAB3A7A" w14:textId="77777777" w:rsidR="00450B0B" w:rsidRPr="00874B0C" w:rsidRDefault="00450B0B" w:rsidP="00874B0C">
            <w:pPr>
              <w:spacing w:line="276" w:lineRule="auto"/>
              <w:jc w:val="center"/>
              <w:rPr>
                <w:rFonts w:ascii="Times New Roman" w:eastAsia="Times New Roman" w:hAnsi="Times New Roman" w:cs="Times New Roman"/>
                <w:b/>
                <w:sz w:val="18"/>
                <w:szCs w:val="18"/>
                <w:lang w:eastAsia="sq-AL"/>
              </w:rPr>
            </w:pPr>
          </w:p>
          <w:p w14:paraId="2FEF4399" w14:textId="77777777" w:rsidR="00450B0B" w:rsidRPr="00874B0C" w:rsidRDefault="00450B0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This Law establishes the rules for conducting due diligence procedures, collecting and reporting information on crypto-assets by Reporting Crypto-Asset Service Providers, as well as the rules for the automatic exchange of such information and for the collection, reporting and communication of the Tax Identification Number (TIN), in accordance with Article 8ad Directive 2011/16/EU, as amended.</w:t>
            </w:r>
          </w:p>
          <w:p w14:paraId="0900FFEE" w14:textId="77777777" w:rsidR="00450B0B" w:rsidRPr="00874B0C" w:rsidRDefault="00450B0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This Law applies to Reporting Crypto-Asset Service Providers and, as the case may be, to Crypto-Asset Operators that are subject to the due diligence, reporting and registration obligations under this Law, as well as to crypto-asset users, Controlling Persons and Reportable Crypto-Asset Transactions.</w:t>
            </w:r>
          </w:p>
          <w:p w14:paraId="1AE2655C" w14:textId="0666FB8C" w:rsidR="000E7263" w:rsidRPr="00874B0C" w:rsidRDefault="00450B0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w:t>
            </w:r>
            <w:r w:rsidRPr="00874B0C">
              <w:rPr>
                <w:rFonts w:ascii="Times New Roman" w:eastAsia="Times New Roman" w:hAnsi="Times New Roman" w:cs="Times New Roman"/>
                <w:sz w:val="18"/>
                <w:szCs w:val="18"/>
                <w:lang w:eastAsia="sq-AL"/>
              </w:rPr>
              <w:tab/>
              <w:t>This Law shall apply without prejudice to the provisions of the legislation in force on administrative cooperation in the field of taxation and the exchange of information.</w:t>
            </w:r>
          </w:p>
        </w:tc>
        <w:tc>
          <w:tcPr>
            <w:tcW w:w="1184" w:type="dxa"/>
            <w:shd w:val="clear" w:color="auto" w:fill="FFFFFF" w:themeFill="background1"/>
          </w:tcPr>
          <w:p w14:paraId="7A572906" w14:textId="7915731D" w:rsidR="000E7263" w:rsidRPr="00874B0C" w:rsidRDefault="000E7263" w:rsidP="00874B0C">
            <w:pPr>
              <w:spacing w:line="276" w:lineRule="auto"/>
              <w:jc w:val="center"/>
              <w:rPr>
                <w:rFonts w:ascii="Times New Roman" w:eastAsia="Calibri" w:hAnsi="Times New Roman" w:cs="Times New Roman"/>
                <w:sz w:val="18"/>
                <w:szCs w:val="18"/>
              </w:rPr>
            </w:pPr>
          </w:p>
        </w:tc>
        <w:tc>
          <w:tcPr>
            <w:tcW w:w="3406" w:type="dxa"/>
            <w:shd w:val="clear" w:color="auto" w:fill="FFFFFF" w:themeFill="background1"/>
          </w:tcPr>
          <w:p w14:paraId="16D18EB7" w14:textId="77777777" w:rsidR="00450B0B" w:rsidRPr="00874B0C" w:rsidRDefault="00450B0B"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 xml:space="preserve">Article 1 defines the overall objective and scope of the law, explicitly ensuring alignment with Article 8ad of Directive 2011/16/EU. </w:t>
            </w:r>
          </w:p>
          <w:p w14:paraId="005CAE2B" w14:textId="77777777" w:rsidR="00450B0B" w:rsidRPr="00874B0C" w:rsidRDefault="00450B0B" w:rsidP="00874B0C">
            <w:pPr>
              <w:spacing w:line="276" w:lineRule="auto"/>
              <w:rPr>
                <w:rFonts w:ascii="Times New Roman" w:eastAsia="Calibri" w:hAnsi="Times New Roman" w:cs="Times New Roman"/>
                <w:sz w:val="18"/>
                <w:szCs w:val="18"/>
              </w:rPr>
            </w:pPr>
          </w:p>
          <w:p w14:paraId="7E92571F" w14:textId="77777777" w:rsidR="00450B0B" w:rsidRPr="00874B0C" w:rsidRDefault="00450B0B"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 xml:space="preserve">While this provision sets the legal framework, the substantive obligations relating to reporting, due diligence and automatic exchange of information are fully transposed through the operative provisions of the law, namely Articles 3–10. </w:t>
            </w:r>
          </w:p>
          <w:p w14:paraId="4F25469C" w14:textId="77777777" w:rsidR="00450B0B" w:rsidRPr="00874B0C" w:rsidRDefault="00450B0B" w:rsidP="00874B0C">
            <w:pPr>
              <w:spacing w:line="276" w:lineRule="auto"/>
              <w:rPr>
                <w:rFonts w:ascii="Times New Roman" w:eastAsia="Calibri" w:hAnsi="Times New Roman" w:cs="Times New Roman"/>
                <w:sz w:val="18"/>
                <w:szCs w:val="18"/>
              </w:rPr>
            </w:pPr>
          </w:p>
          <w:p w14:paraId="7CCDCAA1" w14:textId="3B2DB762" w:rsidR="000E7263" w:rsidRPr="00874B0C" w:rsidRDefault="000E7263" w:rsidP="00874B0C">
            <w:pPr>
              <w:spacing w:line="276" w:lineRule="auto"/>
              <w:rPr>
                <w:rFonts w:ascii="Times New Roman" w:eastAsia="Calibri" w:hAnsi="Times New Roman" w:cs="Times New Roman"/>
                <w:sz w:val="18"/>
                <w:szCs w:val="18"/>
              </w:rPr>
            </w:pPr>
          </w:p>
        </w:tc>
      </w:tr>
      <w:tr w:rsidR="00E94486" w:rsidRPr="00874B0C" w14:paraId="28EB2598" w14:textId="77777777" w:rsidTr="00874B0C">
        <w:trPr>
          <w:trHeight w:val="764"/>
        </w:trPr>
        <w:tc>
          <w:tcPr>
            <w:tcW w:w="720" w:type="dxa"/>
          </w:tcPr>
          <w:p w14:paraId="3114F621"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65A46508" w14:textId="77777777" w:rsidR="001D47BD" w:rsidRPr="00874B0C" w:rsidRDefault="001D47BD" w:rsidP="00874B0C">
            <w:pPr>
              <w:pStyle w:val="oj-ti-grseq-1"/>
              <w:shd w:val="clear" w:color="auto" w:fill="FFFFFF"/>
              <w:spacing w:before="240" w:after="120" w:line="276" w:lineRule="auto"/>
              <w:jc w:val="center"/>
              <w:rPr>
                <w:rFonts w:eastAsia="Calibri"/>
                <w:b/>
                <w:iCs/>
                <w:sz w:val="18"/>
                <w:szCs w:val="18"/>
              </w:rPr>
            </w:pPr>
          </w:p>
          <w:p w14:paraId="3EE990C3" w14:textId="3DCFBD77" w:rsidR="001D47BD" w:rsidRPr="00874B0C" w:rsidRDefault="001D47BD" w:rsidP="00874B0C">
            <w:pPr>
              <w:pStyle w:val="oj-ti-grseq-1"/>
              <w:shd w:val="clear" w:color="auto" w:fill="FFFFFF"/>
              <w:spacing w:before="240" w:after="120" w:line="276" w:lineRule="auto"/>
              <w:jc w:val="center"/>
              <w:rPr>
                <w:rFonts w:eastAsia="Calibri"/>
                <w:b/>
                <w:iCs/>
                <w:sz w:val="18"/>
                <w:szCs w:val="18"/>
              </w:rPr>
            </w:pPr>
            <w:r w:rsidRPr="00874B0C">
              <w:rPr>
                <w:rFonts w:eastAsia="Calibri"/>
                <w:b/>
                <w:iCs/>
                <w:sz w:val="18"/>
                <w:szCs w:val="18"/>
              </w:rPr>
              <w:t>Article 25a</w:t>
            </w:r>
          </w:p>
          <w:p w14:paraId="7EAD8948" w14:textId="2ED85F60" w:rsidR="001D47BD" w:rsidRPr="00874B0C" w:rsidRDefault="001D47BD" w:rsidP="00874B0C">
            <w:pPr>
              <w:pStyle w:val="oj-ti-grseq-1"/>
              <w:shd w:val="clear" w:color="auto" w:fill="FFFFFF"/>
              <w:spacing w:before="240" w:after="120" w:line="276" w:lineRule="auto"/>
              <w:jc w:val="center"/>
              <w:rPr>
                <w:rFonts w:eastAsia="Calibri"/>
                <w:b/>
                <w:iCs/>
                <w:sz w:val="18"/>
                <w:szCs w:val="18"/>
              </w:rPr>
            </w:pPr>
            <w:r w:rsidRPr="00874B0C">
              <w:rPr>
                <w:rFonts w:eastAsia="Calibri"/>
                <w:b/>
                <w:iCs/>
                <w:sz w:val="18"/>
                <w:szCs w:val="18"/>
              </w:rPr>
              <w:t>Penalties</w:t>
            </w:r>
          </w:p>
          <w:p w14:paraId="0C332D81" w14:textId="6278913B" w:rsidR="00E94486"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Member States shall lay down the rules on penalties applicable to infringements of national provisions adopted pursuant to this Directive and concerning Articles 8aa to 8ad, and shall take all measures necessary to ensure that they are implemented. The penalties provided for shall be effective, proportionate and dissuasive.’</w:t>
            </w:r>
          </w:p>
        </w:tc>
        <w:tc>
          <w:tcPr>
            <w:tcW w:w="1080" w:type="dxa"/>
          </w:tcPr>
          <w:p w14:paraId="2265555A"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24882CF9"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079179E9" w14:textId="77777777" w:rsidR="00DA5F17" w:rsidRPr="00874B0C" w:rsidRDefault="00DA5F17" w:rsidP="00874B0C">
            <w:pPr>
              <w:spacing w:line="276" w:lineRule="auto"/>
              <w:jc w:val="center"/>
              <w:rPr>
                <w:rFonts w:ascii="Times New Roman" w:eastAsia="Times New Roman" w:hAnsi="Times New Roman" w:cs="Times New Roman"/>
                <w:b/>
                <w:bCs/>
                <w:sz w:val="18"/>
                <w:szCs w:val="18"/>
                <w:lang w:eastAsia="sq-AL"/>
              </w:rPr>
            </w:pPr>
            <w:r w:rsidRPr="00874B0C">
              <w:rPr>
                <w:rFonts w:ascii="Times New Roman" w:eastAsia="Times New Roman" w:hAnsi="Times New Roman" w:cs="Times New Roman"/>
                <w:b/>
                <w:bCs/>
                <w:sz w:val="18"/>
                <w:szCs w:val="18"/>
                <w:lang w:eastAsia="sq-AL"/>
              </w:rPr>
              <w:t>Article 17</w:t>
            </w:r>
          </w:p>
          <w:p w14:paraId="72FE8DDF" w14:textId="77777777" w:rsidR="00DA5F17" w:rsidRDefault="00DA5F17" w:rsidP="00874B0C">
            <w:pPr>
              <w:spacing w:line="276" w:lineRule="auto"/>
              <w:jc w:val="center"/>
              <w:rPr>
                <w:rFonts w:ascii="Times New Roman" w:eastAsia="Times New Roman" w:hAnsi="Times New Roman" w:cs="Times New Roman"/>
                <w:b/>
                <w:bCs/>
                <w:sz w:val="18"/>
                <w:szCs w:val="18"/>
                <w:lang w:eastAsia="sq-AL"/>
              </w:rPr>
            </w:pPr>
            <w:r w:rsidRPr="00874B0C">
              <w:rPr>
                <w:rFonts w:ascii="Times New Roman" w:eastAsia="Times New Roman" w:hAnsi="Times New Roman" w:cs="Times New Roman"/>
                <w:b/>
                <w:bCs/>
                <w:sz w:val="18"/>
                <w:szCs w:val="18"/>
                <w:lang w:eastAsia="sq-AL"/>
              </w:rPr>
              <w:t>Sanctions</w:t>
            </w:r>
          </w:p>
          <w:p w14:paraId="613585D7" w14:textId="77777777" w:rsidR="00F868FF" w:rsidRPr="00874B0C" w:rsidRDefault="00F868FF" w:rsidP="00874B0C">
            <w:pPr>
              <w:spacing w:line="276" w:lineRule="auto"/>
              <w:jc w:val="center"/>
              <w:rPr>
                <w:rFonts w:ascii="Times New Roman" w:eastAsia="Times New Roman" w:hAnsi="Times New Roman" w:cs="Times New Roman"/>
                <w:b/>
                <w:bCs/>
                <w:sz w:val="18"/>
                <w:szCs w:val="18"/>
                <w:lang w:eastAsia="sq-AL"/>
              </w:rPr>
            </w:pPr>
          </w:p>
          <w:p w14:paraId="2A95A6FD" w14:textId="77777777" w:rsidR="00DA5F17"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1. The following shall constitute administrative offences by a Reporting Crypto-Asset Service Provider </w:t>
            </w:r>
          </w:p>
          <w:p w14:paraId="168BE9E7" w14:textId="3327141B" w:rsidR="008E1B0E"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w:t>
            </w:r>
            <w:r w:rsidR="008E1B0E" w:rsidRPr="00874B0C">
              <w:rPr>
                <w:rFonts w:ascii="Times New Roman" w:eastAsia="Times New Roman" w:hAnsi="Times New Roman" w:cs="Times New Roman"/>
                <w:sz w:val="18"/>
                <w:szCs w:val="18"/>
                <w:lang w:eastAsia="sq-AL"/>
              </w:rPr>
              <w:t xml:space="preserve">     failure to report information within the deadlines prescribed by this Law, shall be punishable by a fine ranging from ALL 700,000 (seven hundred thousand) to ALL 1,000,000 (one million);</w:t>
            </w:r>
          </w:p>
          <w:p w14:paraId="1098FEB7"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p>
          <w:p w14:paraId="58706402"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w:t>
            </w:r>
            <w:r w:rsidRPr="00874B0C">
              <w:rPr>
                <w:rFonts w:ascii="Times New Roman" w:eastAsia="Times New Roman" w:hAnsi="Times New Roman" w:cs="Times New Roman"/>
                <w:sz w:val="18"/>
                <w:szCs w:val="18"/>
                <w:lang w:eastAsia="sq-AL"/>
              </w:rPr>
              <w:tab/>
              <w:t>reporting inaccurate, incomplete or false information, shall be punishable by a fine ranging from ALL 300,000 (three hundred thousand) to ALL 700,000 (seven hundred thousand);</w:t>
            </w:r>
          </w:p>
          <w:p w14:paraId="6AB97D09"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p>
          <w:p w14:paraId="68FEBA14"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(c)</w:t>
            </w:r>
            <w:r w:rsidRPr="00874B0C">
              <w:rPr>
                <w:rFonts w:ascii="Times New Roman" w:eastAsia="Times New Roman" w:hAnsi="Times New Roman" w:cs="Times New Roman"/>
                <w:sz w:val="18"/>
                <w:szCs w:val="18"/>
                <w:lang w:eastAsia="sq-AL"/>
              </w:rPr>
              <w:tab/>
              <w:t>failure to apply the due diligence and verification procedures prescribed by this Law, shall be punishable by a fine ranging from ALL 300,000 (three hundred thousand) to ALL 700,000 (seven hundred thousand);</w:t>
            </w:r>
          </w:p>
          <w:p w14:paraId="0F357C1E"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p>
          <w:p w14:paraId="11E73F20"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(d)</w:t>
            </w:r>
            <w:r w:rsidRPr="00874B0C">
              <w:rPr>
                <w:rFonts w:ascii="Times New Roman" w:eastAsia="Times New Roman" w:hAnsi="Times New Roman" w:cs="Times New Roman"/>
                <w:sz w:val="18"/>
                <w:szCs w:val="18"/>
                <w:lang w:eastAsia="sq-AL"/>
              </w:rPr>
              <w:tab/>
              <w:t>failure to collect, verify, retain or make available the information and documentation required under this Law, shall be punishable by a fine ranging from ALL 300,000 (three hundred thousand) to ALL 700,000 (seven hundred thousand);</w:t>
            </w:r>
          </w:p>
          <w:p w14:paraId="6F6D7940"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(e)</w:t>
            </w:r>
            <w:r w:rsidRPr="00874B0C">
              <w:rPr>
                <w:rFonts w:ascii="Times New Roman" w:eastAsia="Times New Roman" w:hAnsi="Times New Roman" w:cs="Times New Roman"/>
                <w:sz w:val="18"/>
                <w:szCs w:val="18"/>
                <w:lang w:eastAsia="sq-AL"/>
              </w:rPr>
              <w:tab/>
              <w:t>failure to comply with obligations relating to Crypto-Asset Users who do not cooperate or fail to provide the required information, shall be punishable by a fine ranging from ALL 300,000 (three hundred thousand) to ALL 700,000 (seven hundred thousand);</w:t>
            </w:r>
          </w:p>
          <w:p w14:paraId="55D18928"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p>
          <w:p w14:paraId="62879593"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(f)</w:t>
            </w:r>
            <w:r w:rsidRPr="00874B0C">
              <w:rPr>
                <w:rFonts w:ascii="Times New Roman" w:eastAsia="Times New Roman" w:hAnsi="Times New Roman" w:cs="Times New Roman"/>
                <w:sz w:val="18"/>
                <w:szCs w:val="18"/>
                <w:lang w:eastAsia="sq-AL"/>
              </w:rPr>
              <w:tab/>
              <w:t>failure to notify the General Directorate of Taxation of changes to registration information as required under this Law, shall be punishable by a fine ranging from ALL 100,000 (one hundred thousand) to ALL 300,000 (three hundred thousand);</w:t>
            </w:r>
          </w:p>
          <w:p w14:paraId="068224A3"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p>
          <w:p w14:paraId="49C43AD6"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(g)</w:t>
            </w:r>
            <w:r w:rsidRPr="00874B0C">
              <w:rPr>
                <w:rFonts w:ascii="Times New Roman" w:eastAsia="Times New Roman" w:hAnsi="Times New Roman" w:cs="Times New Roman"/>
                <w:sz w:val="18"/>
                <w:szCs w:val="18"/>
                <w:lang w:eastAsia="sq-AL"/>
              </w:rPr>
              <w:tab/>
              <w:t>failure to register or failure to comply with obligations relating to single registration under this Law, shall be punishable by a fine ranging from ALL 700,000 (seven hundred thousand) to ALL 1,000,000 (one million);</w:t>
            </w:r>
          </w:p>
          <w:p w14:paraId="0811F15F"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p>
          <w:p w14:paraId="336583E2" w14:textId="77777777" w:rsidR="008E1B0E" w:rsidRPr="00874B0C" w:rsidRDefault="008E1B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(h)</w:t>
            </w:r>
            <w:r w:rsidRPr="00874B0C">
              <w:rPr>
                <w:rFonts w:ascii="Times New Roman" w:eastAsia="Times New Roman" w:hAnsi="Times New Roman" w:cs="Times New Roman"/>
                <w:sz w:val="18"/>
                <w:szCs w:val="18"/>
                <w:lang w:eastAsia="sq-AL"/>
              </w:rPr>
              <w:tab/>
              <w:t>obstructing or refusing the exercise of the supervisory and control powers of the General Directorate of Taxation, shall be punishable by a fine ranging from ALL 700,000 (seven hundred thousand) to ALL 1,000,000 (one million).</w:t>
            </w:r>
          </w:p>
          <w:p w14:paraId="7811B91E" w14:textId="58813BAF" w:rsidR="00DA5F17"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The fine is imposed by the head of the General Directorate of Taxes in accordance with the legislation in force on administrative offences and must be effective, proportionate and dissuasive.</w:t>
            </w:r>
          </w:p>
          <w:p w14:paraId="173206AE" w14:textId="5AF7B79F" w:rsidR="00E94486"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w:t>
            </w:r>
            <w:r w:rsidRPr="00874B0C">
              <w:rPr>
                <w:rFonts w:ascii="Times New Roman" w:eastAsia="Times New Roman" w:hAnsi="Times New Roman" w:cs="Times New Roman"/>
                <w:sz w:val="18"/>
                <w:szCs w:val="18"/>
                <w:lang w:eastAsia="sq-AL"/>
              </w:rPr>
              <w:tab/>
              <w:t>Against the decision to impose the fine, an appeal may be made to the competent administrative court, in accordance with the legislation in force on administrative courts and the adjudication of administrative disputes.</w:t>
            </w:r>
          </w:p>
        </w:tc>
        <w:tc>
          <w:tcPr>
            <w:tcW w:w="1184" w:type="dxa"/>
          </w:tcPr>
          <w:p w14:paraId="7536F9DB"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591C2CAF"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5C277A31" w14:textId="77777777" w:rsidTr="00874B0C">
        <w:trPr>
          <w:trHeight w:val="764"/>
        </w:trPr>
        <w:tc>
          <w:tcPr>
            <w:tcW w:w="720" w:type="dxa"/>
          </w:tcPr>
          <w:p w14:paraId="600E00E6"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7BCB0415" w14:textId="0CCEB03B" w:rsidR="001D47BD" w:rsidRPr="00874B0C" w:rsidRDefault="001D47BD" w:rsidP="00874B0C">
            <w:pPr>
              <w:pStyle w:val="oj-ti-grseq-1"/>
              <w:shd w:val="clear" w:color="auto" w:fill="FFFFFF"/>
              <w:spacing w:before="240" w:after="120" w:line="276" w:lineRule="auto"/>
              <w:jc w:val="center"/>
              <w:rPr>
                <w:rFonts w:eastAsia="Calibri"/>
                <w:b/>
                <w:iCs/>
                <w:sz w:val="18"/>
                <w:szCs w:val="18"/>
              </w:rPr>
            </w:pPr>
            <w:r w:rsidRPr="00874B0C">
              <w:rPr>
                <w:rFonts w:eastAsia="Calibri"/>
                <w:b/>
                <w:iCs/>
                <w:sz w:val="18"/>
                <w:szCs w:val="18"/>
              </w:rPr>
              <w:t>‘Article 27c</w:t>
            </w:r>
          </w:p>
          <w:p w14:paraId="36688587" w14:textId="77777777" w:rsidR="001D47BD" w:rsidRPr="00874B0C" w:rsidRDefault="001D47BD" w:rsidP="00874B0C">
            <w:pPr>
              <w:pStyle w:val="oj-ti-grseq-1"/>
              <w:shd w:val="clear" w:color="auto" w:fill="FFFFFF"/>
              <w:spacing w:before="240" w:after="120" w:line="276" w:lineRule="auto"/>
              <w:jc w:val="center"/>
              <w:rPr>
                <w:rFonts w:eastAsia="Calibri"/>
                <w:b/>
                <w:iCs/>
                <w:sz w:val="18"/>
                <w:szCs w:val="18"/>
              </w:rPr>
            </w:pPr>
            <w:r w:rsidRPr="00874B0C">
              <w:rPr>
                <w:rFonts w:eastAsia="Calibri"/>
                <w:b/>
                <w:iCs/>
                <w:sz w:val="18"/>
                <w:szCs w:val="18"/>
              </w:rPr>
              <w:t>Reporting and communication of the TIN</w:t>
            </w:r>
          </w:p>
          <w:p w14:paraId="62D7551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72CBDCF" w14:textId="704B877F"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Each Member State shall take the necessary measures to require that the TIN of reported individuals or entities issued by the Member State of residence be reported by the reporting entity or reporting individual and be communicated by each Member State when explicitly required by, and pursuant to, the Articles and Annexes of this Directive.</w:t>
            </w:r>
          </w:p>
          <w:p w14:paraId="3A7A9BAC" w14:textId="7777777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For taxable periods starting on or after 1 January 2030, each Member State shall take the necessary measures to require that the TIN of residents issued by the Member State of residence be reported, where possible, with respect to the information referred to in Article 8(1), first subparagraph, points (a), (b) and (d), to the extent that those are categories of income and capital on which information would have been communicated even if the TIN was not available.</w:t>
            </w:r>
          </w:p>
          <w:p w14:paraId="0CB2D76D"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2D31C8EC" w14:textId="1C99F898"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For taxable periods starting on or after 1 January 2028, each Member State shall take the necessary measures to require that the TIN of individuals and entities issued by the Member State of residence be reported, where possible, with respect to the information referred to in Article 8a(6), points (a) and (k), as well as of reported individuals and entities with respect to the information referred to in Article 8aa(3), point (b), and in Article 8ab(14), point (h).</w:t>
            </w:r>
          </w:p>
          <w:p w14:paraId="69F5CF89" w14:textId="7777777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For taxable periods starting on or after 1 January 2028, each Member State shall include, where it has been obtained by the competent authority of the Member State, the TIN of individuals and entities issued by the Member State of residence in the communication of the information referred to in Article 8a(6), points (a) and (k), as well as of reported individuals and entities in the communication of the information referred to in Article 8aa(3), point (b), and in Article 8ab(14), point (h).’</w:t>
            </w:r>
          </w:p>
          <w:p w14:paraId="1627B7C1"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CC119B1" w14:textId="59E29098" w:rsidR="001D47BD" w:rsidRPr="00874B0C" w:rsidRDefault="001D47BD" w:rsidP="00874B0C">
            <w:pPr>
              <w:pStyle w:val="oj-ti-grseq-1"/>
              <w:shd w:val="clear" w:color="auto" w:fill="FFFFFF"/>
              <w:spacing w:before="240" w:after="120" w:line="276" w:lineRule="auto"/>
              <w:rPr>
                <w:rFonts w:eastAsia="Calibri"/>
                <w:iCs/>
                <w:sz w:val="18"/>
                <w:szCs w:val="18"/>
              </w:rPr>
            </w:pPr>
          </w:p>
          <w:p w14:paraId="4999F61E" w14:textId="0C218FB2"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(17) Annex I is amended in accordance with Annex I to this Directive;</w:t>
            </w:r>
          </w:p>
          <w:p w14:paraId="3283AC8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2BFD9B7" w14:textId="50FC21B0"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(18) Annex V is amended in accordance with Annex II to this Directive;</w:t>
            </w:r>
          </w:p>
          <w:p w14:paraId="45102B51"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144558BD" w14:textId="225BD72D" w:rsidR="00E94486"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(19) The text set out in Annex III to this Directive is added as Annex VI.</w:t>
            </w:r>
          </w:p>
        </w:tc>
        <w:tc>
          <w:tcPr>
            <w:tcW w:w="1080" w:type="dxa"/>
          </w:tcPr>
          <w:p w14:paraId="436A14B0" w14:textId="2454B4B6"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7A88F75" w14:textId="4321E7F9" w:rsidR="00E94486" w:rsidRPr="00874B0C" w:rsidRDefault="00DA5F17"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3870" w:type="dxa"/>
          </w:tcPr>
          <w:p w14:paraId="5B298CDD" w14:textId="77777777" w:rsidR="00DA5F17" w:rsidRPr="00874B0C" w:rsidRDefault="00DA5F17" w:rsidP="00874B0C">
            <w:pPr>
              <w:spacing w:line="276" w:lineRule="auto"/>
              <w:jc w:val="center"/>
              <w:rPr>
                <w:rFonts w:ascii="Times New Roman" w:eastAsia="Times New Roman" w:hAnsi="Times New Roman" w:cs="Times New Roman"/>
                <w:sz w:val="18"/>
                <w:szCs w:val="18"/>
                <w:lang w:eastAsia="sq-AL"/>
              </w:rPr>
            </w:pPr>
          </w:p>
          <w:p w14:paraId="78946E71" w14:textId="2E4654A2" w:rsidR="00E94486" w:rsidRPr="00874B0C" w:rsidRDefault="00DA5F17"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1184" w:type="dxa"/>
          </w:tcPr>
          <w:p w14:paraId="715DD750" w14:textId="54721E34" w:rsidR="00E94486" w:rsidRPr="00874B0C" w:rsidRDefault="00DA5F17" w:rsidP="00874B0C">
            <w:pPr>
              <w:spacing w:line="276" w:lineRule="auto"/>
              <w:jc w:val="center"/>
              <w:rPr>
                <w:rFonts w:ascii="Times New Roman" w:eastAsia="Calibri" w:hAnsi="Times New Roman" w:cs="Times New Roman"/>
                <w:sz w:val="18"/>
                <w:szCs w:val="18"/>
              </w:rPr>
            </w:pPr>
            <w:r w:rsidRPr="00874B0C">
              <w:rPr>
                <w:rFonts w:ascii="Times New Roman" w:eastAsia="Calibri" w:hAnsi="Times New Roman" w:cs="Times New Roman"/>
                <w:sz w:val="18"/>
                <w:szCs w:val="18"/>
              </w:rPr>
              <w:t>N/A</w:t>
            </w:r>
          </w:p>
        </w:tc>
        <w:tc>
          <w:tcPr>
            <w:tcW w:w="3406" w:type="dxa"/>
          </w:tcPr>
          <w:p w14:paraId="381A186A" w14:textId="4618162F" w:rsidR="00E94486" w:rsidRPr="00874B0C" w:rsidRDefault="001828C4"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Not transposed in this draft law. Article 27c lays down general rules on the reporting and communication of Tax Identification Numbers (TINs) within the framework of Directive 2011/16/EU and is not specific to the crypto-asset reporting regime. This draft law transposes the provisions of Annex VI (DAC 8) governing the reporting and automatic exchange of information on crypto-assets.</w:t>
            </w:r>
          </w:p>
        </w:tc>
      </w:tr>
      <w:tr w:rsidR="00E94486" w:rsidRPr="00874B0C" w14:paraId="224C26E8" w14:textId="77777777" w:rsidTr="00874B0C">
        <w:trPr>
          <w:trHeight w:val="764"/>
        </w:trPr>
        <w:tc>
          <w:tcPr>
            <w:tcW w:w="720" w:type="dxa"/>
          </w:tcPr>
          <w:p w14:paraId="718781EA"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3D790C13" w14:textId="13CA516D" w:rsidR="001D47BD" w:rsidRPr="00874B0C" w:rsidRDefault="001D47BD" w:rsidP="00874B0C">
            <w:pPr>
              <w:pStyle w:val="oj-ti-grseq-1"/>
              <w:shd w:val="clear" w:color="auto" w:fill="FFFFFF"/>
              <w:spacing w:before="240" w:after="120" w:line="276" w:lineRule="auto"/>
              <w:jc w:val="center"/>
              <w:rPr>
                <w:rFonts w:eastAsia="Calibri"/>
                <w:b/>
                <w:iCs/>
                <w:sz w:val="18"/>
                <w:szCs w:val="18"/>
              </w:rPr>
            </w:pPr>
            <w:r w:rsidRPr="00874B0C">
              <w:rPr>
                <w:rFonts w:eastAsia="Calibri"/>
                <w:b/>
                <w:iCs/>
                <w:sz w:val="18"/>
                <w:szCs w:val="18"/>
              </w:rPr>
              <w:t>Article 2</w:t>
            </w:r>
          </w:p>
          <w:p w14:paraId="5A51DF24" w14:textId="53A284E9"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Member States shall adopt and publish, by 31 December 2025, the laws, regulations and administrative provisions necessary to comply with this Directive. They shall immediately inform the Commission thereof.</w:t>
            </w:r>
          </w:p>
          <w:p w14:paraId="66F4B7BE" w14:textId="1CD1AEF8"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They shall apply those provisions from 1 January 2026.</w:t>
            </w:r>
          </w:p>
          <w:p w14:paraId="28A945C8" w14:textId="33322F2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When Member States adopt those provisions, they shall contain a reference to this Directive or shall be accompanied by such reference on the occasion of their official publication. The methods of making such reference shall be laid down by Member States.</w:t>
            </w:r>
          </w:p>
          <w:p w14:paraId="335F2012" w14:textId="27476A1F"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By way of derogation from paragraph 1 of this Article, Member States shall adopt and publish, by 31 December 2027, the laws, regulations and administrative provisions necessary to comply with Article 1, point 11, of this Directive and with Article 1, point 16, of this Directive as regards Article 27c(3) and (4) of Directive 2011/16/EU. They shall immediately inform the Commission thereof.</w:t>
            </w:r>
          </w:p>
          <w:p w14:paraId="2CEAF8A8" w14:textId="79BEEC44"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They shall apply those provisions from 1 January 2028.</w:t>
            </w:r>
          </w:p>
          <w:p w14:paraId="61940CE6" w14:textId="2C7AF812"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When Member States adopt those provisions, they shall contain a reference to this Directive or shall be accompanied by such reference on the occasion of their official publication. The methods of making such reference shall be laid down by Member States.</w:t>
            </w:r>
          </w:p>
          <w:p w14:paraId="62264DEF" w14:textId="45D9063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By way of derogation from paragraph 1 of this Article, Member States shall adopt and publish, by 31 December 2029, the laws, regulations and administrative provisions necessary to comply with Article 1, point 16, of this Directive as regards Article 27c(2) of Directive 2011/16/EU. They shall immediately inform the Commission thereof.</w:t>
            </w:r>
          </w:p>
          <w:p w14:paraId="0411A7D9" w14:textId="31D00130"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They shall apply those provisions from 1 January 2030.</w:t>
            </w:r>
          </w:p>
          <w:p w14:paraId="05E009A6" w14:textId="048B9EB0"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When Member States adopt those provisions, they shall contain a reference to this Directive or shall be accompanied by such reference on the occasion of their official publication. The methods of making such reference shall be laid down by Member States.</w:t>
            </w:r>
          </w:p>
          <w:p w14:paraId="768FDF39" w14:textId="7EDED687" w:rsidR="00E94486"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Member States shall communicate to the Commission the text of the main provisions of national law which they adopt in the field covered by this Directive.</w:t>
            </w:r>
          </w:p>
        </w:tc>
        <w:tc>
          <w:tcPr>
            <w:tcW w:w="1080" w:type="dxa"/>
          </w:tcPr>
          <w:p w14:paraId="0873793C"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0FE9916" w14:textId="6249F91D" w:rsidR="00E94486" w:rsidRPr="00874B0C" w:rsidRDefault="0010796A"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3870" w:type="dxa"/>
          </w:tcPr>
          <w:p w14:paraId="5243B3DD" w14:textId="1A377FE6" w:rsidR="00E94486" w:rsidRPr="00874B0C" w:rsidRDefault="0010796A"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1184" w:type="dxa"/>
          </w:tcPr>
          <w:p w14:paraId="0A57FB15" w14:textId="3084E6C8" w:rsidR="00E94486" w:rsidRPr="00874B0C" w:rsidRDefault="0010796A" w:rsidP="00874B0C">
            <w:pPr>
              <w:spacing w:line="276" w:lineRule="auto"/>
              <w:jc w:val="center"/>
              <w:rPr>
                <w:rFonts w:ascii="Times New Roman" w:eastAsia="Calibri" w:hAnsi="Times New Roman" w:cs="Times New Roman"/>
                <w:sz w:val="18"/>
                <w:szCs w:val="18"/>
              </w:rPr>
            </w:pPr>
            <w:r w:rsidRPr="00874B0C">
              <w:rPr>
                <w:rFonts w:ascii="Times New Roman" w:eastAsia="Calibri" w:hAnsi="Times New Roman" w:cs="Times New Roman"/>
                <w:sz w:val="18"/>
                <w:szCs w:val="18"/>
              </w:rPr>
              <w:t>N/A</w:t>
            </w:r>
          </w:p>
        </w:tc>
        <w:tc>
          <w:tcPr>
            <w:tcW w:w="3406" w:type="dxa"/>
          </w:tcPr>
          <w:p w14:paraId="6C480747" w14:textId="360504C4" w:rsidR="00E94486" w:rsidRPr="00874B0C" w:rsidRDefault="0010796A"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Not transposed. Article 2 contains implementation and transposition obligations addressed to EU Member States (deadlines for adoption, application, notification to the European Commission and references to the Directive). It does not establish substantive rights or obligations requiring transposition into the draft law.</w:t>
            </w:r>
          </w:p>
        </w:tc>
      </w:tr>
      <w:tr w:rsidR="00E94486" w:rsidRPr="00874B0C" w14:paraId="0321358F" w14:textId="77777777" w:rsidTr="00874B0C">
        <w:trPr>
          <w:trHeight w:val="764"/>
        </w:trPr>
        <w:tc>
          <w:tcPr>
            <w:tcW w:w="720" w:type="dxa"/>
          </w:tcPr>
          <w:p w14:paraId="5E7D4C59"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5F5B0A14" w14:textId="77777777" w:rsidR="001D47BD" w:rsidRPr="00874B0C" w:rsidRDefault="001D47BD"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Article 3</w:t>
            </w:r>
          </w:p>
          <w:p w14:paraId="429E7A0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7E6E9C5" w14:textId="54BD4E4A" w:rsidR="00E94486"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This Directive shall enter into force on the twentieth day following that of its publication in the Official Journal of the European Unio</w:t>
            </w:r>
          </w:p>
        </w:tc>
        <w:tc>
          <w:tcPr>
            <w:tcW w:w="1080" w:type="dxa"/>
          </w:tcPr>
          <w:p w14:paraId="40A2F293"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4640BA3C" w14:textId="6A2CB42C" w:rsidR="00E94486" w:rsidRPr="00874B0C" w:rsidRDefault="0010796A"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3870" w:type="dxa"/>
          </w:tcPr>
          <w:p w14:paraId="3C35588E" w14:textId="03552C10" w:rsidR="00E94486" w:rsidRPr="00874B0C" w:rsidRDefault="0010796A"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1184" w:type="dxa"/>
          </w:tcPr>
          <w:p w14:paraId="6593015F" w14:textId="4FE87F5E" w:rsidR="00E94486" w:rsidRPr="00874B0C" w:rsidRDefault="0010796A" w:rsidP="00874B0C">
            <w:pPr>
              <w:spacing w:line="276" w:lineRule="auto"/>
              <w:jc w:val="center"/>
              <w:rPr>
                <w:rFonts w:ascii="Times New Roman" w:eastAsia="Calibri" w:hAnsi="Times New Roman" w:cs="Times New Roman"/>
                <w:sz w:val="18"/>
                <w:szCs w:val="18"/>
              </w:rPr>
            </w:pPr>
            <w:r w:rsidRPr="00874B0C">
              <w:rPr>
                <w:rFonts w:ascii="Times New Roman" w:eastAsia="Calibri" w:hAnsi="Times New Roman" w:cs="Times New Roman"/>
                <w:sz w:val="18"/>
                <w:szCs w:val="18"/>
              </w:rPr>
              <w:t>N/A</w:t>
            </w:r>
          </w:p>
        </w:tc>
        <w:tc>
          <w:tcPr>
            <w:tcW w:w="3406" w:type="dxa"/>
          </w:tcPr>
          <w:p w14:paraId="53A885C8" w14:textId="3BABA535" w:rsidR="00E94486" w:rsidRPr="00874B0C" w:rsidRDefault="0010796A"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Not transposed. Article 3 concerns the entry into force of Directive (EU) 2023/2226 and does not establish substantive provisions requiring transposition into national legislation.</w:t>
            </w:r>
          </w:p>
        </w:tc>
      </w:tr>
      <w:tr w:rsidR="00E94486" w:rsidRPr="00874B0C" w14:paraId="5612D0D9" w14:textId="77777777" w:rsidTr="00874B0C">
        <w:trPr>
          <w:trHeight w:val="764"/>
        </w:trPr>
        <w:tc>
          <w:tcPr>
            <w:tcW w:w="720" w:type="dxa"/>
          </w:tcPr>
          <w:p w14:paraId="2C1051A4"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2252E9CF" w14:textId="7777777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ANNEX I</w:t>
            </w:r>
          </w:p>
          <w:p w14:paraId="61E06385"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856BD6E" w14:textId="7777777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Annex I to Directive 2011/16/EU is amended as follows:</w:t>
            </w:r>
          </w:p>
          <w:p w14:paraId="32AE162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4E286C2" w14:textId="2CF42CC4"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Section I is amended as follows:</w:t>
            </w:r>
          </w:p>
          <w:p w14:paraId="11589A65"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586D762" w14:textId="480C39B8"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paragraph A is amended as follows:</w:t>
            </w:r>
          </w:p>
          <w:p w14:paraId="0101B933"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A638D71" w14:textId="41F3D6B9"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the introductory wording and subparagraphs A(1) and A(2) are replaced by the following:</w:t>
            </w:r>
          </w:p>
          <w:p w14:paraId="2835DB61"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0685CD4" w14:textId="6411EC19"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Subject to paragraphs C to F, each Reporting Financial Institution shall report to the competent authority of its Member State with respect to each Reportable Account of such Reporting Financial Institution:</w:t>
            </w:r>
          </w:p>
          <w:p w14:paraId="6EBE2A2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FC3C864" w14:textId="4AB37546"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the following information:</w:t>
            </w:r>
          </w:p>
          <w:p w14:paraId="14EBAAD4"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6BA6D2E" w14:textId="213CB3E2"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the name, address, Member State(s) of residence, TIN(s) and date and place of birth (in the case of an individual) of each Reportable Person that is an Account Holder of the account and whether the Account Holder has provided a valid self-certification;</w:t>
            </w:r>
          </w:p>
          <w:p w14:paraId="48FB54ED"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1442268" w14:textId="70BB1C1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in the case of any Entity that is an Account Holder and that, after application of the due diligence procedures consistent with Sections V, VI and VII, is identified as having one or more Controlling Persons that is a Reportable Person, the name, address, Member State(s) and (if any) other jurisdiction(s) of residence and TIN(s) of the Entity and the name, address, Member State(s) of residence, TIN(s) and date and place of birth of each Reportable Person, as well as the role(s) by virtue of which each Reportable Person is a Controlling Person of the Entity and whether a valid self-certification has been provided for each Reportable Person;</w:t>
            </w:r>
          </w:p>
          <w:p w14:paraId="5DE8D1A3"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8BCBD2E" w14:textId="0B9770BC"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whether the account is a joint account, including the number of joint Account Holders;</w:t>
            </w:r>
          </w:p>
          <w:p w14:paraId="2BB28765"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0778FAF" w14:textId="7FBD673B"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the account number (or functional equivalent in the absence of an account number), the type of account and whether the account is a Pre-existing Account or a New Account;’;</w:t>
            </w:r>
          </w:p>
          <w:p w14:paraId="05CFDF74"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8545066" w14:textId="24E537F6"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 subparagraph A(6) is replaced by the following:</w:t>
            </w:r>
          </w:p>
          <w:p w14:paraId="259CFEF8"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232C058F" w14:textId="1221AF2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‘6. in the case of any Depository Account, the total gross amount of interest paid or credited to the account during the calendar year or other appropriate reporting period;’;</w:t>
            </w:r>
          </w:p>
          <w:p w14:paraId="6ADDFBF0"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09DC959" w14:textId="5198B6D1"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(iii) the following subparagraph is inserted:</w:t>
            </w:r>
          </w:p>
          <w:p w14:paraId="20425671"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CA1BF7D" w14:textId="25800BFA"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‘6a. in the case of any Equity Interest held in an Investment Entity that is a legal arrangement, the role(s) by virtue of which the Reportable Person is an Equity Interest holder; and’;</w:t>
            </w:r>
          </w:p>
          <w:p w14:paraId="45573E45" w14:textId="1E434E21"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paragraph C is replaced by the following:</w:t>
            </w:r>
          </w:p>
          <w:p w14:paraId="3EFCC79D"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0B3EB5B" w14:textId="3B7AAE6E"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Notwithstanding subparagraph A(1), with respect to each Reportable Account that is a Pre-existing Account, the TIN(s) or date of birth is not required to be reported if such TIN(s) or date of birth is not in the records of the Reporting Financial Institution and is not otherwise required to be collected by such Reporting Financial Institution under domestic law or any Union legal instrument. However, a Reporting Financial Institution is required to use reasonable efforts to obtain the TIN(s) and date of birth with respect to Pre-existing Accounts by the end of the second calendar year following the year in which Pre-existing Accounts were identified as Reportable Accounts and whenever it is required to update the information relating to the Pre-existing Account pursuant to domestic AML/KYC Procedures.’;</w:t>
            </w:r>
          </w:p>
          <w:p w14:paraId="1158AC65"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601D2AF" w14:textId="68175F2F"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the following paragraph is added:</w:t>
            </w:r>
          </w:p>
          <w:p w14:paraId="3EFC7DBF"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5293FB1" w14:textId="45E01E16"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 Notwithstanding subparagraph A(5), point (b), and unless the Reporting Financial Institution elects otherwise with respect to any clearly identified group of accounts, the gross proceeds from the sale or redemption of a Financial Asset are not required to be reported to the extent such gross proceeds from the sale or redemption of such Financial Asset are reported by the Reporting Financial Institution in accordance with Article 8ad.’;</w:t>
            </w:r>
          </w:p>
          <w:p w14:paraId="4A7D520D"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1A9ED770" w14:textId="0D465DCB"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in Section VI, paragraph 2, point (b) is replaced by the following:</w:t>
            </w:r>
          </w:p>
          <w:p w14:paraId="5ABBA5E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347B784" w14:textId="21672E36"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Determining the Controlling Persons of an Account Holder. For the purpose of determining the Controlling Persons of an Account Holder, a Reporting Financial Institution may rely on information collected and maintained pursuant to AML/KYC Procedures, provided that such procedures are consistent with the Directive (EU) 2015/849. If the Reporting Financial Institution is not legally required to apply AML/KYC Procedures that are consistent with the Directive (EU) 2015/849, it shall apply substantially similar procedures for the purpose of determining the Controlling Persons.’;</w:t>
            </w:r>
          </w:p>
          <w:p w14:paraId="3158196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E4B4A71" w14:textId="41997D4E"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in Section VII, the following paragraph is inserted:</w:t>
            </w:r>
          </w:p>
          <w:p w14:paraId="3973A1D3"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DCBC985" w14:textId="2B06F0E3"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‘Aa. Temporary lack of self-certification. In exceptional circumstances where a self-certification cannot be obtained by a Reporting Financial Institution in respect of a New Account in time to meet its due diligence and reporting obligations with respect to the reporting period during which the account was opened, the Reporting Financial Institution shall apply the due diligence procedures for Pre-existing Accounts, until such self-certification is obtained and validated.’;</w:t>
            </w:r>
          </w:p>
          <w:p w14:paraId="1DFEC331"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3DC0D26A" w14:textId="64AD7AE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Section VIII is amended as follows:</w:t>
            </w:r>
          </w:p>
          <w:p w14:paraId="29550048"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E0182E9" w14:textId="4ECBDC60"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subparagraphs A(5), A(6) and A(7) are replaced by the following:</w:t>
            </w:r>
          </w:p>
          <w:p w14:paraId="4B082778"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4F646B8" w14:textId="7E94B742"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‘5. The term </w:t>
            </w:r>
            <w:r w:rsidR="009E71CE">
              <w:rPr>
                <w:rFonts w:eastAsia="Calibri"/>
                <w:iCs/>
                <w:sz w:val="18"/>
                <w:szCs w:val="18"/>
              </w:rPr>
              <w:t>“</w:t>
            </w:r>
            <w:r w:rsidRPr="00874B0C">
              <w:rPr>
                <w:rFonts w:eastAsia="Calibri"/>
                <w:iCs/>
                <w:sz w:val="18"/>
                <w:szCs w:val="18"/>
              </w:rPr>
              <w:t>Depository Institution</w:t>
            </w:r>
            <w:r w:rsidR="009E71CE">
              <w:rPr>
                <w:rFonts w:eastAsia="Calibri"/>
                <w:iCs/>
                <w:sz w:val="18"/>
                <w:szCs w:val="18"/>
              </w:rPr>
              <w:t>”</w:t>
            </w:r>
            <w:r w:rsidRPr="00874B0C">
              <w:rPr>
                <w:rFonts w:eastAsia="Calibri"/>
                <w:iCs/>
                <w:sz w:val="18"/>
                <w:szCs w:val="18"/>
              </w:rPr>
              <w:t xml:space="preserve"> means any Entity that:</w:t>
            </w:r>
          </w:p>
          <w:p w14:paraId="7703C52D"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BCB2EB1" w14:textId="505929B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accepts deposits in the ordinary course of a banking or similar business; or</w:t>
            </w:r>
          </w:p>
          <w:p w14:paraId="6CCB378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3C59CE80" w14:textId="6E19EB0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holds E-money or Central Bank Digital Currencies for the benefit of customers.</w:t>
            </w:r>
          </w:p>
          <w:p w14:paraId="5C53CEC1"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1386120" w14:textId="35A90CF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6. The term </w:t>
            </w:r>
            <w:r w:rsidR="009E71CE">
              <w:rPr>
                <w:rFonts w:eastAsia="Calibri"/>
                <w:iCs/>
                <w:sz w:val="18"/>
                <w:szCs w:val="18"/>
              </w:rPr>
              <w:t>“</w:t>
            </w:r>
            <w:r w:rsidRPr="00874B0C">
              <w:rPr>
                <w:rFonts w:eastAsia="Calibri"/>
                <w:iCs/>
                <w:sz w:val="18"/>
                <w:szCs w:val="18"/>
              </w:rPr>
              <w:t>Investment Entity</w:t>
            </w:r>
            <w:r w:rsidR="009E71CE">
              <w:rPr>
                <w:rFonts w:eastAsia="Calibri"/>
                <w:iCs/>
                <w:sz w:val="18"/>
                <w:szCs w:val="18"/>
              </w:rPr>
              <w:t>”</w:t>
            </w:r>
            <w:r w:rsidRPr="00874B0C">
              <w:rPr>
                <w:rFonts w:eastAsia="Calibri"/>
                <w:iCs/>
                <w:sz w:val="18"/>
                <w:szCs w:val="18"/>
              </w:rPr>
              <w:t xml:space="preserve"> means any Entity:</w:t>
            </w:r>
          </w:p>
          <w:p w14:paraId="7AF2D7F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C378347" w14:textId="25854CB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which primarily conducts as a business one or more of the following activities or operations for or on behalf of a customer:</w:t>
            </w:r>
          </w:p>
          <w:p w14:paraId="28B41EF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20BFD8A4" w14:textId="1078D2D8"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trading in money market instruments (cheques, bills, certificates of deposit, derivatives, etc.); foreign exchange; exchange, interest rate and index instruments; transferable securities; or commodity futures trading;</w:t>
            </w:r>
          </w:p>
          <w:p w14:paraId="7AE6BE14"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79EB41B" w14:textId="1CA3080A"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 individual and collective portfolio management; or</w:t>
            </w:r>
          </w:p>
          <w:p w14:paraId="1E7070B0"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A09957B" w14:textId="5CD1660A"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(iii) otherwise investing, administering, or managing Financial Assets, money, or Reportable Crypto-Assets on behalf of other persons; or</w:t>
            </w:r>
          </w:p>
          <w:p w14:paraId="3CB88878"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2BC75EF6" w14:textId="254AA739"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the gross income of which is primarily attributable to investing, reinvesting, or trading in Financial Assets or Reportable Crypto-Assets, if the Entity is managed by another Entity that is a Depository Institution, a Custodial Institution, a Specified Insurance Company, or an Investment Entity described in subparagraph A(6), point (a).</w:t>
            </w:r>
          </w:p>
          <w:p w14:paraId="1A92D27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DA1FE6C" w14:textId="70CDAB2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An Entity is treated as primarily conducting as a business one or more of the activities described in subparagraph A(6), point (a), or an Entity’s gross income is primarily attributable to investing, reinvesting, or trading in Financial Assets or Reportable Crypto-Assets for the purposes of subparagraph A(6), point (b), if the Entity’s gross income attributable to the relevant activities equals or exceeds 50 % of the Entity’s gross income during the shorter of: (i) the three-year period ending on 31 December of the year preceding the year in which the determination is made; or (ii) the period during which the Entity has been in existence. For the purposes of subparagraph A(6), point (a)(iii), the term </w:t>
            </w:r>
            <w:r w:rsidR="009E71CE">
              <w:rPr>
                <w:rFonts w:eastAsia="Calibri"/>
                <w:iCs/>
                <w:sz w:val="18"/>
                <w:szCs w:val="18"/>
              </w:rPr>
              <w:t>“</w:t>
            </w:r>
            <w:r w:rsidRPr="00874B0C">
              <w:rPr>
                <w:rFonts w:eastAsia="Calibri"/>
                <w:iCs/>
                <w:sz w:val="18"/>
                <w:szCs w:val="18"/>
              </w:rPr>
              <w:t>otherwise investing, administering, or managing Financial Assets, money, or Reportable Crypto-Assets on behalf of other persons</w:t>
            </w:r>
            <w:r w:rsidR="009E71CE">
              <w:rPr>
                <w:rFonts w:eastAsia="Calibri"/>
                <w:iCs/>
                <w:sz w:val="18"/>
                <w:szCs w:val="18"/>
              </w:rPr>
              <w:t>”</w:t>
            </w:r>
            <w:r w:rsidRPr="00874B0C">
              <w:rPr>
                <w:rFonts w:eastAsia="Calibri"/>
                <w:iCs/>
                <w:sz w:val="18"/>
                <w:szCs w:val="18"/>
              </w:rPr>
              <w:t xml:space="preserve"> does not include the provision of services effectuating Exchange Transactions for or on behalf of customers. The term </w:t>
            </w:r>
            <w:r w:rsidR="009E71CE">
              <w:rPr>
                <w:rFonts w:eastAsia="Calibri"/>
                <w:iCs/>
                <w:sz w:val="18"/>
                <w:szCs w:val="18"/>
              </w:rPr>
              <w:t>“</w:t>
            </w:r>
            <w:r w:rsidRPr="00874B0C">
              <w:rPr>
                <w:rFonts w:eastAsia="Calibri"/>
                <w:iCs/>
                <w:sz w:val="18"/>
                <w:szCs w:val="18"/>
              </w:rPr>
              <w:t>Investment Entity</w:t>
            </w:r>
            <w:r w:rsidR="009E71CE">
              <w:rPr>
                <w:rFonts w:eastAsia="Calibri"/>
                <w:iCs/>
                <w:sz w:val="18"/>
                <w:szCs w:val="18"/>
              </w:rPr>
              <w:t>”</w:t>
            </w:r>
            <w:r w:rsidRPr="00874B0C">
              <w:rPr>
                <w:rFonts w:eastAsia="Calibri"/>
                <w:iCs/>
                <w:sz w:val="18"/>
                <w:szCs w:val="18"/>
              </w:rPr>
              <w:t xml:space="preserve"> does not include an Entity that is an Active NFE because that Entity meets any of the criteria in subparagraph D(8), points (d) to (g).</w:t>
            </w:r>
          </w:p>
          <w:p w14:paraId="1AAA3620"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EEB28A5" w14:textId="621DD626"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This subparagraph shall be interpreted in a manner consistent with the similar language set out in the definition of </w:t>
            </w:r>
            <w:r w:rsidR="009E71CE">
              <w:rPr>
                <w:rFonts w:eastAsia="Calibri"/>
                <w:iCs/>
                <w:sz w:val="18"/>
                <w:szCs w:val="18"/>
              </w:rPr>
              <w:t>“</w:t>
            </w:r>
            <w:r w:rsidRPr="00874B0C">
              <w:rPr>
                <w:rFonts w:eastAsia="Calibri"/>
                <w:iCs/>
                <w:sz w:val="18"/>
                <w:szCs w:val="18"/>
              </w:rPr>
              <w:t>financial institution</w:t>
            </w:r>
            <w:r w:rsidR="009E71CE">
              <w:rPr>
                <w:rFonts w:eastAsia="Calibri"/>
                <w:iCs/>
                <w:sz w:val="18"/>
                <w:szCs w:val="18"/>
              </w:rPr>
              <w:t>”</w:t>
            </w:r>
            <w:r w:rsidRPr="00874B0C">
              <w:rPr>
                <w:rFonts w:eastAsia="Calibri"/>
                <w:iCs/>
                <w:sz w:val="18"/>
                <w:szCs w:val="18"/>
              </w:rPr>
              <w:t xml:space="preserve"> in Directive (EU) 2015/849.</w:t>
            </w:r>
          </w:p>
          <w:p w14:paraId="6E82EC33"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400F5A0" w14:textId="555BE77E"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7. The term </w:t>
            </w:r>
            <w:r w:rsidR="009E71CE">
              <w:rPr>
                <w:rFonts w:eastAsia="Calibri"/>
                <w:iCs/>
                <w:sz w:val="18"/>
                <w:szCs w:val="18"/>
              </w:rPr>
              <w:t>“</w:t>
            </w:r>
            <w:r w:rsidRPr="00874B0C">
              <w:rPr>
                <w:rFonts w:eastAsia="Calibri"/>
                <w:iCs/>
                <w:sz w:val="18"/>
                <w:szCs w:val="18"/>
              </w:rPr>
              <w:t>Financial Asset</w:t>
            </w:r>
            <w:r w:rsidR="009E71CE">
              <w:rPr>
                <w:rFonts w:eastAsia="Calibri"/>
                <w:iCs/>
                <w:sz w:val="18"/>
                <w:szCs w:val="18"/>
              </w:rPr>
              <w:t>”</w:t>
            </w:r>
            <w:r w:rsidRPr="00874B0C">
              <w:rPr>
                <w:rFonts w:eastAsia="Calibri"/>
                <w:iCs/>
                <w:sz w:val="18"/>
                <w:szCs w:val="18"/>
              </w:rPr>
              <w:t xml:space="preserve"> includes a security (for example, a share of stock in a corporation; partnership or beneficial ownership interest in a widely held or publicly traded partnership or trust; note, bond, debenture, or other evidence of indebtedness), partnership interest, commodity, swap (for example, interest rate swaps, currency swaps, basis swaps, interest rate caps, interest rate floors, commodity swaps, equity swaps, equity index swaps, and similar agreements), Insurance Contract or Annuity Contract, or any interest (including a futures or forward contract or option) in a security, Reportable Crypto-Asset, partnership interest, commodity, swap, Insurance Contract, or Annuity Contract. The term ‘Financial Asset’ does not include a non-debt, direct interest in real property.’;</w:t>
            </w:r>
          </w:p>
          <w:p w14:paraId="33DBA7B5"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B6121F3" w14:textId="5E37EA1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in paragraph A, the following subparagraphs are added:</w:t>
            </w:r>
          </w:p>
          <w:p w14:paraId="08606A7B"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17B4B27" w14:textId="147FB1BF"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‘9. For the purposes of this Annex, the term </w:t>
            </w:r>
            <w:r w:rsidR="009E71CE">
              <w:rPr>
                <w:rFonts w:eastAsia="Calibri"/>
                <w:iCs/>
                <w:sz w:val="18"/>
                <w:szCs w:val="18"/>
              </w:rPr>
              <w:t>“</w:t>
            </w:r>
            <w:r w:rsidRPr="00874B0C">
              <w:rPr>
                <w:rFonts w:eastAsia="Calibri"/>
                <w:iCs/>
                <w:sz w:val="18"/>
                <w:szCs w:val="18"/>
              </w:rPr>
              <w:t>Electronic Money</w:t>
            </w:r>
            <w:r w:rsidR="009E71CE">
              <w:rPr>
                <w:rFonts w:eastAsia="Calibri"/>
                <w:iCs/>
                <w:sz w:val="18"/>
                <w:szCs w:val="18"/>
              </w:rPr>
              <w:t>”</w:t>
            </w:r>
            <w:r w:rsidRPr="00874B0C">
              <w:rPr>
                <w:rFonts w:eastAsia="Calibri"/>
                <w:iCs/>
                <w:sz w:val="18"/>
                <w:szCs w:val="18"/>
              </w:rPr>
              <w:t xml:space="preserve"> or </w:t>
            </w:r>
            <w:r w:rsidR="009E71CE">
              <w:rPr>
                <w:rFonts w:eastAsia="Calibri"/>
                <w:iCs/>
                <w:sz w:val="18"/>
                <w:szCs w:val="18"/>
              </w:rPr>
              <w:t>“</w:t>
            </w:r>
            <w:r w:rsidRPr="00874B0C">
              <w:rPr>
                <w:rFonts w:eastAsia="Calibri"/>
                <w:iCs/>
                <w:sz w:val="18"/>
                <w:szCs w:val="18"/>
              </w:rPr>
              <w:t>E-money</w:t>
            </w:r>
            <w:r w:rsidR="009E71CE">
              <w:rPr>
                <w:rFonts w:eastAsia="Calibri"/>
                <w:iCs/>
                <w:sz w:val="18"/>
                <w:szCs w:val="18"/>
              </w:rPr>
              <w:t>”</w:t>
            </w:r>
            <w:r w:rsidRPr="00874B0C">
              <w:rPr>
                <w:rFonts w:eastAsia="Calibri"/>
                <w:iCs/>
                <w:sz w:val="18"/>
                <w:szCs w:val="18"/>
              </w:rPr>
              <w:t xml:space="preserve"> means any product that is:</w:t>
            </w:r>
          </w:p>
          <w:p w14:paraId="01FEFDE6"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05D7A86" w14:textId="109B9503"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a digital representation of a single Fiat Currency;</w:t>
            </w:r>
          </w:p>
          <w:p w14:paraId="1D320B1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6CBECCB" w14:textId="3296B990"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issued on the receipt of funds for the purpose of making payment transactions;</w:t>
            </w:r>
          </w:p>
          <w:p w14:paraId="38481345"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11CE6363" w14:textId="177BF05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represented by a claim on the issuer denominated in the same Fiat Currency;</w:t>
            </w:r>
          </w:p>
          <w:p w14:paraId="35C77F3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33C90290" w14:textId="67C34B0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accepted in payment by a natural or legal person other than the issuer; and</w:t>
            </w:r>
          </w:p>
          <w:p w14:paraId="41742C0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475C6E7" w14:textId="1EBB475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by virtue of regulatory requirements to which the issuer is subject, redeemable at any time and at par value for the same Fiat Currency upon request of the holder of the product.</w:t>
            </w:r>
          </w:p>
          <w:p w14:paraId="655C86B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29A95C52" w14:textId="06E309B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The term </w:t>
            </w:r>
            <w:r w:rsidR="009E71CE">
              <w:rPr>
                <w:rFonts w:eastAsia="Calibri"/>
                <w:iCs/>
                <w:sz w:val="18"/>
                <w:szCs w:val="18"/>
              </w:rPr>
              <w:t>“</w:t>
            </w:r>
            <w:r w:rsidRPr="00874B0C">
              <w:rPr>
                <w:rFonts w:eastAsia="Calibri"/>
                <w:iCs/>
                <w:sz w:val="18"/>
                <w:szCs w:val="18"/>
              </w:rPr>
              <w:t>Electronic Money</w:t>
            </w:r>
            <w:r w:rsidR="009E71CE">
              <w:rPr>
                <w:rFonts w:eastAsia="Calibri"/>
                <w:iCs/>
                <w:sz w:val="18"/>
                <w:szCs w:val="18"/>
              </w:rPr>
              <w:t>”</w:t>
            </w:r>
            <w:r w:rsidRPr="00874B0C">
              <w:rPr>
                <w:rFonts w:eastAsia="Calibri"/>
                <w:iCs/>
                <w:sz w:val="18"/>
                <w:szCs w:val="18"/>
              </w:rPr>
              <w:t xml:space="preserve"> or </w:t>
            </w:r>
            <w:r w:rsidR="009E71CE">
              <w:rPr>
                <w:rFonts w:eastAsia="Calibri"/>
                <w:iCs/>
                <w:sz w:val="18"/>
                <w:szCs w:val="18"/>
              </w:rPr>
              <w:t>“</w:t>
            </w:r>
            <w:r w:rsidRPr="00874B0C">
              <w:rPr>
                <w:rFonts w:eastAsia="Calibri"/>
                <w:iCs/>
                <w:sz w:val="18"/>
                <w:szCs w:val="18"/>
              </w:rPr>
              <w:t>E-money</w:t>
            </w:r>
            <w:r w:rsidR="009E71CE">
              <w:rPr>
                <w:rFonts w:eastAsia="Calibri"/>
                <w:iCs/>
                <w:sz w:val="18"/>
                <w:szCs w:val="18"/>
              </w:rPr>
              <w:t>”</w:t>
            </w:r>
            <w:r w:rsidRPr="00874B0C">
              <w:rPr>
                <w:rFonts w:eastAsia="Calibri"/>
                <w:iCs/>
                <w:sz w:val="18"/>
                <w:szCs w:val="18"/>
              </w:rPr>
              <w:t xml:space="preserve"> does not include a product created for the sole purpose of facilitating the transfer of funds from a customer to another person pursuant to instructions of the customer. A product is not created for the sole purpose of facilitating the transfer of funds if, in the ordinary course of business of the transferring Entity, either the funds connected with such product are held longer than 60 days after receipt of instructions to facilitate the transfer, or, if no instructions are received, the funds connected with such product are held longer than 60 days after receipt of the funds.</w:t>
            </w:r>
          </w:p>
          <w:p w14:paraId="61478BF4"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0E077CE" w14:textId="4B429439"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10. The term </w:t>
            </w:r>
            <w:r w:rsidR="009E71CE">
              <w:rPr>
                <w:rFonts w:eastAsia="Calibri"/>
                <w:iCs/>
                <w:sz w:val="18"/>
                <w:szCs w:val="18"/>
              </w:rPr>
              <w:t>“</w:t>
            </w:r>
            <w:r w:rsidRPr="00874B0C">
              <w:rPr>
                <w:rFonts w:eastAsia="Calibri"/>
                <w:iCs/>
                <w:sz w:val="18"/>
                <w:szCs w:val="18"/>
              </w:rPr>
              <w:t>Fiat Currency</w:t>
            </w:r>
            <w:r w:rsidR="009E71CE">
              <w:rPr>
                <w:rFonts w:eastAsia="Calibri"/>
                <w:iCs/>
                <w:sz w:val="18"/>
                <w:szCs w:val="18"/>
              </w:rPr>
              <w:t>”</w:t>
            </w:r>
            <w:r w:rsidRPr="00874B0C">
              <w:rPr>
                <w:rFonts w:eastAsia="Calibri"/>
                <w:iCs/>
                <w:sz w:val="18"/>
                <w:szCs w:val="18"/>
              </w:rPr>
              <w:t xml:space="preserve"> means the official currency of a jurisdiction, issued by a jurisdiction or by a jurisdiction’s designated Central Bank or monetary authority, as represented by physical banknotes or coins or by money in different digital forms, including bank reserves and Central Bank Digital Currencies. The term also includes commercial bank money and electronic money products (Electronic Money).</w:t>
            </w:r>
          </w:p>
          <w:p w14:paraId="6E611F0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2313F09" w14:textId="7F9B39D1"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11. The term </w:t>
            </w:r>
            <w:r w:rsidR="009E71CE">
              <w:rPr>
                <w:rFonts w:eastAsia="Calibri"/>
                <w:iCs/>
                <w:sz w:val="18"/>
                <w:szCs w:val="18"/>
              </w:rPr>
              <w:t>“</w:t>
            </w:r>
            <w:r w:rsidRPr="00874B0C">
              <w:rPr>
                <w:rFonts w:eastAsia="Calibri"/>
                <w:iCs/>
                <w:sz w:val="18"/>
                <w:szCs w:val="18"/>
              </w:rPr>
              <w:t>Central Bank Digital Currency</w:t>
            </w:r>
            <w:r w:rsidR="009E71CE">
              <w:rPr>
                <w:rFonts w:eastAsia="Calibri"/>
                <w:iCs/>
                <w:sz w:val="18"/>
                <w:szCs w:val="18"/>
              </w:rPr>
              <w:t>”</w:t>
            </w:r>
            <w:r w:rsidRPr="00874B0C">
              <w:rPr>
                <w:rFonts w:eastAsia="Calibri"/>
                <w:iCs/>
                <w:sz w:val="18"/>
                <w:szCs w:val="18"/>
              </w:rPr>
              <w:t xml:space="preserve"> means any digital Fiat Currency issued by a Central Bank or other monetary authority.</w:t>
            </w:r>
          </w:p>
          <w:p w14:paraId="364BFEE2"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50CE396" w14:textId="15C1AFFE"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12. The term </w:t>
            </w:r>
            <w:r w:rsidR="009E71CE">
              <w:rPr>
                <w:rFonts w:eastAsia="Calibri"/>
                <w:iCs/>
                <w:sz w:val="18"/>
                <w:szCs w:val="18"/>
              </w:rPr>
              <w:t>“</w:t>
            </w:r>
            <w:r w:rsidRPr="00874B0C">
              <w:rPr>
                <w:rFonts w:eastAsia="Calibri"/>
                <w:iCs/>
                <w:sz w:val="18"/>
                <w:szCs w:val="18"/>
              </w:rPr>
              <w:t>Crypto-Asset</w:t>
            </w:r>
            <w:r w:rsidR="009E71CE">
              <w:rPr>
                <w:rFonts w:eastAsia="Calibri"/>
                <w:iCs/>
                <w:sz w:val="18"/>
                <w:szCs w:val="18"/>
              </w:rPr>
              <w:t>”</w:t>
            </w:r>
            <w:r w:rsidRPr="00874B0C">
              <w:rPr>
                <w:rFonts w:eastAsia="Calibri"/>
                <w:iCs/>
                <w:sz w:val="18"/>
                <w:szCs w:val="18"/>
              </w:rPr>
              <w:t xml:space="preserve"> means crypto-asset as defined in Article 3(1), point (5), of Regulation (EU) 2023/1114.</w:t>
            </w:r>
          </w:p>
          <w:p w14:paraId="3A83CF9A"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0A777F8" w14:textId="14DECEA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13. The term </w:t>
            </w:r>
            <w:r w:rsidR="009E71CE">
              <w:rPr>
                <w:rFonts w:eastAsia="Calibri"/>
                <w:iCs/>
                <w:sz w:val="18"/>
                <w:szCs w:val="18"/>
              </w:rPr>
              <w:t>“</w:t>
            </w:r>
            <w:r w:rsidRPr="00874B0C">
              <w:rPr>
                <w:rFonts w:eastAsia="Calibri"/>
                <w:iCs/>
                <w:sz w:val="18"/>
                <w:szCs w:val="18"/>
              </w:rPr>
              <w:t>Reportable Crypto-Asset</w:t>
            </w:r>
            <w:r w:rsidR="009E71CE">
              <w:rPr>
                <w:rFonts w:eastAsia="Calibri"/>
                <w:iCs/>
                <w:sz w:val="18"/>
                <w:szCs w:val="18"/>
              </w:rPr>
              <w:t>”</w:t>
            </w:r>
            <w:r w:rsidRPr="00874B0C">
              <w:rPr>
                <w:rFonts w:eastAsia="Calibri"/>
                <w:iCs/>
                <w:sz w:val="18"/>
                <w:szCs w:val="18"/>
              </w:rPr>
              <w:t xml:space="preserve"> means any Crypto-Asset other than a Central Bank Digital Currency, Electronic Money, or any Crypto-Asset for which the Reporting Crypto-Asset Service Provider has adequately determined that it cannot be used for payment or investment purposes.</w:t>
            </w:r>
          </w:p>
          <w:p w14:paraId="73B235F0"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11055AD" w14:textId="3AB10C6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14. The term </w:t>
            </w:r>
            <w:r w:rsidR="009E71CE">
              <w:rPr>
                <w:rFonts w:eastAsia="Calibri"/>
                <w:iCs/>
                <w:sz w:val="18"/>
                <w:szCs w:val="18"/>
              </w:rPr>
              <w:t>“</w:t>
            </w:r>
            <w:r w:rsidRPr="00874B0C">
              <w:rPr>
                <w:rFonts w:eastAsia="Calibri"/>
                <w:iCs/>
                <w:sz w:val="18"/>
                <w:szCs w:val="18"/>
              </w:rPr>
              <w:t>Exchange Transaction</w:t>
            </w:r>
            <w:r w:rsidR="009E71CE">
              <w:rPr>
                <w:rFonts w:eastAsia="Calibri"/>
                <w:iCs/>
                <w:sz w:val="18"/>
                <w:szCs w:val="18"/>
              </w:rPr>
              <w:t>”</w:t>
            </w:r>
            <w:r w:rsidRPr="00874B0C">
              <w:rPr>
                <w:rFonts w:eastAsia="Calibri"/>
                <w:iCs/>
                <w:sz w:val="18"/>
                <w:szCs w:val="18"/>
              </w:rPr>
              <w:t xml:space="preserve"> means any:</w:t>
            </w:r>
          </w:p>
          <w:p w14:paraId="4AB3B852"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8EE8F20" w14:textId="4748F80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exchange between Reportable Crypto-Assets and Fiat Currencies; and</w:t>
            </w:r>
          </w:p>
          <w:p w14:paraId="72F5A92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E34BECA" w14:textId="6036A89C"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exchange between one or more forms of Reportable Crypto-Assets.’;</w:t>
            </w:r>
          </w:p>
          <w:p w14:paraId="78884E6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C2316FE" w14:textId="14C90DE9"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in subparagraph B(1), point (a) is replaced by the following:</w:t>
            </w:r>
          </w:p>
          <w:p w14:paraId="19361047"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386C2BD" w14:textId="034B4F26"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a Governmental Entity, International Organisation or Central Bank, other than:</w:t>
            </w:r>
          </w:p>
          <w:p w14:paraId="13E9B75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563F9B8" w14:textId="4CBF7C20"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with respect to a payment that is derived from an obligation held in connection with a commercial financial activity of a type engaged in by a Specified Insurance Company, Custodial Institution, or Depository Institution; or</w:t>
            </w:r>
          </w:p>
          <w:p w14:paraId="4770073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F43519A" w14:textId="7F8A9D6C"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 with respect to the activity of maintaining Central Bank Digital Currencies for Account Holders which are not Financial Institutions, Governmental Entities, International Organisations or Central Banks;’;</w:t>
            </w:r>
          </w:p>
          <w:p w14:paraId="649E736F"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0F01C3E" w14:textId="6528412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subparagraph C(2) is replaced by the following:</w:t>
            </w:r>
          </w:p>
          <w:p w14:paraId="16781433"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7501EBF" w14:textId="59896543"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‘2. The term </w:t>
            </w:r>
            <w:r w:rsidR="009E71CE">
              <w:rPr>
                <w:rFonts w:eastAsia="Calibri"/>
                <w:iCs/>
                <w:sz w:val="18"/>
                <w:szCs w:val="18"/>
              </w:rPr>
              <w:t>“</w:t>
            </w:r>
            <w:r w:rsidRPr="00874B0C">
              <w:rPr>
                <w:rFonts w:eastAsia="Calibri"/>
                <w:iCs/>
                <w:sz w:val="18"/>
                <w:szCs w:val="18"/>
              </w:rPr>
              <w:t>Depository Account</w:t>
            </w:r>
            <w:r w:rsidR="009E71CE">
              <w:rPr>
                <w:rFonts w:eastAsia="Calibri"/>
                <w:iCs/>
                <w:sz w:val="18"/>
                <w:szCs w:val="18"/>
              </w:rPr>
              <w:t>”</w:t>
            </w:r>
            <w:r w:rsidRPr="00874B0C">
              <w:rPr>
                <w:rFonts w:eastAsia="Calibri"/>
                <w:iCs/>
                <w:sz w:val="18"/>
                <w:szCs w:val="18"/>
              </w:rPr>
              <w:t xml:space="preserve"> includes any commercial, checking, savings, time, or thrift account, or an account that is evidenced by a certificate of deposit, thrift certificate, investment certificate, certificate of indebtedness, or other similar instrument maintained by a Depository Institution. A Depository Account also includes:</w:t>
            </w:r>
          </w:p>
          <w:p w14:paraId="27B8468A"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D412CE2" w14:textId="028780E1"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an amount held by an insurance company pursuant to a guaranteed investment contract or similar agreement to pay or credit interest therein;</w:t>
            </w:r>
          </w:p>
          <w:p w14:paraId="2863BF08"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8756552" w14:textId="31A962A2"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an account or notional account that represents all E-money held for the benefit of a customer; and</w:t>
            </w:r>
          </w:p>
          <w:p w14:paraId="1ABCB011"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53547CB" w14:textId="2168E4BF"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an account that holds one or more Central Bank Digital Currencies for the benefit of a customer.’;</w:t>
            </w:r>
          </w:p>
          <w:p w14:paraId="48102112"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4A9AB23" w14:textId="64564F1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subparagraphs C(9) and C(10) are replaced by the following:</w:t>
            </w:r>
          </w:p>
          <w:p w14:paraId="0C174857"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AD86EDF" w14:textId="6C2A64F2"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‘9. The term </w:t>
            </w:r>
            <w:r w:rsidR="009E71CE">
              <w:rPr>
                <w:rFonts w:eastAsia="Calibri"/>
                <w:iCs/>
                <w:sz w:val="18"/>
                <w:szCs w:val="18"/>
              </w:rPr>
              <w:t>“</w:t>
            </w:r>
            <w:r w:rsidRPr="00874B0C">
              <w:rPr>
                <w:rFonts w:eastAsia="Calibri"/>
                <w:iCs/>
                <w:sz w:val="18"/>
                <w:szCs w:val="18"/>
              </w:rPr>
              <w:t>Pre-existing Account</w:t>
            </w:r>
            <w:r w:rsidR="009E71CE">
              <w:rPr>
                <w:rFonts w:eastAsia="Calibri"/>
                <w:iCs/>
                <w:sz w:val="18"/>
                <w:szCs w:val="18"/>
              </w:rPr>
              <w:t>”</w:t>
            </w:r>
            <w:r w:rsidRPr="00874B0C">
              <w:rPr>
                <w:rFonts w:eastAsia="Calibri"/>
                <w:iCs/>
                <w:sz w:val="18"/>
                <w:szCs w:val="18"/>
              </w:rPr>
              <w:t xml:space="preserve"> means:</w:t>
            </w:r>
          </w:p>
          <w:p w14:paraId="2C221E28"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3B54B433" w14:textId="411C49D8"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a Financial Account maintained by a Reporting Financial Institution as of 31 December 2015 or, if the account is treated as a Financial Account solely by virtue of the amendments to this Directive made by Council Directive (EU) 2023/2226 (*1), as of 31 December 2025;</w:t>
            </w:r>
          </w:p>
          <w:p w14:paraId="3B91DA6D"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16C0E1F2" w14:textId="30BC7A0F"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any Financial Account of an Account Holder, regardless of the date such Financial Account was opened, if:</w:t>
            </w:r>
          </w:p>
          <w:p w14:paraId="00A8C255"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A4532BB" w14:textId="1AA306BA"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the Account Holder also holds with the Reporting Financial Institution (or with a Related Entity within the same Member State as the Reporting Financial Institution) a Financial Account that is a Pre-existing Account under subparagraph C(9), point (a);</w:t>
            </w:r>
          </w:p>
          <w:p w14:paraId="7BB8172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2CF910A2" w14:textId="3D974730"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 the Reporting Financial Institution (and, as applicable, the Related Entity within the same Member State as the Reporting Financial Institution) treats both of the aforementioned Financial Accounts, and any other Financial Accounts of the Account Holder that are treated as Pre-existing Accounts under subparagraph C(9), point (b), as a single Financial Account for the purpose of satisfying the standards of knowledge requirements set out in Section VII, paragraph A, and for the purpose of determining the balance or value of any of the Financial Accounts when applying any of the account thresholds;</w:t>
            </w:r>
          </w:p>
          <w:p w14:paraId="69FFF44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286940CB" w14:textId="6BCF3186"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(iii) with respect to a Financial Account that is subject to AML/KYC Procedures, the Reporting Financial Institution is permitted to satisfy such AML/KYC Procedures for the Financial Account by relying upon the AML/KYC Procedures performed for the Pre-existing Account described in subparagraph C(9), point (a); and</w:t>
            </w:r>
          </w:p>
          <w:p w14:paraId="68E767E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BA5F73C" w14:textId="06652222"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(iv) the opening of the Financial Account does not require the provision of new, additional or amended customer information by the Account Holder other than for the purposes of this Directive.</w:t>
            </w:r>
          </w:p>
          <w:p w14:paraId="390A920A"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1BE7EF2A" w14:textId="4A03E3A3"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10. The term </w:t>
            </w:r>
            <w:r w:rsidR="009E71CE">
              <w:rPr>
                <w:rFonts w:eastAsia="Calibri"/>
                <w:iCs/>
                <w:sz w:val="18"/>
                <w:szCs w:val="18"/>
              </w:rPr>
              <w:t>“</w:t>
            </w:r>
            <w:r w:rsidRPr="00874B0C">
              <w:rPr>
                <w:rFonts w:eastAsia="Calibri"/>
                <w:iCs/>
                <w:sz w:val="18"/>
                <w:szCs w:val="18"/>
              </w:rPr>
              <w:t>New Account</w:t>
            </w:r>
            <w:r w:rsidR="009E71CE">
              <w:rPr>
                <w:rFonts w:eastAsia="Calibri"/>
                <w:iCs/>
                <w:sz w:val="18"/>
                <w:szCs w:val="18"/>
              </w:rPr>
              <w:t>”</w:t>
            </w:r>
            <w:r w:rsidRPr="00874B0C">
              <w:rPr>
                <w:rFonts w:eastAsia="Calibri"/>
                <w:iCs/>
                <w:sz w:val="18"/>
                <w:szCs w:val="18"/>
              </w:rPr>
              <w:t xml:space="preserve"> means a Financial Account maintained by a Reporting Financial Institution opened on or after 1 January 2016 or, if the account is treated as a Financial Account solely by virtue of the amendments to this Directive made by Directive (EU) 2023/2226, on or after 1 January 2026.</w:t>
            </w:r>
          </w:p>
          <w:p w14:paraId="2BCEDFD2"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3A6D52A8" w14:textId="566C4BEA"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Council Directive (EU) 2023/2226 of 17 October 2023 amending Directive 2011/16/EU on administrative cooperation in the field of taxation (OJ L, 2023/2226, 24.10.2023, ELI: http://data.europa.eu/eli/dir/2023/2226/oj).’;</w:t>
            </w:r>
            <w:r w:rsidR="009E71CE">
              <w:rPr>
                <w:rFonts w:eastAsia="Calibri"/>
                <w:iCs/>
                <w:sz w:val="18"/>
                <w:szCs w:val="18"/>
              </w:rPr>
              <w:t>”</w:t>
            </w:r>
          </w:p>
          <w:p w14:paraId="0F08C8EE"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2BB5276" w14:textId="300A150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 subparagraph C(17) is amended as follows:</w:t>
            </w:r>
          </w:p>
          <w:p w14:paraId="275760A5"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02086D9" w14:textId="44E536FC"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in point (e), the following point is added:</w:t>
            </w:r>
          </w:p>
          <w:p w14:paraId="5AE2221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78374F3" w14:textId="692CC5B8"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‘(v) a foundation or capital increase of a company provided that the account satisfies the following requirements:</w:t>
            </w:r>
          </w:p>
          <w:p w14:paraId="392A76A7"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DE77B86" w14:textId="7D2CFA4D" w:rsidR="001D47BD" w:rsidRPr="00874B0C" w:rsidRDefault="001D47BD" w:rsidP="00874B0C">
            <w:pPr>
              <w:pStyle w:val="oj-ti-grseq-1"/>
              <w:numPr>
                <w:ilvl w:val="0"/>
                <w:numId w:val="3"/>
              </w:numPr>
              <w:shd w:val="clear" w:color="auto" w:fill="FFFFFF"/>
              <w:spacing w:before="240" w:after="120" w:line="276" w:lineRule="auto"/>
              <w:rPr>
                <w:rFonts w:eastAsia="Calibri"/>
                <w:iCs/>
                <w:sz w:val="18"/>
                <w:szCs w:val="18"/>
              </w:rPr>
            </w:pPr>
            <w:r w:rsidRPr="00874B0C">
              <w:rPr>
                <w:rFonts w:eastAsia="Calibri"/>
                <w:iCs/>
                <w:sz w:val="18"/>
                <w:szCs w:val="18"/>
              </w:rPr>
              <w:t>the account is used exclusively to deposit capital that is to be used for the purposes of the foundation or capital increase of a company, as prescribed by law;</w:t>
            </w:r>
          </w:p>
          <w:p w14:paraId="447A96C6"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F6D04F2" w14:textId="443F05AB" w:rsidR="001D47BD" w:rsidRPr="00874B0C" w:rsidRDefault="001D47BD" w:rsidP="00874B0C">
            <w:pPr>
              <w:pStyle w:val="oj-ti-grseq-1"/>
              <w:numPr>
                <w:ilvl w:val="0"/>
                <w:numId w:val="3"/>
              </w:numPr>
              <w:shd w:val="clear" w:color="auto" w:fill="FFFFFF"/>
              <w:spacing w:before="240" w:after="120" w:line="276" w:lineRule="auto"/>
              <w:rPr>
                <w:rFonts w:eastAsia="Calibri"/>
                <w:iCs/>
                <w:sz w:val="18"/>
                <w:szCs w:val="18"/>
              </w:rPr>
            </w:pPr>
            <w:r w:rsidRPr="00874B0C">
              <w:rPr>
                <w:rFonts w:eastAsia="Calibri"/>
                <w:iCs/>
                <w:sz w:val="18"/>
                <w:szCs w:val="18"/>
              </w:rPr>
              <w:t>any amounts held in the account are blocked until the Reporting Financial Institution obtains an independent confirmation regarding the foundation or capital increase;</w:t>
            </w:r>
          </w:p>
          <w:p w14:paraId="7463B438"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136B963" w14:textId="78026EBD" w:rsidR="001D47BD" w:rsidRPr="00874B0C" w:rsidRDefault="001D47BD" w:rsidP="00874B0C">
            <w:pPr>
              <w:pStyle w:val="oj-ti-grseq-1"/>
              <w:numPr>
                <w:ilvl w:val="0"/>
                <w:numId w:val="3"/>
              </w:numPr>
              <w:shd w:val="clear" w:color="auto" w:fill="FFFFFF"/>
              <w:spacing w:before="240" w:after="120" w:line="276" w:lineRule="auto"/>
              <w:rPr>
                <w:rFonts w:eastAsia="Calibri"/>
                <w:iCs/>
                <w:sz w:val="18"/>
                <w:szCs w:val="18"/>
              </w:rPr>
            </w:pPr>
            <w:r w:rsidRPr="00874B0C">
              <w:rPr>
                <w:rFonts w:eastAsia="Calibri"/>
                <w:iCs/>
                <w:sz w:val="18"/>
                <w:szCs w:val="18"/>
              </w:rPr>
              <w:t>the account is closed or transformed into an account in the name of the company after the foundation or capital increase;</w:t>
            </w:r>
          </w:p>
          <w:p w14:paraId="2B72C5C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C462BF0" w14:textId="0FF899AF" w:rsidR="001D47BD" w:rsidRPr="00874B0C" w:rsidRDefault="001D47BD" w:rsidP="00874B0C">
            <w:pPr>
              <w:pStyle w:val="oj-ti-grseq-1"/>
              <w:numPr>
                <w:ilvl w:val="0"/>
                <w:numId w:val="3"/>
              </w:numPr>
              <w:shd w:val="clear" w:color="auto" w:fill="FFFFFF"/>
              <w:spacing w:before="240" w:after="120" w:line="276" w:lineRule="auto"/>
              <w:rPr>
                <w:rFonts w:eastAsia="Calibri"/>
                <w:iCs/>
                <w:sz w:val="18"/>
                <w:szCs w:val="18"/>
              </w:rPr>
            </w:pPr>
            <w:r w:rsidRPr="00874B0C">
              <w:rPr>
                <w:rFonts w:eastAsia="Calibri"/>
                <w:iCs/>
                <w:sz w:val="18"/>
                <w:szCs w:val="18"/>
              </w:rPr>
              <w:t>any repayments resulting from a failed foundation or capital increase, net of service provider and similar fees, are made solely to the persons who contributed the amounts; and</w:t>
            </w:r>
          </w:p>
          <w:p w14:paraId="0B108024"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3E13F55" w14:textId="458D15CF" w:rsidR="001D47BD" w:rsidRPr="00874B0C" w:rsidRDefault="001D47BD" w:rsidP="00874B0C">
            <w:pPr>
              <w:pStyle w:val="oj-ti-grseq-1"/>
              <w:numPr>
                <w:ilvl w:val="0"/>
                <w:numId w:val="3"/>
              </w:numPr>
              <w:shd w:val="clear" w:color="auto" w:fill="FFFFFF"/>
              <w:spacing w:before="240" w:after="120" w:line="276" w:lineRule="auto"/>
              <w:rPr>
                <w:rFonts w:eastAsia="Calibri"/>
                <w:iCs/>
                <w:sz w:val="18"/>
                <w:szCs w:val="18"/>
              </w:rPr>
            </w:pPr>
            <w:r w:rsidRPr="00874B0C">
              <w:rPr>
                <w:rFonts w:eastAsia="Calibri"/>
                <w:iCs/>
                <w:sz w:val="18"/>
                <w:szCs w:val="18"/>
              </w:rPr>
              <w:t>the account has not been established more than 12 months ago;’;</w:t>
            </w:r>
          </w:p>
          <w:p w14:paraId="034775D3"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4D228A8" w14:textId="6B9B5A19"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 the following point is inserted:</w:t>
            </w:r>
          </w:p>
          <w:p w14:paraId="0D6E6F07"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351017C8" w14:textId="3CE23E15"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‘(ea) a Depository Account that represents all Electronic Money held for the benefit of a customer, if the rolling average 90 days end-of-day aggregate account balance or value during any period of 90 consecutive days did not exceed USD 10 000 at any day during the calendar year or other appropriate reporting period;’;</w:t>
            </w:r>
          </w:p>
          <w:p w14:paraId="456D1FEF"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1B92A262" w14:textId="67847A83"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(g) subparagraph D(2) is replaced by the following:</w:t>
            </w:r>
          </w:p>
          <w:p w14:paraId="636C4697"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159D6BE" w14:textId="267F4D9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‘2. The term </w:t>
            </w:r>
            <w:r w:rsidR="009E71CE">
              <w:rPr>
                <w:rFonts w:eastAsia="Calibri"/>
                <w:iCs/>
                <w:sz w:val="18"/>
                <w:szCs w:val="18"/>
              </w:rPr>
              <w:t>“</w:t>
            </w:r>
            <w:r w:rsidRPr="00874B0C">
              <w:rPr>
                <w:rFonts w:eastAsia="Calibri"/>
                <w:iCs/>
                <w:sz w:val="18"/>
                <w:szCs w:val="18"/>
              </w:rPr>
              <w:t>Reportable Person</w:t>
            </w:r>
            <w:r w:rsidR="009E71CE">
              <w:rPr>
                <w:rFonts w:eastAsia="Calibri"/>
                <w:iCs/>
                <w:sz w:val="18"/>
                <w:szCs w:val="18"/>
              </w:rPr>
              <w:t>”</w:t>
            </w:r>
            <w:r w:rsidRPr="00874B0C">
              <w:rPr>
                <w:rFonts w:eastAsia="Calibri"/>
                <w:iCs/>
                <w:sz w:val="18"/>
                <w:szCs w:val="18"/>
              </w:rPr>
              <w:t xml:space="preserve"> means a Member State Person other than:</w:t>
            </w:r>
          </w:p>
          <w:p w14:paraId="2E900FF7"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6BD757B" w14:textId="74653962"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an Entity the stock of which is regularly traded on one or more established securities markets;</w:t>
            </w:r>
          </w:p>
          <w:p w14:paraId="0D50E5B3"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FB9A788" w14:textId="44BF18BB"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any Entity that is a Related Entity of an Entity described in point (a);</w:t>
            </w:r>
          </w:p>
          <w:p w14:paraId="405CF1B6"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E67E1DA" w14:textId="0323FE7B"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a Governmental Entity;</w:t>
            </w:r>
          </w:p>
          <w:p w14:paraId="52505896"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5F7ADAF5" w14:textId="4CA70483"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w:t>
            </w:r>
            <w:r w:rsidR="00FA0ED9" w:rsidRPr="00874B0C">
              <w:rPr>
                <w:rFonts w:eastAsia="Calibri"/>
                <w:iCs/>
                <w:sz w:val="18"/>
                <w:szCs w:val="18"/>
              </w:rPr>
              <w:t xml:space="preserve"> </w:t>
            </w:r>
            <w:r w:rsidRPr="00874B0C">
              <w:rPr>
                <w:rFonts w:eastAsia="Calibri"/>
                <w:iCs/>
                <w:sz w:val="18"/>
                <w:szCs w:val="18"/>
              </w:rPr>
              <w:t>an International Organisation;</w:t>
            </w:r>
          </w:p>
          <w:p w14:paraId="072ED0D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23165FBD" w14:textId="40310CEB"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w:t>
            </w:r>
            <w:r w:rsidR="00FA0ED9" w:rsidRPr="00874B0C">
              <w:rPr>
                <w:rFonts w:eastAsia="Calibri"/>
                <w:iCs/>
                <w:sz w:val="18"/>
                <w:szCs w:val="18"/>
              </w:rPr>
              <w:t xml:space="preserve"> </w:t>
            </w:r>
            <w:r w:rsidRPr="00874B0C">
              <w:rPr>
                <w:rFonts w:eastAsia="Calibri"/>
                <w:iCs/>
                <w:sz w:val="18"/>
                <w:szCs w:val="18"/>
              </w:rPr>
              <w:t>a Central Bank; or</w:t>
            </w:r>
          </w:p>
          <w:p w14:paraId="2C639B0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375A21BF" w14:textId="2F8C157D"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w:t>
            </w:r>
            <w:r w:rsidR="00FA0ED9" w:rsidRPr="00874B0C">
              <w:rPr>
                <w:rFonts w:eastAsia="Calibri"/>
                <w:iCs/>
                <w:sz w:val="18"/>
                <w:szCs w:val="18"/>
              </w:rPr>
              <w:t xml:space="preserve"> </w:t>
            </w:r>
            <w:r w:rsidRPr="00874B0C">
              <w:rPr>
                <w:rFonts w:eastAsia="Calibri"/>
                <w:iCs/>
                <w:sz w:val="18"/>
                <w:szCs w:val="18"/>
              </w:rPr>
              <w:t>a Financial Institution.’;</w:t>
            </w:r>
          </w:p>
          <w:p w14:paraId="17CD6A77"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758EAAE5" w14:textId="0D7391BB"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(h)</w:t>
            </w:r>
            <w:r w:rsidR="00FA0ED9" w:rsidRPr="00874B0C">
              <w:rPr>
                <w:rFonts w:eastAsia="Calibri"/>
                <w:iCs/>
                <w:sz w:val="18"/>
                <w:szCs w:val="18"/>
              </w:rPr>
              <w:t xml:space="preserve"> </w:t>
            </w:r>
            <w:r w:rsidRPr="00874B0C">
              <w:rPr>
                <w:rFonts w:eastAsia="Calibri"/>
                <w:iCs/>
                <w:sz w:val="18"/>
                <w:szCs w:val="18"/>
              </w:rPr>
              <w:t>in paragraph E, the following subparagraph is added:</w:t>
            </w:r>
          </w:p>
          <w:p w14:paraId="7D3F1530"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53F5348" w14:textId="7165756A"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‘7.</w:t>
            </w:r>
            <w:r w:rsidR="00FA0ED9" w:rsidRPr="00874B0C">
              <w:rPr>
                <w:rFonts w:eastAsia="Calibri"/>
                <w:iCs/>
                <w:sz w:val="18"/>
                <w:szCs w:val="18"/>
              </w:rPr>
              <w:t xml:space="preserve"> </w:t>
            </w:r>
            <w:r w:rsidRPr="00874B0C">
              <w:rPr>
                <w:rFonts w:eastAsia="Calibri"/>
                <w:iCs/>
                <w:sz w:val="18"/>
                <w:szCs w:val="18"/>
              </w:rPr>
              <w:t xml:space="preserve">The term </w:t>
            </w:r>
            <w:r w:rsidR="009E71CE">
              <w:rPr>
                <w:rFonts w:eastAsia="Calibri"/>
                <w:iCs/>
                <w:sz w:val="18"/>
                <w:szCs w:val="18"/>
              </w:rPr>
              <w:t>“</w:t>
            </w:r>
            <w:r w:rsidRPr="00874B0C">
              <w:rPr>
                <w:rFonts w:eastAsia="Calibri"/>
                <w:iCs/>
                <w:sz w:val="18"/>
                <w:szCs w:val="18"/>
              </w:rPr>
              <w:t>Identification Service</w:t>
            </w:r>
            <w:r w:rsidR="009E71CE">
              <w:rPr>
                <w:rFonts w:eastAsia="Calibri"/>
                <w:iCs/>
                <w:sz w:val="18"/>
                <w:szCs w:val="18"/>
              </w:rPr>
              <w:t>”</w:t>
            </w:r>
            <w:r w:rsidRPr="00874B0C">
              <w:rPr>
                <w:rFonts w:eastAsia="Calibri"/>
                <w:iCs/>
                <w:sz w:val="18"/>
                <w:szCs w:val="18"/>
              </w:rPr>
              <w:t xml:space="preserve"> means an electronic process made available free of charge by a Member State or the Union to a Reporting Financial Institution for the purpose of ascertaining the identity and tax residence of an Account Holder or Controlling Person.’;</w:t>
            </w:r>
          </w:p>
          <w:p w14:paraId="696A91F9"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4A2D0046" w14:textId="1F39AC3A"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(5)</w:t>
            </w:r>
            <w:r w:rsidR="00FA0ED9" w:rsidRPr="00874B0C">
              <w:rPr>
                <w:rFonts w:eastAsia="Calibri"/>
                <w:iCs/>
                <w:sz w:val="18"/>
                <w:szCs w:val="18"/>
              </w:rPr>
              <w:t xml:space="preserve"> </w:t>
            </w:r>
            <w:r w:rsidRPr="00874B0C">
              <w:rPr>
                <w:rFonts w:eastAsia="Calibri"/>
                <w:iCs/>
                <w:sz w:val="18"/>
                <w:szCs w:val="18"/>
              </w:rPr>
              <w:t>in Section IX, the following paragraph is added:</w:t>
            </w:r>
          </w:p>
          <w:p w14:paraId="3B706A14"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62A24347" w14:textId="77777777" w:rsidR="001D47BD" w:rsidRPr="00874B0C" w:rsidRDefault="001D47B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‘In order to achieve the purposes of this Directive, records referred to in the first paragraph, point (2), shall remain available not longer than necessary but in any event not less than five years.’;</w:t>
            </w:r>
          </w:p>
          <w:p w14:paraId="05FBD59C" w14:textId="77777777" w:rsidR="001D47BD" w:rsidRPr="00874B0C" w:rsidRDefault="001D47BD" w:rsidP="00874B0C">
            <w:pPr>
              <w:pStyle w:val="oj-ti-grseq-1"/>
              <w:shd w:val="clear" w:color="auto" w:fill="FFFFFF"/>
              <w:spacing w:before="240" w:after="120" w:line="276" w:lineRule="auto"/>
              <w:rPr>
                <w:rFonts w:eastAsia="Calibri"/>
                <w:iCs/>
                <w:sz w:val="18"/>
                <w:szCs w:val="18"/>
              </w:rPr>
            </w:pPr>
          </w:p>
          <w:p w14:paraId="0918DE3F" w14:textId="50D6C398" w:rsidR="00E94486" w:rsidRPr="00874B0C" w:rsidRDefault="00E94486" w:rsidP="00874B0C">
            <w:pPr>
              <w:pStyle w:val="oj-ti-grseq-1"/>
              <w:shd w:val="clear" w:color="auto" w:fill="FFFFFF"/>
              <w:spacing w:before="240" w:after="120" w:line="276" w:lineRule="auto"/>
              <w:rPr>
                <w:rFonts w:eastAsia="Calibri"/>
                <w:iCs/>
                <w:sz w:val="18"/>
                <w:szCs w:val="18"/>
              </w:rPr>
            </w:pPr>
          </w:p>
        </w:tc>
        <w:tc>
          <w:tcPr>
            <w:tcW w:w="1080" w:type="dxa"/>
          </w:tcPr>
          <w:p w14:paraId="1A12BCF4"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BE79A9B" w14:textId="7AE019DA" w:rsidR="00E94486" w:rsidRPr="00874B0C" w:rsidRDefault="0010796A"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3870" w:type="dxa"/>
          </w:tcPr>
          <w:p w14:paraId="5F230E77" w14:textId="784505B7" w:rsidR="00E94486" w:rsidRPr="00874B0C" w:rsidRDefault="0010796A"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1184" w:type="dxa"/>
          </w:tcPr>
          <w:p w14:paraId="5EEEC31F" w14:textId="7088B7D0" w:rsidR="00E94486" w:rsidRPr="00874B0C" w:rsidRDefault="0010796A" w:rsidP="00874B0C">
            <w:pPr>
              <w:spacing w:line="276" w:lineRule="auto"/>
              <w:jc w:val="center"/>
              <w:rPr>
                <w:rFonts w:ascii="Times New Roman" w:eastAsia="Calibri" w:hAnsi="Times New Roman" w:cs="Times New Roman"/>
                <w:sz w:val="18"/>
                <w:szCs w:val="18"/>
              </w:rPr>
            </w:pPr>
            <w:r w:rsidRPr="00874B0C">
              <w:rPr>
                <w:rFonts w:ascii="Times New Roman" w:eastAsia="Calibri" w:hAnsi="Times New Roman" w:cs="Times New Roman"/>
                <w:sz w:val="18"/>
                <w:szCs w:val="18"/>
              </w:rPr>
              <w:t>N/A</w:t>
            </w:r>
          </w:p>
        </w:tc>
        <w:tc>
          <w:tcPr>
            <w:tcW w:w="3406" w:type="dxa"/>
          </w:tcPr>
          <w:p w14:paraId="08C05894" w14:textId="0EB2B4F8" w:rsidR="00E94486" w:rsidRPr="00874B0C" w:rsidRDefault="0010796A"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Contains amendments to the DAC 2 (CRS) provisions of Directive 2011/16/EU. Outside the scope of this draft law.</w:t>
            </w:r>
          </w:p>
        </w:tc>
      </w:tr>
      <w:tr w:rsidR="00E94486" w:rsidRPr="00874B0C" w14:paraId="571B2B0F" w14:textId="77777777" w:rsidTr="00874B0C">
        <w:trPr>
          <w:trHeight w:val="764"/>
        </w:trPr>
        <w:tc>
          <w:tcPr>
            <w:tcW w:w="720" w:type="dxa"/>
          </w:tcPr>
          <w:p w14:paraId="2AE2FFAE"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21DB55CD" w14:textId="4E95DF00" w:rsidR="00FA0ED9" w:rsidRPr="00874B0C" w:rsidRDefault="00FA0ED9"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SECTION XI</w:t>
            </w:r>
          </w:p>
          <w:p w14:paraId="5B6DC553" w14:textId="05DB714A" w:rsidR="00FA0ED9" w:rsidRPr="00874B0C" w:rsidRDefault="00FA0ED9"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TRANSITIONAL MEASURES</w:t>
            </w:r>
          </w:p>
          <w:p w14:paraId="617790CC" w14:textId="1D37EF13" w:rsidR="00E94486"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Notwithstanding Section I, subparagraph A(1), point (b), and subparagraph A(6a), with respect to each Reportable Account that is maintained by a Reporting Financial Institution as of 31 December 2025 and for reporting periods ending by the second calendar year following such date, information with respect to the role(s) by virtue of which each Reportable Person is a Controlling Person or Equity Interest holder of the Entity is only required to be reported if such information is available in the electronically searchable data maintained by the Reporting Financial Institution.’.</w:t>
            </w:r>
          </w:p>
        </w:tc>
        <w:tc>
          <w:tcPr>
            <w:tcW w:w="1080" w:type="dxa"/>
          </w:tcPr>
          <w:p w14:paraId="42FAD31A"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2B8162FD" w14:textId="670C496C" w:rsidR="00E94486" w:rsidRPr="00874B0C" w:rsidRDefault="00FA3440"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3870" w:type="dxa"/>
          </w:tcPr>
          <w:p w14:paraId="1DBF55E2" w14:textId="67766491" w:rsidR="00E94486" w:rsidRPr="00874B0C" w:rsidRDefault="00FA3440"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1184" w:type="dxa"/>
          </w:tcPr>
          <w:p w14:paraId="504E8E00" w14:textId="5F31BD23" w:rsidR="00E94486" w:rsidRPr="00874B0C" w:rsidRDefault="00FA3440" w:rsidP="00874B0C">
            <w:pPr>
              <w:spacing w:line="276" w:lineRule="auto"/>
              <w:jc w:val="center"/>
              <w:rPr>
                <w:rFonts w:ascii="Times New Roman" w:eastAsia="Calibri" w:hAnsi="Times New Roman" w:cs="Times New Roman"/>
                <w:sz w:val="18"/>
                <w:szCs w:val="18"/>
              </w:rPr>
            </w:pPr>
            <w:r w:rsidRPr="00874B0C">
              <w:rPr>
                <w:rFonts w:ascii="Times New Roman" w:eastAsia="Calibri" w:hAnsi="Times New Roman" w:cs="Times New Roman"/>
                <w:sz w:val="18"/>
                <w:szCs w:val="18"/>
              </w:rPr>
              <w:t>N/A</w:t>
            </w:r>
          </w:p>
        </w:tc>
        <w:tc>
          <w:tcPr>
            <w:tcW w:w="3406" w:type="dxa"/>
          </w:tcPr>
          <w:p w14:paraId="70AA7A1A" w14:textId="12B524FF" w:rsidR="00E94486" w:rsidRPr="00874B0C" w:rsidRDefault="00FA3440"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Contains transitional measures applicable to the  (DAC 2) reporting regime. Outside the scope of this draft law, which only transposes the DAC 8 crypto-asset reporting regime.</w:t>
            </w:r>
          </w:p>
        </w:tc>
      </w:tr>
      <w:tr w:rsidR="00E94486" w:rsidRPr="00874B0C" w14:paraId="6DF17286" w14:textId="77777777" w:rsidTr="00874B0C">
        <w:trPr>
          <w:trHeight w:val="764"/>
        </w:trPr>
        <w:tc>
          <w:tcPr>
            <w:tcW w:w="720" w:type="dxa"/>
          </w:tcPr>
          <w:p w14:paraId="484FC2C7"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4D9FE737" w14:textId="3D547A71" w:rsidR="00FA0ED9" w:rsidRPr="00874B0C" w:rsidRDefault="00FA0ED9"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ANNEX II</w:t>
            </w:r>
          </w:p>
          <w:p w14:paraId="6B1DB20E" w14:textId="6CEA08E8"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Annex V to Directive 2011/16/EU is amended as follows:</w:t>
            </w:r>
          </w:p>
          <w:p w14:paraId="469366FF" w14:textId="5196B848"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in Section I, paragraph C, the following subparagraph is added:</w:t>
            </w:r>
          </w:p>
          <w:p w14:paraId="1FE32C7E" w14:textId="77777777" w:rsidR="00FA0ED9" w:rsidRPr="00874B0C" w:rsidRDefault="00FA0ED9" w:rsidP="00874B0C">
            <w:pPr>
              <w:pStyle w:val="oj-ti-grseq-1"/>
              <w:shd w:val="clear" w:color="auto" w:fill="FFFFFF"/>
              <w:spacing w:before="240" w:after="120" w:line="276" w:lineRule="auto"/>
              <w:rPr>
                <w:rFonts w:eastAsia="Calibri"/>
                <w:iCs/>
                <w:sz w:val="18"/>
                <w:szCs w:val="18"/>
              </w:rPr>
            </w:pPr>
          </w:p>
          <w:p w14:paraId="598824E8" w14:textId="72B74B40"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‘10. </w:t>
            </w:r>
            <w:r w:rsidR="009E71CE">
              <w:rPr>
                <w:rFonts w:eastAsia="Calibri"/>
                <w:iCs/>
                <w:sz w:val="18"/>
                <w:szCs w:val="18"/>
              </w:rPr>
              <w:t>“</w:t>
            </w:r>
            <w:r w:rsidRPr="00874B0C">
              <w:rPr>
                <w:rFonts w:eastAsia="Calibri"/>
                <w:iCs/>
                <w:sz w:val="18"/>
                <w:szCs w:val="18"/>
              </w:rPr>
              <w:t>Identification Service</w:t>
            </w:r>
            <w:r w:rsidR="009E71CE">
              <w:rPr>
                <w:rFonts w:eastAsia="Calibri"/>
                <w:iCs/>
                <w:sz w:val="18"/>
                <w:szCs w:val="18"/>
              </w:rPr>
              <w:t>”</w:t>
            </w:r>
            <w:r w:rsidRPr="00874B0C">
              <w:rPr>
                <w:rFonts w:eastAsia="Calibri"/>
                <w:iCs/>
                <w:sz w:val="18"/>
                <w:szCs w:val="18"/>
              </w:rPr>
              <w:t xml:space="preserve"> means an electronic process made available free of charge by a Member State or the Union to a Reporting Platform Operator for the purpose of ascertaining the identity and tax residence of a Seller.’;</w:t>
            </w:r>
          </w:p>
          <w:p w14:paraId="56FCBF3B" w14:textId="77777777" w:rsidR="00FA0ED9" w:rsidRPr="00874B0C" w:rsidRDefault="00FA0ED9" w:rsidP="00874B0C">
            <w:pPr>
              <w:pStyle w:val="oj-ti-grseq-1"/>
              <w:shd w:val="clear" w:color="auto" w:fill="FFFFFF"/>
              <w:spacing w:before="240" w:after="120" w:line="276" w:lineRule="auto"/>
              <w:rPr>
                <w:rFonts w:eastAsia="Calibri"/>
                <w:iCs/>
                <w:sz w:val="18"/>
                <w:szCs w:val="18"/>
              </w:rPr>
            </w:pPr>
          </w:p>
          <w:p w14:paraId="78FCC1B0" w14:textId="191E6D5F"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in Section II, subparagraph B(3) is deleted;</w:t>
            </w:r>
          </w:p>
          <w:p w14:paraId="139F6C95" w14:textId="77777777" w:rsidR="00FA0ED9" w:rsidRPr="00874B0C" w:rsidRDefault="00FA0ED9" w:rsidP="00874B0C">
            <w:pPr>
              <w:pStyle w:val="oj-ti-grseq-1"/>
              <w:shd w:val="clear" w:color="auto" w:fill="FFFFFF"/>
              <w:spacing w:before="240" w:after="120" w:line="276" w:lineRule="auto"/>
              <w:rPr>
                <w:rFonts w:eastAsia="Calibri"/>
                <w:iCs/>
                <w:sz w:val="18"/>
                <w:szCs w:val="18"/>
              </w:rPr>
            </w:pPr>
          </w:p>
          <w:p w14:paraId="2A666446" w14:textId="77E02BEA"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in Section III, paragraph B, the following subparagraph is added:</w:t>
            </w:r>
          </w:p>
          <w:p w14:paraId="3521A8F2" w14:textId="77777777" w:rsidR="00FA0ED9" w:rsidRPr="00874B0C" w:rsidRDefault="00FA0ED9" w:rsidP="00874B0C">
            <w:pPr>
              <w:pStyle w:val="oj-ti-grseq-1"/>
              <w:shd w:val="clear" w:color="auto" w:fill="FFFFFF"/>
              <w:spacing w:before="240" w:after="120" w:line="276" w:lineRule="auto"/>
              <w:rPr>
                <w:rFonts w:eastAsia="Calibri"/>
                <w:iCs/>
                <w:sz w:val="18"/>
                <w:szCs w:val="18"/>
              </w:rPr>
            </w:pPr>
          </w:p>
          <w:p w14:paraId="425FD097" w14:textId="318D6D48"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Notwithstanding subparagraph B(2), point (a), and subparagraph B(3), point (a), the Reporting Platform Operator shall not be required to report the information items required to be collected pursuant to Section II, paragraph B, where it reports to a competent authority that uses an Identification Service and relies on direct confirmation of the identity and residence of the Seller through an Identification Service made available by a Member State or the Union to ascertain the identity and all tax residencies of the Seller. In case the Reporting Platform Operator relied on an Identification Service to ascertain the identity and all tax residencies of a Reportable Seller, the name, Identification Service identifier(s) and the Member State(s) of issuance shall be reported.’;</w:t>
            </w:r>
          </w:p>
          <w:p w14:paraId="337C9ED4" w14:textId="03BAD516"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in Section IV, subparagraph F(5), the introductory wording is replaced by the following:</w:t>
            </w:r>
          </w:p>
          <w:p w14:paraId="36F02E73" w14:textId="6F506A4A" w:rsidR="00E94486"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‘5. The Member State of single registration shall remove a Reporting Platform Operator from the central register in the following cases:’.</w:t>
            </w:r>
          </w:p>
        </w:tc>
        <w:tc>
          <w:tcPr>
            <w:tcW w:w="1080" w:type="dxa"/>
          </w:tcPr>
          <w:p w14:paraId="3732C9AB"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326F816F" w14:textId="292A547F" w:rsidR="00E94486" w:rsidRPr="00874B0C" w:rsidRDefault="00FA3440"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3870" w:type="dxa"/>
          </w:tcPr>
          <w:p w14:paraId="7AC550C5" w14:textId="02736CC7" w:rsidR="00E94486" w:rsidRPr="00874B0C" w:rsidRDefault="00FA3440"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1184" w:type="dxa"/>
          </w:tcPr>
          <w:p w14:paraId="7EB88069" w14:textId="63E4ABD4" w:rsidR="00E94486" w:rsidRPr="00874B0C" w:rsidRDefault="00FA3440" w:rsidP="00874B0C">
            <w:pPr>
              <w:spacing w:line="276" w:lineRule="auto"/>
              <w:jc w:val="center"/>
              <w:rPr>
                <w:rFonts w:ascii="Times New Roman" w:eastAsia="Calibri" w:hAnsi="Times New Roman" w:cs="Times New Roman"/>
                <w:sz w:val="18"/>
                <w:szCs w:val="18"/>
              </w:rPr>
            </w:pPr>
            <w:r w:rsidRPr="00874B0C">
              <w:rPr>
                <w:rFonts w:ascii="Times New Roman" w:eastAsia="Calibri" w:hAnsi="Times New Roman" w:cs="Times New Roman"/>
                <w:sz w:val="18"/>
                <w:szCs w:val="18"/>
              </w:rPr>
              <w:t>N/A</w:t>
            </w:r>
          </w:p>
        </w:tc>
        <w:tc>
          <w:tcPr>
            <w:tcW w:w="3406" w:type="dxa"/>
          </w:tcPr>
          <w:p w14:paraId="07233D40" w14:textId="43E63321" w:rsidR="00E94486" w:rsidRPr="00874B0C" w:rsidRDefault="00FA3440"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Contains amendments to Annex V (DAC 7) of Directive 2011/16/EU relating to Reporting Platform Operators. Outside the scope of this draft law, which only transposes the DAC 8 crypto-asset reporting regim</w:t>
            </w:r>
          </w:p>
        </w:tc>
      </w:tr>
      <w:tr w:rsidR="00E94486" w:rsidRPr="00874B0C" w14:paraId="6F6B462A" w14:textId="77777777" w:rsidTr="00874B0C">
        <w:trPr>
          <w:trHeight w:val="764"/>
        </w:trPr>
        <w:tc>
          <w:tcPr>
            <w:tcW w:w="720" w:type="dxa"/>
          </w:tcPr>
          <w:p w14:paraId="62C37A4F"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44E0CA13" w14:textId="73429182" w:rsidR="00FA0ED9" w:rsidRPr="00874B0C" w:rsidRDefault="00FA0ED9"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ANNEX VI</w:t>
            </w:r>
          </w:p>
          <w:p w14:paraId="03BFE09D" w14:textId="706730AE" w:rsidR="00FA0ED9" w:rsidRPr="00874B0C" w:rsidRDefault="00FA0ED9"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REPORTING REQUIREMENTS, DUE DILIGENCE PROCEDURES AND OTHER RULES APPLICABLE TO REPORTING CRYPTO-ASSET SERVICE PROVIDERS</w:t>
            </w:r>
          </w:p>
          <w:p w14:paraId="0FDB7D10" w14:textId="41C37DB8"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This Annex lays down the reporting requirements, due diligence procedures and other rules to be applied by the Reporting Crypto-Asset Service Providers in order to enable Member States to communicate, by automatic exchange, the information referred to in Article 8ad.</w:t>
            </w:r>
          </w:p>
          <w:p w14:paraId="00381DD1" w14:textId="725978FF" w:rsidR="00E94486"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This Annex also lays down the rules and administrative procedures that Member States are to have in place in order to ensure the effective implementation of, and compliance with, the reporting requirements and the due diligence procedures set out herein.</w:t>
            </w:r>
          </w:p>
        </w:tc>
        <w:tc>
          <w:tcPr>
            <w:tcW w:w="1080" w:type="dxa"/>
          </w:tcPr>
          <w:p w14:paraId="03DC8ABC"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3EC2FD6E"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1536714A" w14:textId="77777777" w:rsidR="00614C48" w:rsidRPr="00874B0C" w:rsidRDefault="00614C48" w:rsidP="00874B0C">
            <w:pPr>
              <w:spacing w:line="276" w:lineRule="auto"/>
              <w:jc w:val="both"/>
              <w:rPr>
                <w:rFonts w:ascii="Times New Roman" w:eastAsia="Times New Roman" w:hAnsi="Times New Roman" w:cs="Times New Roman"/>
                <w:sz w:val="18"/>
                <w:szCs w:val="18"/>
                <w:lang w:eastAsia="sq-AL"/>
              </w:rPr>
            </w:pPr>
          </w:p>
          <w:p w14:paraId="37E82BEC" w14:textId="77777777" w:rsidR="00886FB5" w:rsidRPr="00874B0C" w:rsidRDefault="00886FB5" w:rsidP="00F868FF">
            <w:pPr>
              <w:spacing w:line="276" w:lineRule="auto"/>
              <w:jc w:val="center"/>
              <w:rPr>
                <w:rFonts w:ascii="Times New Roman" w:eastAsia="Times New Roman" w:hAnsi="Times New Roman" w:cs="Times New Roman"/>
                <w:b/>
                <w:bCs/>
                <w:sz w:val="18"/>
                <w:szCs w:val="18"/>
                <w:lang w:eastAsia="sq-AL"/>
              </w:rPr>
            </w:pPr>
            <w:r w:rsidRPr="00874B0C">
              <w:rPr>
                <w:rFonts w:ascii="Times New Roman" w:eastAsia="Times New Roman" w:hAnsi="Times New Roman" w:cs="Times New Roman"/>
                <w:b/>
                <w:bCs/>
                <w:sz w:val="18"/>
                <w:szCs w:val="18"/>
                <w:lang w:eastAsia="sq-AL"/>
              </w:rPr>
              <w:t>Article 1</w:t>
            </w:r>
          </w:p>
          <w:p w14:paraId="60E9E0C3" w14:textId="3DE40BE5" w:rsidR="00886FB5" w:rsidRPr="00874B0C" w:rsidRDefault="00886FB5" w:rsidP="00F868FF">
            <w:pPr>
              <w:spacing w:line="276" w:lineRule="auto"/>
              <w:jc w:val="center"/>
              <w:rPr>
                <w:rFonts w:ascii="Times New Roman" w:eastAsia="Times New Roman" w:hAnsi="Times New Roman" w:cs="Times New Roman"/>
                <w:b/>
                <w:bCs/>
                <w:sz w:val="18"/>
                <w:szCs w:val="18"/>
                <w:lang w:eastAsia="sq-AL"/>
              </w:rPr>
            </w:pPr>
            <w:r w:rsidRPr="00874B0C">
              <w:rPr>
                <w:rFonts w:ascii="Times New Roman" w:eastAsia="Times New Roman" w:hAnsi="Times New Roman" w:cs="Times New Roman"/>
                <w:b/>
                <w:bCs/>
                <w:sz w:val="18"/>
                <w:szCs w:val="18"/>
                <w:lang w:eastAsia="sq-AL"/>
              </w:rPr>
              <w:t>Subject matter and scope of application</w:t>
            </w:r>
          </w:p>
          <w:p w14:paraId="70A91A5E" w14:textId="77777777" w:rsidR="00886FB5" w:rsidRPr="00874B0C" w:rsidRDefault="00886FB5" w:rsidP="00874B0C">
            <w:pPr>
              <w:spacing w:line="276" w:lineRule="auto"/>
              <w:jc w:val="both"/>
              <w:rPr>
                <w:rFonts w:ascii="Times New Roman" w:eastAsia="Times New Roman" w:hAnsi="Times New Roman" w:cs="Times New Roman"/>
                <w:b/>
                <w:bCs/>
                <w:sz w:val="18"/>
                <w:szCs w:val="18"/>
                <w:lang w:eastAsia="sq-AL"/>
              </w:rPr>
            </w:pPr>
          </w:p>
          <w:p w14:paraId="0760857D"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 This Law lays down the rules for the conduct of due diligence procedures, the collection and reporting of information on crypto-assets by Reporting Crypto-Asset Service Providers, as well as the rules for the automatic exchange of such information, in accordance with Article 8ad and Annex VI of Directive 2011/16/EU, as amended.</w:t>
            </w:r>
          </w:p>
          <w:p w14:paraId="1CEDCE6D"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 This Law shall apply to Reporting Crypto-Asset Service Providers and, as appropriate, to Crypto-Asset Operators subject to due diligence, reporting and registration obligations under this Law, as well as to crypto-asset users, Controlling Persons and Reportable Crypto-Asset Transactions.</w:t>
            </w:r>
          </w:p>
          <w:p w14:paraId="59813079" w14:textId="4BBE0E10" w:rsidR="00E94486"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3. For exchanges with Member States of the European Union, this Law shall apply in accordance with Directive 2011/16/EU, as amended, Commission Implementing Regulation (EU) 2015/2378, as amended, and the legislation in force on administrative cooperation in the field of taxation. To the extent not otherwise provided in this Law, the general provisions of the Law </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On Administrative Cooperation in the Field of Taxation and Exchange of Tax Information</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 xml:space="preserve"> shall also apply.</w:t>
            </w:r>
          </w:p>
        </w:tc>
        <w:tc>
          <w:tcPr>
            <w:tcW w:w="1184" w:type="dxa"/>
          </w:tcPr>
          <w:p w14:paraId="4C2D7EE7"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086A41CF"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535529AC" w14:textId="77777777" w:rsidTr="00874B0C">
        <w:trPr>
          <w:trHeight w:val="764"/>
        </w:trPr>
        <w:tc>
          <w:tcPr>
            <w:tcW w:w="720" w:type="dxa"/>
          </w:tcPr>
          <w:p w14:paraId="016F9A4B"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168E99C4" w14:textId="49326F4C" w:rsidR="00FA0ED9" w:rsidRPr="00874B0C" w:rsidRDefault="00FA0ED9"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SECTION I</w:t>
            </w:r>
          </w:p>
          <w:p w14:paraId="5DF7D982" w14:textId="4A9E8F6A" w:rsidR="00FA0ED9" w:rsidRPr="00874B0C" w:rsidRDefault="00FA0ED9"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OBLIGATIONS OF REPORTING CRYPTO-ASSET SERVICE PROVIDERS</w:t>
            </w:r>
          </w:p>
          <w:p w14:paraId="46EF802F" w14:textId="6215C2D4"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w:t>
            </w:r>
            <w:r w:rsidR="00912024" w:rsidRPr="00874B0C">
              <w:rPr>
                <w:rFonts w:eastAsia="Calibri"/>
                <w:iCs/>
                <w:sz w:val="18"/>
                <w:szCs w:val="18"/>
              </w:rPr>
              <w:t xml:space="preserve"> </w:t>
            </w:r>
            <w:r w:rsidRPr="00874B0C">
              <w:rPr>
                <w:rFonts w:eastAsia="Calibri"/>
                <w:iCs/>
                <w:sz w:val="18"/>
                <w:szCs w:val="18"/>
              </w:rPr>
              <w:t>A Reporting Crypto-Asset Service Provider as defined in Section IV, subparagraph B(3), is subject to the reporting and due diligence requirements set out in Sections II and III, respectively, in a Member State, if it is:</w:t>
            </w:r>
          </w:p>
          <w:p w14:paraId="7BAF170B" w14:textId="77E039BF"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w:t>
            </w:r>
            <w:r w:rsidR="00DB7C8F" w:rsidRPr="00874B0C">
              <w:rPr>
                <w:rFonts w:eastAsia="Calibri"/>
                <w:iCs/>
                <w:sz w:val="18"/>
                <w:szCs w:val="18"/>
              </w:rPr>
              <w:t xml:space="preserve"> </w:t>
            </w:r>
            <w:r w:rsidRPr="00874B0C">
              <w:rPr>
                <w:rFonts w:eastAsia="Calibri"/>
                <w:iCs/>
                <w:sz w:val="18"/>
                <w:szCs w:val="18"/>
              </w:rPr>
              <w:t>an Entity authorised by a Member State in accordance with Article 63 of Regulation (EU) 2023/1114 or allowed to provide Crypto-Asset Services following a notification to a Member State in accordance with Article 60 of Regulation (EU) 2023/1114; or</w:t>
            </w:r>
          </w:p>
          <w:p w14:paraId="1EC0BF66" w14:textId="639B59F0"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w:t>
            </w:r>
            <w:r w:rsidR="00DB7C8F" w:rsidRPr="00874B0C">
              <w:rPr>
                <w:rFonts w:eastAsia="Calibri"/>
                <w:iCs/>
                <w:sz w:val="18"/>
                <w:szCs w:val="18"/>
              </w:rPr>
              <w:t xml:space="preserve"> </w:t>
            </w:r>
            <w:r w:rsidRPr="00874B0C">
              <w:rPr>
                <w:rFonts w:eastAsia="Calibri"/>
                <w:iCs/>
                <w:sz w:val="18"/>
                <w:szCs w:val="18"/>
              </w:rPr>
              <w:t>not an Entity authorised by a Member State in accordance with Article 63 of Regulation (EU) 2023/1114 or allowed to provide Crypto-Asset Services following a notification to a Member State in accordance with Article 60 of Regulation (EU) 2023/1114, and it is:</w:t>
            </w:r>
          </w:p>
          <w:p w14:paraId="29A1876F" w14:textId="2C9ECFEC"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w:t>
            </w:r>
            <w:r w:rsidR="00DB7C8F" w:rsidRPr="00874B0C">
              <w:rPr>
                <w:rFonts w:eastAsia="Calibri"/>
                <w:iCs/>
                <w:sz w:val="18"/>
                <w:szCs w:val="18"/>
              </w:rPr>
              <w:t xml:space="preserve"> </w:t>
            </w:r>
            <w:r w:rsidRPr="00874B0C">
              <w:rPr>
                <w:rFonts w:eastAsia="Calibri"/>
                <w:iCs/>
                <w:sz w:val="18"/>
                <w:szCs w:val="18"/>
              </w:rPr>
              <w:t>an Entity or individual resident for tax purposes in a Member State;</w:t>
            </w:r>
          </w:p>
          <w:p w14:paraId="7DFCE740" w14:textId="59D637C9"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w:t>
            </w:r>
            <w:r w:rsidR="00DB7C8F" w:rsidRPr="00874B0C">
              <w:rPr>
                <w:rFonts w:eastAsia="Calibri"/>
                <w:iCs/>
                <w:sz w:val="18"/>
                <w:szCs w:val="18"/>
              </w:rPr>
              <w:t xml:space="preserve"> </w:t>
            </w:r>
            <w:r w:rsidRPr="00874B0C">
              <w:rPr>
                <w:rFonts w:eastAsia="Calibri"/>
                <w:iCs/>
                <w:sz w:val="18"/>
                <w:szCs w:val="18"/>
              </w:rPr>
              <w:t>an Entity that (i) is incorporated or organised under the laws of a Member State and (ii) either has legal personality in a Member State or has an obligation to file tax returns or tax information returns to the tax authorities in a Member State with respect to the income of the Entity;</w:t>
            </w:r>
          </w:p>
          <w:p w14:paraId="07C0F1F0" w14:textId="0A26ED91" w:rsidR="00FA0ED9"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w:t>
            </w:r>
            <w:r w:rsidR="00DB7C8F" w:rsidRPr="00874B0C">
              <w:rPr>
                <w:rFonts w:eastAsia="Calibri"/>
                <w:iCs/>
                <w:sz w:val="18"/>
                <w:szCs w:val="18"/>
              </w:rPr>
              <w:t xml:space="preserve"> </w:t>
            </w:r>
            <w:r w:rsidRPr="00874B0C">
              <w:rPr>
                <w:rFonts w:eastAsia="Calibri"/>
                <w:iCs/>
                <w:sz w:val="18"/>
                <w:szCs w:val="18"/>
              </w:rPr>
              <w:t>an Entity managed from a Member State; or</w:t>
            </w:r>
          </w:p>
          <w:p w14:paraId="317EEB6A" w14:textId="533354A1" w:rsidR="00E94486" w:rsidRPr="00874B0C" w:rsidRDefault="00FA0ED9"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w:t>
            </w:r>
            <w:r w:rsidR="00DB7C8F" w:rsidRPr="00874B0C">
              <w:rPr>
                <w:rFonts w:eastAsia="Calibri"/>
                <w:iCs/>
                <w:sz w:val="18"/>
                <w:szCs w:val="18"/>
              </w:rPr>
              <w:t xml:space="preserve"> </w:t>
            </w:r>
            <w:r w:rsidRPr="00874B0C">
              <w:rPr>
                <w:rFonts w:eastAsia="Calibri"/>
                <w:iCs/>
                <w:sz w:val="18"/>
                <w:szCs w:val="18"/>
              </w:rPr>
              <w:t>an Entity or individual that has a regular place of business in a Member State.</w:t>
            </w:r>
          </w:p>
        </w:tc>
        <w:tc>
          <w:tcPr>
            <w:tcW w:w="1080" w:type="dxa"/>
          </w:tcPr>
          <w:p w14:paraId="6D1A15E0"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1CC62BF3"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0D9D4081" w14:textId="77777777" w:rsidR="00886FB5" w:rsidRPr="00874B0C" w:rsidRDefault="00886FB5" w:rsidP="00874B0C">
            <w:pPr>
              <w:spacing w:line="276" w:lineRule="auto"/>
              <w:jc w:val="center"/>
              <w:rPr>
                <w:rFonts w:ascii="Times New Roman" w:eastAsia="Times New Roman" w:hAnsi="Times New Roman" w:cs="Times New Roman"/>
                <w:b/>
                <w:bCs/>
                <w:sz w:val="18"/>
                <w:szCs w:val="18"/>
                <w:lang w:eastAsia="sq-AL"/>
              </w:rPr>
            </w:pPr>
            <w:r w:rsidRPr="00874B0C">
              <w:rPr>
                <w:rFonts w:ascii="Times New Roman" w:eastAsia="Times New Roman" w:hAnsi="Times New Roman" w:cs="Times New Roman"/>
                <w:b/>
                <w:bCs/>
                <w:sz w:val="18"/>
                <w:szCs w:val="18"/>
                <w:lang w:eastAsia="sq-AL"/>
              </w:rPr>
              <w:t>Article 4</w:t>
            </w:r>
          </w:p>
          <w:p w14:paraId="64C05620" w14:textId="77777777" w:rsidR="00886FB5" w:rsidRPr="00874B0C" w:rsidRDefault="00886FB5" w:rsidP="00874B0C">
            <w:pPr>
              <w:spacing w:line="276" w:lineRule="auto"/>
              <w:jc w:val="center"/>
              <w:rPr>
                <w:rFonts w:ascii="Times New Roman" w:eastAsia="Times New Roman" w:hAnsi="Times New Roman" w:cs="Times New Roman"/>
                <w:b/>
                <w:bCs/>
                <w:sz w:val="18"/>
                <w:szCs w:val="18"/>
                <w:lang w:eastAsia="sq-AL"/>
              </w:rPr>
            </w:pPr>
            <w:r w:rsidRPr="00874B0C">
              <w:rPr>
                <w:rFonts w:ascii="Times New Roman" w:eastAsia="Times New Roman" w:hAnsi="Times New Roman" w:cs="Times New Roman"/>
                <w:b/>
                <w:bCs/>
                <w:sz w:val="18"/>
                <w:szCs w:val="18"/>
                <w:lang w:eastAsia="sq-AL"/>
              </w:rPr>
              <w:t>Obligations of Reporting Crypto-Asset Service Providers</w:t>
            </w:r>
          </w:p>
          <w:p w14:paraId="05BB9BA8"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p>
          <w:p w14:paraId="41B4EB7B" w14:textId="0CED46A3" w:rsidR="00886FB5"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 A Reporting Crypto-Asset Service Provider shall be subject to the reporting requirements and due diligence procedures under this Law in the Republic of Albania if it is:</w:t>
            </w:r>
          </w:p>
          <w:p w14:paraId="54BAB010"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p>
          <w:p w14:paraId="1901429C"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 a legal person authorised by the Financial Supervisory Authority as a crypto-asset service provider under the Albanian legislation in force on crypto-asset markets, or an entity recognised or permitted to carry out activities in the Republic of Albania under that legislation; or</w:t>
            </w:r>
          </w:p>
          <w:p w14:paraId="60652A9E"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 where it is not an entity under point (a) of this paragraph, but is:</w:t>
            </w:r>
          </w:p>
          <w:p w14:paraId="2420E856"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 an entity or an individual resident for tax purposes in Albania;</w:t>
            </w:r>
          </w:p>
          <w:p w14:paraId="1D7DE52A"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 an entity incorporated or organised under Albanian law and which either has legal personality in the Republic of Albania or is required to submit tax returns or tax information returns in the Republic of Albania;</w:t>
            </w:r>
          </w:p>
          <w:p w14:paraId="01CD3F66" w14:textId="77777777" w:rsidR="00886FB5"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iii) an entity managed in Albania;</w:t>
            </w:r>
          </w:p>
          <w:p w14:paraId="7990C4FE" w14:textId="3A05D5F1" w:rsidR="00E94486"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iv) an entity or an individual that has a regular place of business in Albania.</w:t>
            </w:r>
          </w:p>
        </w:tc>
        <w:tc>
          <w:tcPr>
            <w:tcW w:w="1184" w:type="dxa"/>
          </w:tcPr>
          <w:p w14:paraId="41E23B8F"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1F13BD62"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4F02CF25" w14:textId="77777777" w:rsidTr="00874B0C">
        <w:trPr>
          <w:trHeight w:val="764"/>
        </w:trPr>
        <w:tc>
          <w:tcPr>
            <w:tcW w:w="720" w:type="dxa"/>
          </w:tcPr>
          <w:p w14:paraId="052C99DC"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4F4B3A46" w14:textId="7992626D"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A Reporting Crypto-Asset Service Provider is subject to the reporting and due diligence requirements set out in Sections II and III, respectively, in a Member State with respect to Reportable Transactions effectuated through a Branch based in a Member State.</w:t>
            </w:r>
          </w:p>
          <w:p w14:paraId="1B172F64" w14:textId="77777777" w:rsidR="00E94486" w:rsidRPr="00874B0C" w:rsidRDefault="00E94486" w:rsidP="00874B0C">
            <w:pPr>
              <w:pStyle w:val="oj-ti-grseq-1"/>
              <w:shd w:val="clear" w:color="auto" w:fill="FFFFFF"/>
              <w:spacing w:before="240" w:after="120" w:line="276" w:lineRule="auto"/>
              <w:rPr>
                <w:rFonts w:eastAsia="Calibri"/>
                <w:iCs/>
                <w:sz w:val="18"/>
                <w:szCs w:val="18"/>
              </w:rPr>
            </w:pPr>
          </w:p>
        </w:tc>
        <w:tc>
          <w:tcPr>
            <w:tcW w:w="1080" w:type="dxa"/>
          </w:tcPr>
          <w:p w14:paraId="6381D81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074B85C8"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7580F90" w14:textId="22532738" w:rsidR="00E94486"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 A Reporting Crypto-Asset Service Provider shall also be subject to the reporting requirements and due diligence procedures under this Law with respect to reportable transactions carried out through a branch located in Albania.</w:t>
            </w:r>
          </w:p>
        </w:tc>
        <w:tc>
          <w:tcPr>
            <w:tcW w:w="1184" w:type="dxa"/>
          </w:tcPr>
          <w:p w14:paraId="0859F337"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7DD427AB"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161D370D" w14:textId="77777777" w:rsidTr="00874B0C">
        <w:trPr>
          <w:trHeight w:val="764"/>
        </w:trPr>
        <w:tc>
          <w:tcPr>
            <w:tcW w:w="720" w:type="dxa"/>
          </w:tcPr>
          <w:p w14:paraId="39D19A61"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0BACC93C" w14:textId="77777777" w:rsidR="00DB7C8F" w:rsidRPr="00874B0C" w:rsidRDefault="00DB7C8F" w:rsidP="00874B0C">
            <w:pPr>
              <w:pStyle w:val="oj-ti-grseq-1"/>
              <w:shd w:val="clear" w:color="auto" w:fill="FFFFFF"/>
              <w:spacing w:before="240" w:after="120" w:line="276" w:lineRule="auto"/>
              <w:rPr>
                <w:rFonts w:eastAsia="Calibri"/>
                <w:iCs/>
                <w:sz w:val="18"/>
                <w:szCs w:val="18"/>
              </w:rPr>
            </w:pPr>
          </w:p>
          <w:p w14:paraId="391C5035" w14:textId="62EB1860"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A Reporting Crypto-Asset Service Provider that is an Entity is not required to complete the reporting and due diligence requirements set out in Sections II and III, respectively, in a Member State it is subject to pursuant to subparagraph A(2), point (b), (c) or (d), if those requirements are completed by such Reporting Crypto-Asset Service Provider in any other Member State or in a Qualified Non-Union Jurisdiction by virtue of it being resident for tax purposes in such Member State or Qualified Non-Union Jurisdiction.</w:t>
            </w:r>
          </w:p>
        </w:tc>
        <w:tc>
          <w:tcPr>
            <w:tcW w:w="1080" w:type="dxa"/>
          </w:tcPr>
          <w:p w14:paraId="0E3DDA59"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75EE3AAE"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F4E27CF" w14:textId="4DEFADA2" w:rsidR="00E94486"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 A Reporting Crypto-Asset Service Provider that is an entity referred to in paragraph 1, point (b), sub-points (ii), (iii) or (iv), shall not be required to comply with the reporting requirements and due diligence procedures in Albania where such requirements are fulfilled in another Member State or in a qualifying non-EU jurisdiction due to its tax residence in that jurisdiction.</w:t>
            </w:r>
          </w:p>
        </w:tc>
        <w:tc>
          <w:tcPr>
            <w:tcW w:w="1184" w:type="dxa"/>
          </w:tcPr>
          <w:p w14:paraId="045A211F"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10B54B7A"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31CEE025" w14:textId="77777777" w:rsidTr="00874B0C">
        <w:trPr>
          <w:trHeight w:val="764"/>
        </w:trPr>
        <w:tc>
          <w:tcPr>
            <w:tcW w:w="720" w:type="dxa"/>
          </w:tcPr>
          <w:p w14:paraId="79D5BC3F"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41C94E47" w14:textId="77777777" w:rsidR="00DB7C8F" w:rsidRPr="00874B0C" w:rsidRDefault="00DB7C8F" w:rsidP="00874B0C">
            <w:pPr>
              <w:pStyle w:val="oj-ti-grseq-1"/>
              <w:shd w:val="clear" w:color="auto" w:fill="FFFFFF"/>
              <w:spacing w:before="240" w:after="120" w:line="276" w:lineRule="auto"/>
              <w:rPr>
                <w:rFonts w:eastAsia="Calibri"/>
                <w:iCs/>
                <w:sz w:val="18"/>
                <w:szCs w:val="18"/>
              </w:rPr>
            </w:pPr>
          </w:p>
          <w:p w14:paraId="17A3A484" w14:textId="3DE5CE0D"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A Reporting Crypto-Asset Service Provider that is an Entity is not required to complete the reporting and due diligence requirements set out in Sections II and III, respectively, in a Member State it is subject to pursuant to subparagraph A(2), point (c) or (d), if those requirements are completed by such Reporting Crypto-Asset Service Provider in any other Member State or in a Qualified Non-Union Jurisdiction by virtue of it being an Entity that (a) is incorporated or organised under the laws of such Member State or Qualified Non-Union Jurisdiction and (b) either has legal personality in the other Member State or Qualified Non-Union Jurisdiction or has an obligation to file tax returns or tax information returns to the tax authorities in the other Member State or Qualified Non-Union Jurisdiction with respect to the income of the Entity.</w:t>
            </w:r>
          </w:p>
        </w:tc>
        <w:tc>
          <w:tcPr>
            <w:tcW w:w="1080" w:type="dxa"/>
          </w:tcPr>
          <w:p w14:paraId="7BEB178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04F232AB"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5A8E8C95" w14:textId="01EB59C2" w:rsidR="00E94486"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 A Reporting Crypto-Asset Service Provider that is an entity referred to in paragraph 1, point (b), sub-points (iii) or (iv), shall not be required to comply with the reporting requirements and due diligence procedures in Albania where such requirements are fulfilled in another Member State or in a qualifying non-EU jurisdiction because it is incorporated, organised, managed, or required to submit tax returns in that jurisdiction.</w:t>
            </w:r>
          </w:p>
        </w:tc>
        <w:tc>
          <w:tcPr>
            <w:tcW w:w="1184" w:type="dxa"/>
          </w:tcPr>
          <w:p w14:paraId="29B40E64"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7B98D922"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19074CEC" w14:textId="77777777" w:rsidTr="00874B0C">
        <w:trPr>
          <w:trHeight w:val="764"/>
        </w:trPr>
        <w:tc>
          <w:tcPr>
            <w:tcW w:w="720" w:type="dxa"/>
          </w:tcPr>
          <w:p w14:paraId="6879A968"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76EE8EEA" w14:textId="77777777" w:rsidR="00DB7C8F" w:rsidRPr="00874B0C" w:rsidRDefault="00DB7C8F" w:rsidP="00874B0C">
            <w:pPr>
              <w:pStyle w:val="oj-ti-grseq-1"/>
              <w:shd w:val="clear" w:color="auto" w:fill="FFFFFF"/>
              <w:spacing w:before="240" w:after="120" w:line="276" w:lineRule="auto"/>
              <w:rPr>
                <w:rFonts w:eastAsia="Calibri"/>
                <w:iCs/>
                <w:sz w:val="18"/>
                <w:szCs w:val="18"/>
              </w:rPr>
            </w:pPr>
          </w:p>
          <w:p w14:paraId="1E64DCF1" w14:textId="523DAF5E"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A Reporting Crypto-Asset Service Provider that is an Entity is not required to complete the reporting and due diligence requirements set out in Sections II and III, respectively, in a Member State it is subject to pursuant to subparagraph A(2), point (d), if those requirements are completed by such Reporting Crypto-Asset Service Provider in any other Member State or in a Qualified Non-Union Jurisdiction by virtue of it being managed from such Member State or Qualified Non-Union Jurisdiction.</w:t>
            </w:r>
          </w:p>
        </w:tc>
        <w:tc>
          <w:tcPr>
            <w:tcW w:w="1080" w:type="dxa"/>
          </w:tcPr>
          <w:p w14:paraId="1E7CBB1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3221CA94"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55656136" w14:textId="16AD1EE0" w:rsidR="00E94486"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5. A Reporting Crypto-Asset Service Provider that is an entity referred to in paragraph 1, point (b), sub-point (iv), shall not be required to comply with the reporting requirements and due diligence procedures in Albania where such requirements are fulfilled by it in another Member State or in a qualifying non-EU jurisdiction due to its being managed in that Member State or qualifying non-EU jurisdiction.</w:t>
            </w:r>
          </w:p>
        </w:tc>
        <w:tc>
          <w:tcPr>
            <w:tcW w:w="1184" w:type="dxa"/>
          </w:tcPr>
          <w:p w14:paraId="2D4F3F77"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544292D1"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047CBE1D" w14:textId="77777777" w:rsidTr="00874B0C">
        <w:trPr>
          <w:trHeight w:val="764"/>
        </w:trPr>
        <w:tc>
          <w:tcPr>
            <w:tcW w:w="720" w:type="dxa"/>
          </w:tcPr>
          <w:p w14:paraId="481EA9EA"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621DE783" w14:textId="4061E26A"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 A Reporting Crypto-Asset Service Provider that is an individual is not required to complete the reporting and due diligence requirements set out in Sections II and III, respectively, in a Member State it is subject to pursuant to subparagraph A(2), point (d), if those requirements are completed by such Reporting Crypto-Asset Service Provider in any other Member State or in a Qualified Non-Union Jurisdiction by virtue of it being resident for tax purposes in such Member State or Qualified Non-Union Jurisdiction.</w:t>
            </w:r>
          </w:p>
          <w:p w14:paraId="5B6947FA" w14:textId="77777777" w:rsidR="00E94486" w:rsidRPr="00874B0C" w:rsidRDefault="00E94486" w:rsidP="00874B0C">
            <w:pPr>
              <w:pStyle w:val="oj-ti-grseq-1"/>
              <w:shd w:val="clear" w:color="auto" w:fill="FFFFFF"/>
              <w:spacing w:before="240" w:after="120" w:line="276" w:lineRule="auto"/>
              <w:rPr>
                <w:rFonts w:eastAsia="Calibri"/>
                <w:iCs/>
                <w:sz w:val="18"/>
                <w:szCs w:val="18"/>
              </w:rPr>
            </w:pPr>
          </w:p>
        </w:tc>
        <w:tc>
          <w:tcPr>
            <w:tcW w:w="1080" w:type="dxa"/>
          </w:tcPr>
          <w:p w14:paraId="70FB371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707D04BB"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shd w:val="clear" w:color="auto" w:fill="FFFFFF" w:themeFill="background1"/>
          </w:tcPr>
          <w:p w14:paraId="072B6D8D" w14:textId="60FF3601" w:rsidR="00E94486" w:rsidRPr="00874B0C" w:rsidRDefault="00886FB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6. A Reporting Crypto-Asset Service Provider that is an individual referred to in paragraph 1, point (b), sub-point (iv), shall not be required to comply with the reporting requirements and due diligence procedures in Albania where such requirements are fulfilled by him in another Member State or in a qualifying non-EU jurisdiction due to his tax residence in that Member State or qualifying non-EU jurisdiction. </w:t>
            </w:r>
          </w:p>
        </w:tc>
        <w:tc>
          <w:tcPr>
            <w:tcW w:w="1184" w:type="dxa"/>
          </w:tcPr>
          <w:p w14:paraId="28167831"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010DAB99"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6B33BFB8" w14:textId="77777777" w:rsidTr="00874B0C">
        <w:trPr>
          <w:trHeight w:val="764"/>
        </w:trPr>
        <w:tc>
          <w:tcPr>
            <w:tcW w:w="720" w:type="dxa"/>
          </w:tcPr>
          <w:p w14:paraId="4096147C"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77AD9D34" w14:textId="4D783FCB"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G. A Reporting Crypto-Asset Service Provider is not required to complete the reporting and due diligence requirements set out in Sections II and III, respectively, in a Member State it is subject to pursuant to subparagraph A(2), point (a), (b), (c) or (d), if it has lodged a notification with a Member State in a format specified by such Member State confirming that those requirements are completed by such Reporting Crypto-Asset Service Provider under the rules of any other Member State or Qualified Non-Union Jurisdiction pursuant to criteria that are substantially similar to subparagraph A(2), point (a), (b), (c) or (d), respectively.</w:t>
            </w:r>
          </w:p>
          <w:p w14:paraId="589CB5FD" w14:textId="77777777" w:rsidR="00E94486" w:rsidRPr="00874B0C" w:rsidRDefault="00E94486" w:rsidP="00874B0C">
            <w:pPr>
              <w:pStyle w:val="oj-ti-grseq-1"/>
              <w:shd w:val="clear" w:color="auto" w:fill="FFFFFF"/>
              <w:spacing w:before="240" w:after="120" w:line="276" w:lineRule="auto"/>
              <w:rPr>
                <w:rFonts w:eastAsia="Calibri"/>
                <w:iCs/>
                <w:sz w:val="18"/>
                <w:szCs w:val="18"/>
              </w:rPr>
            </w:pPr>
          </w:p>
        </w:tc>
        <w:tc>
          <w:tcPr>
            <w:tcW w:w="1080" w:type="dxa"/>
          </w:tcPr>
          <w:p w14:paraId="0EFE9CCE"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8D241E8"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15374E88" w14:textId="1690C82F" w:rsidR="00E94486" w:rsidRPr="00874B0C" w:rsidRDefault="005B0C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7. A Reporting Crypto-Asset Service Provider referred to in paragraph 1, point (b), shall not be required to comply with the reporting requirements and due diligence procedures in Albania where it has submitted a notification to the Competent Authority, in the form prescribed by the Competent Authority, confirming that such requirements are fulfilled by that Reporting Crypto-Asset Service Provider under the rules of a Member State or a qualifying non-EU jurisdiction, on the basis of criteria that are substantially similar to those set out in paragraph 1, point (b)(i), (ii), (iii) or (iv).</w:t>
            </w:r>
          </w:p>
        </w:tc>
        <w:tc>
          <w:tcPr>
            <w:tcW w:w="1184" w:type="dxa"/>
          </w:tcPr>
          <w:p w14:paraId="05CC6471"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0D35FCE6"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16094177" w14:textId="77777777" w:rsidTr="00874B0C">
        <w:trPr>
          <w:trHeight w:val="764"/>
        </w:trPr>
        <w:tc>
          <w:tcPr>
            <w:tcW w:w="720" w:type="dxa"/>
          </w:tcPr>
          <w:p w14:paraId="3B4EF094"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4D957331" w14:textId="5F8E13BE"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H. A Reporting Crypto-Asset Service Provider is not required to complete the reporting and due diligence requirements set out in Sections II and III, respectively, in a Member State with respect to Reportable Transactions it effectuates through a Branch in any other Member State or Qualified Non-Union Jurisdiction, if those requirements are completed by that Branch in such other Member State or Qualified Non-Union Jurisdiction.</w:t>
            </w:r>
          </w:p>
          <w:p w14:paraId="5E70259F" w14:textId="689848C5" w:rsidR="00E94486" w:rsidRPr="00874B0C" w:rsidRDefault="00E94486" w:rsidP="00874B0C">
            <w:pPr>
              <w:pStyle w:val="oj-ti-grseq-1"/>
              <w:shd w:val="clear" w:color="auto" w:fill="FFFFFF"/>
              <w:spacing w:before="240" w:after="120" w:line="276" w:lineRule="auto"/>
              <w:rPr>
                <w:rFonts w:eastAsia="Calibri"/>
                <w:iCs/>
                <w:sz w:val="18"/>
                <w:szCs w:val="18"/>
              </w:rPr>
            </w:pPr>
          </w:p>
        </w:tc>
        <w:tc>
          <w:tcPr>
            <w:tcW w:w="1080" w:type="dxa"/>
          </w:tcPr>
          <w:p w14:paraId="0F602606"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769F5ED0"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5B0538F6" w14:textId="00C46D6C" w:rsidR="00E94486" w:rsidRPr="00874B0C" w:rsidRDefault="005B0C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8. A Reporting Crypto-Asset Service Provider shall not be required to comply with the reporting requirements and due diligence procedures in Albania with respect to reportable transactions carried out through a branch in another Member State or a qualifying non-EU jurisdiction, where such requirements are fulfilled by that branch in that Member State or qualifying non-EU jurisdiction.</w:t>
            </w:r>
          </w:p>
        </w:tc>
        <w:tc>
          <w:tcPr>
            <w:tcW w:w="1184" w:type="dxa"/>
          </w:tcPr>
          <w:p w14:paraId="726728AE"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7A9089F4"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23980AFF" w14:textId="77777777" w:rsidTr="00874B0C">
        <w:trPr>
          <w:trHeight w:val="764"/>
        </w:trPr>
        <w:tc>
          <w:tcPr>
            <w:tcW w:w="720" w:type="dxa"/>
          </w:tcPr>
          <w:p w14:paraId="7C213464"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1155BB31" w14:textId="77777777"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SECTION II </w:t>
            </w:r>
          </w:p>
          <w:p w14:paraId="56B3CF39" w14:textId="77777777"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REPORTING REQUIREMENTS</w:t>
            </w:r>
          </w:p>
          <w:p w14:paraId="20E3C915" w14:textId="175A2732"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A Reporting Crypto-Asset Service Provider within the meaning of Section I, paragraphs A and B, shall report the information set out in paragraph B of this Section to the competent authority of the Member State where it is subject to reporting requirements in accordance with Section I.</w:t>
            </w:r>
          </w:p>
        </w:tc>
        <w:tc>
          <w:tcPr>
            <w:tcW w:w="1080" w:type="dxa"/>
          </w:tcPr>
          <w:p w14:paraId="5DA5DBB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4171793" w14:textId="77777777" w:rsidR="00D77E79" w:rsidRPr="00874B0C" w:rsidRDefault="00D77E79" w:rsidP="00874B0C">
            <w:pPr>
              <w:spacing w:line="276" w:lineRule="auto"/>
              <w:jc w:val="center"/>
              <w:rPr>
                <w:rFonts w:ascii="Times New Roman" w:eastAsia="Times New Roman" w:hAnsi="Times New Roman" w:cs="Times New Roman"/>
                <w:sz w:val="18"/>
                <w:szCs w:val="18"/>
                <w:lang w:eastAsia="sq-AL"/>
              </w:rPr>
            </w:pPr>
          </w:p>
          <w:p w14:paraId="7B283116" w14:textId="77777777" w:rsidR="00D77E79" w:rsidRPr="00874B0C" w:rsidRDefault="00D77E79" w:rsidP="00874B0C">
            <w:pPr>
              <w:spacing w:line="276" w:lineRule="auto"/>
              <w:rPr>
                <w:rFonts w:ascii="Times New Roman" w:eastAsia="Times New Roman" w:hAnsi="Times New Roman" w:cs="Times New Roman"/>
                <w:sz w:val="18"/>
                <w:szCs w:val="18"/>
                <w:lang w:eastAsia="sq-AL"/>
              </w:rPr>
            </w:pPr>
          </w:p>
          <w:p w14:paraId="3EEA879F" w14:textId="65013A58" w:rsidR="00E94486" w:rsidRPr="00874B0C" w:rsidRDefault="00D77E79"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3870" w:type="dxa"/>
          </w:tcPr>
          <w:p w14:paraId="14995B9B" w14:textId="77777777" w:rsidR="00D77E79" w:rsidRPr="00874B0C" w:rsidRDefault="00D77E79" w:rsidP="00874B0C">
            <w:pPr>
              <w:spacing w:line="276" w:lineRule="auto"/>
              <w:jc w:val="both"/>
              <w:rPr>
                <w:rFonts w:ascii="Times New Roman" w:eastAsia="Times New Roman" w:hAnsi="Times New Roman" w:cs="Times New Roman"/>
                <w:sz w:val="18"/>
                <w:szCs w:val="18"/>
                <w:lang w:eastAsia="sq-AL"/>
              </w:rPr>
            </w:pPr>
          </w:p>
          <w:p w14:paraId="2AD188BF" w14:textId="77777777" w:rsidR="00D77E79" w:rsidRPr="00874B0C" w:rsidRDefault="00D77E7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                                            </w:t>
            </w:r>
          </w:p>
          <w:p w14:paraId="69729AF4" w14:textId="77777777" w:rsidR="00D77E79" w:rsidRPr="00874B0C" w:rsidRDefault="00D77E79" w:rsidP="00874B0C">
            <w:pPr>
              <w:spacing w:line="276" w:lineRule="auto"/>
              <w:jc w:val="both"/>
              <w:rPr>
                <w:rFonts w:ascii="Times New Roman" w:eastAsia="Times New Roman" w:hAnsi="Times New Roman" w:cs="Times New Roman"/>
                <w:sz w:val="18"/>
                <w:szCs w:val="18"/>
                <w:lang w:eastAsia="sq-AL"/>
              </w:rPr>
            </w:pPr>
          </w:p>
          <w:p w14:paraId="4661A292" w14:textId="4377E400" w:rsidR="00E94486" w:rsidRPr="00874B0C" w:rsidRDefault="00D77E79" w:rsidP="00874B0C">
            <w:pPr>
              <w:spacing w:line="276" w:lineRule="auto"/>
              <w:jc w:val="center"/>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N/A</w:t>
            </w:r>
          </w:p>
        </w:tc>
        <w:tc>
          <w:tcPr>
            <w:tcW w:w="1184" w:type="dxa"/>
          </w:tcPr>
          <w:p w14:paraId="2BDA315C" w14:textId="77777777" w:rsidR="00D77E79" w:rsidRPr="00874B0C" w:rsidRDefault="00D77E79" w:rsidP="00874B0C">
            <w:pPr>
              <w:spacing w:line="276" w:lineRule="auto"/>
              <w:jc w:val="center"/>
              <w:rPr>
                <w:rFonts w:ascii="Times New Roman" w:eastAsia="Calibri" w:hAnsi="Times New Roman" w:cs="Times New Roman"/>
                <w:sz w:val="18"/>
                <w:szCs w:val="18"/>
              </w:rPr>
            </w:pPr>
          </w:p>
          <w:p w14:paraId="7B28CF5F" w14:textId="77777777" w:rsidR="00D77E79" w:rsidRPr="00874B0C" w:rsidRDefault="00D77E79" w:rsidP="00874B0C">
            <w:pPr>
              <w:spacing w:line="276" w:lineRule="auto"/>
              <w:jc w:val="center"/>
              <w:rPr>
                <w:rFonts w:ascii="Times New Roman" w:eastAsia="Calibri" w:hAnsi="Times New Roman" w:cs="Times New Roman"/>
                <w:sz w:val="18"/>
                <w:szCs w:val="18"/>
              </w:rPr>
            </w:pPr>
          </w:p>
          <w:p w14:paraId="244F893D" w14:textId="77777777" w:rsidR="00D77E79" w:rsidRPr="00874B0C" w:rsidRDefault="00D77E79" w:rsidP="00874B0C">
            <w:pPr>
              <w:spacing w:line="276" w:lineRule="auto"/>
              <w:jc w:val="center"/>
              <w:rPr>
                <w:rFonts w:ascii="Times New Roman" w:eastAsia="Calibri" w:hAnsi="Times New Roman" w:cs="Times New Roman"/>
                <w:sz w:val="18"/>
                <w:szCs w:val="18"/>
              </w:rPr>
            </w:pPr>
          </w:p>
          <w:p w14:paraId="22F49B1C" w14:textId="77777777" w:rsidR="00D77E79" w:rsidRPr="00874B0C" w:rsidRDefault="00D77E79" w:rsidP="00874B0C">
            <w:pPr>
              <w:spacing w:line="276" w:lineRule="auto"/>
              <w:jc w:val="center"/>
              <w:rPr>
                <w:rFonts w:ascii="Times New Roman" w:eastAsia="Calibri" w:hAnsi="Times New Roman" w:cs="Times New Roman"/>
                <w:sz w:val="18"/>
                <w:szCs w:val="18"/>
              </w:rPr>
            </w:pPr>
          </w:p>
          <w:p w14:paraId="2AA6A3A4" w14:textId="1A50A5C8" w:rsidR="00E94486" w:rsidRPr="00874B0C" w:rsidRDefault="00D77E79" w:rsidP="00874B0C">
            <w:pPr>
              <w:spacing w:line="276" w:lineRule="auto"/>
              <w:jc w:val="center"/>
              <w:rPr>
                <w:rFonts w:ascii="Times New Roman" w:eastAsia="Calibri" w:hAnsi="Times New Roman" w:cs="Times New Roman"/>
                <w:sz w:val="18"/>
                <w:szCs w:val="18"/>
              </w:rPr>
            </w:pPr>
            <w:r w:rsidRPr="00874B0C">
              <w:rPr>
                <w:rFonts w:ascii="Times New Roman" w:eastAsia="Calibri" w:hAnsi="Times New Roman" w:cs="Times New Roman"/>
                <w:sz w:val="18"/>
                <w:szCs w:val="18"/>
              </w:rPr>
              <w:t>N/A</w:t>
            </w:r>
          </w:p>
        </w:tc>
        <w:tc>
          <w:tcPr>
            <w:tcW w:w="3406" w:type="dxa"/>
          </w:tcPr>
          <w:p w14:paraId="7339837F" w14:textId="77777777" w:rsidR="00D77E79" w:rsidRPr="00874B0C" w:rsidRDefault="00D77E79" w:rsidP="00874B0C">
            <w:pPr>
              <w:spacing w:line="276" w:lineRule="auto"/>
              <w:rPr>
                <w:rFonts w:ascii="Times New Roman" w:eastAsia="Calibri" w:hAnsi="Times New Roman" w:cs="Times New Roman"/>
                <w:sz w:val="18"/>
                <w:szCs w:val="18"/>
              </w:rPr>
            </w:pPr>
          </w:p>
          <w:p w14:paraId="55E093EF" w14:textId="5184EB08" w:rsidR="00E94486" w:rsidRPr="00874B0C" w:rsidRDefault="00D77E79"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The obligations of a Reporting Crypto-Asset Service Provider are outlined and defined in Article 10 of the draft law.</w:t>
            </w:r>
          </w:p>
        </w:tc>
      </w:tr>
      <w:tr w:rsidR="00E94486" w:rsidRPr="00874B0C" w14:paraId="61636C54" w14:textId="77777777" w:rsidTr="00874B0C">
        <w:trPr>
          <w:trHeight w:val="764"/>
        </w:trPr>
        <w:tc>
          <w:tcPr>
            <w:tcW w:w="720" w:type="dxa"/>
          </w:tcPr>
          <w:p w14:paraId="1AEAA3F1"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5A6698D8" w14:textId="77777777" w:rsidR="00DB7C8F" w:rsidRPr="00874B0C" w:rsidRDefault="00DB7C8F" w:rsidP="00874B0C">
            <w:pPr>
              <w:pStyle w:val="oj-ti-grseq-1"/>
              <w:shd w:val="clear" w:color="auto" w:fill="FFFFFF"/>
              <w:spacing w:before="240" w:after="120" w:line="276" w:lineRule="auto"/>
              <w:rPr>
                <w:rFonts w:eastAsia="Calibri"/>
                <w:iCs/>
                <w:sz w:val="18"/>
                <w:szCs w:val="18"/>
              </w:rPr>
            </w:pPr>
          </w:p>
          <w:p w14:paraId="522AEBA6" w14:textId="6B4A6BE2"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For each relevant calendar year or other appropriate reporting period, and subject to the obligations of Reporting Crypto-Asset Service Providers set out in Section I and the due diligence procedures set out in Section III, a Reporting Crypto-Asset Service Provider shall report the following information with respect to its Crypto-Asset Users that are Reportable Users or that have Controlling Persons that are Reportable Persons:</w:t>
            </w:r>
          </w:p>
          <w:p w14:paraId="2617BF5A" w14:textId="2119C014"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the name, address, Member State(s) of residence, TIN(s) and, in the case of an individual, date and place of birth of each Reportable User and, in the case of any Entity that, after application of the due diligence procedures laid down in Section III, is identified as having one or more Controlling Persons that is a Reportable Person, the name, address, Member State(s) of residence and TIN(s) of the Entity and the name, address, Member State(s) of residence, TIN(s) and date and place of birth of each Controlling Person of the Entity that is a Reportable Person, as well as the role(s) by virtue of which each such Reportable Person is a Controlling Person of the Entity;</w:t>
            </w:r>
          </w:p>
          <w:p w14:paraId="4CF0BC05" w14:textId="73EA8638"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notwithstanding subparagraph B(1), first subparagraph, where the Reporting Crypto-Asset Service Provider reports to a competent authority that uses an Identification Service and relies on direct confirmation of the identity and residence of the Reportable Person through an Identification Service made available by a Member State or the Union to ascertain the identity and all tax residencies of the Reportable Person, the information to be reported regarding the Reportable Person is the name, the Identification Service identifier(s) and the Member State(s) of issuance, as well as the role(s) by virtue of which each Reportable Person is a Controlling Person of the Entity;</w:t>
            </w:r>
          </w:p>
          <w:p w14:paraId="764533DC" w14:textId="072C1313"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the name, address, TIN and, if available, the individual identification number referred to in Article 8ad(7) and the global legal entity identifier of the Reporting Crypto-Asset Service Provider;</w:t>
            </w:r>
          </w:p>
          <w:p w14:paraId="43387D77" w14:textId="40E475C7"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for each type of Reportable Crypto-Asset with respect to which the Reporting Crypto-Asset Service Provider has effectuated Reportable Transactions during the relevant calendar year or other appropriate reporting period, where relevant:</w:t>
            </w:r>
          </w:p>
          <w:p w14:paraId="27CF1292" w14:textId="17871DC6"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the full name of the type of Reportable Crypto-Asset;</w:t>
            </w:r>
          </w:p>
          <w:p w14:paraId="21B8B446" w14:textId="358DFD89"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the aggregate gross amount paid, the aggregate number of units and the number of Reportable Transactions in respect of acquisitions against Fiat Currency;</w:t>
            </w:r>
          </w:p>
          <w:p w14:paraId="79353ADB" w14:textId="23444AFC"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the aggregate gross amount received, the aggregate number of units and the number of Reportable Transactions in respect of disposals against Fiat Currency;</w:t>
            </w:r>
          </w:p>
          <w:p w14:paraId="5536D488" w14:textId="0DFD73B3"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the aggregate fair market value, the aggregate number of units and the number of Reportable Transactions in respect of acquisitions against other Reportable Crypto-Assets;</w:t>
            </w:r>
          </w:p>
          <w:p w14:paraId="0C9FFCF1" w14:textId="4F4C5ED0"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the aggregate fair market value, the aggregate number of units and the number of Reportable Transactions in respect of disposals against other Reportable Crypto-Assets;</w:t>
            </w:r>
          </w:p>
          <w:p w14:paraId="41273B56" w14:textId="3FDE21A9"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 the aggregate fair market value, the aggregate number of units and the number of Reportable Retail Payment Transactions;</w:t>
            </w:r>
          </w:p>
          <w:p w14:paraId="1A483F34" w14:textId="47BE30E7"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(g) the aggregate fair market value, the aggregate number of units and the number of Reportable Transactions, and subdivided by transfer type where known by the Reporting Crypto-Asset Service Provider, in respect of Transfers to the Reportable User not covered by points (b) and (d);</w:t>
            </w:r>
          </w:p>
          <w:p w14:paraId="561B9283" w14:textId="6666E5F5"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(h) the aggregate fair market value, the aggregate number of units and the number of Reportable Transactions, and subdivided by transfer type where known by the Reporting Crypto-Asset Service Provider, in respect of Transfers by the Reportable User not covered by points (c), (e) and (f); and</w:t>
            </w:r>
          </w:p>
          <w:p w14:paraId="0CD8E35C" w14:textId="1490D241"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the aggregate fair market value, as well as the aggregate number of units of Transfers effectuated by the Reporting Crypto-Asset Service Provider to distributed ledger addresses referred to in Regulation (EU) 2023/1114 not known to be associated with a virtual asset service provider or financial institution.</w:t>
            </w:r>
          </w:p>
          <w:p w14:paraId="76877FAB" w14:textId="12DED0D2"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For the purposes of subparagraph B(3), points (b) and (c), the amount paid or received shall be reported in the Fiat Currency in which it was paid or received. In case the amounts were paid or received in multiple Fiat Currencies, the amounts shall be reported in a single currency, converted at the time of each Reportable Transaction in a manner that is consistently applied by the Reporting Crypto-Asset Service Provider.</w:t>
            </w:r>
          </w:p>
          <w:p w14:paraId="0F6B88DE" w14:textId="08FDCD87"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For the purposes of subparagraph B(3), points (d) to (i), the fair market value shall be determined and reported in a single currency, valued at the time of each Reportable Transaction in a manner that is consistently applied by the Reporting Crypto-Asset Service Provider.</w:t>
            </w:r>
          </w:p>
          <w:p w14:paraId="36A01D15" w14:textId="2B6E5A5B"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information reported shall identify the Fiat Currency in which each amount is reported.</w:t>
            </w:r>
          </w:p>
        </w:tc>
        <w:tc>
          <w:tcPr>
            <w:tcW w:w="1080" w:type="dxa"/>
          </w:tcPr>
          <w:p w14:paraId="378881E0"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0AEB40A6"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16894BE" w14:textId="77777777" w:rsidR="00F868FF" w:rsidRDefault="00F868FF" w:rsidP="00874B0C">
            <w:pPr>
              <w:spacing w:line="276" w:lineRule="auto"/>
              <w:jc w:val="center"/>
              <w:rPr>
                <w:rFonts w:ascii="Times New Roman" w:eastAsia="Times New Roman" w:hAnsi="Times New Roman" w:cs="Times New Roman"/>
                <w:b/>
                <w:sz w:val="18"/>
                <w:szCs w:val="18"/>
                <w:lang w:eastAsia="sq-AL"/>
              </w:rPr>
            </w:pPr>
          </w:p>
          <w:p w14:paraId="10C4A759" w14:textId="5D5C8509" w:rsidR="00D77E79" w:rsidRPr="00874B0C" w:rsidRDefault="00D77E79"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10</w:t>
            </w:r>
          </w:p>
          <w:p w14:paraId="44A34F9F" w14:textId="77777777" w:rsidR="00D77E79" w:rsidRPr="00874B0C" w:rsidRDefault="00D77E79"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The information to be reported</w:t>
            </w:r>
          </w:p>
          <w:p w14:paraId="483252E4" w14:textId="77777777" w:rsidR="00D77E79" w:rsidRPr="00874B0C" w:rsidRDefault="00D77E79" w:rsidP="00874B0C">
            <w:pPr>
              <w:spacing w:line="276" w:lineRule="auto"/>
              <w:jc w:val="both"/>
              <w:rPr>
                <w:rFonts w:ascii="Times New Roman" w:eastAsia="Times New Roman" w:hAnsi="Times New Roman" w:cs="Times New Roman"/>
                <w:sz w:val="18"/>
                <w:szCs w:val="18"/>
                <w:lang w:eastAsia="sq-AL"/>
              </w:rPr>
            </w:pPr>
          </w:p>
          <w:p w14:paraId="3ED5DDEC"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For each calendar year, in accordance with the reporting obligations and due diligence procedures set out in this Law, a Reporting Crypto-Asset Service Provider shall report to the General Directorate of Taxation the following information with respect to its Crypto-Asset Users who are Reportable Users or who have Controlling Persons that are Reportable Persons:</w:t>
            </w:r>
          </w:p>
          <w:p w14:paraId="2DAF8542"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 the name, address, State or States of tax residence, TIN or TINs, and, in the case of an individual, the date and place of birth of each Reportable User; and, in the case of an entity which, following the application of the due diligence procedures set out in Articles 5 to 8 of this Law, is identified as having one or more Controlling Persons who are Reportable Persons, the name, address, State or States of tax residence, and TIN or TINs of the entity, as well as the name, address, State or States of tax residence, TIN or TINs, date and place of birth of each Controlling Person who is a Reportable Person, together with the capacity or capacities in which such person is treated as a Controlling Person of the entity.</w:t>
            </w:r>
          </w:p>
          <w:p w14:paraId="419800F4"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 the name, address, TIN and, where available, the individual identification number referred to in Article 8ad (7) of Directive 2011/16/EU, as well as the Global Legal Entity Identifier (LEI), of the Reporting Crypto-Asset Service Provider;</w:t>
            </w:r>
          </w:p>
          <w:p w14:paraId="7F697185"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(c) for each type of Reportable Crypto-Asset in respect of which the Reporting Crypto-Asset Service Provider carried out Reportable Transactions during the relevant calendar year </w:t>
            </w:r>
          </w:p>
          <w:p w14:paraId="0B34F634"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 the full name of the type of Reportable Crypto-Asset;</w:t>
            </w:r>
          </w:p>
          <w:p w14:paraId="09D5D82D"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 the total gross amount paid, the total number of units, and the number of Reportable Transactions in respect of acquisitions against Fiat Currency;</w:t>
            </w:r>
          </w:p>
          <w:p w14:paraId="6BD2DB0F"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(iii) the total gross amount received, the total number of units, and the number of Reportable Transactions in respect of disposals against Fiat Currency;</w:t>
            </w:r>
          </w:p>
          <w:p w14:paraId="132ACECE"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(iv) the total fair market value, the total number of units, and the number of Reportable Transactions in respect of acquisitions against other Reportable Crypto-Assets;</w:t>
            </w:r>
          </w:p>
          <w:p w14:paraId="6C4C6E27"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(v) the total fair market value, the total number of units, and the number of Reportable Transactions in respect of disposals against other Reportable Crypto-Assets;</w:t>
            </w:r>
          </w:p>
          <w:p w14:paraId="4B2ACCA6"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(vi) the total fair market value, the total number of units, and the number of Reportable Transactions in respect of Retail Payment Transactions;</w:t>
            </w:r>
          </w:p>
          <w:p w14:paraId="43F9C728"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(vii) the total fair market value, the total number of units, and the number of Reportable Transactions, broken down by transfer type, where such information is known to the Reporting Crypto-Asset Service Provider, in respect of transfers to the Reportable User not covered by subparagraphs (ii) and (iv);</w:t>
            </w:r>
          </w:p>
          <w:p w14:paraId="605A34FA" w14:textId="77777777" w:rsidR="00B54EA3"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(viii) the total fair market value, the total number of units, and the number of Reportable Transactions, broken down by transfer type, where such information is known to the Reporting Crypto-Asset Service Provider, in respect of transfers by the Reportable User not covered by subparagraphs (iii), (v) and (vi);</w:t>
            </w:r>
          </w:p>
          <w:p w14:paraId="2B79428A" w14:textId="7FAF46CA" w:rsidR="00046B6D"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(ix) the total fair market value and the total number of units transferred by the Reporting Crypto-Asset Service Provider to distributed ledger addresses, as defined in Article 3(18) of Regulation (EU) 2023/1113, that are not known to be associated with a Virtual Asset Service Provider or a Financial Institution.</w:t>
            </w:r>
          </w:p>
          <w:p w14:paraId="52C6E841" w14:textId="77777777"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3D0BACFC" w14:textId="6157E57B"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040B825E" w14:textId="48950C17"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18FDB430" w14:textId="57F64325"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1D7AB4A4" w14:textId="0770B506"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09DD5890" w14:textId="0B9B3454"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5C332DD7" w14:textId="32727B35"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6CED5B85" w14:textId="68DCF127"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7F1C5E79" w14:textId="7E614B14"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758A39AB" w14:textId="77777777"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1FFE9BCC" w14:textId="77777777" w:rsidR="00046B6D" w:rsidRPr="00874B0C" w:rsidRDefault="00046B6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For the purposes of paragraph 1(c), subparagraphs (ii) and (iii), the amount paid or received shall be reported in the Fiat Currency in which it was paid or received. Where amounts are paid or received in more than one Fiat Currency, they shall be reported in a single currency, converted at the time of each Reportable Transaction in accordance with a method consistently applied by the Reporting Crypto-Asset Service Provider.</w:t>
            </w:r>
          </w:p>
          <w:p w14:paraId="05ABA05A" w14:textId="77777777" w:rsidR="00046B6D" w:rsidRPr="00874B0C" w:rsidRDefault="00046B6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w:t>
            </w:r>
            <w:r w:rsidRPr="00874B0C">
              <w:rPr>
                <w:rFonts w:ascii="Times New Roman" w:eastAsia="Times New Roman" w:hAnsi="Times New Roman" w:cs="Times New Roman"/>
                <w:sz w:val="18"/>
                <w:szCs w:val="18"/>
                <w:lang w:eastAsia="sq-AL"/>
              </w:rPr>
              <w:tab/>
              <w:t>For the purposes of paragraph 1(c), subparagraphs (iv) to (ix), the fair market value shall be determined and reported in a single currency, valued at the time of each Reportable Transaction in accordance with a method consistently applied by the Reporting Crypto-Asset Service Provider.</w:t>
            </w:r>
          </w:p>
          <w:p w14:paraId="7E1BE4B6" w14:textId="24335BDD" w:rsidR="00046B6D" w:rsidRPr="00874B0C" w:rsidRDefault="00046B6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w:t>
            </w:r>
            <w:r w:rsidRPr="00874B0C">
              <w:rPr>
                <w:rFonts w:ascii="Times New Roman" w:eastAsia="Times New Roman" w:hAnsi="Times New Roman" w:cs="Times New Roman"/>
                <w:sz w:val="18"/>
                <w:szCs w:val="18"/>
                <w:lang w:eastAsia="sq-AL"/>
              </w:rPr>
              <w:tab/>
              <w:t>The information reported shall specify the Fiat Currency in which each amount is reported.</w:t>
            </w:r>
          </w:p>
        </w:tc>
        <w:tc>
          <w:tcPr>
            <w:tcW w:w="1184" w:type="dxa"/>
          </w:tcPr>
          <w:p w14:paraId="0F22141B"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2969F832"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67EC7AD9" w14:textId="77777777" w:rsidTr="00874B0C">
        <w:trPr>
          <w:trHeight w:val="764"/>
        </w:trPr>
        <w:tc>
          <w:tcPr>
            <w:tcW w:w="720" w:type="dxa"/>
          </w:tcPr>
          <w:p w14:paraId="3E3FCE5F"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30DCF605" w14:textId="530A40DC"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Notwithstanding subparagraph B(1), the place of birth is not required to be reported unless the Reporting Crypto-Asset Service Provider is otherwise required to obtain and report it under domestic law.</w:t>
            </w:r>
          </w:p>
        </w:tc>
        <w:tc>
          <w:tcPr>
            <w:tcW w:w="1080" w:type="dxa"/>
          </w:tcPr>
          <w:p w14:paraId="27D6D9B0"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7869ED6E"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12C69385" w14:textId="06378C89" w:rsidR="00E94486" w:rsidRPr="00874B0C" w:rsidRDefault="00B54EA3"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5.</w:t>
            </w:r>
            <w:r w:rsidRPr="00874B0C">
              <w:rPr>
                <w:rFonts w:ascii="Times New Roman" w:eastAsia="Times New Roman" w:hAnsi="Times New Roman" w:cs="Times New Roman"/>
                <w:sz w:val="18"/>
                <w:szCs w:val="18"/>
                <w:lang w:eastAsia="sq-AL"/>
              </w:rPr>
              <w:tab/>
              <w:t>By way of derogation from paragraph 1(a), a Reporting Crypto-Asset Service Provider shall not be required to report the place of birth where it does not hold such information and is not otherwise required to obtain it under applicable laws or secondary legislation.</w:t>
            </w:r>
          </w:p>
        </w:tc>
        <w:tc>
          <w:tcPr>
            <w:tcW w:w="1184" w:type="dxa"/>
          </w:tcPr>
          <w:p w14:paraId="671600D9"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522B7320"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7BC44F04" w14:textId="77777777" w:rsidTr="00874B0C">
        <w:trPr>
          <w:trHeight w:val="764"/>
        </w:trPr>
        <w:tc>
          <w:tcPr>
            <w:tcW w:w="720" w:type="dxa"/>
          </w:tcPr>
          <w:p w14:paraId="7631CA12"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6F21FC50" w14:textId="1D04B163"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The information listed in paragraph B shall be reported annually in the calendar year following the year to which the information relates. The first information shall be reported for the relevant calendar year or other appropriate reporting period as from 1 January 2026.</w:t>
            </w:r>
          </w:p>
        </w:tc>
        <w:tc>
          <w:tcPr>
            <w:tcW w:w="1080" w:type="dxa"/>
          </w:tcPr>
          <w:p w14:paraId="05D978EF"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030123A6"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E22CDF8" w14:textId="77777777" w:rsidR="00046B6D" w:rsidRPr="00874B0C" w:rsidRDefault="00046B6D"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9</w:t>
            </w:r>
          </w:p>
          <w:p w14:paraId="08446FC0" w14:textId="77777777" w:rsidR="00046B6D" w:rsidRPr="00874B0C" w:rsidRDefault="00046B6D" w:rsidP="00874B0C">
            <w:pPr>
              <w:spacing w:line="276" w:lineRule="auto"/>
              <w:jc w:val="center"/>
              <w:rPr>
                <w:rFonts w:ascii="Times New Roman" w:eastAsia="Times New Roman" w:hAnsi="Times New Roman" w:cs="Times New Roman"/>
                <w:b/>
                <w:sz w:val="18"/>
                <w:szCs w:val="18"/>
                <w:lang w:eastAsia="sq-AL"/>
              </w:rPr>
            </w:pPr>
          </w:p>
          <w:p w14:paraId="447FC542" w14:textId="77777777" w:rsidR="00046B6D" w:rsidRPr="00874B0C" w:rsidRDefault="00046B6D"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Reporting obligation</w:t>
            </w:r>
          </w:p>
          <w:p w14:paraId="69A44094" w14:textId="77777777" w:rsidR="00046B6D" w:rsidRPr="00874B0C" w:rsidRDefault="00046B6D" w:rsidP="00874B0C">
            <w:pPr>
              <w:spacing w:line="276" w:lineRule="auto"/>
              <w:jc w:val="both"/>
              <w:rPr>
                <w:rFonts w:ascii="Times New Roman" w:eastAsia="Times New Roman" w:hAnsi="Times New Roman" w:cs="Times New Roman"/>
                <w:sz w:val="18"/>
                <w:szCs w:val="18"/>
                <w:lang w:eastAsia="sq-AL"/>
              </w:rPr>
            </w:pPr>
          </w:p>
          <w:p w14:paraId="270AA8C5"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A Reporting Crypto-Asset Service Provider shall report to the General Directorate of Taxation the information specified in Article 10 of this Law, in accordance with the reporting requirements and due diligence procedures set out herein.</w:t>
            </w:r>
          </w:p>
          <w:p w14:paraId="5EF963BB"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A Reporting Crypto-Asset Service Provider shall report the information required under this Law for each calendar year no later than 30 June of the year following the relevant reporting period.</w:t>
            </w:r>
          </w:p>
          <w:p w14:paraId="5DC13AF8" w14:textId="2073F8CB" w:rsidR="00E94486"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w:t>
            </w:r>
            <w:r w:rsidRPr="00874B0C">
              <w:rPr>
                <w:rFonts w:ascii="Times New Roman" w:eastAsia="Times New Roman" w:hAnsi="Times New Roman" w:cs="Times New Roman"/>
                <w:sz w:val="18"/>
                <w:szCs w:val="18"/>
                <w:lang w:eastAsia="sq-AL"/>
              </w:rPr>
              <w:tab/>
              <w:t>The first reporting under this Law shall be made in respect of the calendar year or reporting period commencing on 1 January of the year in which this Law takes effect.</w:t>
            </w:r>
          </w:p>
        </w:tc>
        <w:tc>
          <w:tcPr>
            <w:tcW w:w="1184" w:type="dxa"/>
          </w:tcPr>
          <w:p w14:paraId="5900279E"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75FCBBFA"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69A35159" w14:textId="77777777" w:rsidTr="00874B0C">
        <w:trPr>
          <w:trHeight w:val="764"/>
        </w:trPr>
        <w:tc>
          <w:tcPr>
            <w:tcW w:w="720" w:type="dxa"/>
          </w:tcPr>
          <w:p w14:paraId="35184D8E"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0064193B" w14:textId="0B127864"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Notwithstanding paragraphs A and D of this Section, a Reporting Crypto-Asset Service Provider within the meaning of Section I, subparagraph A(2), point (a), (b), (c) or (d), shall not be required to provide the information set out in paragraph B of this Section with respect to a Reportable User or Controlling Person for which the Reporting Crypto-Asset Service Provider completes the reporting of such information in a non-Union jurisdiction that is covered by an Effective Qualifying Competent Authority Agreement with the Member State of residence of such Reportable User or such Controlling Person.</w:t>
            </w:r>
          </w:p>
        </w:tc>
        <w:tc>
          <w:tcPr>
            <w:tcW w:w="1080" w:type="dxa"/>
          </w:tcPr>
          <w:p w14:paraId="1B289B57"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7FDC2734"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8E95145" w14:textId="77777777" w:rsidR="00F868FF" w:rsidRDefault="00F868FF" w:rsidP="00874B0C">
            <w:pPr>
              <w:spacing w:line="276" w:lineRule="auto"/>
              <w:jc w:val="center"/>
              <w:rPr>
                <w:rFonts w:ascii="Times New Roman" w:eastAsia="Times New Roman" w:hAnsi="Times New Roman" w:cs="Times New Roman"/>
                <w:b/>
                <w:sz w:val="18"/>
                <w:szCs w:val="18"/>
                <w:lang w:eastAsia="sq-AL"/>
              </w:rPr>
            </w:pPr>
          </w:p>
          <w:p w14:paraId="0DAA5546" w14:textId="5BD8D828" w:rsidR="005C1917" w:rsidRPr="00874B0C" w:rsidRDefault="005C1917"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10</w:t>
            </w:r>
          </w:p>
          <w:p w14:paraId="71555D27" w14:textId="10866798" w:rsidR="005C1917" w:rsidRDefault="005C1917"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The information to be reported</w:t>
            </w:r>
          </w:p>
          <w:p w14:paraId="1860C697" w14:textId="77777777" w:rsidR="00F868FF" w:rsidRPr="00874B0C" w:rsidRDefault="00F868FF" w:rsidP="00874B0C">
            <w:pPr>
              <w:spacing w:line="276" w:lineRule="auto"/>
              <w:jc w:val="center"/>
              <w:rPr>
                <w:rFonts w:ascii="Times New Roman" w:eastAsia="Times New Roman" w:hAnsi="Times New Roman" w:cs="Times New Roman"/>
                <w:b/>
                <w:sz w:val="18"/>
                <w:szCs w:val="18"/>
                <w:lang w:eastAsia="sq-AL"/>
              </w:rPr>
            </w:pPr>
          </w:p>
          <w:p w14:paraId="3BD8F2DF" w14:textId="10E9B870" w:rsidR="00E94486" w:rsidRPr="00874B0C" w:rsidRDefault="00C67DD0"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6. A Reporting Crypto-Asset Service Provider referred to in Article 4(1), point (b), of this Law shall not be required to report the information specified in paragraph 1 of this Article in respect of a Reportable User or Controlling Person, where that information has been reported in a non-EU jurisdiction covered by an effective qualifying competent authority agreement in force with the jurisdiction of residence of the Reportable User or Controlling Person.</w:t>
            </w:r>
          </w:p>
        </w:tc>
        <w:tc>
          <w:tcPr>
            <w:tcW w:w="1184" w:type="dxa"/>
          </w:tcPr>
          <w:p w14:paraId="0CEA2DF4"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0EF1B46C"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4434240C" w14:textId="77777777" w:rsidTr="00874B0C">
        <w:trPr>
          <w:trHeight w:val="764"/>
        </w:trPr>
        <w:tc>
          <w:tcPr>
            <w:tcW w:w="720" w:type="dxa"/>
          </w:tcPr>
          <w:p w14:paraId="3974B36D"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771A99A0" w14:textId="306CF8FE"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ECTION III</w:t>
            </w:r>
          </w:p>
          <w:p w14:paraId="43AC0D8E" w14:textId="5F98F9A5"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DUE DILIGENCE PROCEDURES</w:t>
            </w:r>
          </w:p>
          <w:p w14:paraId="60D9479F" w14:textId="08B78000"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Crypto-Asset User is treated as a Reportable User beginning as of the date when it is identified as such pursuant to the due diligence procedures described in this Section.</w:t>
            </w:r>
          </w:p>
          <w:p w14:paraId="349D354D" w14:textId="19CDD6D6"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Due diligence procedures for Individual Crypto-Asset Users</w:t>
            </w:r>
          </w:p>
          <w:p w14:paraId="7AEDC0E1" w14:textId="2F2782B3"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following procedures apply for the purpose of determining whether the Individual Crypto-Asset User is a Reportable User.</w:t>
            </w:r>
          </w:p>
          <w:p w14:paraId="32B1A9E4" w14:textId="02B63295"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When establishing the relationship with the Individual Crypto-Asset User, or with respect to Pre-existing Individual Crypto-Asset Users by 1 January 2027, the Reporting Crypto-Asset Service Provider shall obtain a self-certification that allows the Reporting Crypto-Asset Service Provider to determine the Individual Crypto-Asset User’s residence(s) for tax purposes and confirm the reasonableness of such self-certification based on the information obtained by the Reporting Crypto-Asset Service Provider, including any documentation collected pursuant to Customer Due Diligence Procedures.</w:t>
            </w:r>
          </w:p>
          <w:p w14:paraId="4D142C3F" w14:textId="5AD9A512"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If at any point there is a change of circumstances with respect to an Individual Crypto-Asset User that causes the Reporting Crypto-Asset Service Provider to know, or have reason to know, that the original self-certification is incorrect or unreliable, the Reporting Crypto-Asset Service Provider cannot rely on the original self-certification and shall obtain a valid self-certification, or a reasonable explanation and, where appropriate, documentation supporting the validity of the original self-certification.</w:t>
            </w:r>
          </w:p>
        </w:tc>
        <w:tc>
          <w:tcPr>
            <w:tcW w:w="1080" w:type="dxa"/>
          </w:tcPr>
          <w:p w14:paraId="19F249F3"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7F0BB9AD"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288C127" w14:textId="77777777" w:rsidR="00F868FF" w:rsidRDefault="00F868FF" w:rsidP="00874B0C">
            <w:pPr>
              <w:spacing w:line="276" w:lineRule="auto"/>
              <w:jc w:val="center"/>
              <w:rPr>
                <w:rFonts w:ascii="Times New Roman" w:eastAsia="Times New Roman" w:hAnsi="Times New Roman" w:cs="Times New Roman"/>
                <w:b/>
                <w:sz w:val="18"/>
                <w:szCs w:val="18"/>
                <w:lang w:eastAsia="sq-AL"/>
              </w:rPr>
            </w:pPr>
          </w:p>
          <w:p w14:paraId="2A2E1899" w14:textId="19DF9CA2" w:rsidR="009D1668" w:rsidRPr="00874B0C" w:rsidRDefault="009D1668"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5</w:t>
            </w:r>
          </w:p>
          <w:p w14:paraId="45725CFE" w14:textId="77777777" w:rsidR="009D1668" w:rsidRDefault="009D1668"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 xml:space="preserve">Due Diligence Procedures for Individual Crypto-Asset Users </w:t>
            </w:r>
          </w:p>
          <w:p w14:paraId="04CA317A" w14:textId="77777777" w:rsidR="00F868FF" w:rsidRPr="00874B0C" w:rsidRDefault="00F868FF" w:rsidP="00874B0C">
            <w:pPr>
              <w:spacing w:line="276" w:lineRule="auto"/>
              <w:jc w:val="center"/>
              <w:rPr>
                <w:rFonts w:ascii="Times New Roman" w:eastAsia="Times New Roman" w:hAnsi="Times New Roman" w:cs="Times New Roman"/>
                <w:b/>
                <w:sz w:val="18"/>
                <w:szCs w:val="18"/>
                <w:lang w:eastAsia="sq-AL"/>
              </w:rPr>
            </w:pPr>
          </w:p>
          <w:p w14:paraId="0BC87D57" w14:textId="77777777"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An Individual Crypto-Asset User shall be treated as a Reportable User from the date on which such user is identified as such in accordance with the due diligence procedures set out in this Article.</w:t>
            </w:r>
          </w:p>
          <w:p w14:paraId="257D172C" w14:textId="77777777"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The following procedures shall apply for the purpose of determining whether an Individual Crypto-Asset User is a Reportable User.</w:t>
            </w:r>
          </w:p>
          <w:p w14:paraId="4AEEBF09" w14:textId="77777777"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w:t>
            </w:r>
            <w:r w:rsidRPr="00874B0C">
              <w:rPr>
                <w:rFonts w:ascii="Times New Roman" w:eastAsia="Times New Roman" w:hAnsi="Times New Roman" w:cs="Times New Roman"/>
                <w:sz w:val="18"/>
                <w:szCs w:val="18"/>
                <w:lang w:eastAsia="sq-AL"/>
              </w:rPr>
              <w:tab/>
              <w:t>When a relationship is established with an individual crypto-asset user, or in relation to pre-existing crypto-asset users until 1 January of the year following the year in which this Law starts to apply, the Reporting Crypto-Asset Service Provider shall obtain a self-certification enabling it to determine the tax residence(s) of the individual crypto-asset user and to confirm the reasonableness of such self-certification based on the information obtained, including any documentation collected in accordance with customer due diligence procedures..</w:t>
            </w:r>
          </w:p>
          <w:p w14:paraId="7FDF3035" w14:textId="4423A41F" w:rsidR="003323EE"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w:t>
            </w:r>
            <w:r w:rsidRPr="00874B0C">
              <w:rPr>
                <w:rFonts w:ascii="Times New Roman" w:eastAsia="Times New Roman" w:hAnsi="Times New Roman" w:cs="Times New Roman"/>
                <w:sz w:val="18"/>
                <w:szCs w:val="18"/>
                <w:lang w:eastAsia="sq-AL"/>
              </w:rPr>
              <w:tab/>
              <w:t>If, at any time, there is a change in circumstances with respect to an Individual Crypto-Asset User that causes the Reporting Crypto-Asset Service Provider to know, or have reason to know, that the original self-certification is incorrect or unreliable, the Reporting Crypto-Asset Service Provider may no longer rely on that self-certification and shall obtain either a valid self-certification or a reasonable explanation and, where available, supporting documentation establishing the validity of the original self-certification.</w:t>
            </w:r>
          </w:p>
        </w:tc>
        <w:tc>
          <w:tcPr>
            <w:tcW w:w="1184" w:type="dxa"/>
          </w:tcPr>
          <w:p w14:paraId="304965F4"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0AD90F7F" w14:textId="168ADFE7" w:rsidR="00E94486" w:rsidRPr="00874B0C" w:rsidRDefault="003D4793" w:rsidP="00874B0C">
            <w:pPr>
              <w:spacing w:line="276" w:lineRule="auto"/>
              <w:rPr>
                <w:rFonts w:ascii="Times New Roman" w:eastAsia="Calibri" w:hAnsi="Times New Roman" w:cs="Times New Roman"/>
                <w:sz w:val="18"/>
                <w:szCs w:val="18"/>
              </w:rPr>
            </w:pPr>
            <w:r w:rsidRPr="00874B0C">
              <w:rPr>
                <w:rFonts w:ascii="Times New Roman" w:eastAsia="Calibri" w:hAnsi="Times New Roman" w:cs="Times New Roman"/>
                <w:sz w:val="18"/>
                <w:szCs w:val="18"/>
              </w:rPr>
              <w:t xml:space="preserve">Directive (EU) 2023/2226 does not address the situation where its application in an acceding State begins close to the end of a calendar year. In such circumstances, the deadline of </w:t>
            </w:r>
            <w:r w:rsidR="009E71CE">
              <w:rPr>
                <w:rFonts w:ascii="Times New Roman" w:eastAsia="Calibri" w:hAnsi="Times New Roman" w:cs="Times New Roman"/>
                <w:sz w:val="18"/>
                <w:szCs w:val="18"/>
              </w:rPr>
              <w:t>“</w:t>
            </w:r>
            <w:r w:rsidRPr="00874B0C">
              <w:rPr>
                <w:rFonts w:ascii="Times New Roman" w:eastAsia="Calibri" w:hAnsi="Times New Roman" w:cs="Times New Roman"/>
                <w:sz w:val="18"/>
                <w:szCs w:val="18"/>
              </w:rPr>
              <w:t>by 1 January of the following year</w:t>
            </w:r>
            <w:r w:rsidR="009E71CE">
              <w:rPr>
                <w:rFonts w:ascii="Times New Roman" w:eastAsia="Calibri" w:hAnsi="Times New Roman" w:cs="Times New Roman"/>
                <w:sz w:val="18"/>
                <w:szCs w:val="18"/>
              </w:rPr>
              <w:t>”</w:t>
            </w:r>
            <w:r w:rsidRPr="00874B0C">
              <w:rPr>
                <w:rFonts w:ascii="Times New Roman" w:eastAsia="Calibri" w:hAnsi="Times New Roman" w:cs="Times New Roman"/>
                <w:sz w:val="18"/>
                <w:szCs w:val="18"/>
              </w:rPr>
              <w:t xml:space="preserve"> for Pre-existing Users may, in practice, be too short to implement effectively. It may be appropriate to consult the European Commission on whether a transitional provision could be introduced to address this situation, without affecting the reporting deadline established by the Directive.</w:t>
            </w:r>
          </w:p>
        </w:tc>
      </w:tr>
      <w:tr w:rsidR="00E94486" w:rsidRPr="00874B0C" w14:paraId="2855A7C1" w14:textId="77777777" w:rsidTr="00874B0C">
        <w:trPr>
          <w:trHeight w:val="764"/>
        </w:trPr>
        <w:tc>
          <w:tcPr>
            <w:tcW w:w="720" w:type="dxa"/>
          </w:tcPr>
          <w:p w14:paraId="1F57C0F2"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75902784" w14:textId="2A5F6C2D"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w:t>
            </w:r>
          </w:p>
          <w:p w14:paraId="25497270" w14:textId="29C5D1A4"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Due diligence procedures for Entity Crypto-Asset Users</w:t>
            </w:r>
          </w:p>
          <w:p w14:paraId="0DB8021D" w14:textId="77777777"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following procedures apply for the purpose of determining whether the Entity Crypto-Asset User is a Reportable User or an Entity, other than an Excluded Person or an Active Entity, with one or more Controlling Persons who are Reportable Persons.</w:t>
            </w:r>
          </w:p>
          <w:p w14:paraId="6735DAB0" w14:textId="77777777" w:rsidR="00DB7C8F" w:rsidRPr="00874B0C" w:rsidRDefault="00DB7C8F" w:rsidP="00874B0C">
            <w:pPr>
              <w:pStyle w:val="oj-ti-grseq-1"/>
              <w:shd w:val="clear" w:color="auto" w:fill="FFFFFF"/>
              <w:spacing w:before="240" w:after="120" w:line="276" w:lineRule="auto"/>
              <w:rPr>
                <w:rFonts w:eastAsia="Calibri"/>
                <w:iCs/>
                <w:sz w:val="18"/>
                <w:szCs w:val="18"/>
              </w:rPr>
            </w:pPr>
          </w:p>
          <w:p w14:paraId="43ABE99F" w14:textId="683D39A4"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Determine whether the Entity Crypto-Asset User is a Reportable Person.</w:t>
            </w:r>
          </w:p>
          <w:p w14:paraId="352E5DFE" w14:textId="77777777" w:rsidR="00DB7C8F" w:rsidRPr="00874B0C" w:rsidRDefault="00DB7C8F" w:rsidP="00874B0C">
            <w:pPr>
              <w:pStyle w:val="oj-ti-grseq-1"/>
              <w:shd w:val="clear" w:color="auto" w:fill="FFFFFF"/>
              <w:spacing w:before="240" w:after="120" w:line="276" w:lineRule="auto"/>
              <w:rPr>
                <w:rFonts w:eastAsia="Calibri"/>
                <w:iCs/>
                <w:sz w:val="18"/>
                <w:szCs w:val="18"/>
              </w:rPr>
            </w:pPr>
          </w:p>
          <w:p w14:paraId="2E219483" w14:textId="045B0E70"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w:t>
            </w:r>
            <w:r w:rsidR="00DC3028" w:rsidRPr="00874B0C">
              <w:rPr>
                <w:rFonts w:eastAsia="Calibri"/>
                <w:iCs/>
                <w:sz w:val="18"/>
                <w:szCs w:val="18"/>
              </w:rPr>
              <w:t xml:space="preserve"> </w:t>
            </w:r>
            <w:r w:rsidRPr="00874B0C">
              <w:rPr>
                <w:rFonts w:eastAsia="Calibri"/>
                <w:iCs/>
                <w:sz w:val="18"/>
                <w:szCs w:val="18"/>
              </w:rPr>
              <w:t>When establishing the relationship with the Entity Crypto-Asset User, or with respect to Pre-existing Entity Crypto-Assets Users by 1 January 2027, the Reporting Crypto-Asset Service Provider shall obtain a self-certification that allows the Reporting Crypto-Asset Service Provider to determine the Entity Crypto-Asset User’s residence(s) for tax purposes and confirm the reasonableness of such self-certification based on the information obtained by the Reporting Crypto-Asset Service Provider, including any documentation collected pursuant to Customer Due Diligence Procedures. If the Entity Crypto-Asset User certifies that it has no residence for tax purposes, the Reporting Crypto-Asset Service Provider may rely on the place of effective management or the address of the principal office to determine the residence of the Entity Crypto-Asset User.</w:t>
            </w:r>
          </w:p>
          <w:p w14:paraId="4A91188C" w14:textId="37C7BAEE"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w:t>
            </w:r>
            <w:r w:rsidR="00DC3028" w:rsidRPr="00874B0C">
              <w:rPr>
                <w:rFonts w:eastAsia="Calibri"/>
                <w:iCs/>
                <w:sz w:val="18"/>
                <w:szCs w:val="18"/>
              </w:rPr>
              <w:t xml:space="preserve"> </w:t>
            </w:r>
            <w:r w:rsidRPr="00874B0C">
              <w:rPr>
                <w:rFonts w:eastAsia="Calibri"/>
                <w:iCs/>
                <w:sz w:val="18"/>
                <w:szCs w:val="18"/>
              </w:rPr>
              <w:t>If the self-certification indicates that the Entity Crypto-Asset User is resident in a Member State, the Reporting Crypto-Asset Service Provider shall treat the Entity Crypto-Asset User as a Reportable User, unless it reasonably determines based on the self-certification or on information in its possession or that is publicly available, that the Entity Crypto-Asset User is an Excluded Person.</w:t>
            </w:r>
          </w:p>
          <w:p w14:paraId="6F9FA681" w14:textId="2A0909BF"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w:t>
            </w:r>
            <w:r w:rsidR="00DC3028" w:rsidRPr="00874B0C">
              <w:rPr>
                <w:rFonts w:eastAsia="Calibri"/>
                <w:iCs/>
                <w:sz w:val="18"/>
                <w:szCs w:val="18"/>
              </w:rPr>
              <w:t xml:space="preserve"> </w:t>
            </w:r>
            <w:r w:rsidRPr="00874B0C">
              <w:rPr>
                <w:rFonts w:eastAsia="Calibri"/>
                <w:iCs/>
                <w:sz w:val="18"/>
                <w:szCs w:val="18"/>
              </w:rPr>
              <w:t>Determine whether the Entity has one or more Controlling Persons who are Reportable Persons. With respect to an Entity Crypto-Asset User, other than an Excluded Person, the Reporting Crypto-Asset Service Provider shall determine whether it has one or more Controlling Persons who are Reportable Persons, unless it determines that the Entity Crypto-Asset User is an Active Entity, based on a self-certification from the Entity Crypto-Asset User.</w:t>
            </w:r>
          </w:p>
          <w:p w14:paraId="37448AB7" w14:textId="4D434DB5"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w:t>
            </w:r>
            <w:r w:rsidR="00DC3028" w:rsidRPr="00874B0C">
              <w:rPr>
                <w:rFonts w:eastAsia="Calibri"/>
                <w:iCs/>
                <w:sz w:val="18"/>
                <w:szCs w:val="18"/>
              </w:rPr>
              <w:t xml:space="preserve"> </w:t>
            </w:r>
            <w:r w:rsidRPr="00874B0C">
              <w:rPr>
                <w:rFonts w:eastAsia="Calibri"/>
                <w:iCs/>
                <w:sz w:val="18"/>
                <w:szCs w:val="18"/>
              </w:rPr>
              <w:t>Determining the Controlling Persons of the Entity Crypto-Asset User. For the purpose of determining the Controlling Persons of the Entity Crypto-Asset User, a Reporting Crypto-Asset Service Provider may rely on information collected and maintained pursuant to Customer Due Diligence Procedures, provided that such procedures are consistent with Directive (EU) 2015/849. If the Reporting Crypto-Asset Service Provider is not legally required to apply Customer Due Diligence Procedures that are consistent with Directive (EU) 2015/849, it shall apply substantially similar procedures for the purpose of determining the Controlling Persons.</w:t>
            </w:r>
          </w:p>
          <w:p w14:paraId="42AEB8CC" w14:textId="4ABCEFAB" w:rsidR="00DB7C8F"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w:t>
            </w:r>
            <w:r w:rsidR="00DC3028" w:rsidRPr="00874B0C">
              <w:rPr>
                <w:rFonts w:eastAsia="Calibri"/>
                <w:iCs/>
                <w:sz w:val="18"/>
                <w:szCs w:val="18"/>
              </w:rPr>
              <w:t xml:space="preserve"> </w:t>
            </w:r>
            <w:r w:rsidRPr="00874B0C">
              <w:rPr>
                <w:rFonts w:eastAsia="Calibri"/>
                <w:iCs/>
                <w:sz w:val="18"/>
                <w:szCs w:val="18"/>
              </w:rPr>
              <w:t>Determining whether a Controlling Person of an Entity Crypto-Asset User is a Reportable Person. For the purpose of determining whether a Controlling Person is a Reportable Person, a Reporting Crypto-Asset Service Provider shall rely on a self-certification from the Entity Crypto-Asset User or such Controlling Person that allows the Reporting Crypto-Asset Service Provider to determine the Controlling Person’s residence(s) for tax purposes and confirm the reasonableness of such self-certification based on the information obtained by the Reporting Crypto-Asset Service Provider, including any documentation collected pursuant to Customer Due Diligence Procedures.</w:t>
            </w:r>
          </w:p>
          <w:p w14:paraId="0491BC90" w14:textId="3ADA4974" w:rsidR="00E94486" w:rsidRPr="00874B0C" w:rsidRDefault="00DB7C8F"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w:t>
            </w:r>
            <w:r w:rsidR="00DC3028" w:rsidRPr="00874B0C">
              <w:rPr>
                <w:rFonts w:eastAsia="Calibri"/>
                <w:iCs/>
                <w:sz w:val="18"/>
                <w:szCs w:val="18"/>
              </w:rPr>
              <w:t xml:space="preserve"> </w:t>
            </w:r>
            <w:r w:rsidRPr="00874B0C">
              <w:rPr>
                <w:rFonts w:eastAsia="Calibri"/>
                <w:iCs/>
                <w:sz w:val="18"/>
                <w:szCs w:val="18"/>
              </w:rPr>
              <w:t>If at any point there is a change of circumstances with respect to an Entity Crypto-Asset User or its Controlling Persons that causes the Reporting Crypto-Asset Service Provider to know, or have reason to know, that the original self-certification is incorrect or unreliable, the Reporting Crypto-Asset Service Provider cannot rely on the original self-certification and shall obtain a valid self-certification, or a reasonable explanation and, where appropriate, documentation supporting the validity of the original self-certification.</w:t>
            </w:r>
          </w:p>
        </w:tc>
        <w:tc>
          <w:tcPr>
            <w:tcW w:w="1080" w:type="dxa"/>
          </w:tcPr>
          <w:p w14:paraId="65FBA013"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0138E8D9"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shd w:val="clear" w:color="auto" w:fill="FFFFFF" w:themeFill="background1"/>
          </w:tcPr>
          <w:p w14:paraId="590F3DAF" w14:textId="77777777" w:rsidR="00F868FF" w:rsidRDefault="00F868FF" w:rsidP="00874B0C">
            <w:pPr>
              <w:spacing w:line="276" w:lineRule="auto"/>
              <w:jc w:val="center"/>
              <w:rPr>
                <w:rFonts w:ascii="Times New Roman" w:eastAsia="Times New Roman" w:hAnsi="Times New Roman" w:cs="Times New Roman"/>
                <w:b/>
                <w:sz w:val="18"/>
                <w:szCs w:val="18"/>
                <w:lang w:eastAsia="sq-AL"/>
              </w:rPr>
            </w:pPr>
          </w:p>
          <w:p w14:paraId="0A6DE6E7" w14:textId="4366C7E4" w:rsidR="009D1668" w:rsidRPr="00874B0C" w:rsidRDefault="009D1668"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6</w:t>
            </w:r>
          </w:p>
          <w:p w14:paraId="353FD7C1" w14:textId="77777777" w:rsidR="009D1668" w:rsidRPr="00874B0C" w:rsidRDefault="009D1668"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Customer Due Diligence procedures for Entity Crypto-Asset Users</w:t>
            </w:r>
          </w:p>
          <w:p w14:paraId="712A47CC"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p>
          <w:p w14:paraId="393E4DEA" w14:textId="1D30B8B2"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An Entity Crypto-Asset User shall be treated as a Reportable User from the date on which such user is identified as such in accordance with the due diligence procedures set out in this Article.</w:t>
            </w:r>
          </w:p>
          <w:p w14:paraId="3D69C17D"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p>
          <w:p w14:paraId="263FEE6A" w14:textId="7C46A661"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The following procedures shall apply for the purpose of determining whether an Entity  Crypto-Asset User is a Reportable User or an Entity, other than an Excluded Person or an Active Entity, that has one or more Controlling Persons who are Reportable Persons.</w:t>
            </w:r>
          </w:p>
          <w:p w14:paraId="02EA9444"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p>
          <w:p w14:paraId="7DAA1B44" w14:textId="5AFBA4B5"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w:t>
            </w:r>
            <w:r w:rsidRPr="00874B0C">
              <w:rPr>
                <w:rFonts w:ascii="Times New Roman" w:eastAsia="Times New Roman" w:hAnsi="Times New Roman" w:cs="Times New Roman"/>
                <w:sz w:val="18"/>
                <w:szCs w:val="18"/>
                <w:lang w:eastAsia="sq-AL"/>
              </w:rPr>
              <w:tab/>
              <w:t>For the purpose of determining whether an entity Crypto-Asset User is a Reportable Person:</w:t>
            </w:r>
          </w:p>
          <w:p w14:paraId="01E4F9D7" w14:textId="77777777"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  When a relationship is established with an entity crypto-asset user, or in relation to pre-existing entity crypto-asset users until 1 January of the year following the year in which this Law starts to apply, the Reporting Crypto-Asset Service Provider shall obtain a self-certification enabling it to determine the tax residence(s) of the entity crypto-asset user and to confirm the reasonableness of such self-certification based on the information obtained, including any documentation collected in accordance with customer due diligence procedures. Where the entity crypto-asset user declares that it has no tax residence, the Reporting Crypto-Asset Service Provider may rely on the place of effective management or the address of its head office to determine its tax residence.</w:t>
            </w:r>
          </w:p>
          <w:p w14:paraId="48516394" w14:textId="77777777"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 If the self-certification indicates that the Entity Crypto-Asset User is resident in a Member State, the Reporting Crypto-Asset Service Provider shall treat the Entity Crypto-Asset User as a Reportable User unless it reasonably determines, based on the self-certification, information in its possession, or publicly available information, that the Entity Crypto-Asset User is an Excluded Person.</w:t>
            </w:r>
          </w:p>
          <w:p w14:paraId="4E38254C"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p>
          <w:p w14:paraId="756600A1" w14:textId="36F7745F"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w:t>
            </w:r>
            <w:r w:rsidRPr="00874B0C">
              <w:rPr>
                <w:rFonts w:ascii="Times New Roman" w:eastAsia="Times New Roman" w:hAnsi="Times New Roman" w:cs="Times New Roman"/>
                <w:sz w:val="18"/>
                <w:szCs w:val="18"/>
                <w:lang w:eastAsia="sq-AL"/>
              </w:rPr>
              <w:tab/>
              <w:t>The Reporting Crypto-Asset Service Provider shall determine whether an Entity Crypto-Asset User, other than an Excluded Person, has one or more Controlling Persons who are Reportable Persons, unless it determines that the Entity Crypto-Asset User is an Active Entity based on a self-certification provided by the Entity Crypto-Asset User.</w:t>
            </w:r>
          </w:p>
          <w:p w14:paraId="08476B99"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p>
          <w:p w14:paraId="6533057D" w14:textId="51CEDED5"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5.</w:t>
            </w:r>
            <w:r w:rsidRPr="00874B0C">
              <w:rPr>
                <w:rFonts w:ascii="Times New Roman" w:eastAsia="Times New Roman" w:hAnsi="Times New Roman" w:cs="Times New Roman"/>
                <w:sz w:val="18"/>
                <w:szCs w:val="18"/>
                <w:lang w:eastAsia="sq-AL"/>
              </w:rPr>
              <w:tab/>
              <w:t>The Reporting Crypto-Asset Service Provider shall:</w:t>
            </w:r>
          </w:p>
          <w:p w14:paraId="716686EA" w14:textId="77777777"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 for the purpose of identifying the Controlling Persons of an Entity Crypto-Asset User, rely on information collected and maintained pursuant to the Customer Due Diligence Procedures referred to in Article 2, point (aa);</w:t>
            </w:r>
          </w:p>
          <w:p w14:paraId="0552BE8A" w14:textId="77777777" w:rsidR="001D732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 for the purpose of determining whether a Controlling Person is a Reportable Person, rely on a self-certification obtained from the Entity Crypto-Asset User or from the Controlling Person, which enables the Reporting Crypto-Asset Service Provider to determine the tax residence(s) of the Controlling Person, and shall verify the reasonableness of such self-certification based on the information available to it, including any documentation collected pursuant to the Customer Due Diligence Procedures;</w:t>
            </w:r>
          </w:p>
          <w:p w14:paraId="4BE95781"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p>
          <w:p w14:paraId="7F498E8A" w14:textId="60F902B2" w:rsidR="00A95385" w:rsidRPr="00874B0C" w:rsidRDefault="001D732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6. Where, at any time, there is a change in circumstances relating to an Entity Crypto-Asset User or its Controlling Persons that causes the Reporting Crypto-Asset Service Provider to know, or have reason to know, that the original self-certification is incorrect or unreliable, the Reporting Crypto-Asset Service Provider may no longer rely on that self-certification and shall obtain either a valid self-certification or a reasonable explanation and, where available, supporting documentation establishing the validity of the original self-certification.</w:t>
            </w:r>
          </w:p>
        </w:tc>
        <w:tc>
          <w:tcPr>
            <w:tcW w:w="1184" w:type="dxa"/>
          </w:tcPr>
          <w:p w14:paraId="43EE4FCD"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287840AB"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0200AD14" w14:textId="77777777" w:rsidTr="00874B0C">
        <w:trPr>
          <w:trHeight w:val="764"/>
        </w:trPr>
        <w:tc>
          <w:tcPr>
            <w:tcW w:w="720" w:type="dxa"/>
          </w:tcPr>
          <w:p w14:paraId="79116376"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7F612834" w14:textId="2601FE0F"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Requirements for validity of self-certifications</w:t>
            </w:r>
          </w:p>
          <w:p w14:paraId="55BBB8C1" w14:textId="2FC3A907"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A self-certification provided by an Individual Crypto-Asset User or Controlling Person is valid only if it is signed or otherwise positively affirmed by the Individual Crypto-Asset User or Controlling Person, it is dated at the latest at the date of receipt and it contains the following information with respect to the Individual Crypto-Asset User or Controlling Person:</w:t>
            </w:r>
          </w:p>
          <w:p w14:paraId="6EE6E54A" w14:textId="0038368E"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first and last name;</w:t>
            </w:r>
          </w:p>
          <w:p w14:paraId="62D28B97" w14:textId="0791A43B"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residence address;</w:t>
            </w:r>
          </w:p>
          <w:p w14:paraId="6126DBF2" w14:textId="79561937"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Member State(s) of residence for tax purposes;</w:t>
            </w:r>
          </w:p>
          <w:p w14:paraId="5CB15DC9" w14:textId="77123A85"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with respect to each Reportable Person, the TIN with respect to each Member State;</w:t>
            </w:r>
          </w:p>
          <w:p w14:paraId="2756CF05" w14:textId="115BF26F"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date of birth.</w:t>
            </w:r>
          </w:p>
          <w:p w14:paraId="477F61AF" w14:textId="1E84BA04"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A self-certification provided by an Entity Crypto-Asset User is valid only if it is signed or otherwise positively affirmed by the Entity Crypto-Asset User, it is dated at the latest at the date of receipt and it contains the following information with respect to the Entity Crypto-Asset User:</w:t>
            </w:r>
          </w:p>
          <w:p w14:paraId="1AA0D5D2" w14:textId="64E0E239"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legal name;</w:t>
            </w:r>
          </w:p>
          <w:p w14:paraId="7652B700" w14:textId="22539C72"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address;</w:t>
            </w:r>
          </w:p>
          <w:p w14:paraId="4A897CEB" w14:textId="7CA57EED"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Member State(s) of residence for tax purposes;</w:t>
            </w:r>
          </w:p>
          <w:p w14:paraId="1A3A6AFC" w14:textId="74034F2B"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with respect to each Reportable Person, the TIN with respect to each Member State;</w:t>
            </w:r>
          </w:p>
          <w:p w14:paraId="081C0B31" w14:textId="3E01153D"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in the case of an Entity Crypto-Asset User other than an Active Entity or an Excluded Person, the information described in subparagraph C(1) with respect to each Controlling Person of the Entity Crypto-Asset User, unless such Controlling Person has provided a self-certification pursuant to subparagraph C(1), as well as the role(s) by virtue of which each Reportable Person is a Controlling Person of the Entity, if not already determined on the basis of Customer Due Diligence Procedures;</w:t>
            </w:r>
          </w:p>
          <w:p w14:paraId="2B21A998" w14:textId="2F8A4FB8"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 if applicable, information as to the criteria it meets to be treated as an Active Entity or Excluded Person.</w:t>
            </w:r>
          </w:p>
        </w:tc>
        <w:tc>
          <w:tcPr>
            <w:tcW w:w="1080" w:type="dxa"/>
          </w:tcPr>
          <w:p w14:paraId="4573EC48"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0B3C6B9D"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D370E4E" w14:textId="77777777" w:rsidR="00A95385" w:rsidRPr="00874B0C" w:rsidRDefault="00A95385" w:rsidP="00874B0C">
            <w:pPr>
              <w:spacing w:line="276" w:lineRule="auto"/>
              <w:jc w:val="both"/>
              <w:rPr>
                <w:rFonts w:ascii="Times New Roman" w:eastAsia="Times New Roman" w:hAnsi="Times New Roman" w:cs="Times New Roman"/>
                <w:sz w:val="18"/>
                <w:szCs w:val="18"/>
                <w:lang w:eastAsia="sq-AL"/>
              </w:rPr>
            </w:pPr>
          </w:p>
          <w:p w14:paraId="17140EAF" w14:textId="77777777" w:rsidR="009D1668" w:rsidRPr="00874B0C" w:rsidRDefault="009D1668"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7</w:t>
            </w:r>
          </w:p>
          <w:p w14:paraId="778405F8" w14:textId="77777777" w:rsidR="009D1668" w:rsidRPr="00874B0C" w:rsidRDefault="009D1668"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Requirements for the Validity of Self-Certifications</w:t>
            </w:r>
          </w:p>
          <w:p w14:paraId="1EE5F65A" w14:textId="77777777" w:rsidR="009D1668" w:rsidRPr="00874B0C" w:rsidRDefault="009D1668" w:rsidP="00874B0C">
            <w:pPr>
              <w:spacing w:line="276" w:lineRule="auto"/>
              <w:jc w:val="both"/>
              <w:rPr>
                <w:rFonts w:ascii="Times New Roman" w:eastAsia="Times New Roman" w:hAnsi="Times New Roman" w:cs="Times New Roman"/>
                <w:sz w:val="18"/>
                <w:szCs w:val="18"/>
                <w:lang w:eastAsia="sq-AL"/>
              </w:rPr>
            </w:pPr>
          </w:p>
          <w:p w14:paraId="78173212"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  A self-certification provided by an Individual Crypto-Asset User or by a Controlling Person shall be valid only if it is signed or otherwise positively affirmed by the Individual Crypto-Asset User or the Controlling Person, is dated no later than the date on which it is received, and contains the following information with respect to the Individual Crypto-Asset User or the Controlling Person:</w:t>
            </w:r>
          </w:p>
          <w:p w14:paraId="2CE8C331"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w:t>
            </w:r>
            <w:r w:rsidRPr="00874B0C">
              <w:rPr>
                <w:rFonts w:ascii="Times New Roman" w:eastAsia="Times New Roman" w:hAnsi="Times New Roman" w:cs="Times New Roman"/>
                <w:sz w:val="18"/>
                <w:szCs w:val="18"/>
                <w:lang w:eastAsia="sq-AL"/>
              </w:rPr>
              <w:tab/>
              <w:t>full name;</w:t>
            </w:r>
          </w:p>
          <w:p w14:paraId="789502F1"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w:t>
            </w:r>
            <w:r w:rsidRPr="00874B0C">
              <w:rPr>
                <w:rFonts w:ascii="Times New Roman" w:eastAsia="Times New Roman" w:hAnsi="Times New Roman" w:cs="Times New Roman"/>
                <w:sz w:val="18"/>
                <w:szCs w:val="18"/>
                <w:lang w:eastAsia="sq-AL"/>
              </w:rPr>
              <w:tab/>
              <w:t>residence address;</w:t>
            </w:r>
          </w:p>
          <w:p w14:paraId="079ED715"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c)</w:t>
            </w:r>
            <w:r w:rsidRPr="00874B0C">
              <w:rPr>
                <w:rFonts w:ascii="Times New Roman" w:eastAsia="Times New Roman" w:hAnsi="Times New Roman" w:cs="Times New Roman"/>
                <w:sz w:val="18"/>
                <w:szCs w:val="18"/>
                <w:lang w:eastAsia="sq-AL"/>
              </w:rPr>
              <w:tab/>
              <w:t>jurisdiction or jurisdictions of residence for tax purposes;</w:t>
            </w:r>
          </w:p>
          <w:p w14:paraId="73ADFA19"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d)</w:t>
            </w:r>
            <w:r w:rsidRPr="00874B0C">
              <w:rPr>
                <w:rFonts w:ascii="Times New Roman" w:eastAsia="Times New Roman" w:hAnsi="Times New Roman" w:cs="Times New Roman"/>
                <w:sz w:val="18"/>
                <w:szCs w:val="18"/>
                <w:lang w:eastAsia="sq-AL"/>
              </w:rPr>
              <w:tab/>
              <w:t>in the case of a Reportable Person, the TIN for each jurisdiction in which such person is resident for tax purposes;</w:t>
            </w:r>
          </w:p>
          <w:p w14:paraId="74607722"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e)</w:t>
            </w:r>
            <w:r w:rsidRPr="00874B0C">
              <w:rPr>
                <w:rFonts w:ascii="Times New Roman" w:eastAsia="Times New Roman" w:hAnsi="Times New Roman" w:cs="Times New Roman"/>
                <w:sz w:val="18"/>
                <w:szCs w:val="18"/>
                <w:lang w:eastAsia="sq-AL"/>
              </w:rPr>
              <w:tab/>
              <w:t>date of birth.</w:t>
            </w:r>
          </w:p>
          <w:p w14:paraId="33C73C7A"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 A self-certification provided by an Entity Crypto-Asset User shall be valid only if it is signed or otherwise positively affirmed by the Entity Crypto-Asset User, is dated no later than the date on which it is received, and contains the following information with respect to the Entity Crypto-Asset User:</w:t>
            </w:r>
          </w:p>
          <w:p w14:paraId="7D67E829"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w:t>
            </w:r>
            <w:r w:rsidRPr="00874B0C">
              <w:rPr>
                <w:rFonts w:ascii="Times New Roman" w:eastAsia="Times New Roman" w:hAnsi="Times New Roman" w:cs="Times New Roman"/>
                <w:sz w:val="18"/>
                <w:szCs w:val="18"/>
                <w:lang w:eastAsia="sq-AL"/>
              </w:rPr>
              <w:tab/>
              <w:t>legal name;</w:t>
            </w:r>
          </w:p>
          <w:p w14:paraId="164276EA"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w:t>
            </w:r>
            <w:r w:rsidRPr="00874B0C">
              <w:rPr>
                <w:rFonts w:ascii="Times New Roman" w:eastAsia="Times New Roman" w:hAnsi="Times New Roman" w:cs="Times New Roman"/>
                <w:sz w:val="18"/>
                <w:szCs w:val="18"/>
                <w:lang w:eastAsia="sq-AL"/>
              </w:rPr>
              <w:tab/>
              <w:t>address;</w:t>
            </w:r>
          </w:p>
          <w:p w14:paraId="0ED8B8F7"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c)</w:t>
            </w:r>
            <w:r w:rsidRPr="00874B0C">
              <w:rPr>
                <w:rFonts w:ascii="Times New Roman" w:eastAsia="Times New Roman" w:hAnsi="Times New Roman" w:cs="Times New Roman"/>
                <w:sz w:val="18"/>
                <w:szCs w:val="18"/>
                <w:lang w:eastAsia="sq-AL"/>
              </w:rPr>
              <w:tab/>
              <w:t>jurisdiction or jurisdictions of residence for tax purposes;</w:t>
            </w:r>
          </w:p>
          <w:p w14:paraId="2B3C99EC"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d)</w:t>
            </w:r>
            <w:r w:rsidRPr="00874B0C">
              <w:rPr>
                <w:rFonts w:ascii="Times New Roman" w:eastAsia="Times New Roman" w:hAnsi="Times New Roman" w:cs="Times New Roman"/>
                <w:sz w:val="18"/>
                <w:szCs w:val="18"/>
                <w:lang w:eastAsia="sq-AL"/>
              </w:rPr>
              <w:tab/>
              <w:t>in the case of a Reportable Person, the TIN for each jurisdiction in which such person is resident for tax purposes;</w:t>
            </w:r>
          </w:p>
          <w:p w14:paraId="4EE9C36E"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e)</w:t>
            </w:r>
            <w:r w:rsidRPr="00874B0C">
              <w:rPr>
                <w:rFonts w:ascii="Times New Roman" w:eastAsia="Times New Roman" w:hAnsi="Times New Roman" w:cs="Times New Roman"/>
                <w:sz w:val="18"/>
                <w:szCs w:val="18"/>
                <w:lang w:eastAsia="sq-AL"/>
              </w:rPr>
              <w:tab/>
              <w:t>in the case of an Entity Crypto-Asset User that is neither an Active Entity nor an Excluded Person, the information specified in paragraph 1 of this Article for each Controlling Person of the Entity Crypto-Asset User, unless such Controlling Person has provided a self-certification in accordance with paragraph 1 of this Article, as well as the capacity or capacities by virtue of which each Reportable Person is a Controlling Person of the Entity, where such capacity has not already been determined pursuant to the Customer Due Diligence Procedures;</w:t>
            </w:r>
          </w:p>
          <w:p w14:paraId="27F91744" w14:textId="78FB44D9" w:rsidR="004E7D58"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f)</w:t>
            </w:r>
            <w:r w:rsidRPr="00874B0C">
              <w:rPr>
                <w:rFonts w:ascii="Times New Roman" w:eastAsia="Times New Roman" w:hAnsi="Times New Roman" w:cs="Times New Roman"/>
                <w:sz w:val="18"/>
                <w:szCs w:val="18"/>
                <w:lang w:eastAsia="sq-AL"/>
              </w:rPr>
              <w:tab/>
              <w:t>where applicable, information on the criteria met for qualification as an Active Entity or an Excluded Person.</w:t>
            </w:r>
          </w:p>
        </w:tc>
        <w:tc>
          <w:tcPr>
            <w:tcW w:w="1184" w:type="dxa"/>
          </w:tcPr>
          <w:p w14:paraId="19FE4C2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4BBBE302"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3D1D2F1A" w14:textId="77777777" w:rsidTr="00874B0C">
        <w:trPr>
          <w:trHeight w:val="764"/>
        </w:trPr>
        <w:tc>
          <w:tcPr>
            <w:tcW w:w="720" w:type="dxa"/>
          </w:tcPr>
          <w:p w14:paraId="6EFC9A93"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4D07D4D9" w14:textId="2164565C"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D.General due diligence requirements</w:t>
            </w:r>
            <w:r w:rsidR="004E7D58" w:rsidRPr="00874B0C">
              <w:rPr>
                <w:rFonts w:eastAsia="Calibri"/>
                <w:iCs/>
                <w:sz w:val="18"/>
                <w:szCs w:val="18"/>
              </w:rPr>
              <w:t xml:space="preserve">                                      </w:t>
            </w:r>
          </w:p>
          <w:p w14:paraId="1CFAD381" w14:textId="60C88390"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A Reporting Crypto-Asset Service Provider that is also a Financial Institution for the purposes of this Directive may rely on the due diligence procedures completed pursuant to Sections IV and VI of Annex I for the purposes of the due diligence procedures pursuant to this Section. A Reporting Crypto-Asset Service Provider may also rely on a self-certification already collected for other tax purposes, provided such self-certification meets the requirements of paragraph C of this Section.</w:t>
            </w:r>
          </w:p>
          <w:p w14:paraId="6BC2F017" w14:textId="3D24D7EC"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A Reporting Crypto-Asset Service Provider may rely on a third party to fulfil the due diligence obligations set out in this Section, but such obligations remain the responsibility of the Reporting Crypto-Asset Service Provider.</w:t>
            </w:r>
          </w:p>
        </w:tc>
        <w:tc>
          <w:tcPr>
            <w:tcW w:w="1080" w:type="dxa"/>
          </w:tcPr>
          <w:p w14:paraId="3081887C"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745DC6B3"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63D1360" w14:textId="77777777" w:rsidR="00F868FF" w:rsidRDefault="00F868FF" w:rsidP="00874B0C">
            <w:pPr>
              <w:spacing w:line="276" w:lineRule="auto"/>
              <w:jc w:val="center"/>
              <w:rPr>
                <w:rFonts w:ascii="Times New Roman" w:eastAsia="Times New Roman" w:hAnsi="Times New Roman" w:cs="Times New Roman"/>
                <w:b/>
                <w:sz w:val="18"/>
                <w:szCs w:val="18"/>
                <w:lang w:eastAsia="sq-AL"/>
              </w:rPr>
            </w:pPr>
          </w:p>
          <w:p w14:paraId="45329C61" w14:textId="38BE43D5" w:rsidR="009D1668" w:rsidRPr="00874B0C" w:rsidRDefault="009D1668"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8</w:t>
            </w:r>
          </w:p>
          <w:p w14:paraId="41A6094F" w14:textId="77777777" w:rsidR="009D1668" w:rsidRPr="00874B0C" w:rsidRDefault="009D1668"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General requirements for due diligence procedures</w:t>
            </w:r>
          </w:p>
          <w:p w14:paraId="19BFEDE6" w14:textId="77777777" w:rsidR="009D1668" w:rsidRPr="00874B0C" w:rsidRDefault="009D1668" w:rsidP="00874B0C">
            <w:pPr>
              <w:spacing w:line="276" w:lineRule="auto"/>
              <w:jc w:val="both"/>
              <w:rPr>
                <w:rFonts w:ascii="Times New Roman" w:eastAsia="Times New Roman" w:hAnsi="Times New Roman" w:cs="Times New Roman"/>
                <w:sz w:val="18"/>
                <w:szCs w:val="18"/>
                <w:lang w:eastAsia="sq-AL"/>
              </w:rPr>
            </w:pPr>
          </w:p>
          <w:p w14:paraId="49BCBC4E"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A Reporting Crypto-Asset Service Provider which is also a financial institution for the purposes of the legislation in force on the automatic exchange of information on financial accounts may rely on the due diligence procedures performed under that legislation only to the extent that they cover the elements required under this Law and are applicable to the relevant reporting relationships under this Law.</w:t>
            </w:r>
          </w:p>
          <w:p w14:paraId="6890D533" w14:textId="77777777" w:rsidR="00AB57E9"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A Reporting Crypto-Asset Service Provider may also rely on a self-certification previously collected for other tax purposes, provided that such self-certification satisfies the requirements set out in Article 7 of this Law.</w:t>
            </w:r>
          </w:p>
          <w:p w14:paraId="4C9CB012" w14:textId="174FEFB4" w:rsidR="00E94486" w:rsidRPr="00874B0C" w:rsidRDefault="00AB57E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w:t>
            </w:r>
            <w:r w:rsidRPr="00874B0C">
              <w:rPr>
                <w:rFonts w:ascii="Times New Roman" w:eastAsia="Times New Roman" w:hAnsi="Times New Roman" w:cs="Times New Roman"/>
                <w:sz w:val="18"/>
                <w:szCs w:val="18"/>
                <w:lang w:eastAsia="sq-AL"/>
              </w:rPr>
              <w:tab/>
              <w:t>A Reporting Crypto-Asset Service Provider may rely on a third-party service provider to fulfil the due diligence obligations set out in this Law. Notwithstanding the foregoing, responsibility for compliance with such obligations shall remain with the Reporting Crypto-Asset Service Provider.</w:t>
            </w:r>
          </w:p>
        </w:tc>
        <w:tc>
          <w:tcPr>
            <w:tcW w:w="1184" w:type="dxa"/>
          </w:tcPr>
          <w:p w14:paraId="321B83DF"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649ED9FA"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66006649" w14:textId="77777777" w:rsidTr="00874B0C">
        <w:trPr>
          <w:trHeight w:val="764"/>
        </w:trPr>
        <w:tc>
          <w:tcPr>
            <w:tcW w:w="720" w:type="dxa"/>
          </w:tcPr>
          <w:p w14:paraId="4756CE4F"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50214104" w14:textId="77777777" w:rsidR="00912024" w:rsidRPr="00874B0C" w:rsidRDefault="00912024"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SECTION IV</w:t>
            </w:r>
          </w:p>
          <w:p w14:paraId="26C8262C" w14:textId="77777777" w:rsidR="00912024" w:rsidRPr="00874B0C" w:rsidRDefault="00912024"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DEFINED TERMS</w:t>
            </w:r>
          </w:p>
          <w:p w14:paraId="676D3927" w14:textId="77777777" w:rsidR="00912024" w:rsidRPr="00874B0C" w:rsidRDefault="00912024"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following terms have the meaning set out below:</w:t>
            </w:r>
          </w:p>
          <w:p w14:paraId="0D51F825" w14:textId="64367ED5" w:rsidR="00912024" w:rsidRPr="00874B0C" w:rsidRDefault="00912024"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Reportable Crypto-Asset</w:t>
            </w:r>
          </w:p>
          <w:p w14:paraId="6835936C" w14:textId="689FDA9F"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 </w:t>
            </w:r>
            <w:r w:rsidR="009E71CE">
              <w:rPr>
                <w:rFonts w:eastAsia="Calibri"/>
                <w:iCs/>
                <w:sz w:val="18"/>
                <w:szCs w:val="18"/>
              </w:rPr>
              <w:t>“</w:t>
            </w:r>
            <w:r w:rsidRPr="00874B0C">
              <w:rPr>
                <w:rFonts w:eastAsia="Calibri"/>
                <w:iCs/>
                <w:sz w:val="18"/>
                <w:szCs w:val="18"/>
              </w:rPr>
              <w:t>Crypto-Asset</w:t>
            </w:r>
            <w:r w:rsidR="009E71CE">
              <w:rPr>
                <w:rFonts w:eastAsia="Calibri"/>
                <w:iCs/>
                <w:sz w:val="18"/>
                <w:szCs w:val="18"/>
              </w:rPr>
              <w:t>”</w:t>
            </w:r>
            <w:r w:rsidRPr="00874B0C">
              <w:rPr>
                <w:rFonts w:eastAsia="Calibri"/>
                <w:iCs/>
                <w:sz w:val="18"/>
                <w:szCs w:val="18"/>
              </w:rPr>
              <w:t xml:space="preserve"> means crypto-asset as defined in Article 3(1), point (5), of Regulation (EU) 2023/1114.</w:t>
            </w:r>
          </w:p>
        </w:tc>
        <w:tc>
          <w:tcPr>
            <w:tcW w:w="1080" w:type="dxa"/>
          </w:tcPr>
          <w:p w14:paraId="6A65978F"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674366B"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7FE1907" w14:textId="77777777" w:rsidR="00665606" w:rsidRPr="00874B0C" w:rsidRDefault="00665606" w:rsidP="00874B0C">
            <w:pPr>
              <w:spacing w:line="276" w:lineRule="auto"/>
              <w:jc w:val="center"/>
              <w:rPr>
                <w:rFonts w:ascii="Times New Roman" w:hAnsi="Times New Roman" w:cs="Times New Roman"/>
                <w:sz w:val="18"/>
                <w:szCs w:val="18"/>
              </w:rPr>
            </w:pPr>
            <w:r w:rsidRPr="00874B0C">
              <w:rPr>
                <w:rFonts w:ascii="Times New Roman" w:hAnsi="Times New Roman" w:cs="Times New Roman"/>
                <w:b/>
                <w:sz w:val="18"/>
                <w:szCs w:val="18"/>
              </w:rPr>
              <w:t>Article 2</w:t>
            </w:r>
          </w:p>
          <w:p w14:paraId="6A132198" w14:textId="77777777" w:rsidR="00665606" w:rsidRPr="00874B0C" w:rsidRDefault="00665606" w:rsidP="00874B0C">
            <w:pPr>
              <w:spacing w:line="276" w:lineRule="auto"/>
              <w:jc w:val="center"/>
              <w:rPr>
                <w:rFonts w:ascii="Times New Roman" w:hAnsi="Times New Roman" w:cs="Times New Roman"/>
                <w:sz w:val="18"/>
                <w:szCs w:val="18"/>
              </w:rPr>
            </w:pPr>
            <w:r w:rsidRPr="00874B0C">
              <w:rPr>
                <w:rFonts w:ascii="Times New Roman" w:hAnsi="Times New Roman" w:cs="Times New Roman"/>
                <w:b/>
                <w:sz w:val="18"/>
                <w:szCs w:val="18"/>
              </w:rPr>
              <w:t>Definitions</w:t>
            </w:r>
          </w:p>
          <w:p w14:paraId="57EE853E" w14:textId="77777777" w:rsidR="004E7D58" w:rsidRPr="00874B0C" w:rsidRDefault="004E7D58" w:rsidP="00874B0C">
            <w:pPr>
              <w:spacing w:line="276" w:lineRule="auto"/>
              <w:jc w:val="both"/>
              <w:rPr>
                <w:rFonts w:ascii="Times New Roman" w:eastAsia="Times New Roman" w:hAnsi="Times New Roman" w:cs="Times New Roman"/>
                <w:sz w:val="18"/>
                <w:szCs w:val="18"/>
                <w:lang w:eastAsia="sq-AL"/>
              </w:rPr>
            </w:pPr>
          </w:p>
          <w:p w14:paraId="43588F2C" w14:textId="39E95F28" w:rsidR="00E94486" w:rsidRPr="00874B0C" w:rsidRDefault="004605F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00AB57E9" w:rsidRPr="00874B0C">
              <w:rPr>
                <w:rFonts w:ascii="Times New Roman" w:eastAsia="Times New Roman" w:hAnsi="Times New Roman" w:cs="Times New Roman"/>
                <w:sz w:val="18"/>
                <w:szCs w:val="18"/>
                <w:lang w:eastAsia="sq-AL"/>
              </w:rPr>
              <w:tab/>
            </w:r>
            <w:r w:rsidR="009E71CE">
              <w:rPr>
                <w:rFonts w:ascii="Times New Roman" w:eastAsia="Times New Roman" w:hAnsi="Times New Roman" w:cs="Times New Roman"/>
                <w:sz w:val="18"/>
                <w:szCs w:val="18"/>
                <w:lang w:eastAsia="sq-AL"/>
              </w:rPr>
              <w:t>“</w:t>
            </w:r>
            <w:r w:rsidR="00AB57E9" w:rsidRPr="00874B0C">
              <w:rPr>
                <w:rFonts w:ascii="Times New Roman" w:eastAsia="Times New Roman" w:hAnsi="Times New Roman" w:cs="Times New Roman"/>
                <w:sz w:val="18"/>
                <w:szCs w:val="18"/>
                <w:lang w:eastAsia="sq-AL"/>
              </w:rPr>
              <w:t>Crypto-Asset</w:t>
            </w:r>
            <w:r w:rsidR="009E71CE">
              <w:rPr>
                <w:rFonts w:ascii="Times New Roman" w:eastAsia="Times New Roman" w:hAnsi="Times New Roman" w:cs="Times New Roman"/>
                <w:sz w:val="18"/>
                <w:szCs w:val="18"/>
                <w:lang w:eastAsia="sq-AL"/>
              </w:rPr>
              <w:t>”</w:t>
            </w:r>
            <w:r w:rsidR="00AB57E9" w:rsidRPr="00874B0C">
              <w:rPr>
                <w:rFonts w:ascii="Times New Roman" w:eastAsia="Times New Roman" w:hAnsi="Times New Roman" w:cs="Times New Roman"/>
                <w:sz w:val="18"/>
                <w:szCs w:val="18"/>
                <w:lang w:eastAsia="sq-AL"/>
              </w:rPr>
              <w:t xml:space="preserve"> shall have the same meaning as defined in the legislation in force on crypto-asset markets;</w:t>
            </w:r>
          </w:p>
        </w:tc>
        <w:tc>
          <w:tcPr>
            <w:tcW w:w="1184" w:type="dxa"/>
          </w:tcPr>
          <w:p w14:paraId="37795ED4"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4637CEAC"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579FCCA0" w14:textId="77777777" w:rsidTr="00874B0C">
        <w:trPr>
          <w:trHeight w:val="764"/>
        </w:trPr>
        <w:tc>
          <w:tcPr>
            <w:tcW w:w="720" w:type="dxa"/>
          </w:tcPr>
          <w:p w14:paraId="3860FB80"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7B9D3670" w14:textId="64FDBBA9"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2. </w:t>
            </w:r>
            <w:r w:rsidR="009E71CE">
              <w:rPr>
                <w:rFonts w:eastAsia="Calibri"/>
                <w:iCs/>
                <w:sz w:val="18"/>
                <w:szCs w:val="18"/>
              </w:rPr>
              <w:t>“</w:t>
            </w:r>
            <w:r w:rsidRPr="00874B0C">
              <w:rPr>
                <w:rFonts w:eastAsia="Calibri"/>
                <w:iCs/>
                <w:sz w:val="18"/>
                <w:szCs w:val="18"/>
              </w:rPr>
              <w:t>Central Bank Digital Currency</w:t>
            </w:r>
            <w:r w:rsidR="009E71CE">
              <w:rPr>
                <w:rFonts w:eastAsia="Calibri"/>
                <w:iCs/>
                <w:sz w:val="18"/>
                <w:szCs w:val="18"/>
              </w:rPr>
              <w:t>”</w:t>
            </w:r>
            <w:r w:rsidRPr="00874B0C">
              <w:rPr>
                <w:rFonts w:eastAsia="Calibri"/>
                <w:iCs/>
                <w:sz w:val="18"/>
                <w:szCs w:val="18"/>
              </w:rPr>
              <w:t xml:space="preserve"> means any digital Fiat Currency issued by a Central Bank or other monetary authority.</w:t>
            </w:r>
          </w:p>
        </w:tc>
        <w:tc>
          <w:tcPr>
            <w:tcW w:w="1080" w:type="dxa"/>
          </w:tcPr>
          <w:p w14:paraId="593E57D4"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shd w:val="clear" w:color="auto" w:fill="FFFFFF" w:themeFill="background1"/>
          </w:tcPr>
          <w:p w14:paraId="47BC44A5"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shd w:val="clear" w:color="auto" w:fill="FFFFFF" w:themeFill="background1"/>
          </w:tcPr>
          <w:p w14:paraId="1CA2459C" w14:textId="2248864E" w:rsidR="00E94486" w:rsidRPr="00874B0C" w:rsidRDefault="004605F8" w:rsidP="00874B0C">
            <w:pPr>
              <w:spacing w:line="276" w:lineRule="auto"/>
              <w:jc w:val="both"/>
              <w:rPr>
                <w:rFonts w:ascii="Times New Roman" w:eastAsia="Times New Roman" w:hAnsi="Times New Roman" w:cs="Times New Roman"/>
                <w:sz w:val="18"/>
                <w:szCs w:val="18"/>
                <w:lang w:eastAsia="sq-AL"/>
              </w:rPr>
            </w:pPr>
            <w:bookmarkStart w:id="1" w:name="_Hlk233671307"/>
            <w:r w:rsidRPr="00874B0C">
              <w:rPr>
                <w:rFonts w:ascii="Times New Roman" w:eastAsia="Times New Roman" w:hAnsi="Times New Roman" w:cs="Times New Roman"/>
                <w:sz w:val="18"/>
                <w:szCs w:val="18"/>
                <w:lang w:eastAsia="sq-AL"/>
              </w:rPr>
              <w:t>45.</w:t>
            </w:r>
            <w:r w:rsidR="00676EA9"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676EA9" w:rsidRPr="00874B0C">
              <w:rPr>
                <w:rFonts w:ascii="Times New Roman" w:eastAsia="Times New Roman" w:hAnsi="Times New Roman" w:cs="Times New Roman"/>
                <w:sz w:val="18"/>
                <w:szCs w:val="18"/>
                <w:lang w:eastAsia="sq-AL"/>
              </w:rPr>
              <w:t>Central Bank Digital Currency</w:t>
            </w:r>
            <w:r w:rsidR="009E71CE">
              <w:rPr>
                <w:rFonts w:ascii="Times New Roman" w:eastAsia="Times New Roman" w:hAnsi="Times New Roman" w:cs="Times New Roman"/>
                <w:sz w:val="18"/>
                <w:szCs w:val="18"/>
                <w:lang w:eastAsia="sq-AL"/>
              </w:rPr>
              <w:t>”</w:t>
            </w:r>
            <w:r w:rsidR="00676EA9" w:rsidRPr="00874B0C">
              <w:rPr>
                <w:rFonts w:ascii="Times New Roman" w:eastAsia="Times New Roman" w:hAnsi="Times New Roman" w:cs="Times New Roman"/>
                <w:sz w:val="18"/>
                <w:szCs w:val="18"/>
                <w:lang w:eastAsia="sq-AL"/>
              </w:rPr>
              <w:t xml:space="preserve"> means any digital Fiat Currency issued by a Central Bank or another monetary authority.</w:t>
            </w:r>
            <w:bookmarkEnd w:id="1"/>
          </w:p>
        </w:tc>
        <w:tc>
          <w:tcPr>
            <w:tcW w:w="1184" w:type="dxa"/>
          </w:tcPr>
          <w:p w14:paraId="1855391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187B9214"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1DBD150F" w14:textId="77777777" w:rsidTr="00874B0C">
        <w:trPr>
          <w:trHeight w:val="764"/>
        </w:trPr>
        <w:tc>
          <w:tcPr>
            <w:tcW w:w="720" w:type="dxa"/>
          </w:tcPr>
          <w:p w14:paraId="2879FB48"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6AA9B4DF" w14:textId="473BFAC8"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3. </w:t>
            </w:r>
            <w:r w:rsidR="009E71CE">
              <w:rPr>
                <w:rFonts w:eastAsia="Calibri"/>
                <w:iCs/>
                <w:sz w:val="18"/>
                <w:szCs w:val="18"/>
              </w:rPr>
              <w:t>“</w:t>
            </w:r>
            <w:r w:rsidRPr="00874B0C">
              <w:rPr>
                <w:rFonts w:eastAsia="Calibri"/>
                <w:iCs/>
                <w:sz w:val="18"/>
                <w:szCs w:val="18"/>
              </w:rPr>
              <w:t>Central Bank</w:t>
            </w:r>
            <w:r w:rsidR="009E71CE">
              <w:rPr>
                <w:rFonts w:eastAsia="Calibri"/>
                <w:iCs/>
                <w:sz w:val="18"/>
                <w:szCs w:val="18"/>
              </w:rPr>
              <w:t>”</w:t>
            </w:r>
            <w:r w:rsidRPr="00874B0C">
              <w:rPr>
                <w:rFonts w:eastAsia="Calibri"/>
                <w:iCs/>
                <w:sz w:val="18"/>
                <w:szCs w:val="18"/>
              </w:rPr>
              <w:t xml:space="preserve"> means an institution that is by law or government sanction the principal authority, other than the government of the jurisdiction itself, issuing instruments intended to circulate as currency. Such an institution may include an instrumentality that is separate from the government of the jurisdiction, whether or not owned in whole or in part by the jurisdiction.</w:t>
            </w:r>
          </w:p>
        </w:tc>
        <w:tc>
          <w:tcPr>
            <w:tcW w:w="1080" w:type="dxa"/>
          </w:tcPr>
          <w:p w14:paraId="0B8CC64D"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shd w:val="clear" w:color="auto" w:fill="FFFFFF" w:themeFill="background1"/>
          </w:tcPr>
          <w:p w14:paraId="32A0320B"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shd w:val="clear" w:color="auto" w:fill="FFFFFF" w:themeFill="background1"/>
          </w:tcPr>
          <w:p w14:paraId="46ACA112" w14:textId="47ECD103" w:rsidR="00E94486" w:rsidRPr="00874B0C" w:rsidRDefault="002B106A" w:rsidP="00874B0C">
            <w:pPr>
              <w:spacing w:line="276" w:lineRule="auto"/>
              <w:jc w:val="both"/>
              <w:rPr>
                <w:rFonts w:ascii="Times New Roman" w:eastAsia="Times New Roman" w:hAnsi="Times New Roman" w:cs="Times New Roman"/>
                <w:sz w:val="18"/>
                <w:szCs w:val="18"/>
                <w:lang w:eastAsia="sq-AL"/>
              </w:rPr>
            </w:pPr>
            <w:bookmarkStart w:id="2" w:name="_Hlk233671343"/>
            <w:r w:rsidRPr="00874B0C">
              <w:rPr>
                <w:rFonts w:ascii="Times New Roman" w:eastAsia="Times New Roman" w:hAnsi="Times New Roman" w:cs="Times New Roman"/>
                <w:sz w:val="18"/>
                <w:szCs w:val="18"/>
                <w:lang w:eastAsia="sq-AL"/>
              </w:rPr>
              <w:t>46.</w:t>
            </w:r>
            <w:r w:rsidR="00676EA9"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676EA9" w:rsidRPr="00874B0C">
              <w:rPr>
                <w:rFonts w:ascii="Times New Roman" w:eastAsia="Times New Roman" w:hAnsi="Times New Roman" w:cs="Times New Roman"/>
                <w:sz w:val="18"/>
                <w:szCs w:val="18"/>
                <w:lang w:eastAsia="sq-AL"/>
              </w:rPr>
              <w:t>Central Bank</w:t>
            </w:r>
            <w:r w:rsidR="009E71CE">
              <w:rPr>
                <w:rFonts w:ascii="Times New Roman" w:eastAsia="Times New Roman" w:hAnsi="Times New Roman" w:cs="Times New Roman"/>
                <w:sz w:val="18"/>
                <w:szCs w:val="18"/>
                <w:lang w:eastAsia="sq-AL"/>
              </w:rPr>
              <w:t>”</w:t>
            </w:r>
            <w:r w:rsidR="00676EA9" w:rsidRPr="00874B0C">
              <w:rPr>
                <w:rFonts w:ascii="Times New Roman" w:eastAsia="Times New Roman" w:hAnsi="Times New Roman" w:cs="Times New Roman"/>
                <w:sz w:val="18"/>
                <w:szCs w:val="18"/>
                <w:lang w:eastAsia="sq-AL"/>
              </w:rPr>
              <w:t xml:space="preserve"> means an institution that, by law or government authorization, is the principal authority, other than the government of the relevant jurisdiction itself, for issuing instruments intended to circulate as currency. Such an institution may also include an entity or agency that is separate from the government of the relevant jurisdiction, whether or not it is wholly or partially owned by that jurisdiction.</w:t>
            </w:r>
            <w:bookmarkEnd w:id="2"/>
          </w:p>
        </w:tc>
        <w:tc>
          <w:tcPr>
            <w:tcW w:w="1184" w:type="dxa"/>
          </w:tcPr>
          <w:p w14:paraId="67ABF78B"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4B447EB0"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6E5BBA10" w14:textId="77777777" w:rsidTr="00874B0C">
        <w:trPr>
          <w:trHeight w:val="764"/>
        </w:trPr>
        <w:tc>
          <w:tcPr>
            <w:tcW w:w="720" w:type="dxa"/>
          </w:tcPr>
          <w:p w14:paraId="79DDA23C"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46A5C411" w14:textId="7F528E0E"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4. </w:t>
            </w:r>
            <w:r w:rsidR="009E71CE">
              <w:rPr>
                <w:rFonts w:eastAsia="Calibri"/>
                <w:iCs/>
                <w:sz w:val="18"/>
                <w:szCs w:val="18"/>
              </w:rPr>
              <w:t>“</w:t>
            </w:r>
            <w:r w:rsidRPr="00874B0C">
              <w:rPr>
                <w:rFonts w:eastAsia="Calibri"/>
                <w:iCs/>
                <w:sz w:val="18"/>
                <w:szCs w:val="18"/>
              </w:rPr>
              <w:t>Reportable Crypto-Asset</w:t>
            </w:r>
            <w:r w:rsidR="009E71CE">
              <w:rPr>
                <w:rFonts w:eastAsia="Calibri"/>
                <w:iCs/>
                <w:sz w:val="18"/>
                <w:szCs w:val="18"/>
              </w:rPr>
              <w:t>”</w:t>
            </w:r>
            <w:r w:rsidRPr="00874B0C">
              <w:rPr>
                <w:rFonts w:eastAsia="Calibri"/>
                <w:iCs/>
                <w:sz w:val="18"/>
                <w:szCs w:val="18"/>
              </w:rPr>
              <w:t xml:space="preserve"> means any Crypto-Asset other than a Central Bank Digital Currency, Electronic Money, or any Crypto-Asset for which the Reporting Crypto-Asset Service Provider has adequately determined that it cannot be used for payment or investment purposes.</w:t>
            </w:r>
          </w:p>
        </w:tc>
        <w:tc>
          <w:tcPr>
            <w:tcW w:w="1080" w:type="dxa"/>
          </w:tcPr>
          <w:p w14:paraId="605FAC2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15BFDD4"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5125878E" w14:textId="11917D84" w:rsidR="00E94486" w:rsidRPr="00874B0C" w:rsidRDefault="00E66962"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2.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Reportable Crypto-asset</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any crypto-asset, except a Central Bank Digital Currency, Electronic Money, or any crypto-asset for which the Reporting Crypto-Asset Service Provider has sufficiently determined that it cannot be used for payment or investment purposes.</w:t>
            </w:r>
          </w:p>
        </w:tc>
        <w:tc>
          <w:tcPr>
            <w:tcW w:w="1184" w:type="dxa"/>
          </w:tcPr>
          <w:p w14:paraId="27CE2EC0"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2BE43F43"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6A6398E1" w14:textId="77777777" w:rsidTr="00874B0C">
        <w:trPr>
          <w:trHeight w:val="764"/>
        </w:trPr>
        <w:tc>
          <w:tcPr>
            <w:tcW w:w="720" w:type="dxa"/>
          </w:tcPr>
          <w:p w14:paraId="4FFDF804"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69F211D6" w14:textId="71A17325"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5. For the purposes of this Annex, </w:t>
            </w:r>
            <w:r w:rsidR="009E71CE">
              <w:rPr>
                <w:rFonts w:eastAsia="Calibri"/>
                <w:iCs/>
                <w:sz w:val="18"/>
                <w:szCs w:val="18"/>
              </w:rPr>
              <w:t>“</w:t>
            </w:r>
            <w:r w:rsidRPr="00874B0C">
              <w:rPr>
                <w:rFonts w:eastAsia="Calibri"/>
                <w:iCs/>
                <w:sz w:val="18"/>
                <w:szCs w:val="18"/>
              </w:rPr>
              <w:t>Electronic Money</w:t>
            </w:r>
            <w:r w:rsidR="009E71CE">
              <w:rPr>
                <w:rFonts w:eastAsia="Calibri"/>
                <w:iCs/>
                <w:sz w:val="18"/>
                <w:szCs w:val="18"/>
              </w:rPr>
              <w:t>”</w:t>
            </w:r>
            <w:r w:rsidRPr="00874B0C">
              <w:rPr>
                <w:rFonts w:eastAsia="Calibri"/>
                <w:iCs/>
                <w:sz w:val="18"/>
                <w:szCs w:val="18"/>
              </w:rPr>
              <w:t xml:space="preserve"> or </w:t>
            </w:r>
            <w:r w:rsidR="009E71CE">
              <w:rPr>
                <w:rFonts w:eastAsia="Calibri"/>
                <w:iCs/>
                <w:sz w:val="18"/>
                <w:szCs w:val="18"/>
              </w:rPr>
              <w:t>“</w:t>
            </w:r>
            <w:r w:rsidRPr="00874B0C">
              <w:rPr>
                <w:rFonts w:eastAsia="Calibri"/>
                <w:iCs/>
                <w:sz w:val="18"/>
                <w:szCs w:val="18"/>
              </w:rPr>
              <w:t>E-money</w:t>
            </w:r>
            <w:r w:rsidR="009E71CE">
              <w:rPr>
                <w:rFonts w:eastAsia="Calibri"/>
                <w:iCs/>
                <w:sz w:val="18"/>
                <w:szCs w:val="18"/>
              </w:rPr>
              <w:t>”</w:t>
            </w:r>
            <w:r w:rsidRPr="00874B0C">
              <w:rPr>
                <w:rFonts w:eastAsia="Calibri"/>
                <w:iCs/>
                <w:sz w:val="18"/>
                <w:szCs w:val="18"/>
              </w:rPr>
              <w:t xml:space="preserve"> means any Crypto-Asset that is:</w:t>
            </w:r>
          </w:p>
          <w:p w14:paraId="722F53AE" w14:textId="15C1A178" w:rsidR="00DC3028" w:rsidRPr="00874B0C" w:rsidRDefault="00DC3028" w:rsidP="00874B0C">
            <w:pPr>
              <w:pStyle w:val="oj-ti-grseq-1"/>
              <w:numPr>
                <w:ilvl w:val="0"/>
                <w:numId w:val="4"/>
              </w:numPr>
              <w:shd w:val="clear" w:color="auto" w:fill="FFFFFF"/>
              <w:spacing w:before="240" w:after="120" w:line="276" w:lineRule="auto"/>
              <w:rPr>
                <w:rFonts w:eastAsia="Calibri"/>
                <w:iCs/>
                <w:sz w:val="18"/>
                <w:szCs w:val="18"/>
              </w:rPr>
            </w:pPr>
            <w:r w:rsidRPr="00874B0C">
              <w:rPr>
                <w:rFonts w:eastAsia="Calibri"/>
                <w:iCs/>
                <w:sz w:val="18"/>
                <w:szCs w:val="18"/>
              </w:rPr>
              <w:t>a digital representation of a single Fiat Currency;</w:t>
            </w:r>
          </w:p>
          <w:p w14:paraId="40C204AA" w14:textId="75B46561" w:rsidR="00DC3028" w:rsidRPr="00874B0C" w:rsidRDefault="00DC3028" w:rsidP="00874B0C">
            <w:pPr>
              <w:pStyle w:val="oj-ti-grseq-1"/>
              <w:numPr>
                <w:ilvl w:val="0"/>
                <w:numId w:val="4"/>
              </w:numPr>
              <w:shd w:val="clear" w:color="auto" w:fill="FFFFFF"/>
              <w:spacing w:before="240" w:after="120" w:line="276" w:lineRule="auto"/>
              <w:rPr>
                <w:rFonts w:eastAsia="Calibri"/>
                <w:iCs/>
                <w:sz w:val="18"/>
                <w:szCs w:val="18"/>
              </w:rPr>
            </w:pPr>
            <w:r w:rsidRPr="00874B0C">
              <w:rPr>
                <w:rFonts w:eastAsia="Calibri"/>
                <w:iCs/>
                <w:sz w:val="18"/>
                <w:szCs w:val="18"/>
              </w:rPr>
              <w:t>issued on the receipt of funds for the purpose of making payment transactions;</w:t>
            </w:r>
          </w:p>
          <w:p w14:paraId="181EFD5A" w14:textId="7806AC7D" w:rsidR="00DC3028" w:rsidRPr="00874B0C" w:rsidRDefault="00DC3028" w:rsidP="00874B0C">
            <w:pPr>
              <w:pStyle w:val="oj-ti-grseq-1"/>
              <w:numPr>
                <w:ilvl w:val="0"/>
                <w:numId w:val="4"/>
              </w:numPr>
              <w:shd w:val="clear" w:color="auto" w:fill="FFFFFF"/>
              <w:spacing w:before="240" w:after="120" w:line="276" w:lineRule="auto"/>
              <w:rPr>
                <w:rFonts w:eastAsia="Calibri"/>
                <w:iCs/>
                <w:sz w:val="18"/>
                <w:szCs w:val="18"/>
              </w:rPr>
            </w:pPr>
            <w:r w:rsidRPr="00874B0C">
              <w:rPr>
                <w:rFonts w:eastAsia="Calibri"/>
                <w:iCs/>
                <w:sz w:val="18"/>
                <w:szCs w:val="18"/>
              </w:rPr>
              <w:t>represented by a claim on the issuer denominated in the same Fiat Currency;</w:t>
            </w:r>
          </w:p>
          <w:p w14:paraId="35029654" w14:textId="0F646BAF" w:rsidR="00DC3028" w:rsidRPr="00874B0C" w:rsidRDefault="00DC3028" w:rsidP="00874B0C">
            <w:pPr>
              <w:pStyle w:val="oj-ti-grseq-1"/>
              <w:numPr>
                <w:ilvl w:val="0"/>
                <w:numId w:val="4"/>
              </w:numPr>
              <w:shd w:val="clear" w:color="auto" w:fill="FFFFFF"/>
              <w:spacing w:before="240" w:after="120" w:line="276" w:lineRule="auto"/>
              <w:rPr>
                <w:rFonts w:eastAsia="Calibri"/>
                <w:iCs/>
                <w:sz w:val="18"/>
                <w:szCs w:val="18"/>
              </w:rPr>
            </w:pPr>
            <w:r w:rsidRPr="00874B0C">
              <w:rPr>
                <w:rFonts w:eastAsia="Calibri"/>
                <w:iCs/>
                <w:sz w:val="18"/>
                <w:szCs w:val="18"/>
              </w:rPr>
              <w:t>accepted in payment by a natural or legal person other than the issuer; and</w:t>
            </w:r>
          </w:p>
          <w:p w14:paraId="393B9477" w14:textId="7B65C3C2" w:rsidR="00DC3028" w:rsidRPr="00874B0C" w:rsidRDefault="00DC3028" w:rsidP="00874B0C">
            <w:pPr>
              <w:pStyle w:val="oj-ti-grseq-1"/>
              <w:numPr>
                <w:ilvl w:val="0"/>
                <w:numId w:val="4"/>
              </w:numPr>
              <w:shd w:val="clear" w:color="auto" w:fill="FFFFFF"/>
              <w:spacing w:before="240" w:after="120" w:line="276" w:lineRule="auto"/>
              <w:rPr>
                <w:rFonts w:eastAsia="Calibri"/>
                <w:iCs/>
                <w:sz w:val="18"/>
                <w:szCs w:val="18"/>
              </w:rPr>
            </w:pPr>
            <w:r w:rsidRPr="00874B0C">
              <w:rPr>
                <w:rFonts w:eastAsia="Calibri"/>
                <w:iCs/>
                <w:sz w:val="18"/>
                <w:szCs w:val="18"/>
              </w:rPr>
              <w:t>by virtue of regulatory requirements to which the issuer is subject, redeemable at any time and at par value for the same Fiat Currency upon request of the holder of the product.</w:t>
            </w:r>
          </w:p>
          <w:p w14:paraId="5D208333" w14:textId="6F162978"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The term </w:t>
            </w:r>
            <w:r w:rsidR="009E71CE">
              <w:rPr>
                <w:rFonts w:eastAsia="Calibri"/>
                <w:iCs/>
                <w:sz w:val="18"/>
                <w:szCs w:val="18"/>
              </w:rPr>
              <w:t>“</w:t>
            </w:r>
            <w:r w:rsidRPr="00874B0C">
              <w:rPr>
                <w:rFonts w:eastAsia="Calibri"/>
                <w:iCs/>
                <w:sz w:val="18"/>
                <w:szCs w:val="18"/>
              </w:rPr>
              <w:t>Electronic money</w:t>
            </w:r>
            <w:r w:rsidR="009E71CE">
              <w:rPr>
                <w:rFonts w:eastAsia="Calibri"/>
                <w:iCs/>
                <w:sz w:val="18"/>
                <w:szCs w:val="18"/>
              </w:rPr>
              <w:t>”</w:t>
            </w:r>
            <w:r w:rsidRPr="00874B0C">
              <w:rPr>
                <w:rFonts w:eastAsia="Calibri"/>
                <w:iCs/>
                <w:sz w:val="18"/>
                <w:szCs w:val="18"/>
              </w:rPr>
              <w:t xml:space="preserve"> or </w:t>
            </w:r>
            <w:r w:rsidR="009E71CE">
              <w:rPr>
                <w:rFonts w:eastAsia="Calibri"/>
                <w:iCs/>
                <w:sz w:val="18"/>
                <w:szCs w:val="18"/>
              </w:rPr>
              <w:t>“</w:t>
            </w:r>
            <w:r w:rsidRPr="00874B0C">
              <w:rPr>
                <w:rFonts w:eastAsia="Calibri"/>
                <w:iCs/>
                <w:sz w:val="18"/>
                <w:szCs w:val="18"/>
              </w:rPr>
              <w:t>E-money</w:t>
            </w:r>
            <w:r w:rsidR="009E71CE">
              <w:rPr>
                <w:rFonts w:eastAsia="Calibri"/>
                <w:iCs/>
                <w:sz w:val="18"/>
                <w:szCs w:val="18"/>
              </w:rPr>
              <w:t>”</w:t>
            </w:r>
            <w:r w:rsidRPr="00874B0C">
              <w:rPr>
                <w:rFonts w:eastAsia="Calibri"/>
                <w:iCs/>
                <w:sz w:val="18"/>
                <w:szCs w:val="18"/>
              </w:rPr>
              <w:t xml:space="preserve"> does not include a product created for the sole purpose of facilitating the transfer of funds from a customer to another person pursuant to instructions of the customer. A product is not created for the sole purpose of facilitating the transfer of funds if, in the ordinary course of business of the transferring Entity, either the funds connected with such product are held longer than 60 days after receipt of instructions to facilitate the transfer, or, if no instructions are received, the funds connected with such product are held longer than 60 days after receipt of the funds.</w:t>
            </w:r>
          </w:p>
        </w:tc>
        <w:tc>
          <w:tcPr>
            <w:tcW w:w="1080" w:type="dxa"/>
          </w:tcPr>
          <w:p w14:paraId="43561BE3"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9789D91"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0341B62C" w14:textId="08D55986" w:rsidR="00E94486" w:rsidRPr="00874B0C" w:rsidRDefault="00E66962"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3.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Electronic money</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has the same meaning according to the definition in the legislation in force on banks;</w:t>
            </w:r>
          </w:p>
        </w:tc>
        <w:tc>
          <w:tcPr>
            <w:tcW w:w="1184" w:type="dxa"/>
          </w:tcPr>
          <w:p w14:paraId="0AF6581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279DC38C" w14:textId="77777777" w:rsidR="00E94486" w:rsidRPr="00874B0C" w:rsidRDefault="00E94486" w:rsidP="00874B0C">
            <w:pPr>
              <w:spacing w:line="276" w:lineRule="auto"/>
              <w:rPr>
                <w:rFonts w:ascii="Times New Roman" w:eastAsia="Calibri" w:hAnsi="Times New Roman" w:cs="Times New Roman"/>
                <w:sz w:val="18"/>
                <w:szCs w:val="18"/>
              </w:rPr>
            </w:pPr>
          </w:p>
        </w:tc>
      </w:tr>
      <w:tr w:rsidR="00912024" w:rsidRPr="00874B0C" w14:paraId="50EC96E4" w14:textId="77777777" w:rsidTr="00874B0C">
        <w:trPr>
          <w:trHeight w:val="764"/>
        </w:trPr>
        <w:tc>
          <w:tcPr>
            <w:tcW w:w="720" w:type="dxa"/>
          </w:tcPr>
          <w:p w14:paraId="2501A403" w14:textId="77777777" w:rsidR="00912024" w:rsidRPr="00874B0C" w:rsidRDefault="00912024" w:rsidP="00874B0C">
            <w:pPr>
              <w:spacing w:line="276" w:lineRule="auto"/>
              <w:jc w:val="center"/>
              <w:rPr>
                <w:rFonts w:ascii="Times New Roman" w:eastAsia="Calibri" w:hAnsi="Times New Roman" w:cs="Times New Roman"/>
                <w:i/>
                <w:sz w:val="18"/>
                <w:szCs w:val="18"/>
              </w:rPr>
            </w:pPr>
          </w:p>
        </w:tc>
        <w:tc>
          <w:tcPr>
            <w:tcW w:w="5220" w:type="dxa"/>
          </w:tcPr>
          <w:p w14:paraId="7F3C6070" w14:textId="77DB9CE3" w:rsidR="00912024" w:rsidRPr="00874B0C" w:rsidRDefault="00912024"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Reporting Crypto-Asset Service Provider</w:t>
            </w:r>
          </w:p>
          <w:p w14:paraId="4AFDBDB6" w14:textId="63B98B3E" w:rsidR="00912024" w:rsidRPr="00874B0C" w:rsidRDefault="00912024"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 </w:t>
            </w:r>
            <w:r w:rsidR="009E71CE">
              <w:rPr>
                <w:rFonts w:eastAsia="Calibri"/>
                <w:iCs/>
                <w:sz w:val="18"/>
                <w:szCs w:val="18"/>
              </w:rPr>
              <w:t>“</w:t>
            </w:r>
            <w:r w:rsidRPr="00874B0C">
              <w:rPr>
                <w:rFonts w:eastAsia="Calibri"/>
                <w:iCs/>
                <w:sz w:val="18"/>
                <w:szCs w:val="18"/>
              </w:rPr>
              <w:t>Crypto-Asset Service Provider</w:t>
            </w:r>
            <w:r w:rsidR="009E71CE">
              <w:rPr>
                <w:rFonts w:eastAsia="Calibri"/>
                <w:iCs/>
                <w:sz w:val="18"/>
                <w:szCs w:val="18"/>
              </w:rPr>
              <w:t>”</w:t>
            </w:r>
            <w:r w:rsidRPr="00874B0C">
              <w:rPr>
                <w:rFonts w:eastAsia="Calibri"/>
                <w:iCs/>
                <w:sz w:val="18"/>
                <w:szCs w:val="18"/>
              </w:rPr>
              <w:t xml:space="preserve"> means crypto-asset service provider as defined in Article 3(1), point (15), of Regulation (EU) 2023/1114.</w:t>
            </w:r>
          </w:p>
        </w:tc>
        <w:tc>
          <w:tcPr>
            <w:tcW w:w="1080" w:type="dxa"/>
          </w:tcPr>
          <w:p w14:paraId="0363D8EC" w14:textId="77777777" w:rsidR="00912024" w:rsidRPr="00874B0C" w:rsidRDefault="00912024" w:rsidP="00874B0C">
            <w:pPr>
              <w:spacing w:line="276" w:lineRule="auto"/>
              <w:jc w:val="center"/>
              <w:rPr>
                <w:rFonts w:ascii="Times New Roman" w:eastAsia="Calibri" w:hAnsi="Times New Roman" w:cs="Times New Roman"/>
                <w:sz w:val="18"/>
                <w:szCs w:val="18"/>
              </w:rPr>
            </w:pPr>
          </w:p>
        </w:tc>
        <w:tc>
          <w:tcPr>
            <w:tcW w:w="720" w:type="dxa"/>
          </w:tcPr>
          <w:p w14:paraId="28857522" w14:textId="77777777" w:rsidR="00912024" w:rsidRPr="00874B0C" w:rsidRDefault="00912024"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2EB50F3" w14:textId="3349C84A" w:rsidR="00912024" w:rsidRPr="00874B0C" w:rsidRDefault="00E66962"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Crypto-asset service provider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any legal person that provides to third parties one or more services related to crypto-assets, according to the Albanian legislation in force on crypto-asset markets;</w:t>
            </w:r>
          </w:p>
        </w:tc>
        <w:tc>
          <w:tcPr>
            <w:tcW w:w="1184" w:type="dxa"/>
          </w:tcPr>
          <w:p w14:paraId="388D4B93" w14:textId="77777777" w:rsidR="00912024" w:rsidRPr="00874B0C" w:rsidRDefault="00912024" w:rsidP="00874B0C">
            <w:pPr>
              <w:spacing w:line="276" w:lineRule="auto"/>
              <w:jc w:val="center"/>
              <w:rPr>
                <w:rFonts w:ascii="Times New Roman" w:eastAsia="Calibri" w:hAnsi="Times New Roman" w:cs="Times New Roman"/>
                <w:sz w:val="18"/>
                <w:szCs w:val="18"/>
              </w:rPr>
            </w:pPr>
          </w:p>
        </w:tc>
        <w:tc>
          <w:tcPr>
            <w:tcW w:w="3406" w:type="dxa"/>
          </w:tcPr>
          <w:p w14:paraId="1F992351" w14:textId="77777777" w:rsidR="00912024" w:rsidRPr="00874B0C" w:rsidRDefault="00912024" w:rsidP="00874B0C">
            <w:pPr>
              <w:spacing w:line="276" w:lineRule="auto"/>
              <w:rPr>
                <w:rFonts w:ascii="Times New Roman" w:eastAsia="Calibri" w:hAnsi="Times New Roman" w:cs="Times New Roman"/>
                <w:sz w:val="18"/>
                <w:szCs w:val="18"/>
              </w:rPr>
            </w:pPr>
          </w:p>
        </w:tc>
      </w:tr>
      <w:tr w:rsidR="00E94486" w:rsidRPr="00874B0C" w14:paraId="038A7190" w14:textId="77777777" w:rsidTr="00874B0C">
        <w:trPr>
          <w:trHeight w:val="764"/>
        </w:trPr>
        <w:tc>
          <w:tcPr>
            <w:tcW w:w="720" w:type="dxa"/>
          </w:tcPr>
          <w:p w14:paraId="09ECE830"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60943F92" w14:textId="4F727993"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2. </w:t>
            </w:r>
            <w:r w:rsidR="009E71CE">
              <w:rPr>
                <w:rFonts w:eastAsia="Calibri"/>
                <w:iCs/>
                <w:sz w:val="18"/>
                <w:szCs w:val="18"/>
              </w:rPr>
              <w:t>“</w:t>
            </w:r>
            <w:r w:rsidRPr="00874B0C">
              <w:rPr>
                <w:rFonts w:eastAsia="Calibri"/>
                <w:iCs/>
                <w:sz w:val="18"/>
                <w:szCs w:val="18"/>
              </w:rPr>
              <w:t>Crypto-Asset Operator</w:t>
            </w:r>
            <w:r w:rsidR="009E71CE">
              <w:rPr>
                <w:rFonts w:eastAsia="Calibri"/>
                <w:iCs/>
                <w:sz w:val="18"/>
                <w:szCs w:val="18"/>
              </w:rPr>
              <w:t>”</w:t>
            </w:r>
            <w:r w:rsidRPr="00874B0C">
              <w:rPr>
                <w:rFonts w:eastAsia="Calibri"/>
                <w:iCs/>
                <w:sz w:val="18"/>
                <w:szCs w:val="18"/>
              </w:rPr>
              <w:t xml:space="preserve"> means a provider of Crypto-Asset Services other than a Crypto-Asset Service Provider.</w:t>
            </w:r>
          </w:p>
        </w:tc>
        <w:tc>
          <w:tcPr>
            <w:tcW w:w="1080" w:type="dxa"/>
          </w:tcPr>
          <w:p w14:paraId="32579E7B"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66679160"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E40EEA9" w14:textId="7B16DF1F" w:rsidR="00E94486" w:rsidRPr="00874B0C" w:rsidRDefault="00E66962"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5.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Crypto-asset operator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means any person, other than a Crypto-Asset Service Provider referred to in point (ç) of this paragraph, that, as a business, carries out Exchange Transactions in Reportable Crypto-Assets for or on behalf of customers and that is subject to the single registration requirement under this Law;</w:t>
            </w:r>
          </w:p>
        </w:tc>
        <w:tc>
          <w:tcPr>
            <w:tcW w:w="1184" w:type="dxa"/>
          </w:tcPr>
          <w:p w14:paraId="0C109A9F"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74087557"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74E31665" w14:textId="77777777" w:rsidTr="00874B0C">
        <w:trPr>
          <w:trHeight w:val="764"/>
        </w:trPr>
        <w:tc>
          <w:tcPr>
            <w:tcW w:w="720" w:type="dxa"/>
          </w:tcPr>
          <w:p w14:paraId="7133449A"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56DBB6FD" w14:textId="02940ED3"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3. </w:t>
            </w:r>
            <w:r w:rsidR="009E71CE">
              <w:rPr>
                <w:rFonts w:eastAsia="Calibri"/>
                <w:iCs/>
                <w:sz w:val="18"/>
                <w:szCs w:val="18"/>
              </w:rPr>
              <w:t>“</w:t>
            </w:r>
            <w:r w:rsidRPr="00874B0C">
              <w:rPr>
                <w:rFonts w:eastAsia="Calibri"/>
                <w:iCs/>
                <w:sz w:val="18"/>
                <w:szCs w:val="18"/>
              </w:rPr>
              <w:t>Reporting Crypto-Asset Service Provider</w:t>
            </w:r>
            <w:r w:rsidR="009E71CE">
              <w:rPr>
                <w:rFonts w:eastAsia="Calibri"/>
                <w:iCs/>
                <w:sz w:val="18"/>
                <w:szCs w:val="18"/>
              </w:rPr>
              <w:t>”</w:t>
            </w:r>
            <w:r w:rsidRPr="00874B0C">
              <w:rPr>
                <w:rFonts w:eastAsia="Calibri"/>
                <w:iCs/>
                <w:sz w:val="18"/>
                <w:szCs w:val="18"/>
              </w:rPr>
              <w:t xml:space="preserve"> means any Crypto-Asset Service Provider and any Crypto-Asset Operator that conducts one or more Crypto-Asset Services effectuating Exchange Transactions for or on behalf of a Reportable User.</w:t>
            </w:r>
          </w:p>
        </w:tc>
        <w:tc>
          <w:tcPr>
            <w:tcW w:w="1080" w:type="dxa"/>
          </w:tcPr>
          <w:p w14:paraId="4607E93E"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388BC77D"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6570E9B0" w14:textId="3BAD80E1" w:rsidR="00E94486" w:rsidRPr="00874B0C" w:rsidRDefault="00E66962"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6.</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Reporting crypto-asset service provider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means any Crypto-Asset Service Provider or Crypto-Asset Operator that, as a business, carries out Exchange Transactions in Reportable Crypto-Assets for or on behalf of users and is subject to the reporting requirements and due diligence procedures set out in this Law;</w:t>
            </w:r>
          </w:p>
        </w:tc>
        <w:tc>
          <w:tcPr>
            <w:tcW w:w="1184" w:type="dxa"/>
          </w:tcPr>
          <w:p w14:paraId="37C1F8A1"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276BFD59"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180E42BC" w14:textId="77777777" w:rsidTr="00874B0C">
        <w:trPr>
          <w:trHeight w:val="764"/>
        </w:trPr>
        <w:tc>
          <w:tcPr>
            <w:tcW w:w="720" w:type="dxa"/>
          </w:tcPr>
          <w:p w14:paraId="46DF2371"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795F7E8A" w14:textId="64A075F6" w:rsidR="00E94486"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4. </w:t>
            </w:r>
            <w:r w:rsidR="009E71CE">
              <w:rPr>
                <w:rFonts w:eastAsia="Calibri"/>
                <w:iCs/>
                <w:sz w:val="18"/>
                <w:szCs w:val="18"/>
              </w:rPr>
              <w:t>“</w:t>
            </w:r>
            <w:r w:rsidRPr="00874B0C">
              <w:rPr>
                <w:rFonts w:eastAsia="Calibri"/>
                <w:iCs/>
                <w:sz w:val="18"/>
                <w:szCs w:val="18"/>
              </w:rPr>
              <w:t>Crypto-Asset Service</w:t>
            </w:r>
            <w:r w:rsidR="009E71CE">
              <w:rPr>
                <w:rFonts w:eastAsia="Calibri"/>
                <w:iCs/>
                <w:sz w:val="18"/>
                <w:szCs w:val="18"/>
              </w:rPr>
              <w:t>”</w:t>
            </w:r>
            <w:r w:rsidRPr="00874B0C">
              <w:rPr>
                <w:rFonts w:eastAsia="Calibri"/>
                <w:iCs/>
                <w:sz w:val="18"/>
                <w:szCs w:val="18"/>
              </w:rPr>
              <w:t xml:space="preserve"> means crypto-asset service as defined in Article 3(1), point (16), of Regulation (EU) 2023/1114, including staking and lending.</w:t>
            </w:r>
          </w:p>
        </w:tc>
        <w:tc>
          <w:tcPr>
            <w:tcW w:w="1080" w:type="dxa"/>
          </w:tcPr>
          <w:p w14:paraId="5F8661D4"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4163D8DC"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E833768" w14:textId="1E4D489E" w:rsidR="00E94486" w:rsidRPr="00874B0C" w:rsidRDefault="00625036"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7.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Crypto-Asset Service</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has the same meaning according to the definition in the legislation in force on crypto-asset markets;</w:t>
            </w:r>
          </w:p>
        </w:tc>
        <w:tc>
          <w:tcPr>
            <w:tcW w:w="1184" w:type="dxa"/>
          </w:tcPr>
          <w:p w14:paraId="7AF14F31"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167816C5"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14885FC1" w14:textId="77777777" w:rsidTr="00874B0C">
        <w:trPr>
          <w:trHeight w:val="764"/>
        </w:trPr>
        <w:tc>
          <w:tcPr>
            <w:tcW w:w="720" w:type="dxa"/>
          </w:tcPr>
          <w:p w14:paraId="7622DE7D"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15C728DF" w14:textId="77777777" w:rsidR="00DC3028" w:rsidRPr="00874B0C" w:rsidRDefault="00DC3028" w:rsidP="00874B0C">
            <w:pPr>
              <w:pStyle w:val="oj-ti-grseq-1"/>
              <w:shd w:val="clear" w:color="auto" w:fill="FFFFFF"/>
              <w:spacing w:before="240" w:after="120" w:line="276" w:lineRule="auto"/>
              <w:rPr>
                <w:rFonts w:eastAsia="Calibri"/>
                <w:iCs/>
                <w:sz w:val="18"/>
                <w:szCs w:val="18"/>
              </w:rPr>
            </w:pPr>
          </w:p>
          <w:p w14:paraId="2D96E0E4" w14:textId="34190C39" w:rsidR="00DC3028" w:rsidRPr="00874B0C" w:rsidRDefault="00DC3028"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Reportable Transaction</w:t>
            </w:r>
          </w:p>
          <w:p w14:paraId="57D66A84" w14:textId="4F57B44A" w:rsidR="00DC3028" w:rsidRPr="00874B0C" w:rsidRDefault="009E71CE" w:rsidP="00874B0C">
            <w:pPr>
              <w:pStyle w:val="oj-ti-grseq-1"/>
              <w:numPr>
                <w:ilvl w:val="0"/>
                <w:numId w:val="5"/>
              </w:numPr>
              <w:shd w:val="clear" w:color="auto" w:fill="FFFFFF"/>
              <w:spacing w:before="240" w:after="120" w:line="276" w:lineRule="auto"/>
              <w:rPr>
                <w:rFonts w:eastAsia="Calibri"/>
                <w:iCs/>
                <w:sz w:val="18"/>
                <w:szCs w:val="18"/>
              </w:rPr>
            </w:pPr>
            <w:r>
              <w:rPr>
                <w:rFonts w:eastAsia="Calibri"/>
                <w:iCs/>
                <w:sz w:val="18"/>
                <w:szCs w:val="18"/>
              </w:rPr>
              <w:t>“</w:t>
            </w:r>
            <w:r w:rsidR="00DC3028" w:rsidRPr="00874B0C">
              <w:rPr>
                <w:rFonts w:eastAsia="Calibri"/>
                <w:iCs/>
                <w:sz w:val="18"/>
                <w:szCs w:val="18"/>
              </w:rPr>
              <w:t>Reportable Transaction</w:t>
            </w:r>
            <w:r>
              <w:rPr>
                <w:rFonts w:eastAsia="Calibri"/>
                <w:iCs/>
                <w:sz w:val="18"/>
                <w:szCs w:val="18"/>
              </w:rPr>
              <w:t>”</w:t>
            </w:r>
            <w:r w:rsidR="00DC3028" w:rsidRPr="00874B0C">
              <w:rPr>
                <w:rFonts w:eastAsia="Calibri"/>
                <w:iCs/>
                <w:sz w:val="18"/>
                <w:szCs w:val="18"/>
              </w:rPr>
              <w:t xml:space="preserve"> means any:</w:t>
            </w:r>
          </w:p>
          <w:p w14:paraId="68A97DA9" w14:textId="4B8D6167" w:rsidR="00DC3028" w:rsidRPr="00874B0C" w:rsidRDefault="00DC3028" w:rsidP="00874B0C">
            <w:pPr>
              <w:pStyle w:val="oj-ti-grseq-1"/>
              <w:numPr>
                <w:ilvl w:val="0"/>
                <w:numId w:val="6"/>
              </w:numPr>
              <w:shd w:val="clear" w:color="auto" w:fill="FFFFFF"/>
              <w:spacing w:before="240" w:after="120" w:line="276" w:lineRule="auto"/>
              <w:rPr>
                <w:rFonts w:eastAsia="Calibri"/>
                <w:iCs/>
                <w:sz w:val="18"/>
                <w:szCs w:val="18"/>
              </w:rPr>
            </w:pPr>
            <w:r w:rsidRPr="00874B0C">
              <w:rPr>
                <w:rFonts w:eastAsia="Calibri"/>
                <w:iCs/>
                <w:sz w:val="18"/>
                <w:szCs w:val="18"/>
              </w:rPr>
              <w:t>Exchange Transaction; and</w:t>
            </w:r>
          </w:p>
          <w:p w14:paraId="32BE6A75" w14:textId="6ED30CE2" w:rsidR="00E94486" w:rsidRPr="00874B0C" w:rsidRDefault="00DC3028" w:rsidP="00874B0C">
            <w:pPr>
              <w:pStyle w:val="oj-ti-grseq-1"/>
              <w:numPr>
                <w:ilvl w:val="0"/>
                <w:numId w:val="6"/>
              </w:numPr>
              <w:shd w:val="clear" w:color="auto" w:fill="FFFFFF"/>
              <w:spacing w:before="240" w:after="120" w:line="276" w:lineRule="auto"/>
              <w:rPr>
                <w:rFonts w:eastAsia="Calibri"/>
                <w:iCs/>
                <w:sz w:val="18"/>
                <w:szCs w:val="18"/>
              </w:rPr>
            </w:pPr>
            <w:r w:rsidRPr="00874B0C">
              <w:rPr>
                <w:rFonts w:eastAsia="Calibri"/>
                <w:iCs/>
                <w:sz w:val="18"/>
                <w:szCs w:val="18"/>
              </w:rPr>
              <w:t xml:space="preserve">Transfer of Reportable Crypto-Assets. </w:t>
            </w:r>
          </w:p>
        </w:tc>
        <w:tc>
          <w:tcPr>
            <w:tcW w:w="1080" w:type="dxa"/>
          </w:tcPr>
          <w:p w14:paraId="4E06C685"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74FAC91C"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FF8D256" w14:textId="321EAA71" w:rsidR="00F83098" w:rsidRPr="00874B0C" w:rsidRDefault="00625036"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8.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Reportable transaction</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any:</w:t>
            </w:r>
          </w:p>
          <w:p w14:paraId="47A9F15A" w14:textId="680F3A54" w:rsidR="00F83098" w:rsidRPr="00874B0C" w:rsidRDefault="00A52FC2"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F83098" w:rsidRPr="00874B0C">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ab/>
              <w:t>exchange transaction; and</w:t>
            </w:r>
          </w:p>
          <w:p w14:paraId="54022D7C" w14:textId="6BE660E1" w:rsidR="00E94486" w:rsidRPr="00874B0C" w:rsidRDefault="00A52FC2"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F83098" w:rsidRPr="00874B0C">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ab/>
              <w:t>transfer of reportable crypto-assets.</w:t>
            </w:r>
          </w:p>
        </w:tc>
        <w:tc>
          <w:tcPr>
            <w:tcW w:w="1184" w:type="dxa"/>
          </w:tcPr>
          <w:p w14:paraId="7297C0B1"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42C82D8D" w14:textId="77777777" w:rsidR="00E94486" w:rsidRPr="00874B0C" w:rsidRDefault="00E94486" w:rsidP="00874B0C">
            <w:pPr>
              <w:spacing w:line="276" w:lineRule="auto"/>
              <w:rPr>
                <w:rFonts w:ascii="Times New Roman" w:eastAsia="Calibri" w:hAnsi="Times New Roman" w:cs="Times New Roman"/>
                <w:sz w:val="18"/>
                <w:szCs w:val="18"/>
              </w:rPr>
            </w:pPr>
          </w:p>
        </w:tc>
      </w:tr>
      <w:tr w:rsidR="00E94486" w:rsidRPr="00874B0C" w14:paraId="60E12AF2" w14:textId="77777777" w:rsidTr="00874B0C">
        <w:trPr>
          <w:trHeight w:val="764"/>
        </w:trPr>
        <w:tc>
          <w:tcPr>
            <w:tcW w:w="720" w:type="dxa"/>
          </w:tcPr>
          <w:p w14:paraId="4ECE274F" w14:textId="77777777" w:rsidR="00E94486" w:rsidRPr="00874B0C" w:rsidRDefault="00E94486" w:rsidP="00874B0C">
            <w:pPr>
              <w:spacing w:line="276" w:lineRule="auto"/>
              <w:jc w:val="center"/>
              <w:rPr>
                <w:rFonts w:ascii="Times New Roman" w:eastAsia="Calibri" w:hAnsi="Times New Roman" w:cs="Times New Roman"/>
                <w:i/>
                <w:sz w:val="18"/>
                <w:szCs w:val="18"/>
              </w:rPr>
            </w:pPr>
          </w:p>
        </w:tc>
        <w:tc>
          <w:tcPr>
            <w:tcW w:w="5220" w:type="dxa"/>
          </w:tcPr>
          <w:p w14:paraId="587E916C" w14:textId="15263DBE"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2. </w:t>
            </w:r>
            <w:r w:rsidR="009E71CE">
              <w:rPr>
                <w:rFonts w:eastAsia="Calibri"/>
                <w:iCs/>
                <w:sz w:val="18"/>
                <w:szCs w:val="18"/>
              </w:rPr>
              <w:t>“</w:t>
            </w:r>
            <w:r w:rsidRPr="00874B0C">
              <w:rPr>
                <w:rFonts w:eastAsia="Calibri"/>
                <w:iCs/>
                <w:sz w:val="18"/>
                <w:szCs w:val="18"/>
              </w:rPr>
              <w:t>Exchange Transaction</w:t>
            </w:r>
            <w:r w:rsidR="009E71CE">
              <w:rPr>
                <w:rFonts w:eastAsia="Calibri"/>
                <w:iCs/>
                <w:sz w:val="18"/>
                <w:szCs w:val="18"/>
              </w:rPr>
              <w:t>”</w:t>
            </w:r>
            <w:r w:rsidRPr="00874B0C">
              <w:rPr>
                <w:rFonts w:eastAsia="Calibri"/>
                <w:iCs/>
                <w:sz w:val="18"/>
                <w:szCs w:val="18"/>
              </w:rPr>
              <w:t xml:space="preserve"> means any:</w:t>
            </w:r>
          </w:p>
          <w:p w14:paraId="0B7E1EC5" w14:textId="37D74EE7"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exchange between Reportable Crypto-Assets and Fiat Currencies; and</w:t>
            </w:r>
          </w:p>
          <w:p w14:paraId="55C6E461" w14:textId="7301C7CC" w:rsidR="00E94486"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exchange between one or more forms of Reportable Crypto-Assets.</w:t>
            </w:r>
          </w:p>
        </w:tc>
        <w:tc>
          <w:tcPr>
            <w:tcW w:w="1080" w:type="dxa"/>
          </w:tcPr>
          <w:p w14:paraId="4A343F8B"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720" w:type="dxa"/>
          </w:tcPr>
          <w:p w14:paraId="51769D53" w14:textId="77777777" w:rsidR="00E94486" w:rsidRPr="00874B0C" w:rsidRDefault="00E94486" w:rsidP="00874B0C">
            <w:pPr>
              <w:spacing w:line="276" w:lineRule="auto"/>
              <w:jc w:val="center"/>
              <w:rPr>
                <w:rFonts w:ascii="Times New Roman" w:eastAsia="Times New Roman" w:hAnsi="Times New Roman" w:cs="Times New Roman"/>
                <w:sz w:val="18"/>
                <w:szCs w:val="18"/>
                <w:lang w:eastAsia="sq-AL"/>
              </w:rPr>
            </w:pPr>
          </w:p>
        </w:tc>
        <w:tc>
          <w:tcPr>
            <w:tcW w:w="3870" w:type="dxa"/>
          </w:tcPr>
          <w:p w14:paraId="06DFDE18" w14:textId="134CA807" w:rsidR="00F83098" w:rsidRPr="00874B0C" w:rsidRDefault="00625036"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9.</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Exchange transaction</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any:</w:t>
            </w:r>
          </w:p>
          <w:p w14:paraId="555803CD" w14:textId="55C7594C" w:rsidR="00F83098" w:rsidRPr="00874B0C" w:rsidRDefault="00A52FC2"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F83098" w:rsidRPr="00874B0C">
              <w:rPr>
                <w:rFonts w:ascii="Times New Roman" w:eastAsia="Times New Roman" w:hAnsi="Times New Roman" w:cs="Times New Roman"/>
                <w:sz w:val="18"/>
                <w:szCs w:val="18"/>
                <w:lang w:eastAsia="sq-AL"/>
              </w:rPr>
              <w:t>) exchange between reportable crypto-assets and fiat currencies; and</w:t>
            </w:r>
          </w:p>
          <w:p w14:paraId="4E7E4D39" w14:textId="0373F206" w:rsidR="00E94486" w:rsidRPr="00874B0C" w:rsidRDefault="00A52FC2"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F83098" w:rsidRPr="00874B0C">
              <w:rPr>
                <w:rFonts w:ascii="Times New Roman" w:eastAsia="Times New Roman" w:hAnsi="Times New Roman" w:cs="Times New Roman"/>
                <w:sz w:val="18"/>
                <w:szCs w:val="18"/>
                <w:lang w:eastAsia="sq-AL"/>
              </w:rPr>
              <w:t>) exchange between one or more forms of reportable crypto-assets.</w:t>
            </w:r>
          </w:p>
        </w:tc>
        <w:tc>
          <w:tcPr>
            <w:tcW w:w="1184" w:type="dxa"/>
          </w:tcPr>
          <w:p w14:paraId="5E6555E7" w14:textId="77777777" w:rsidR="00E94486" w:rsidRPr="00874B0C" w:rsidRDefault="00E94486" w:rsidP="00874B0C">
            <w:pPr>
              <w:spacing w:line="276" w:lineRule="auto"/>
              <w:jc w:val="center"/>
              <w:rPr>
                <w:rFonts w:ascii="Times New Roman" w:eastAsia="Calibri" w:hAnsi="Times New Roman" w:cs="Times New Roman"/>
                <w:sz w:val="18"/>
                <w:szCs w:val="18"/>
              </w:rPr>
            </w:pPr>
          </w:p>
        </w:tc>
        <w:tc>
          <w:tcPr>
            <w:tcW w:w="3406" w:type="dxa"/>
          </w:tcPr>
          <w:p w14:paraId="709D62B8" w14:textId="77777777" w:rsidR="00E94486" w:rsidRPr="00874B0C" w:rsidRDefault="00E94486" w:rsidP="00874B0C">
            <w:pPr>
              <w:spacing w:line="276" w:lineRule="auto"/>
              <w:rPr>
                <w:rFonts w:ascii="Times New Roman" w:eastAsia="Calibri" w:hAnsi="Times New Roman" w:cs="Times New Roman"/>
                <w:sz w:val="18"/>
                <w:szCs w:val="18"/>
              </w:rPr>
            </w:pPr>
          </w:p>
        </w:tc>
      </w:tr>
      <w:tr w:rsidR="00DC3028" w:rsidRPr="00874B0C" w14:paraId="55DB40BF" w14:textId="77777777" w:rsidTr="00874B0C">
        <w:trPr>
          <w:trHeight w:val="764"/>
        </w:trPr>
        <w:tc>
          <w:tcPr>
            <w:tcW w:w="720" w:type="dxa"/>
          </w:tcPr>
          <w:p w14:paraId="40E9C452"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631D5C46" w14:textId="551FD5B0"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3. </w:t>
            </w:r>
            <w:r w:rsidR="009E71CE">
              <w:rPr>
                <w:rFonts w:eastAsia="Calibri"/>
                <w:iCs/>
                <w:sz w:val="18"/>
                <w:szCs w:val="18"/>
              </w:rPr>
              <w:t>“</w:t>
            </w:r>
            <w:r w:rsidRPr="00874B0C">
              <w:rPr>
                <w:rFonts w:eastAsia="Calibri"/>
                <w:iCs/>
                <w:sz w:val="18"/>
                <w:szCs w:val="18"/>
              </w:rPr>
              <w:t>Reportable Retail Payment Transaction</w:t>
            </w:r>
            <w:r w:rsidR="009E71CE">
              <w:rPr>
                <w:rFonts w:eastAsia="Calibri"/>
                <w:iCs/>
                <w:sz w:val="18"/>
                <w:szCs w:val="18"/>
              </w:rPr>
              <w:t>”</w:t>
            </w:r>
            <w:r w:rsidRPr="00874B0C">
              <w:rPr>
                <w:rFonts w:eastAsia="Calibri"/>
                <w:iCs/>
                <w:sz w:val="18"/>
                <w:szCs w:val="18"/>
              </w:rPr>
              <w:t xml:space="preserve"> means a Transfer of Reportable Crypto-Assets in consideration of goods or services for a value exceeding USD 50 000 (or the equivalent amount in any other currency).</w:t>
            </w:r>
          </w:p>
        </w:tc>
        <w:tc>
          <w:tcPr>
            <w:tcW w:w="1080" w:type="dxa"/>
          </w:tcPr>
          <w:p w14:paraId="7869C524"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0CBCDC82"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4642664" w14:textId="2067CCF4" w:rsidR="00DC3028" w:rsidRPr="00874B0C" w:rsidRDefault="00625036"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10.</w:t>
            </w:r>
            <w:r w:rsidR="00F83098" w:rsidRPr="00874B0C">
              <w:rPr>
                <w:rFonts w:ascii="Times New Roman" w:eastAsia="Times New Roman" w:hAnsi="Times New Roman" w:cs="Times New Roman"/>
                <w:sz w:val="18"/>
                <w:szCs w:val="18"/>
                <w:lang w:eastAsia="sq-AL"/>
              </w:rPr>
              <w:tab/>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Reportable retail payment transaction</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 transfer of reportable crypto-assets, carried out as payment for goods or services, with a value over 50 000 USD or the equivalent of this amount in any other currency.</w:t>
            </w:r>
          </w:p>
        </w:tc>
        <w:tc>
          <w:tcPr>
            <w:tcW w:w="1184" w:type="dxa"/>
          </w:tcPr>
          <w:p w14:paraId="5121A8E3"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1358EF26"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6E6F58DC" w14:textId="77777777" w:rsidTr="00874B0C">
        <w:trPr>
          <w:trHeight w:val="764"/>
        </w:trPr>
        <w:tc>
          <w:tcPr>
            <w:tcW w:w="720" w:type="dxa"/>
          </w:tcPr>
          <w:p w14:paraId="574FC537"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2A4DA30D" w14:textId="091A215A"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4. </w:t>
            </w:r>
            <w:r w:rsidR="009E71CE">
              <w:rPr>
                <w:rFonts w:eastAsia="Calibri"/>
                <w:iCs/>
                <w:sz w:val="18"/>
                <w:szCs w:val="18"/>
              </w:rPr>
              <w:t>“</w:t>
            </w:r>
            <w:r w:rsidRPr="00874B0C">
              <w:rPr>
                <w:rFonts w:eastAsia="Calibri"/>
                <w:iCs/>
                <w:sz w:val="18"/>
                <w:szCs w:val="18"/>
              </w:rPr>
              <w:t>Transfer</w:t>
            </w:r>
            <w:r w:rsidR="009E71CE">
              <w:rPr>
                <w:rFonts w:eastAsia="Calibri"/>
                <w:iCs/>
                <w:sz w:val="18"/>
                <w:szCs w:val="18"/>
              </w:rPr>
              <w:t>”</w:t>
            </w:r>
            <w:r w:rsidRPr="00874B0C">
              <w:rPr>
                <w:rFonts w:eastAsia="Calibri"/>
                <w:iCs/>
                <w:sz w:val="18"/>
                <w:szCs w:val="18"/>
              </w:rPr>
              <w:t xml:space="preserve"> means a transaction that moves a Reportable Crypto-Asset from or to the Crypto-Asset address or account of one Crypto-Asset User, other than one maintained by the Reporting Crypto-Asset Service Provider on behalf of the same Crypto-Asset User, where, based on the knowledge available to the Reporting Crypto-Asset Service Provider at the time of transaction, the Reporting Crypto-Asset Service Provider cannot determine that the transaction is an Exchange Transaction.</w:t>
            </w:r>
          </w:p>
        </w:tc>
        <w:tc>
          <w:tcPr>
            <w:tcW w:w="1080" w:type="dxa"/>
          </w:tcPr>
          <w:p w14:paraId="7F74FBEA"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45F14A2D"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54B77816" w14:textId="2D1F0592" w:rsidR="00DC3028" w:rsidRPr="00874B0C" w:rsidRDefault="004B21D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11.</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Transfer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 transaction that moves a reportable crypto-asset from or to the crypto-asset address or account of a crypto-asset user, except for an address or account held by the Reporting Crypto-Asset Service Provider on behalf of the same crypto-asset user, when, based on the information available to the Reporting Crypto-Asset Service Provider of the Crypto-Assets at the time of the transaction, the Reporting Crypto-Asset Service Provider cannot determine that the transaction is an exchange transaction.</w:t>
            </w:r>
          </w:p>
        </w:tc>
        <w:tc>
          <w:tcPr>
            <w:tcW w:w="1184" w:type="dxa"/>
          </w:tcPr>
          <w:p w14:paraId="1D86D8B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935579F"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4CA6E78F" w14:textId="77777777" w:rsidTr="00874B0C">
        <w:trPr>
          <w:trHeight w:val="764"/>
        </w:trPr>
        <w:tc>
          <w:tcPr>
            <w:tcW w:w="720" w:type="dxa"/>
          </w:tcPr>
          <w:p w14:paraId="40B0D18E"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5A640223" w14:textId="42AD7AF1"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5. </w:t>
            </w:r>
            <w:r w:rsidR="009E71CE">
              <w:rPr>
                <w:rFonts w:eastAsia="Calibri"/>
                <w:iCs/>
                <w:sz w:val="18"/>
                <w:szCs w:val="18"/>
              </w:rPr>
              <w:t>“</w:t>
            </w:r>
            <w:r w:rsidRPr="00874B0C">
              <w:rPr>
                <w:rFonts w:eastAsia="Calibri"/>
                <w:iCs/>
                <w:sz w:val="18"/>
                <w:szCs w:val="18"/>
              </w:rPr>
              <w:t>Fiat Currency</w:t>
            </w:r>
            <w:r w:rsidR="009E71CE">
              <w:rPr>
                <w:rFonts w:eastAsia="Calibri"/>
                <w:iCs/>
                <w:sz w:val="18"/>
                <w:szCs w:val="18"/>
              </w:rPr>
              <w:t>”</w:t>
            </w:r>
            <w:r w:rsidRPr="00874B0C">
              <w:rPr>
                <w:rFonts w:eastAsia="Calibri"/>
                <w:iCs/>
                <w:sz w:val="18"/>
                <w:szCs w:val="18"/>
              </w:rPr>
              <w:t xml:space="preserve"> means the official currency of a jurisdiction, issued by a jurisdiction or by a jurisdiction’s designated Central Bank or monetary authority, as represented by physical banknotes or coins or by money in different digital forms, including bank reserves and Central Bank Digital Currencies. The term also includes commercial bank money and electronic money products (Electronic Money).</w:t>
            </w:r>
          </w:p>
        </w:tc>
        <w:tc>
          <w:tcPr>
            <w:tcW w:w="1080" w:type="dxa"/>
          </w:tcPr>
          <w:p w14:paraId="49B2D27B"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6C418362"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85A4A7A" w14:textId="31759367" w:rsidR="00DC3028" w:rsidRPr="00874B0C" w:rsidRDefault="004B21D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12.</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Fiat currency</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the official currency of a jurisdiction, issued by a jurisdiction or by the designated Central Bank of a jurisdiction or monetary authority, as represented by physical banknotes or coins or by money in various digital forms, including bank reserves and Central Bank Digital Currencies. The term also includes commercial bank money and electronic money products.</w:t>
            </w:r>
          </w:p>
        </w:tc>
        <w:tc>
          <w:tcPr>
            <w:tcW w:w="1184" w:type="dxa"/>
          </w:tcPr>
          <w:p w14:paraId="2AE7F82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20287F43"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7C4C99DF" w14:textId="77777777" w:rsidTr="00874B0C">
        <w:trPr>
          <w:trHeight w:val="764"/>
        </w:trPr>
        <w:tc>
          <w:tcPr>
            <w:tcW w:w="720" w:type="dxa"/>
          </w:tcPr>
          <w:p w14:paraId="3A0E37F5"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2A411C77" w14:textId="5E905CA1"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Reportable User</w:t>
            </w:r>
          </w:p>
          <w:p w14:paraId="4E859821" w14:textId="5EAE5399"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 </w:t>
            </w:r>
            <w:r w:rsidR="009E71CE">
              <w:rPr>
                <w:rFonts w:eastAsia="Calibri"/>
                <w:iCs/>
                <w:sz w:val="18"/>
                <w:szCs w:val="18"/>
              </w:rPr>
              <w:t>“</w:t>
            </w:r>
            <w:r w:rsidRPr="00874B0C">
              <w:rPr>
                <w:rFonts w:eastAsia="Calibri"/>
                <w:iCs/>
                <w:sz w:val="18"/>
                <w:szCs w:val="18"/>
              </w:rPr>
              <w:t>Reportable User</w:t>
            </w:r>
            <w:r w:rsidR="009E71CE">
              <w:rPr>
                <w:rFonts w:eastAsia="Calibri"/>
                <w:iCs/>
                <w:sz w:val="18"/>
                <w:szCs w:val="18"/>
              </w:rPr>
              <w:t>”</w:t>
            </w:r>
            <w:r w:rsidRPr="00874B0C">
              <w:rPr>
                <w:rFonts w:eastAsia="Calibri"/>
                <w:iCs/>
                <w:sz w:val="18"/>
                <w:szCs w:val="18"/>
              </w:rPr>
              <w:t xml:space="preserve"> means a Crypto-Asset User that is a Reportable Person resident in a Member State.</w:t>
            </w:r>
          </w:p>
        </w:tc>
        <w:tc>
          <w:tcPr>
            <w:tcW w:w="1080" w:type="dxa"/>
          </w:tcPr>
          <w:p w14:paraId="762A19EE"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4831A789"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3F51826" w14:textId="20FA0BE1" w:rsidR="00DC3028" w:rsidRPr="00874B0C" w:rsidRDefault="004B21D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13.</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Reportable User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 crypto-asset user who is a Reportable Person resident in a Member State.</w:t>
            </w:r>
          </w:p>
        </w:tc>
        <w:tc>
          <w:tcPr>
            <w:tcW w:w="1184" w:type="dxa"/>
          </w:tcPr>
          <w:p w14:paraId="5CAC3A6D"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64A5285"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25E1A4EA" w14:textId="77777777" w:rsidTr="00874B0C">
        <w:trPr>
          <w:trHeight w:val="764"/>
        </w:trPr>
        <w:tc>
          <w:tcPr>
            <w:tcW w:w="720" w:type="dxa"/>
          </w:tcPr>
          <w:p w14:paraId="21B7ECE2"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28077118" w14:textId="550A2BF7"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2.  </w:t>
            </w:r>
            <w:r w:rsidR="009E71CE">
              <w:rPr>
                <w:rFonts w:eastAsia="Calibri"/>
                <w:iCs/>
                <w:sz w:val="18"/>
                <w:szCs w:val="18"/>
              </w:rPr>
              <w:t>“</w:t>
            </w:r>
            <w:r w:rsidRPr="00874B0C">
              <w:rPr>
                <w:rFonts w:eastAsia="Calibri"/>
                <w:iCs/>
                <w:sz w:val="18"/>
                <w:szCs w:val="18"/>
              </w:rPr>
              <w:t>Crypto-Asset User</w:t>
            </w:r>
            <w:r w:rsidR="009E71CE">
              <w:rPr>
                <w:rFonts w:eastAsia="Calibri"/>
                <w:iCs/>
                <w:sz w:val="18"/>
                <w:szCs w:val="18"/>
              </w:rPr>
              <w:t>”</w:t>
            </w:r>
            <w:r w:rsidRPr="00874B0C">
              <w:rPr>
                <w:rFonts w:eastAsia="Calibri"/>
                <w:iCs/>
                <w:sz w:val="18"/>
                <w:szCs w:val="18"/>
              </w:rPr>
              <w:t xml:space="preserve"> means an individual or Entity that is a customer of a Reporting Crypto-Asset Service Provider for the purpose of carrying out Reportable Transactions. An individual or Entity, other than a Financial Institution or a Reporting Crypto-Asset Service Provider, acting as a Crypto-Asset User for the benefit or account of another individual or Entity as agent, custodian, nominee, signatory, investment advisor, or intermediary, is not treated as a Crypto-Asset User, and such other individual or Entity is treated as the Crypto-Asset User. Where a Reporting Crypto-Asset Service Provider provides a service effectuating Reportable Retail Payment Transactions for or on behalf of a merchant, the Reporting Crypto-Asset Service Provider shall also treat the customer that is the counterparty to the merchant for such Reportable Retail Payment Transactions as the Crypto-Asset User with respect to such Reportable Retail Payment Transaction, provided that the Reporting Crypto-Asset Service Provider is required to verify the identity of such customer by virtue of the Reportable Retail Payment Transaction pursuant to domestic anti-money laundering rules.</w:t>
            </w:r>
          </w:p>
        </w:tc>
        <w:tc>
          <w:tcPr>
            <w:tcW w:w="1080" w:type="dxa"/>
          </w:tcPr>
          <w:p w14:paraId="408A7B23"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1BA2CA41"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F35DF9A" w14:textId="254BE0D9" w:rsidR="00DC3028" w:rsidRPr="00874B0C" w:rsidRDefault="004B21D9"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14.</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Crypto-Asset User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an individual or an entity that is a client of a reporting provider of crypto-asset services for the purposes of carrying out reportable transactions. An individual or entity other than a financial institution or than a reporting provider of crypto-asset services which acts as a user of crypto-assets for the benefit or on behalf of an individual or entity in the capacity of legal guardian or legal representative, investment adviser or intermediary, is not treated as a user of crypto-assets, and that other individual or entity is treated as a user of crypto-assets. Where a reporting provider of crypto-asset services provides a service through carrying out reportable retail payment transactions on behalf of a merchant, the reporting provider of crypto-asset services, for that reportable retail payment transaction shall also treat the client that is the other party of the merchant as a user of crypto-assets, provided that the reporting provider of crypto-asset services verifies the identity of that client by means of the reportable retail payment transaction in accordance with domestic anti-money laundering regulations.</w:t>
            </w:r>
          </w:p>
        </w:tc>
        <w:tc>
          <w:tcPr>
            <w:tcW w:w="1184" w:type="dxa"/>
          </w:tcPr>
          <w:p w14:paraId="60CFF56E"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250758AD"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1B8FB6DD" w14:textId="77777777" w:rsidTr="00874B0C">
        <w:trPr>
          <w:trHeight w:val="764"/>
        </w:trPr>
        <w:tc>
          <w:tcPr>
            <w:tcW w:w="720" w:type="dxa"/>
          </w:tcPr>
          <w:p w14:paraId="5C806419"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448CEAAC" w14:textId="37CD72A3"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3.  </w:t>
            </w:r>
            <w:r w:rsidR="009E71CE">
              <w:rPr>
                <w:rFonts w:eastAsia="Calibri"/>
                <w:iCs/>
                <w:sz w:val="18"/>
                <w:szCs w:val="18"/>
              </w:rPr>
              <w:t>“</w:t>
            </w:r>
            <w:r w:rsidRPr="00874B0C">
              <w:rPr>
                <w:rFonts w:eastAsia="Calibri"/>
                <w:iCs/>
                <w:sz w:val="18"/>
                <w:szCs w:val="18"/>
              </w:rPr>
              <w:t>Individual Crypto-Asset User</w:t>
            </w:r>
            <w:r w:rsidR="009E71CE">
              <w:rPr>
                <w:rFonts w:eastAsia="Calibri"/>
                <w:iCs/>
                <w:sz w:val="18"/>
                <w:szCs w:val="18"/>
              </w:rPr>
              <w:t>”</w:t>
            </w:r>
            <w:r w:rsidRPr="00874B0C">
              <w:rPr>
                <w:rFonts w:eastAsia="Calibri"/>
                <w:iCs/>
                <w:sz w:val="18"/>
                <w:szCs w:val="18"/>
              </w:rPr>
              <w:t xml:space="preserve"> means a Crypto-Asset User that is an individual.</w:t>
            </w:r>
          </w:p>
        </w:tc>
        <w:tc>
          <w:tcPr>
            <w:tcW w:w="1080" w:type="dxa"/>
          </w:tcPr>
          <w:p w14:paraId="6D13AF49"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27386574"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998D634" w14:textId="25B390A7" w:rsidR="00DC3028" w:rsidRPr="00874B0C" w:rsidRDefault="00776B9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15.</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Individual Crypto-Asset User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means a crypto-asset user who is an individual.</w:t>
            </w:r>
          </w:p>
        </w:tc>
        <w:tc>
          <w:tcPr>
            <w:tcW w:w="1184" w:type="dxa"/>
          </w:tcPr>
          <w:p w14:paraId="375E522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38832E30"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2F91F9FE" w14:textId="77777777" w:rsidTr="00874B0C">
        <w:trPr>
          <w:trHeight w:val="764"/>
        </w:trPr>
        <w:tc>
          <w:tcPr>
            <w:tcW w:w="720" w:type="dxa"/>
          </w:tcPr>
          <w:p w14:paraId="73670470"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522239D1" w14:textId="7770BB72"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4. </w:t>
            </w:r>
            <w:r w:rsidR="009E71CE">
              <w:rPr>
                <w:rFonts w:eastAsia="Calibri"/>
                <w:iCs/>
                <w:sz w:val="18"/>
                <w:szCs w:val="18"/>
              </w:rPr>
              <w:t>“</w:t>
            </w:r>
            <w:r w:rsidRPr="00874B0C">
              <w:rPr>
                <w:rFonts w:eastAsia="Calibri"/>
                <w:iCs/>
                <w:sz w:val="18"/>
                <w:szCs w:val="18"/>
              </w:rPr>
              <w:t>Pre-existing Individual Crypto-Asset User</w:t>
            </w:r>
            <w:r w:rsidR="009E71CE">
              <w:rPr>
                <w:rFonts w:eastAsia="Calibri"/>
                <w:iCs/>
                <w:sz w:val="18"/>
                <w:szCs w:val="18"/>
              </w:rPr>
              <w:t>”</w:t>
            </w:r>
            <w:r w:rsidRPr="00874B0C">
              <w:rPr>
                <w:rFonts w:eastAsia="Calibri"/>
                <w:iCs/>
                <w:sz w:val="18"/>
                <w:szCs w:val="18"/>
              </w:rPr>
              <w:t xml:space="preserve"> means an Individual Crypto-Asset User that has established a relationship with the Reporting Crypto-Asset Service Provider as of 31 December 2025.</w:t>
            </w:r>
          </w:p>
        </w:tc>
        <w:tc>
          <w:tcPr>
            <w:tcW w:w="1080" w:type="dxa"/>
          </w:tcPr>
          <w:p w14:paraId="0610EDF5"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52857A1D"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65AA8785" w14:textId="19181AB3" w:rsidR="00DC3028" w:rsidRPr="00874B0C" w:rsidRDefault="00776B9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16.</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Pre-existing Individual Crypto-Asset User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is an Individual Crypto-Asset User that established a relationship with a Reporting Crypto-Asset Service Provider on or before 31 December of the year preceding the entry into effect of this Law.</w:t>
            </w:r>
          </w:p>
        </w:tc>
        <w:tc>
          <w:tcPr>
            <w:tcW w:w="1184" w:type="dxa"/>
          </w:tcPr>
          <w:p w14:paraId="5A1DE31D"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479EBBA8"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3E67C3EC" w14:textId="77777777" w:rsidTr="00874B0C">
        <w:trPr>
          <w:trHeight w:val="764"/>
        </w:trPr>
        <w:tc>
          <w:tcPr>
            <w:tcW w:w="720" w:type="dxa"/>
          </w:tcPr>
          <w:p w14:paraId="0E305693"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6F75FBF3" w14:textId="11C5E571"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5. </w:t>
            </w:r>
            <w:r w:rsidR="009E71CE">
              <w:rPr>
                <w:rFonts w:eastAsia="Calibri"/>
                <w:iCs/>
                <w:sz w:val="18"/>
                <w:szCs w:val="18"/>
              </w:rPr>
              <w:t>“</w:t>
            </w:r>
            <w:r w:rsidRPr="00874B0C">
              <w:rPr>
                <w:rFonts w:eastAsia="Calibri"/>
                <w:iCs/>
                <w:sz w:val="18"/>
                <w:szCs w:val="18"/>
              </w:rPr>
              <w:t>Entity Crypto-Asset User</w:t>
            </w:r>
            <w:r w:rsidR="009E71CE">
              <w:rPr>
                <w:rFonts w:eastAsia="Calibri"/>
                <w:iCs/>
                <w:sz w:val="18"/>
                <w:szCs w:val="18"/>
              </w:rPr>
              <w:t>”</w:t>
            </w:r>
            <w:r w:rsidRPr="00874B0C">
              <w:rPr>
                <w:rFonts w:eastAsia="Calibri"/>
                <w:iCs/>
                <w:sz w:val="18"/>
                <w:szCs w:val="18"/>
              </w:rPr>
              <w:t xml:space="preserve"> means a Crypto-Asset User that is an Entity.</w:t>
            </w:r>
          </w:p>
        </w:tc>
        <w:tc>
          <w:tcPr>
            <w:tcW w:w="1080" w:type="dxa"/>
          </w:tcPr>
          <w:p w14:paraId="1C4F7C1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30590821"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6299982D" w14:textId="13A51D18" w:rsidR="00DC3028" w:rsidRPr="00874B0C" w:rsidRDefault="00776B9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17.</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Entity Crypto-Asset User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means a crypto-asset user that is an entity.</w:t>
            </w:r>
          </w:p>
        </w:tc>
        <w:tc>
          <w:tcPr>
            <w:tcW w:w="1184" w:type="dxa"/>
          </w:tcPr>
          <w:p w14:paraId="396FED69"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15F3A0AD"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32D6D6EC" w14:textId="77777777" w:rsidTr="00874B0C">
        <w:trPr>
          <w:trHeight w:val="764"/>
        </w:trPr>
        <w:tc>
          <w:tcPr>
            <w:tcW w:w="720" w:type="dxa"/>
          </w:tcPr>
          <w:p w14:paraId="2DD3FB9E"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3868AFCB" w14:textId="29F2BB38"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6. </w:t>
            </w:r>
            <w:r w:rsidR="009E71CE">
              <w:rPr>
                <w:rFonts w:eastAsia="Calibri"/>
                <w:iCs/>
                <w:sz w:val="18"/>
                <w:szCs w:val="18"/>
              </w:rPr>
              <w:t>“</w:t>
            </w:r>
            <w:r w:rsidRPr="00874B0C">
              <w:rPr>
                <w:rFonts w:eastAsia="Calibri"/>
                <w:iCs/>
                <w:sz w:val="18"/>
                <w:szCs w:val="18"/>
              </w:rPr>
              <w:t>Pre-existing Entity Crypto-Asset User</w:t>
            </w:r>
            <w:r w:rsidR="009E71CE">
              <w:rPr>
                <w:rFonts w:eastAsia="Calibri"/>
                <w:iCs/>
                <w:sz w:val="18"/>
                <w:szCs w:val="18"/>
              </w:rPr>
              <w:t>”</w:t>
            </w:r>
            <w:r w:rsidRPr="00874B0C">
              <w:rPr>
                <w:rFonts w:eastAsia="Calibri"/>
                <w:iCs/>
                <w:sz w:val="18"/>
                <w:szCs w:val="18"/>
              </w:rPr>
              <w:t xml:space="preserve"> means an Entity Crypto-Asset User that has established a relationship with the Reporting Crypto-Asset Service Provider as of 31 December 2025.</w:t>
            </w:r>
          </w:p>
        </w:tc>
        <w:tc>
          <w:tcPr>
            <w:tcW w:w="1080" w:type="dxa"/>
          </w:tcPr>
          <w:p w14:paraId="232CDEF5"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0B72192D"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33C815B" w14:textId="57234881" w:rsidR="00DC3028" w:rsidRPr="00874B0C" w:rsidRDefault="00776B9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18.</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Pre-existing crypto-asset entity user</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means a Pre-existing crypto-asset entity user that has established a relationship with the Reporting Provider of Crypto-Asset Services by 31 December of the year before the commencement of the effects of this Law.</w:t>
            </w:r>
          </w:p>
        </w:tc>
        <w:tc>
          <w:tcPr>
            <w:tcW w:w="1184" w:type="dxa"/>
          </w:tcPr>
          <w:p w14:paraId="333B47C4"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043CFD87"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3ABC9B98" w14:textId="77777777" w:rsidTr="00874B0C">
        <w:trPr>
          <w:trHeight w:val="764"/>
        </w:trPr>
        <w:tc>
          <w:tcPr>
            <w:tcW w:w="720" w:type="dxa"/>
          </w:tcPr>
          <w:p w14:paraId="76FFDC05"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50A8A62C" w14:textId="5A366E68"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7. </w:t>
            </w:r>
            <w:r w:rsidR="009E71CE">
              <w:rPr>
                <w:rFonts w:eastAsia="Calibri"/>
                <w:iCs/>
                <w:sz w:val="18"/>
                <w:szCs w:val="18"/>
              </w:rPr>
              <w:t>“</w:t>
            </w:r>
            <w:r w:rsidRPr="00874B0C">
              <w:rPr>
                <w:rFonts w:eastAsia="Calibri"/>
                <w:iCs/>
                <w:sz w:val="18"/>
                <w:szCs w:val="18"/>
              </w:rPr>
              <w:t>Reportable Person</w:t>
            </w:r>
            <w:r w:rsidR="009E71CE">
              <w:rPr>
                <w:rFonts w:eastAsia="Calibri"/>
                <w:iCs/>
                <w:sz w:val="18"/>
                <w:szCs w:val="18"/>
              </w:rPr>
              <w:t>”</w:t>
            </w:r>
            <w:r w:rsidRPr="00874B0C">
              <w:rPr>
                <w:rFonts w:eastAsia="Calibri"/>
                <w:iCs/>
                <w:sz w:val="18"/>
                <w:szCs w:val="18"/>
              </w:rPr>
              <w:t xml:space="preserve"> means a Member State Person other than an Excluded Person.</w:t>
            </w:r>
          </w:p>
        </w:tc>
        <w:tc>
          <w:tcPr>
            <w:tcW w:w="1080" w:type="dxa"/>
          </w:tcPr>
          <w:p w14:paraId="70FBD7A6"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088CEA34"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10179C6" w14:textId="163ECB07" w:rsidR="00DC3028" w:rsidRPr="00874B0C" w:rsidRDefault="00776B9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19.</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Reportable Person</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means a person of a Member State other than an excluded person.</w:t>
            </w:r>
          </w:p>
        </w:tc>
        <w:tc>
          <w:tcPr>
            <w:tcW w:w="1184" w:type="dxa"/>
          </w:tcPr>
          <w:p w14:paraId="50A97333"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0FB5564E"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117B5698" w14:textId="77777777" w:rsidTr="00874B0C">
        <w:trPr>
          <w:trHeight w:val="764"/>
        </w:trPr>
        <w:tc>
          <w:tcPr>
            <w:tcW w:w="720" w:type="dxa"/>
          </w:tcPr>
          <w:p w14:paraId="70A9E4F7"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40C1D443" w14:textId="78630ECE"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8. </w:t>
            </w:r>
            <w:r w:rsidR="009E71CE">
              <w:rPr>
                <w:rFonts w:eastAsia="Calibri"/>
                <w:iCs/>
                <w:sz w:val="18"/>
                <w:szCs w:val="18"/>
              </w:rPr>
              <w:t>“</w:t>
            </w:r>
            <w:r w:rsidRPr="00874B0C">
              <w:rPr>
                <w:rFonts w:eastAsia="Calibri"/>
                <w:iCs/>
                <w:sz w:val="18"/>
                <w:szCs w:val="18"/>
              </w:rPr>
              <w:t>Member State Person</w:t>
            </w:r>
            <w:r w:rsidR="009E71CE">
              <w:rPr>
                <w:rFonts w:eastAsia="Calibri"/>
                <w:iCs/>
                <w:sz w:val="18"/>
                <w:szCs w:val="18"/>
              </w:rPr>
              <w:t>”</w:t>
            </w:r>
            <w:r w:rsidRPr="00874B0C">
              <w:rPr>
                <w:rFonts w:eastAsia="Calibri"/>
                <w:iCs/>
                <w:sz w:val="18"/>
                <w:szCs w:val="18"/>
              </w:rPr>
              <w:t xml:space="preserve"> with regard to each Member State means an Entity or individual that is resident in any Member State under the tax laws of that Member State, or an estate of a decedent that was a resident of any Member State. For that purpose, an Entity such as a partnership, limited liability partnership or similar legal arrangement that has no residence for tax purposes shall be treated as resident in the jurisdiction in which its place of effective management is situated.</w:t>
            </w:r>
          </w:p>
        </w:tc>
        <w:tc>
          <w:tcPr>
            <w:tcW w:w="1080" w:type="dxa"/>
          </w:tcPr>
          <w:p w14:paraId="66F8E3FB"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754F059F"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397A51C" w14:textId="266572B7" w:rsidR="00DC3028" w:rsidRPr="00874B0C" w:rsidRDefault="00776B9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20.</w:t>
            </w:r>
            <w:r w:rsidR="00F83098"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Person of a Member State</w:t>
            </w:r>
            <w:r w:rsidR="009E71CE">
              <w:rPr>
                <w:rFonts w:ascii="Times New Roman" w:eastAsia="Times New Roman" w:hAnsi="Times New Roman" w:cs="Times New Roman"/>
                <w:sz w:val="18"/>
                <w:szCs w:val="18"/>
                <w:lang w:eastAsia="sq-AL"/>
              </w:rPr>
              <w:t>”</w:t>
            </w:r>
            <w:r w:rsidR="00F83098" w:rsidRPr="00874B0C">
              <w:rPr>
                <w:rFonts w:ascii="Times New Roman" w:eastAsia="Times New Roman" w:hAnsi="Times New Roman" w:cs="Times New Roman"/>
                <w:sz w:val="18"/>
                <w:szCs w:val="18"/>
                <w:lang w:eastAsia="sq-AL"/>
              </w:rPr>
              <w:t xml:space="preserve"> with respect to each Member State, means an Entity or an individual that is resident in a Member State for tax purposes under the laws of that Member State, or the estate of a deceased person who was a resident of a Member State. For this purpose, an Entity, such as a partnership, limited liability partnership or a similar legal arrangement that has no residence for tax purposes, shall be treated as resident in the jurisdiction in which its place of effective management is situated.</w:t>
            </w:r>
          </w:p>
        </w:tc>
        <w:tc>
          <w:tcPr>
            <w:tcW w:w="1184" w:type="dxa"/>
          </w:tcPr>
          <w:p w14:paraId="1BA62939"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0882189"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1DDCD82B" w14:textId="77777777" w:rsidTr="00874B0C">
        <w:trPr>
          <w:trHeight w:val="764"/>
        </w:trPr>
        <w:tc>
          <w:tcPr>
            <w:tcW w:w="720" w:type="dxa"/>
          </w:tcPr>
          <w:p w14:paraId="43B5C62F"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2F80BF0F" w14:textId="38F70628"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9. </w:t>
            </w:r>
            <w:r w:rsidR="009E71CE">
              <w:rPr>
                <w:rFonts w:eastAsia="Calibri"/>
                <w:iCs/>
                <w:sz w:val="18"/>
                <w:szCs w:val="18"/>
              </w:rPr>
              <w:t>“</w:t>
            </w:r>
            <w:r w:rsidRPr="00874B0C">
              <w:rPr>
                <w:rFonts w:eastAsia="Calibri"/>
                <w:iCs/>
                <w:sz w:val="18"/>
                <w:szCs w:val="18"/>
              </w:rPr>
              <w:t>Controlling Persons</w:t>
            </w:r>
            <w:r w:rsidR="009E71CE">
              <w:rPr>
                <w:rFonts w:eastAsia="Calibri"/>
                <w:iCs/>
                <w:sz w:val="18"/>
                <w:szCs w:val="18"/>
              </w:rPr>
              <w:t>”</w:t>
            </w:r>
            <w:r w:rsidRPr="00874B0C">
              <w:rPr>
                <w:rFonts w:eastAsia="Calibri"/>
                <w:iCs/>
                <w:sz w:val="18"/>
                <w:szCs w:val="18"/>
              </w:rPr>
              <w:t xml:space="preserve"> means the natural persons who exercise control over an Entity. In the case of a trust, such term means the settlor(s), the trustee(s), the protector(s) (if any), the beneficiary(ies) or class(es) of beneficiaries, and any other natural person(s) exercising ultimate effective control over the trust, and in the case of a legal arrangement other than a trust, such term means persons in equivalent or similar positions. The term </w:t>
            </w:r>
            <w:r w:rsidR="009E71CE">
              <w:rPr>
                <w:rFonts w:eastAsia="Calibri"/>
                <w:iCs/>
                <w:sz w:val="18"/>
                <w:szCs w:val="18"/>
              </w:rPr>
              <w:t>“</w:t>
            </w:r>
            <w:r w:rsidRPr="00874B0C">
              <w:rPr>
                <w:rFonts w:eastAsia="Calibri"/>
                <w:iCs/>
                <w:sz w:val="18"/>
                <w:szCs w:val="18"/>
              </w:rPr>
              <w:t>Controlling Persons</w:t>
            </w:r>
            <w:r w:rsidR="009E71CE">
              <w:rPr>
                <w:rFonts w:eastAsia="Calibri"/>
                <w:iCs/>
                <w:sz w:val="18"/>
                <w:szCs w:val="18"/>
              </w:rPr>
              <w:t>”</w:t>
            </w:r>
            <w:r w:rsidRPr="00874B0C">
              <w:rPr>
                <w:rFonts w:eastAsia="Calibri"/>
                <w:iCs/>
                <w:sz w:val="18"/>
                <w:szCs w:val="18"/>
              </w:rPr>
              <w:t xml:space="preserve"> shall be interpreted in a manner consistent with the term of </w:t>
            </w:r>
            <w:r w:rsidR="009E71CE">
              <w:rPr>
                <w:rFonts w:eastAsia="Calibri"/>
                <w:iCs/>
                <w:sz w:val="18"/>
                <w:szCs w:val="18"/>
              </w:rPr>
              <w:t>“</w:t>
            </w:r>
            <w:r w:rsidRPr="00874B0C">
              <w:rPr>
                <w:rFonts w:eastAsia="Calibri"/>
                <w:iCs/>
                <w:sz w:val="18"/>
                <w:szCs w:val="18"/>
              </w:rPr>
              <w:t>beneficial owner</w:t>
            </w:r>
            <w:r w:rsidR="009E71CE">
              <w:rPr>
                <w:rFonts w:eastAsia="Calibri"/>
                <w:iCs/>
                <w:sz w:val="18"/>
                <w:szCs w:val="18"/>
              </w:rPr>
              <w:t>”</w:t>
            </w:r>
            <w:r w:rsidRPr="00874B0C">
              <w:rPr>
                <w:rFonts w:eastAsia="Calibri"/>
                <w:iCs/>
                <w:sz w:val="18"/>
                <w:szCs w:val="18"/>
              </w:rPr>
              <w:t xml:space="preserve"> as defined in Article 3, point (6), of Directive (EU) 2015/849, as far as Reporting Crypto-Asset Service Providers are concerned.</w:t>
            </w:r>
          </w:p>
        </w:tc>
        <w:tc>
          <w:tcPr>
            <w:tcW w:w="1080" w:type="dxa"/>
          </w:tcPr>
          <w:p w14:paraId="792E6EF3"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05634B94"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D572470" w14:textId="5CB6ECD7" w:rsidR="00DC3028" w:rsidRPr="00874B0C" w:rsidRDefault="00A644F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21.</w:t>
            </w:r>
            <w:r w:rsidR="00266B2B"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Controlling persons</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 xml:space="preserve"> are natural persons who exercise control over an Entity. In the case of a trust, the term includes the settlor of the trust, the custodian or trustee, the protector, if any, the beneficiaries or, where the persons who benefit from the trust have not yet been determined, the class of persons in whose main interest the trust has been created or operates, as well as any other natural person who exercises the ultimate effective control over the trust, directly or indirectly. In the case of a legal arrangement other than a trust, the term means persons in equivalent or similar positions. The term </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Controlling persons</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 xml:space="preserve"> shall be interpreted consistently with the term </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Beneficial Owner</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 as defined in the Albanian legislation in force on the register of beneficial owners, insofar as it relates to Reporting Crypto-Asset Service Providers.</w:t>
            </w:r>
          </w:p>
        </w:tc>
        <w:tc>
          <w:tcPr>
            <w:tcW w:w="1184" w:type="dxa"/>
          </w:tcPr>
          <w:p w14:paraId="231DB4F5"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45B3CD6E"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28A7D773" w14:textId="77777777" w:rsidTr="00874B0C">
        <w:trPr>
          <w:trHeight w:val="764"/>
        </w:trPr>
        <w:tc>
          <w:tcPr>
            <w:tcW w:w="720" w:type="dxa"/>
          </w:tcPr>
          <w:p w14:paraId="3C5DAFFB"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2C129873" w14:textId="6646970A"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10. </w:t>
            </w:r>
            <w:r w:rsidR="009E71CE">
              <w:rPr>
                <w:rFonts w:eastAsia="Calibri"/>
                <w:iCs/>
                <w:sz w:val="18"/>
                <w:szCs w:val="18"/>
              </w:rPr>
              <w:t>“</w:t>
            </w:r>
            <w:r w:rsidRPr="00874B0C">
              <w:rPr>
                <w:rFonts w:eastAsia="Calibri"/>
                <w:iCs/>
                <w:sz w:val="18"/>
                <w:szCs w:val="18"/>
              </w:rPr>
              <w:t>Active Entity</w:t>
            </w:r>
            <w:r w:rsidR="009E71CE">
              <w:rPr>
                <w:rFonts w:eastAsia="Calibri"/>
                <w:iCs/>
                <w:sz w:val="18"/>
                <w:szCs w:val="18"/>
              </w:rPr>
              <w:t>”</w:t>
            </w:r>
            <w:r w:rsidRPr="00874B0C">
              <w:rPr>
                <w:rFonts w:eastAsia="Calibri"/>
                <w:iCs/>
                <w:sz w:val="18"/>
                <w:szCs w:val="18"/>
              </w:rPr>
              <w:t xml:space="preserve"> means any Entity that meets any of the following criteria:</w:t>
            </w:r>
          </w:p>
          <w:p w14:paraId="606F3DBB" w14:textId="77777777" w:rsidR="00A837E0" w:rsidRPr="00874B0C" w:rsidRDefault="00A837E0" w:rsidP="00874B0C">
            <w:pPr>
              <w:pStyle w:val="oj-ti-grseq-1"/>
              <w:shd w:val="clear" w:color="auto" w:fill="FFFFFF"/>
              <w:spacing w:before="240" w:after="120" w:line="276" w:lineRule="auto"/>
              <w:rPr>
                <w:rFonts w:eastAsia="Calibri"/>
                <w:iCs/>
                <w:sz w:val="18"/>
                <w:szCs w:val="18"/>
              </w:rPr>
            </w:pPr>
          </w:p>
          <w:p w14:paraId="78FAE476" w14:textId="2A933391"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less than 50 % of the Entity’s gross income for the preceding calendar year or other appropriate reporting period is passive income and less than 50 % of the assets held by the Entity during the preceding calendar year or other appropriate reporting period are assets that produce or are held for the production of passive income;</w:t>
            </w:r>
          </w:p>
          <w:p w14:paraId="4B146B6F" w14:textId="6C2E149E"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substantially all of the activities of the Entity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14:paraId="485016A5" w14:textId="3ED9F486"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the Entity is not yet operating a business and has no prior operating history, but is investing capital into assets with the intent to operate a business other than that of a Financial Institution, provided that the Entity does not qualify for this exception after the date that is 24 months after the date of the initial organisation of the Entity;</w:t>
            </w:r>
          </w:p>
          <w:p w14:paraId="27F00FB3" w14:textId="4A868DB9"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the Entity was not a Financial Institution in the past five years, and is in the process of liquidating its assets or is reorganising with the intent to continue or recommence operations in a business other than that of a Financial Institution;</w:t>
            </w:r>
          </w:p>
          <w:p w14:paraId="42E50BA3" w14:textId="26F7D244"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the Entity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 or</w:t>
            </w:r>
          </w:p>
          <w:p w14:paraId="68FC7329" w14:textId="1FEC5D5A"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 the Entity meets all of the following requirements:</w:t>
            </w:r>
          </w:p>
          <w:p w14:paraId="2964972B" w14:textId="49C60FF3"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it is established and operated in its jurisdiction of residence exclusively for religious, charitable, scientific, artistic, cultural, athletic, or educational purposes; or it is established and operated in its jurisdiction of residence, and it is a professional organisation, business league, chamber of commerce, labour organisation, agricultural or horticultural organisation, civic league or an organisation operated exclusively for the promotion of social welfare;</w:t>
            </w:r>
          </w:p>
          <w:p w14:paraId="6F2D9C09" w14:textId="16977AD9"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 it is exempt from income tax in its jurisdiction of residence;</w:t>
            </w:r>
          </w:p>
          <w:p w14:paraId="2310478C" w14:textId="4E5EB757"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(iii) it has no shareholders or members who have a proprietary or beneficial interest in its income or assets;</w:t>
            </w:r>
          </w:p>
          <w:p w14:paraId="63BD3895" w14:textId="22AC6B2F"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(iv the applicable laws of the Entity’s jurisdiction of residence or the Entity’s formation documents do not permit any income or assets of the Entity to be distributed to, or applied for the benefit of, a private person or non-charitable Entity other than pursuant to the conduct of the Entity’s charitable activities, or as payment of reasonable compensation for services rendered, or as payment representing the fair market value of property which the Entity has purchased; and</w:t>
            </w:r>
          </w:p>
          <w:p w14:paraId="7134F929" w14:textId="3D4829DA" w:rsidR="00DC3028"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(v) the applicable laws of the Entity’s jurisdiction of residence or the Entity’s formation documents require that, upon the Entity’s liquidation or dissolution, all of its assets be distributed to a Governmental Entity or other non-profit organisation, or escheat to the government of the Entity’s jurisdiction of residence or any political subdivision thereof.</w:t>
            </w:r>
          </w:p>
        </w:tc>
        <w:tc>
          <w:tcPr>
            <w:tcW w:w="1080" w:type="dxa"/>
          </w:tcPr>
          <w:p w14:paraId="184796F4"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0D76C844"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9821536" w14:textId="7A53045B" w:rsidR="00266B2B" w:rsidRPr="00874B0C" w:rsidRDefault="00A644F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22.</w:t>
            </w:r>
            <w:r w:rsidR="00266B2B"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Active Entity</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 xml:space="preserve"> means an entity that meets one of the following criteria:</w:t>
            </w:r>
          </w:p>
          <w:p w14:paraId="1E7481D3"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 less than 50% of the Entity’s gross income for the preceding calendar year or other appropriate reporting period is passive income and less than 50% of the assets held by the Entity during the preceding calendar year or other appropriate reporting period are assets that produce, or are held for the production of, passive income;</w:t>
            </w:r>
          </w:p>
          <w:p w14:paraId="76A540E2"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 substantially all of the activities of the Entity consist of holding (in whole or in part) the outstanding stock of, or providing financing and services to, one or more subsidiaries that engage in trades or businesses other than the business of a Financial Institution. However, an Entity shall not qualify for this status if it functions or holds itself out as an investment fund, such as a private equity fund, venture capital fund, leveraged buyout fund, or any investment vehicle whose purpose is to acquire or finance companies and then hold interests in those companies as capital assets for investment purposes;</w:t>
            </w:r>
          </w:p>
          <w:p w14:paraId="3CB71803"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(c) the Entity is not yet operating a business and has no prior operating history, but is investing capital into assets with the intent to operate a business other than that of a Financial Institution, provided that the Entity shall not qualify for this exception after the date that is 24 months after the date of the initial organization of the Entity;</w:t>
            </w:r>
          </w:p>
          <w:p w14:paraId="5720F2F2"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(d) the Entity was not a Financial Institution in the past five years and is in the process of liquidating its assets or is reorganizing with the intent to continue or resume operations in a business other than that of a Financial Institution;</w:t>
            </w:r>
          </w:p>
          <w:p w14:paraId="26150F2C"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(e) the Entity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w:t>
            </w:r>
          </w:p>
          <w:p w14:paraId="10F3DBFC"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(f) the Entity meets all of the following requirements:</w:t>
            </w:r>
          </w:p>
          <w:p w14:paraId="764B1395"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 it is established and operated in its jurisdiction of residence exclusively for religious, charitable, scientific, artistic, cultural, athletic or educational purposes; or it is established and operated in its jurisdiction of residence and is a professional organization, business league, chamber of commerce, labor organization, agricultural or horticultural organization, civic league, or an organization operated exclusively for the promotion of social welfare;</w:t>
            </w:r>
          </w:p>
          <w:p w14:paraId="393B2E72"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p>
          <w:p w14:paraId="2E7193DF"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 it is exempt from income tax in its jurisdiction of residence;</w:t>
            </w:r>
          </w:p>
          <w:p w14:paraId="56429E4A"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p>
          <w:p w14:paraId="54BF5346"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(iii) it has no shareholders or members who have a proprietary or beneficial interest in its income or assets;</w:t>
            </w:r>
          </w:p>
          <w:p w14:paraId="4AEA8ED4"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p>
          <w:p w14:paraId="23763229"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(iv) the applicable laws of the Entity’s jurisdiction of residence or the Entity’s organizational documents do not permit any income or assets of the Entity to be distributed to, or applied for the benefit of, a private person or non-charitable Entity, other than pursuant to the conduct of the Entity’s charitable activities, as payment of reasonable compensation for services rendered, or as payment representing the fair market value of property acquired by the Entity; and</w:t>
            </w:r>
          </w:p>
          <w:p w14:paraId="086F0BE4" w14:textId="77777777" w:rsidR="00266B2B" w:rsidRPr="00874B0C" w:rsidRDefault="00266B2B" w:rsidP="00874B0C">
            <w:pPr>
              <w:spacing w:line="276" w:lineRule="auto"/>
              <w:jc w:val="both"/>
              <w:rPr>
                <w:rFonts w:ascii="Times New Roman" w:eastAsia="Times New Roman" w:hAnsi="Times New Roman" w:cs="Times New Roman"/>
                <w:sz w:val="18"/>
                <w:szCs w:val="18"/>
                <w:lang w:eastAsia="sq-AL"/>
              </w:rPr>
            </w:pPr>
          </w:p>
          <w:p w14:paraId="20ED7FF8" w14:textId="2727D7C3" w:rsidR="00DC3028" w:rsidRPr="00874B0C" w:rsidRDefault="00266B2B"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(v) the applicable laws of the Entity’s jurisdiction of residence or the Entity’s organizational documents require that, upon the   liquidation or dissolution of the Entity, all of its assets be distributed to a Governmental Entity or another non-profit organization, or to pass to the government of the Entity’s jurisdiction of residence or any political subdivision thereof.</w:t>
            </w:r>
          </w:p>
        </w:tc>
        <w:tc>
          <w:tcPr>
            <w:tcW w:w="1184" w:type="dxa"/>
          </w:tcPr>
          <w:p w14:paraId="52530776"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65226D0"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66043487" w14:textId="77777777" w:rsidTr="00874B0C">
        <w:trPr>
          <w:trHeight w:val="764"/>
        </w:trPr>
        <w:tc>
          <w:tcPr>
            <w:tcW w:w="720" w:type="dxa"/>
          </w:tcPr>
          <w:p w14:paraId="4A01211B"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67CF2A36" w14:textId="77777777"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w:t>
            </w:r>
          </w:p>
          <w:p w14:paraId="68360ED0" w14:textId="4B98B71A" w:rsidR="00A837E0" w:rsidRPr="00874B0C" w:rsidRDefault="00A837E0"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Excluded Person</w:t>
            </w:r>
          </w:p>
          <w:p w14:paraId="62D93F6A" w14:textId="5DEFC613" w:rsidR="00A837E0" w:rsidRPr="00874B0C" w:rsidRDefault="009E71CE" w:rsidP="00874B0C">
            <w:pPr>
              <w:pStyle w:val="oj-ti-grseq-1"/>
              <w:numPr>
                <w:ilvl w:val="0"/>
                <w:numId w:val="12"/>
              </w:numPr>
              <w:shd w:val="clear" w:color="auto" w:fill="FFFFFF"/>
              <w:spacing w:before="240" w:after="120" w:line="276" w:lineRule="auto"/>
              <w:rPr>
                <w:rFonts w:eastAsia="Calibri"/>
                <w:iCs/>
                <w:sz w:val="18"/>
                <w:szCs w:val="18"/>
              </w:rPr>
            </w:pPr>
            <w:r>
              <w:rPr>
                <w:rFonts w:eastAsia="Calibri"/>
                <w:iCs/>
                <w:sz w:val="18"/>
                <w:szCs w:val="18"/>
              </w:rPr>
              <w:t>“</w:t>
            </w:r>
            <w:r w:rsidR="00A837E0" w:rsidRPr="00874B0C">
              <w:rPr>
                <w:rFonts w:eastAsia="Calibri"/>
                <w:iCs/>
                <w:sz w:val="18"/>
                <w:szCs w:val="18"/>
              </w:rPr>
              <w:t>Excluded Person</w:t>
            </w:r>
            <w:r>
              <w:rPr>
                <w:rFonts w:eastAsia="Calibri"/>
                <w:iCs/>
                <w:sz w:val="18"/>
                <w:szCs w:val="18"/>
              </w:rPr>
              <w:t>”</w:t>
            </w:r>
            <w:r w:rsidR="00A837E0" w:rsidRPr="00874B0C">
              <w:rPr>
                <w:rFonts w:eastAsia="Calibri"/>
                <w:iCs/>
                <w:sz w:val="18"/>
                <w:szCs w:val="18"/>
              </w:rPr>
              <w:t xml:space="preserve"> means:</w:t>
            </w:r>
          </w:p>
          <w:p w14:paraId="14F7BE50" w14:textId="2F54950A" w:rsidR="00A837E0" w:rsidRPr="00874B0C" w:rsidRDefault="00A837E0" w:rsidP="00874B0C">
            <w:pPr>
              <w:pStyle w:val="oj-ti-grseq-1"/>
              <w:numPr>
                <w:ilvl w:val="0"/>
                <w:numId w:val="7"/>
              </w:numPr>
              <w:shd w:val="clear" w:color="auto" w:fill="FFFFFF"/>
              <w:spacing w:before="240" w:after="120" w:line="276" w:lineRule="auto"/>
              <w:rPr>
                <w:rFonts w:eastAsia="Calibri"/>
                <w:iCs/>
                <w:sz w:val="18"/>
                <w:szCs w:val="18"/>
              </w:rPr>
            </w:pPr>
            <w:r w:rsidRPr="00874B0C">
              <w:rPr>
                <w:rFonts w:eastAsia="Calibri"/>
                <w:iCs/>
                <w:sz w:val="18"/>
                <w:szCs w:val="18"/>
              </w:rPr>
              <w:t>an Entity the stock of which is regularly traded on one or more established securities markets;</w:t>
            </w:r>
          </w:p>
          <w:p w14:paraId="4F16F57A" w14:textId="223201A8" w:rsidR="00A837E0" w:rsidRPr="00874B0C" w:rsidRDefault="00A837E0" w:rsidP="00874B0C">
            <w:pPr>
              <w:pStyle w:val="oj-ti-grseq-1"/>
              <w:numPr>
                <w:ilvl w:val="0"/>
                <w:numId w:val="7"/>
              </w:numPr>
              <w:shd w:val="clear" w:color="auto" w:fill="FFFFFF"/>
              <w:spacing w:before="240" w:after="120" w:line="276" w:lineRule="auto"/>
              <w:rPr>
                <w:rFonts w:eastAsia="Calibri"/>
                <w:iCs/>
                <w:sz w:val="18"/>
                <w:szCs w:val="18"/>
              </w:rPr>
            </w:pPr>
            <w:r w:rsidRPr="00874B0C">
              <w:rPr>
                <w:rFonts w:eastAsia="Calibri"/>
                <w:iCs/>
                <w:sz w:val="18"/>
                <w:szCs w:val="18"/>
              </w:rPr>
              <w:t>any Entity that is a Related Entity of an Entity described in point (a);</w:t>
            </w:r>
          </w:p>
          <w:p w14:paraId="05D4390C" w14:textId="31FA99B0" w:rsidR="00A837E0" w:rsidRPr="00874B0C" w:rsidRDefault="00A837E0" w:rsidP="00874B0C">
            <w:pPr>
              <w:pStyle w:val="oj-ti-grseq-1"/>
              <w:numPr>
                <w:ilvl w:val="0"/>
                <w:numId w:val="7"/>
              </w:numPr>
              <w:shd w:val="clear" w:color="auto" w:fill="FFFFFF"/>
              <w:spacing w:before="240" w:after="120" w:line="276" w:lineRule="auto"/>
              <w:rPr>
                <w:rFonts w:eastAsia="Calibri"/>
                <w:iCs/>
                <w:sz w:val="18"/>
                <w:szCs w:val="18"/>
              </w:rPr>
            </w:pPr>
            <w:r w:rsidRPr="00874B0C">
              <w:rPr>
                <w:rFonts w:eastAsia="Calibri"/>
                <w:iCs/>
                <w:sz w:val="18"/>
                <w:szCs w:val="18"/>
              </w:rPr>
              <w:t>a Governmental Entity;</w:t>
            </w:r>
          </w:p>
          <w:p w14:paraId="7FBAE6C3" w14:textId="0A39DBE6" w:rsidR="00A837E0" w:rsidRPr="00874B0C" w:rsidRDefault="00A837E0" w:rsidP="00874B0C">
            <w:pPr>
              <w:pStyle w:val="oj-ti-grseq-1"/>
              <w:numPr>
                <w:ilvl w:val="0"/>
                <w:numId w:val="7"/>
              </w:numPr>
              <w:shd w:val="clear" w:color="auto" w:fill="FFFFFF"/>
              <w:spacing w:before="240" w:after="120" w:line="276" w:lineRule="auto"/>
              <w:rPr>
                <w:rFonts w:eastAsia="Calibri"/>
                <w:iCs/>
                <w:sz w:val="18"/>
                <w:szCs w:val="18"/>
              </w:rPr>
            </w:pPr>
            <w:r w:rsidRPr="00874B0C">
              <w:rPr>
                <w:rFonts w:eastAsia="Calibri"/>
                <w:iCs/>
                <w:sz w:val="18"/>
                <w:szCs w:val="18"/>
              </w:rPr>
              <w:t>an International Organisation;</w:t>
            </w:r>
          </w:p>
          <w:p w14:paraId="1ED201ED" w14:textId="097C46CB" w:rsidR="00A837E0" w:rsidRPr="00874B0C" w:rsidRDefault="00A837E0" w:rsidP="00874B0C">
            <w:pPr>
              <w:pStyle w:val="oj-ti-grseq-1"/>
              <w:numPr>
                <w:ilvl w:val="0"/>
                <w:numId w:val="7"/>
              </w:numPr>
              <w:shd w:val="clear" w:color="auto" w:fill="FFFFFF"/>
              <w:spacing w:before="240" w:after="120" w:line="276" w:lineRule="auto"/>
              <w:rPr>
                <w:rFonts w:eastAsia="Calibri"/>
                <w:iCs/>
                <w:sz w:val="18"/>
                <w:szCs w:val="18"/>
              </w:rPr>
            </w:pPr>
            <w:r w:rsidRPr="00874B0C">
              <w:rPr>
                <w:rFonts w:eastAsia="Calibri"/>
                <w:iCs/>
                <w:sz w:val="18"/>
                <w:szCs w:val="18"/>
              </w:rPr>
              <w:t>a Central Bank; or</w:t>
            </w:r>
          </w:p>
          <w:p w14:paraId="285FE9D8" w14:textId="3C3A2C26" w:rsidR="00DC3028" w:rsidRPr="00874B0C" w:rsidRDefault="00A837E0" w:rsidP="00874B0C">
            <w:pPr>
              <w:pStyle w:val="oj-ti-grseq-1"/>
              <w:numPr>
                <w:ilvl w:val="0"/>
                <w:numId w:val="7"/>
              </w:numPr>
              <w:shd w:val="clear" w:color="auto" w:fill="FFFFFF"/>
              <w:spacing w:before="240" w:after="120" w:line="276" w:lineRule="auto"/>
              <w:rPr>
                <w:rFonts w:eastAsia="Calibri"/>
                <w:iCs/>
                <w:sz w:val="18"/>
                <w:szCs w:val="18"/>
              </w:rPr>
            </w:pPr>
            <w:r w:rsidRPr="00874B0C">
              <w:rPr>
                <w:rFonts w:eastAsia="Calibri"/>
                <w:iCs/>
                <w:sz w:val="18"/>
                <w:szCs w:val="18"/>
              </w:rPr>
              <w:t>a Financial Institution other than an Investment Entity described in subparagraph E(5), point (b).</w:t>
            </w:r>
          </w:p>
        </w:tc>
        <w:tc>
          <w:tcPr>
            <w:tcW w:w="1080" w:type="dxa"/>
          </w:tcPr>
          <w:p w14:paraId="029ABF91"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05B3C4B8"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684B3CE8" w14:textId="52CB0F5E" w:rsidR="00266B2B" w:rsidRPr="00874B0C" w:rsidRDefault="00BE354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24.</w:t>
            </w:r>
            <w:r w:rsidR="00266B2B"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Excluded person</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 xml:space="preserve"> is:</w:t>
            </w:r>
          </w:p>
          <w:p w14:paraId="296C719D" w14:textId="085FD8CA" w:rsidR="00266B2B" w:rsidRPr="00874B0C" w:rsidRDefault="008E499E"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266B2B" w:rsidRPr="00874B0C">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ab/>
              <w:t>an entity whose shares are traded regularly on one or more regulated securities markets;</w:t>
            </w:r>
          </w:p>
          <w:p w14:paraId="404F6C00" w14:textId="05415C0C" w:rsidR="00266B2B" w:rsidRPr="00874B0C" w:rsidRDefault="008E499E"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266B2B" w:rsidRPr="00874B0C">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ab/>
              <w:t>any entity that is an affiliated entity of an entity described in point (i);</w:t>
            </w:r>
          </w:p>
          <w:p w14:paraId="41EF1F48" w14:textId="66AE50B3" w:rsidR="00266B2B" w:rsidRPr="00874B0C" w:rsidRDefault="008E499E"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c</w:t>
            </w:r>
            <w:r w:rsidR="00266B2B" w:rsidRPr="00874B0C">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ab/>
              <w:t>a public entity;</w:t>
            </w:r>
          </w:p>
          <w:p w14:paraId="0D8FDA7C" w14:textId="419FBC5C" w:rsidR="00266B2B" w:rsidRPr="00874B0C" w:rsidRDefault="008E499E"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d</w:t>
            </w:r>
            <w:r w:rsidR="00266B2B" w:rsidRPr="00874B0C">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ab/>
              <w:t>an international organization;</w:t>
            </w:r>
          </w:p>
          <w:p w14:paraId="62BD8BE7" w14:textId="6F0AA66F" w:rsidR="00266B2B" w:rsidRPr="00874B0C" w:rsidRDefault="008E499E"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e</w:t>
            </w:r>
            <w:r w:rsidR="00266B2B" w:rsidRPr="00874B0C">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ab/>
              <w:t>a central bank; or</w:t>
            </w:r>
          </w:p>
          <w:p w14:paraId="5C8E6C4F" w14:textId="56770F47" w:rsidR="00DC3028" w:rsidRPr="00874B0C" w:rsidRDefault="008E499E"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f</w:t>
            </w:r>
            <w:r w:rsidR="00266B2B" w:rsidRPr="00874B0C">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ab/>
              <w:t>a financial institution, other than an investment entity.</w:t>
            </w:r>
          </w:p>
        </w:tc>
        <w:tc>
          <w:tcPr>
            <w:tcW w:w="1184" w:type="dxa"/>
          </w:tcPr>
          <w:p w14:paraId="5EDDFCA3"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0531E3FE"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6EE735F4" w14:textId="77777777" w:rsidTr="00874B0C">
        <w:trPr>
          <w:trHeight w:val="764"/>
        </w:trPr>
        <w:tc>
          <w:tcPr>
            <w:tcW w:w="720" w:type="dxa"/>
          </w:tcPr>
          <w:p w14:paraId="4A601428"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62F218B2" w14:textId="23DA53AE" w:rsidR="00DC3028" w:rsidRPr="00874B0C" w:rsidRDefault="009E71CE" w:rsidP="00874B0C">
            <w:pPr>
              <w:pStyle w:val="oj-ti-grseq-1"/>
              <w:numPr>
                <w:ilvl w:val="0"/>
                <w:numId w:val="5"/>
              </w:numPr>
              <w:shd w:val="clear" w:color="auto" w:fill="FFFFFF"/>
              <w:spacing w:before="240" w:after="120" w:line="276" w:lineRule="auto"/>
              <w:rPr>
                <w:rFonts w:eastAsia="Calibri"/>
                <w:iCs/>
                <w:sz w:val="18"/>
                <w:szCs w:val="18"/>
              </w:rPr>
            </w:pPr>
            <w:r>
              <w:rPr>
                <w:rFonts w:eastAsia="Calibri"/>
                <w:iCs/>
                <w:sz w:val="18"/>
                <w:szCs w:val="18"/>
              </w:rPr>
              <w:t>“</w:t>
            </w:r>
            <w:r w:rsidR="00A837E0" w:rsidRPr="00874B0C">
              <w:rPr>
                <w:rFonts w:eastAsia="Calibri"/>
                <w:iCs/>
                <w:sz w:val="18"/>
                <w:szCs w:val="18"/>
              </w:rPr>
              <w:t>Financial Institution</w:t>
            </w:r>
            <w:r>
              <w:rPr>
                <w:rFonts w:eastAsia="Calibri"/>
                <w:iCs/>
                <w:sz w:val="18"/>
                <w:szCs w:val="18"/>
              </w:rPr>
              <w:t>”</w:t>
            </w:r>
            <w:r w:rsidR="00A837E0" w:rsidRPr="00874B0C">
              <w:rPr>
                <w:rFonts w:eastAsia="Calibri"/>
                <w:iCs/>
                <w:sz w:val="18"/>
                <w:szCs w:val="18"/>
              </w:rPr>
              <w:t xml:space="preserve"> means a Custodial Institution, a Depository Institution, an Investment Entity, or a Specified Insurance Company.</w:t>
            </w:r>
          </w:p>
        </w:tc>
        <w:tc>
          <w:tcPr>
            <w:tcW w:w="1080" w:type="dxa"/>
          </w:tcPr>
          <w:p w14:paraId="7CAA6084"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2F45B1D3"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1FC3A786" w14:textId="1C1F1EA0" w:rsidR="00DC3028" w:rsidRPr="00874B0C" w:rsidRDefault="00BE354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00013D9E" w:rsidRPr="00874B0C">
              <w:rPr>
                <w:rFonts w:ascii="Times New Roman" w:eastAsia="Times New Roman" w:hAnsi="Times New Roman" w:cs="Times New Roman"/>
                <w:sz w:val="18"/>
                <w:szCs w:val="18"/>
                <w:lang w:eastAsia="sq-AL"/>
              </w:rPr>
              <w:t>5</w:t>
            </w:r>
            <w:r w:rsidRPr="00874B0C">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Financial institution</w:t>
            </w:r>
            <w:r w:rsidR="009E71CE">
              <w:rPr>
                <w:rFonts w:ascii="Times New Roman" w:eastAsia="Times New Roman" w:hAnsi="Times New Roman" w:cs="Times New Roman"/>
                <w:sz w:val="18"/>
                <w:szCs w:val="18"/>
                <w:lang w:eastAsia="sq-AL"/>
              </w:rPr>
              <w:t>”</w:t>
            </w:r>
            <w:r w:rsidR="00266B2B" w:rsidRPr="00874B0C">
              <w:rPr>
                <w:rFonts w:ascii="Times New Roman" w:eastAsia="Times New Roman" w:hAnsi="Times New Roman" w:cs="Times New Roman"/>
                <w:sz w:val="18"/>
                <w:szCs w:val="18"/>
                <w:lang w:eastAsia="sq-AL"/>
              </w:rPr>
              <w:t xml:space="preserve"> is a Depository Institution, a Custodial Institution, an Investment Entity, or a Specified Insurance Company.</w:t>
            </w:r>
          </w:p>
        </w:tc>
        <w:tc>
          <w:tcPr>
            <w:tcW w:w="1184" w:type="dxa"/>
          </w:tcPr>
          <w:p w14:paraId="2FFE782D"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0552E8A"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489769AE" w14:textId="77777777" w:rsidTr="00874B0C">
        <w:trPr>
          <w:trHeight w:val="764"/>
        </w:trPr>
        <w:tc>
          <w:tcPr>
            <w:tcW w:w="720" w:type="dxa"/>
          </w:tcPr>
          <w:p w14:paraId="370DB8F8"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247DC827" w14:textId="630F3AD7" w:rsidR="00DC3028" w:rsidRPr="00874B0C" w:rsidRDefault="00FD7C5C"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3.  </w:t>
            </w:r>
            <w:r w:rsidR="009E71CE">
              <w:rPr>
                <w:rFonts w:eastAsia="Calibri"/>
                <w:iCs/>
                <w:sz w:val="18"/>
                <w:szCs w:val="18"/>
              </w:rPr>
              <w:t>“</w:t>
            </w:r>
            <w:r w:rsidRPr="00874B0C">
              <w:rPr>
                <w:rFonts w:eastAsia="Calibri"/>
                <w:iCs/>
                <w:sz w:val="18"/>
                <w:szCs w:val="18"/>
              </w:rPr>
              <w:t>Custodial Institution</w:t>
            </w:r>
            <w:r w:rsidR="009E71CE">
              <w:rPr>
                <w:rFonts w:eastAsia="Calibri"/>
                <w:iCs/>
                <w:sz w:val="18"/>
                <w:szCs w:val="18"/>
              </w:rPr>
              <w:t>”</w:t>
            </w:r>
            <w:r w:rsidRPr="00874B0C">
              <w:rPr>
                <w:rFonts w:eastAsia="Calibri"/>
                <w:iCs/>
                <w:sz w:val="18"/>
                <w:szCs w:val="18"/>
              </w:rPr>
              <w:t xml:space="preserve"> means any Entity that holds, as a substantial portion of its business, Financial Assets for the account of others. An Entity holds Financial Assets for the account of others as a substantial portion of its business if the Entity’s gross income attributable to the holding of Financial Assets and related financial services equals to or exceeds 20 % of the Entity’s gross income during the shorter of: (i) the three-year period that ends on 31 December (or the final day of a non-calendar year accounting period) prior to the year in which the determination is being made; or (ii) the period during which the Entity has been in existence.</w:t>
            </w:r>
          </w:p>
        </w:tc>
        <w:tc>
          <w:tcPr>
            <w:tcW w:w="1080" w:type="dxa"/>
          </w:tcPr>
          <w:p w14:paraId="087453A4"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shd w:val="clear" w:color="auto" w:fill="FFFFFF" w:themeFill="background1"/>
          </w:tcPr>
          <w:p w14:paraId="71B97B63"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shd w:val="clear" w:color="auto" w:fill="FFFFFF" w:themeFill="background1"/>
          </w:tcPr>
          <w:p w14:paraId="5A19E74E" w14:textId="34014A05" w:rsidR="00A74DD7" w:rsidRPr="00874B0C" w:rsidRDefault="00AE45F0" w:rsidP="00874B0C">
            <w:pPr>
              <w:spacing w:line="276" w:lineRule="auto"/>
              <w:jc w:val="both"/>
              <w:rPr>
                <w:rFonts w:ascii="Times New Roman" w:eastAsia="Times New Roman" w:hAnsi="Times New Roman" w:cs="Times New Roman"/>
                <w:sz w:val="18"/>
                <w:szCs w:val="18"/>
                <w:lang w:eastAsia="sq-AL"/>
              </w:rPr>
            </w:pPr>
            <w:bookmarkStart w:id="3" w:name="_Hlk233671959"/>
            <w:r w:rsidRPr="00874B0C">
              <w:rPr>
                <w:rFonts w:ascii="Times New Roman" w:eastAsia="Times New Roman" w:hAnsi="Times New Roman" w:cs="Times New Roman"/>
                <w:sz w:val="18"/>
                <w:szCs w:val="18"/>
                <w:lang w:eastAsia="sq-AL"/>
              </w:rPr>
              <w:t>47.</w:t>
            </w:r>
            <w:r w:rsidR="00A74DD7"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A74DD7" w:rsidRPr="00874B0C">
              <w:rPr>
                <w:rFonts w:ascii="Times New Roman" w:eastAsia="Times New Roman" w:hAnsi="Times New Roman" w:cs="Times New Roman"/>
                <w:sz w:val="18"/>
                <w:szCs w:val="18"/>
                <w:lang w:eastAsia="sq-AL"/>
              </w:rPr>
              <w:t>Custodial Institution</w:t>
            </w:r>
            <w:r w:rsidR="009E71CE">
              <w:rPr>
                <w:rFonts w:ascii="Times New Roman" w:eastAsia="Times New Roman" w:hAnsi="Times New Roman" w:cs="Times New Roman"/>
                <w:sz w:val="18"/>
                <w:szCs w:val="18"/>
                <w:lang w:eastAsia="sq-AL"/>
              </w:rPr>
              <w:t>”</w:t>
            </w:r>
            <w:r w:rsidR="00A74DD7" w:rsidRPr="00874B0C">
              <w:rPr>
                <w:rFonts w:ascii="Times New Roman" w:eastAsia="Times New Roman" w:hAnsi="Times New Roman" w:cs="Times New Roman"/>
                <w:sz w:val="18"/>
                <w:szCs w:val="18"/>
                <w:lang w:eastAsia="sq-AL"/>
              </w:rPr>
              <w:t xml:space="preserve"> means any Entity that holds, as a substantial portion of its business, Financial Assets for the account of other persons. An Entity shall be considered to hold Financial Assets for the account of other persons as a substantial portion of its business if the Entity's gross income attributable to the holding of Financial Assets and related financial services is equal to or exceeds 20% of the Entity's gross income during the shorter of the following periods:</w:t>
            </w:r>
          </w:p>
          <w:p w14:paraId="2ECB78D9" w14:textId="77777777" w:rsidR="00A74DD7" w:rsidRPr="00874B0C" w:rsidRDefault="00A74DD7" w:rsidP="00874B0C">
            <w:pPr>
              <w:spacing w:line="276" w:lineRule="auto"/>
              <w:jc w:val="both"/>
              <w:rPr>
                <w:rFonts w:ascii="Times New Roman" w:eastAsia="Times New Roman" w:hAnsi="Times New Roman" w:cs="Times New Roman"/>
                <w:sz w:val="18"/>
                <w:szCs w:val="18"/>
                <w:lang w:eastAsia="sq-AL"/>
              </w:rPr>
            </w:pPr>
          </w:p>
          <w:p w14:paraId="4EE7EAAF" w14:textId="58AE188B" w:rsidR="00A74DD7"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A74DD7" w:rsidRPr="00874B0C">
              <w:rPr>
                <w:rFonts w:ascii="Times New Roman" w:eastAsia="Times New Roman" w:hAnsi="Times New Roman" w:cs="Times New Roman"/>
                <w:sz w:val="18"/>
                <w:szCs w:val="18"/>
                <w:lang w:eastAsia="sq-AL"/>
              </w:rPr>
              <w:t>) the three-year period ending on 31 December (or on the last day of an accounting period that does not coincide with the calendar year) preceding the year in which the determination is made; or</w:t>
            </w:r>
          </w:p>
          <w:p w14:paraId="32230AD9" w14:textId="77777777" w:rsidR="00A74DD7" w:rsidRPr="00874B0C" w:rsidRDefault="00A74DD7" w:rsidP="00874B0C">
            <w:pPr>
              <w:spacing w:line="276" w:lineRule="auto"/>
              <w:jc w:val="both"/>
              <w:rPr>
                <w:rFonts w:ascii="Times New Roman" w:eastAsia="Times New Roman" w:hAnsi="Times New Roman" w:cs="Times New Roman"/>
                <w:sz w:val="18"/>
                <w:szCs w:val="18"/>
                <w:lang w:eastAsia="sq-AL"/>
              </w:rPr>
            </w:pPr>
          </w:p>
          <w:p w14:paraId="73BF89BC" w14:textId="4F6FB294" w:rsidR="00DC3028"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A74DD7" w:rsidRPr="00874B0C">
              <w:rPr>
                <w:rFonts w:ascii="Times New Roman" w:eastAsia="Times New Roman" w:hAnsi="Times New Roman" w:cs="Times New Roman"/>
                <w:sz w:val="18"/>
                <w:szCs w:val="18"/>
                <w:lang w:eastAsia="sq-AL"/>
              </w:rPr>
              <w:t>) the period during which the Entity has been in existence.</w:t>
            </w:r>
            <w:bookmarkEnd w:id="3"/>
          </w:p>
        </w:tc>
        <w:tc>
          <w:tcPr>
            <w:tcW w:w="1184" w:type="dxa"/>
          </w:tcPr>
          <w:p w14:paraId="1613EC68"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1561160B"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77460077" w14:textId="77777777" w:rsidTr="00874B0C">
        <w:trPr>
          <w:trHeight w:val="764"/>
        </w:trPr>
        <w:tc>
          <w:tcPr>
            <w:tcW w:w="720" w:type="dxa"/>
          </w:tcPr>
          <w:p w14:paraId="73BE0F33"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4F6B1684" w14:textId="34A15706" w:rsidR="006B0D7D" w:rsidRPr="00874B0C" w:rsidRDefault="009E71CE" w:rsidP="00874B0C">
            <w:pPr>
              <w:pStyle w:val="oj-ti-grseq-1"/>
              <w:numPr>
                <w:ilvl w:val="0"/>
                <w:numId w:val="11"/>
              </w:numPr>
              <w:shd w:val="clear" w:color="auto" w:fill="FFFFFF"/>
              <w:spacing w:before="240" w:after="120" w:line="276" w:lineRule="auto"/>
              <w:rPr>
                <w:rFonts w:eastAsia="Calibri"/>
                <w:iCs/>
                <w:sz w:val="18"/>
                <w:szCs w:val="18"/>
              </w:rPr>
            </w:pPr>
            <w:r>
              <w:rPr>
                <w:rFonts w:eastAsia="Calibri"/>
                <w:iCs/>
                <w:sz w:val="18"/>
                <w:szCs w:val="18"/>
              </w:rPr>
              <w:t>“</w:t>
            </w:r>
            <w:r w:rsidR="006B0D7D" w:rsidRPr="00874B0C">
              <w:rPr>
                <w:rFonts w:eastAsia="Calibri"/>
                <w:iCs/>
                <w:sz w:val="18"/>
                <w:szCs w:val="18"/>
              </w:rPr>
              <w:t>Depository Institution</w:t>
            </w:r>
            <w:r>
              <w:rPr>
                <w:rFonts w:eastAsia="Calibri"/>
                <w:iCs/>
                <w:sz w:val="18"/>
                <w:szCs w:val="18"/>
              </w:rPr>
              <w:t>”</w:t>
            </w:r>
            <w:r w:rsidR="006B0D7D" w:rsidRPr="00874B0C">
              <w:rPr>
                <w:rFonts w:eastAsia="Calibri"/>
                <w:iCs/>
                <w:sz w:val="18"/>
                <w:szCs w:val="18"/>
              </w:rPr>
              <w:t xml:space="preserve"> means any Entity that:</w:t>
            </w:r>
          </w:p>
          <w:p w14:paraId="7540A330" w14:textId="22434A3B" w:rsidR="006B0D7D" w:rsidRPr="00874B0C" w:rsidRDefault="006B0D7D" w:rsidP="00874B0C">
            <w:pPr>
              <w:pStyle w:val="oj-ti-grseq-1"/>
              <w:numPr>
                <w:ilvl w:val="0"/>
                <w:numId w:val="8"/>
              </w:numPr>
              <w:shd w:val="clear" w:color="auto" w:fill="FFFFFF"/>
              <w:spacing w:before="240" w:after="120" w:line="276" w:lineRule="auto"/>
              <w:rPr>
                <w:rFonts w:eastAsia="Calibri"/>
                <w:iCs/>
                <w:sz w:val="18"/>
                <w:szCs w:val="18"/>
              </w:rPr>
            </w:pPr>
            <w:r w:rsidRPr="00874B0C">
              <w:rPr>
                <w:rFonts w:eastAsia="Calibri"/>
                <w:iCs/>
                <w:sz w:val="18"/>
                <w:szCs w:val="18"/>
              </w:rPr>
              <w:t>accepts deposits in the ordinary course of a banking or similar business; or</w:t>
            </w:r>
          </w:p>
          <w:p w14:paraId="5D5A134F" w14:textId="33D5C5FE" w:rsidR="00DC3028" w:rsidRPr="00874B0C" w:rsidRDefault="006B0D7D" w:rsidP="00874B0C">
            <w:pPr>
              <w:pStyle w:val="oj-ti-grseq-1"/>
              <w:numPr>
                <w:ilvl w:val="0"/>
                <w:numId w:val="8"/>
              </w:numPr>
              <w:shd w:val="clear" w:color="auto" w:fill="FFFFFF"/>
              <w:spacing w:before="240" w:after="120" w:line="276" w:lineRule="auto"/>
              <w:rPr>
                <w:rFonts w:eastAsia="Calibri"/>
                <w:iCs/>
                <w:sz w:val="18"/>
                <w:szCs w:val="18"/>
              </w:rPr>
            </w:pPr>
            <w:r w:rsidRPr="00874B0C">
              <w:rPr>
                <w:rFonts w:eastAsia="Calibri"/>
                <w:iCs/>
                <w:sz w:val="18"/>
                <w:szCs w:val="18"/>
              </w:rPr>
              <w:t>holds Electronic Money or Central Bank Digital Currencies for the benefit of customers.</w:t>
            </w:r>
          </w:p>
        </w:tc>
        <w:tc>
          <w:tcPr>
            <w:tcW w:w="1080" w:type="dxa"/>
          </w:tcPr>
          <w:p w14:paraId="63A39A3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1660D627"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17165632" w14:textId="74641C1D" w:rsidR="009E6C0E" w:rsidRPr="00874B0C" w:rsidRDefault="00AE45F0"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26.</w:t>
            </w:r>
            <w:r w:rsidR="009E6C0E"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9E6C0E" w:rsidRPr="00874B0C">
              <w:rPr>
                <w:rFonts w:ascii="Times New Roman" w:eastAsia="Times New Roman" w:hAnsi="Times New Roman" w:cs="Times New Roman"/>
                <w:sz w:val="18"/>
                <w:szCs w:val="18"/>
                <w:lang w:eastAsia="sq-AL"/>
              </w:rPr>
              <w:t>Depository Institution</w:t>
            </w:r>
            <w:r w:rsidR="009E71CE">
              <w:rPr>
                <w:rFonts w:ascii="Times New Roman" w:eastAsia="Times New Roman" w:hAnsi="Times New Roman" w:cs="Times New Roman"/>
                <w:sz w:val="18"/>
                <w:szCs w:val="18"/>
                <w:lang w:eastAsia="sq-AL"/>
              </w:rPr>
              <w:t>”</w:t>
            </w:r>
            <w:r w:rsidR="009E6C0E" w:rsidRPr="00874B0C">
              <w:rPr>
                <w:rFonts w:ascii="Times New Roman" w:eastAsia="Times New Roman" w:hAnsi="Times New Roman" w:cs="Times New Roman"/>
                <w:sz w:val="18"/>
                <w:szCs w:val="18"/>
                <w:lang w:eastAsia="sq-AL"/>
              </w:rPr>
              <w:t xml:space="preserve"> is any Entity that:</w:t>
            </w:r>
          </w:p>
          <w:p w14:paraId="4EF58538" w14:textId="190BEC35" w:rsidR="009E6C0E"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9E6C0E" w:rsidRPr="00874B0C">
              <w:rPr>
                <w:rFonts w:ascii="Times New Roman" w:eastAsia="Times New Roman" w:hAnsi="Times New Roman" w:cs="Times New Roman"/>
                <w:sz w:val="18"/>
                <w:szCs w:val="18"/>
                <w:lang w:eastAsia="sq-AL"/>
              </w:rPr>
              <w:t>) accepts deposits within the framework of the ordinary exercise of banking activity or of a similar activity; or</w:t>
            </w:r>
          </w:p>
          <w:p w14:paraId="3C049301"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1C044E4B" w14:textId="01AC4A35" w:rsidR="00DC3028"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9E6C0E" w:rsidRPr="00874B0C">
              <w:rPr>
                <w:rFonts w:ascii="Times New Roman" w:eastAsia="Times New Roman" w:hAnsi="Times New Roman" w:cs="Times New Roman"/>
                <w:sz w:val="18"/>
                <w:szCs w:val="18"/>
                <w:lang w:eastAsia="sq-AL"/>
              </w:rPr>
              <w:t>) holds Electronic Money or Central Bank Digital Currency for clients.</w:t>
            </w:r>
          </w:p>
        </w:tc>
        <w:tc>
          <w:tcPr>
            <w:tcW w:w="1184" w:type="dxa"/>
          </w:tcPr>
          <w:p w14:paraId="6C3C4898"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FB9D5A5"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1B2C4F2E" w14:textId="77777777" w:rsidTr="00874B0C">
        <w:trPr>
          <w:trHeight w:val="764"/>
        </w:trPr>
        <w:tc>
          <w:tcPr>
            <w:tcW w:w="720" w:type="dxa"/>
          </w:tcPr>
          <w:p w14:paraId="538CDA27"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128A5CB5" w14:textId="03ACBE10" w:rsidR="006B0D7D" w:rsidRPr="00874B0C" w:rsidRDefault="009E71CE" w:rsidP="00874B0C">
            <w:pPr>
              <w:pStyle w:val="oj-ti-grseq-1"/>
              <w:numPr>
                <w:ilvl w:val="0"/>
                <w:numId w:val="11"/>
              </w:numPr>
              <w:shd w:val="clear" w:color="auto" w:fill="FFFFFF"/>
              <w:spacing w:before="240" w:after="120" w:line="276" w:lineRule="auto"/>
              <w:rPr>
                <w:rFonts w:eastAsia="Calibri"/>
                <w:iCs/>
                <w:sz w:val="18"/>
                <w:szCs w:val="18"/>
              </w:rPr>
            </w:pPr>
            <w:r>
              <w:rPr>
                <w:rFonts w:eastAsia="Calibri"/>
                <w:iCs/>
                <w:sz w:val="18"/>
                <w:szCs w:val="18"/>
              </w:rPr>
              <w:t>“</w:t>
            </w:r>
            <w:r w:rsidR="006B0D7D" w:rsidRPr="00874B0C">
              <w:rPr>
                <w:rFonts w:eastAsia="Calibri"/>
                <w:iCs/>
                <w:sz w:val="18"/>
                <w:szCs w:val="18"/>
              </w:rPr>
              <w:t>Investment Entity</w:t>
            </w:r>
            <w:r>
              <w:rPr>
                <w:rFonts w:eastAsia="Calibri"/>
                <w:iCs/>
                <w:sz w:val="18"/>
                <w:szCs w:val="18"/>
              </w:rPr>
              <w:t>”</w:t>
            </w:r>
            <w:r w:rsidR="006B0D7D" w:rsidRPr="00874B0C">
              <w:rPr>
                <w:rFonts w:eastAsia="Calibri"/>
                <w:iCs/>
                <w:sz w:val="18"/>
                <w:szCs w:val="18"/>
              </w:rPr>
              <w:t xml:space="preserve"> means any Entity:</w:t>
            </w:r>
          </w:p>
          <w:p w14:paraId="2FBA5707" w14:textId="59D5D713" w:rsidR="006B0D7D" w:rsidRPr="00874B0C" w:rsidRDefault="006B0D7D" w:rsidP="00874B0C">
            <w:pPr>
              <w:pStyle w:val="oj-ti-grseq-1"/>
              <w:numPr>
                <w:ilvl w:val="0"/>
                <w:numId w:val="9"/>
              </w:numPr>
              <w:shd w:val="clear" w:color="auto" w:fill="FFFFFF"/>
              <w:spacing w:before="240" w:after="120" w:line="276" w:lineRule="auto"/>
              <w:rPr>
                <w:rFonts w:eastAsia="Calibri"/>
                <w:iCs/>
                <w:sz w:val="18"/>
                <w:szCs w:val="18"/>
              </w:rPr>
            </w:pPr>
            <w:r w:rsidRPr="00874B0C">
              <w:rPr>
                <w:rFonts w:eastAsia="Calibri"/>
                <w:iCs/>
                <w:sz w:val="18"/>
                <w:szCs w:val="18"/>
              </w:rPr>
              <w:t>that primarily conducts as a business one or more of the following activities or operations for or on behalf of a customer:</w:t>
            </w:r>
          </w:p>
          <w:p w14:paraId="422B15BB" w14:textId="769AD034" w:rsidR="006B0D7D" w:rsidRPr="00874B0C" w:rsidRDefault="006B0D7D" w:rsidP="00874B0C">
            <w:pPr>
              <w:pStyle w:val="oj-ti-grseq-1"/>
              <w:numPr>
                <w:ilvl w:val="0"/>
                <w:numId w:val="10"/>
              </w:numPr>
              <w:shd w:val="clear" w:color="auto" w:fill="FFFFFF"/>
              <w:spacing w:before="240" w:after="120" w:line="276" w:lineRule="auto"/>
              <w:rPr>
                <w:rFonts w:eastAsia="Calibri"/>
                <w:iCs/>
                <w:sz w:val="18"/>
                <w:szCs w:val="18"/>
              </w:rPr>
            </w:pPr>
            <w:r w:rsidRPr="00874B0C">
              <w:rPr>
                <w:rFonts w:eastAsia="Calibri"/>
                <w:iCs/>
                <w:sz w:val="18"/>
                <w:szCs w:val="18"/>
              </w:rPr>
              <w:t>trading in money market instruments (cheques, bills, certificates of deposit, derivatives, etc.); foreign exchange; exchange, interest rate and index instruments; transferable securities; or commodity futures trading;</w:t>
            </w:r>
          </w:p>
          <w:p w14:paraId="1252199C" w14:textId="03D91239" w:rsidR="006B0D7D" w:rsidRPr="00874B0C" w:rsidRDefault="006B0D7D" w:rsidP="00874B0C">
            <w:pPr>
              <w:pStyle w:val="oj-ti-grseq-1"/>
              <w:numPr>
                <w:ilvl w:val="0"/>
                <w:numId w:val="10"/>
              </w:numPr>
              <w:shd w:val="clear" w:color="auto" w:fill="FFFFFF"/>
              <w:spacing w:before="240" w:after="120" w:line="276" w:lineRule="auto"/>
              <w:rPr>
                <w:rFonts w:eastAsia="Calibri"/>
                <w:iCs/>
                <w:sz w:val="18"/>
                <w:szCs w:val="18"/>
              </w:rPr>
            </w:pPr>
            <w:r w:rsidRPr="00874B0C">
              <w:rPr>
                <w:rFonts w:eastAsia="Calibri"/>
                <w:iCs/>
                <w:sz w:val="18"/>
                <w:szCs w:val="18"/>
              </w:rPr>
              <w:t>individual and collective portfolio management; or</w:t>
            </w:r>
          </w:p>
          <w:p w14:paraId="1682E16C" w14:textId="1833C382" w:rsidR="006B0D7D" w:rsidRPr="00874B0C" w:rsidRDefault="006B0D7D" w:rsidP="00874B0C">
            <w:pPr>
              <w:pStyle w:val="oj-ti-grseq-1"/>
              <w:numPr>
                <w:ilvl w:val="0"/>
                <w:numId w:val="10"/>
              </w:numPr>
              <w:shd w:val="clear" w:color="auto" w:fill="FFFFFF"/>
              <w:spacing w:before="240" w:after="120" w:line="276" w:lineRule="auto"/>
              <w:rPr>
                <w:rFonts w:eastAsia="Calibri"/>
                <w:iCs/>
                <w:sz w:val="18"/>
                <w:szCs w:val="18"/>
              </w:rPr>
            </w:pPr>
            <w:r w:rsidRPr="00874B0C">
              <w:rPr>
                <w:rFonts w:eastAsia="Calibri"/>
                <w:iCs/>
                <w:sz w:val="18"/>
                <w:szCs w:val="18"/>
              </w:rPr>
              <w:t>otherwise investing, administering, or managing Financial Assets, money, or Reportable Crypto-Assets on behalf of other persons; or</w:t>
            </w:r>
          </w:p>
          <w:p w14:paraId="67C1D0CC" w14:textId="732834E0" w:rsidR="006B0D7D" w:rsidRPr="00874B0C" w:rsidRDefault="006B0D7D" w:rsidP="00874B0C">
            <w:pPr>
              <w:pStyle w:val="oj-ti-grseq-1"/>
              <w:numPr>
                <w:ilvl w:val="0"/>
                <w:numId w:val="9"/>
              </w:numPr>
              <w:shd w:val="clear" w:color="auto" w:fill="FFFFFF"/>
              <w:spacing w:before="240" w:after="120" w:line="276" w:lineRule="auto"/>
              <w:rPr>
                <w:rFonts w:eastAsia="Calibri"/>
                <w:iCs/>
                <w:sz w:val="18"/>
                <w:szCs w:val="18"/>
              </w:rPr>
            </w:pPr>
            <w:r w:rsidRPr="00874B0C">
              <w:rPr>
                <w:rFonts w:eastAsia="Calibri"/>
                <w:iCs/>
                <w:sz w:val="18"/>
                <w:szCs w:val="18"/>
              </w:rPr>
              <w:t>the gross income of which is primarily attributable to investing, reinvesting, or trading in Financial Assets or Reportable Crypto-Assets, if the Entity is managed by another Entity that is a Depository Institution, a Custodial Institution, a Specified Insurance Company, or an Investment Entity described in subparagraph E(5), point (a).</w:t>
            </w:r>
          </w:p>
          <w:p w14:paraId="4DF2B8CA" w14:textId="59FB96BF"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An Entity is treated as primarily conducting as a business one or more of the activities described in subparagraph E(5), point (a), or an Entity’s gross income is primarily attributable to investing, reinvesting, or trading in Financial Assets or Reportable Crypto-Assets for the purposes of subparagraph E(5), point (b), if the Entity’s gross income attributable to the relevant activities equals to or exceeds 50 % of the Entity’s gross income during the shorter of: (i) the three-year period ending on 31 December of the year preceding the year in which the determination is made; or (ii) the period during which the Entity has been in existence.</w:t>
            </w:r>
          </w:p>
          <w:p w14:paraId="0CB023CC" w14:textId="0E6C1519"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For the purposes of subparagraph E(5), point (a)(iii), the term </w:t>
            </w:r>
            <w:r w:rsidR="009E71CE">
              <w:rPr>
                <w:rFonts w:eastAsia="Calibri"/>
                <w:iCs/>
                <w:sz w:val="18"/>
                <w:szCs w:val="18"/>
              </w:rPr>
              <w:t>“</w:t>
            </w:r>
            <w:r w:rsidRPr="00874B0C">
              <w:rPr>
                <w:rFonts w:eastAsia="Calibri"/>
                <w:iCs/>
                <w:sz w:val="18"/>
                <w:szCs w:val="18"/>
              </w:rPr>
              <w:t>otherwise investing, administering, or managing Financial Assets, money, or Reportable Crypto-Assets on behalf of other persons</w:t>
            </w:r>
            <w:r w:rsidR="009E71CE">
              <w:rPr>
                <w:rFonts w:eastAsia="Calibri"/>
                <w:iCs/>
                <w:sz w:val="18"/>
                <w:szCs w:val="18"/>
              </w:rPr>
              <w:t>”</w:t>
            </w:r>
            <w:r w:rsidRPr="00874B0C">
              <w:rPr>
                <w:rFonts w:eastAsia="Calibri"/>
                <w:iCs/>
                <w:sz w:val="18"/>
                <w:szCs w:val="18"/>
              </w:rPr>
              <w:t xml:space="preserve"> does not include the provision of services effectuating Exchange Transactions for or on behalf of customers. The term </w:t>
            </w:r>
            <w:r w:rsidR="009E71CE">
              <w:rPr>
                <w:rFonts w:eastAsia="Calibri"/>
                <w:iCs/>
                <w:sz w:val="18"/>
                <w:szCs w:val="18"/>
              </w:rPr>
              <w:t>“</w:t>
            </w:r>
            <w:r w:rsidRPr="00874B0C">
              <w:rPr>
                <w:rFonts w:eastAsia="Calibri"/>
                <w:iCs/>
                <w:sz w:val="18"/>
                <w:szCs w:val="18"/>
              </w:rPr>
              <w:t>Investment Entity</w:t>
            </w:r>
            <w:r w:rsidR="009E71CE">
              <w:rPr>
                <w:rFonts w:eastAsia="Calibri"/>
                <w:iCs/>
                <w:sz w:val="18"/>
                <w:szCs w:val="18"/>
              </w:rPr>
              <w:t>”</w:t>
            </w:r>
            <w:r w:rsidRPr="00874B0C">
              <w:rPr>
                <w:rFonts w:eastAsia="Calibri"/>
                <w:iCs/>
                <w:sz w:val="18"/>
                <w:szCs w:val="18"/>
              </w:rPr>
              <w:t xml:space="preserve"> does not include an Entity that is an Active Entity because it meets any of the criteria in subparagraph D(10), points (b) to (e).</w:t>
            </w:r>
          </w:p>
          <w:p w14:paraId="5D99ECFF" w14:textId="003A9222"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This subparagraph shall be interpreted in a manner consistent with the similar language set out in the definition of </w:t>
            </w:r>
            <w:r w:rsidR="009E71CE">
              <w:rPr>
                <w:rFonts w:eastAsia="Calibri"/>
                <w:iCs/>
                <w:sz w:val="18"/>
                <w:szCs w:val="18"/>
              </w:rPr>
              <w:t>“</w:t>
            </w:r>
            <w:r w:rsidRPr="00874B0C">
              <w:rPr>
                <w:rFonts w:eastAsia="Calibri"/>
                <w:iCs/>
                <w:sz w:val="18"/>
                <w:szCs w:val="18"/>
              </w:rPr>
              <w:t>financial institution</w:t>
            </w:r>
            <w:r w:rsidR="009E71CE">
              <w:rPr>
                <w:rFonts w:eastAsia="Calibri"/>
                <w:iCs/>
                <w:sz w:val="18"/>
                <w:szCs w:val="18"/>
              </w:rPr>
              <w:t>”</w:t>
            </w:r>
            <w:r w:rsidRPr="00874B0C">
              <w:rPr>
                <w:rFonts w:eastAsia="Calibri"/>
                <w:iCs/>
                <w:sz w:val="18"/>
                <w:szCs w:val="18"/>
              </w:rPr>
              <w:t xml:space="preserve"> in Article 3, point (2), of Directive (EU) 2015/849.</w:t>
            </w:r>
          </w:p>
        </w:tc>
        <w:tc>
          <w:tcPr>
            <w:tcW w:w="1080" w:type="dxa"/>
          </w:tcPr>
          <w:p w14:paraId="7525E2E0"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497DAF53"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7856B97" w14:textId="0C2BA4C4" w:rsidR="009E6C0E" w:rsidRPr="00874B0C" w:rsidRDefault="00AE45F0"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27.</w:t>
            </w:r>
            <w:r w:rsidR="009E6C0E"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9E6C0E" w:rsidRPr="00874B0C">
              <w:rPr>
                <w:rFonts w:ascii="Times New Roman" w:eastAsia="Times New Roman" w:hAnsi="Times New Roman" w:cs="Times New Roman"/>
                <w:sz w:val="18"/>
                <w:szCs w:val="18"/>
                <w:lang w:eastAsia="sq-AL"/>
              </w:rPr>
              <w:t>Investment entity</w:t>
            </w:r>
            <w:r w:rsidR="009E71CE">
              <w:rPr>
                <w:rFonts w:ascii="Times New Roman" w:eastAsia="Times New Roman" w:hAnsi="Times New Roman" w:cs="Times New Roman"/>
                <w:sz w:val="18"/>
                <w:szCs w:val="18"/>
                <w:lang w:eastAsia="sq-AL"/>
              </w:rPr>
              <w:t>”</w:t>
            </w:r>
            <w:r w:rsidR="009E6C0E" w:rsidRPr="00874B0C">
              <w:rPr>
                <w:rFonts w:ascii="Times New Roman" w:eastAsia="Times New Roman" w:hAnsi="Times New Roman" w:cs="Times New Roman"/>
                <w:sz w:val="18"/>
                <w:szCs w:val="18"/>
                <w:lang w:eastAsia="sq-AL"/>
              </w:rPr>
              <w:t xml:space="preserve"> is every entity: </w:t>
            </w:r>
          </w:p>
          <w:p w14:paraId="547D7664"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 that mainly carries on as a business one or more of the following activities or operations for or on behalf of a client:</w:t>
            </w:r>
          </w:p>
          <w:p w14:paraId="6C33C1F4"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 trading in money market instruments such as cheques, bills of exchange, certificates of deposit, derivative instruments, foreign exchange; exchange rate instruments, interest rates and indices; transferable securities; or trading in futures contracts;</w:t>
            </w:r>
          </w:p>
          <w:p w14:paraId="18A48F80"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 individual or collective management of the portfolio; or</w:t>
            </w:r>
          </w:p>
          <w:p w14:paraId="7C21DDAA"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(iii) the investment, administration or management of financial assets, money, or reportable crypto-assets, on behalf of other persons; or</w:t>
            </w:r>
          </w:p>
          <w:p w14:paraId="3A41BD7E"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070F52A2"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(b) the gross income of which is derived primarily from the investment, reinvestment or trading of financial assets or reportable crypto-assets, if the entity is managed by another entity that is a depository institution, custodial institution, specified insurance company or investment entity under point (a). </w:t>
            </w:r>
          </w:p>
          <w:p w14:paraId="71E1CBBE"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An entity shall be considered to mainly carry on as a business one or more of the activities described in point (a), or that its gross income derives mainly from the investment, reinvestment or trading of financial assets or reportable crypto assets for the purposes of point (b), if the gross income of the entity arising from the relevant activities is equal to or exceeds 50% of the gross income of the entity during the shorter period of:</w:t>
            </w:r>
          </w:p>
          <w:p w14:paraId="7E522F61"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 the three-year period ending on 31 December of the year preceding the year in which the assessment is carried out; or</w:t>
            </w:r>
          </w:p>
          <w:p w14:paraId="31F0AA14"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 the period during which the entity has existed.</w:t>
            </w:r>
          </w:p>
          <w:p w14:paraId="78B99542"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029FF692" w14:textId="5D037E52"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For the purposes of point (a)(iii), </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the investment, administration or management of financial assets, money, or reportable crypto-assets on behalf of other persons</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 xml:space="preserve"> does not include the provision of services that carry out exchange transactions for or on behalf of clients.</w:t>
            </w:r>
          </w:p>
          <w:p w14:paraId="75BBD80B" w14:textId="3DC6C611" w:rsidR="00DC3028"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The term </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Investment Entity</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 xml:space="preserve"> does not include an entity that is an Active Entity because it meets any of the criteria set out in subparagraph p), points (b) to (e).</w:t>
            </w:r>
          </w:p>
        </w:tc>
        <w:tc>
          <w:tcPr>
            <w:tcW w:w="1184" w:type="dxa"/>
          </w:tcPr>
          <w:p w14:paraId="425C167B"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61D74985"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22B54720" w14:textId="77777777" w:rsidTr="00874B0C">
        <w:trPr>
          <w:trHeight w:val="764"/>
        </w:trPr>
        <w:tc>
          <w:tcPr>
            <w:tcW w:w="720" w:type="dxa"/>
          </w:tcPr>
          <w:p w14:paraId="0DE665B7"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5AD8D454" w14:textId="38DD4565"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b/>
              <w:t xml:space="preserve">6. </w:t>
            </w:r>
            <w:r w:rsidR="009E71CE">
              <w:rPr>
                <w:rFonts w:eastAsia="Calibri"/>
                <w:iCs/>
                <w:sz w:val="18"/>
                <w:szCs w:val="18"/>
              </w:rPr>
              <w:t>“</w:t>
            </w:r>
            <w:r w:rsidRPr="00874B0C">
              <w:rPr>
                <w:rFonts w:eastAsia="Calibri"/>
                <w:iCs/>
                <w:sz w:val="18"/>
                <w:szCs w:val="18"/>
              </w:rPr>
              <w:t>Specified Insurance Company</w:t>
            </w:r>
            <w:r w:rsidR="009E71CE">
              <w:rPr>
                <w:rFonts w:eastAsia="Calibri"/>
                <w:iCs/>
                <w:sz w:val="18"/>
                <w:szCs w:val="18"/>
              </w:rPr>
              <w:t>”</w:t>
            </w:r>
            <w:r w:rsidRPr="00874B0C">
              <w:rPr>
                <w:rFonts w:eastAsia="Calibri"/>
                <w:iCs/>
                <w:sz w:val="18"/>
                <w:szCs w:val="18"/>
              </w:rPr>
              <w:t xml:space="preserve"> means any Entity that is an insurance company (or the holding company of an insurance company) that issues, or is obligated to make payments with respect to, a Cash Value Insurance Contract or an Annuity Contract.</w:t>
            </w:r>
          </w:p>
        </w:tc>
        <w:tc>
          <w:tcPr>
            <w:tcW w:w="1080" w:type="dxa"/>
          </w:tcPr>
          <w:p w14:paraId="4B5672DB"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4E811B51"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A01D182" w14:textId="6FBD91D6" w:rsidR="00DC3028" w:rsidRPr="00874B0C" w:rsidRDefault="001F7AD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28.</w:t>
            </w:r>
            <w:r w:rsidR="009E6C0E"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9E6C0E" w:rsidRPr="00874B0C">
              <w:rPr>
                <w:rFonts w:ascii="Times New Roman" w:eastAsia="Times New Roman" w:hAnsi="Times New Roman" w:cs="Times New Roman"/>
                <w:sz w:val="18"/>
                <w:szCs w:val="18"/>
                <w:lang w:eastAsia="sq-AL"/>
              </w:rPr>
              <w:t>Specified insurance company</w:t>
            </w:r>
            <w:r w:rsidR="009E71CE">
              <w:rPr>
                <w:rFonts w:ascii="Times New Roman" w:eastAsia="Times New Roman" w:hAnsi="Times New Roman" w:cs="Times New Roman"/>
                <w:sz w:val="18"/>
                <w:szCs w:val="18"/>
                <w:lang w:eastAsia="sq-AL"/>
              </w:rPr>
              <w:t>”</w:t>
            </w:r>
            <w:r w:rsidR="009E6C0E" w:rsidRPr="00874B0C">
              <w:rPr>
                <w:rFonts w:ascii="Times New Roman" w:eastAsia="Times New Roman" w:hAnsi="Times New Roman" w:cs="Times New Roman"/>
                <w:sz w:val="18"/>
                <w:szCs w:val="18"/>
                <w:lang w:eastAsia="sq-AL"/>
              </w:rPr>
              <w:t xml:space="preserve"> is any entity that is an insurance company or the parent undertaking of an insurance company that issues, or is obliged to make payments with respect to, a cash value insurance contract or an annuity contract.</w:t>
            </w:r>
          </w:p>
        </w:tc>
        <w:tc>
          <w:tcPr>
            <w:tcW w:w="1184" w:type="dxa"/>
          </w:tcPr>
          <w:p w14:paraId="42CF5553"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2709169D"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3AFFE163" w14:textId="77777777" w:rsidTr="00874B0C">
        <w:trPr>
          <w:trHeight w:val="764"/>
        </w:trPr>
        <w:tc>
          <w:tcPr>
            <w:tcW w:w="720" w:type="dxa"/>
          </w:tcPr>
          <w:p w14:paraId="1F76520C"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2908791A" w14:textId="75195CAD"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7. </w:t>
            </w:r>
            <w:r w:rsidR="009E71CE">
              <w:rPr>
                <w:rFonts w:eastAsia="Calibri"/>
                <w:iCs/>
                <w:sz w:val="18"/>
                <w:szCs w:val="18"/>
              </w:rPr>
              <w:t>“</w:t>
            </w:r>
            <w:r w:rsidRPr="00874B0C">
              <w:rPr>
                <w:rFonts w:eastAsia="Calibri"/>
                <w:iCs/>
                <w:sz w:val="18"/>
                <w:szCs w:val="18"/>
              </w:rPr>
              <w:t>Governmental Entity</w:t>
            </w:r>
            <w:r w:rsidR="009E71CE">
              <w:rPr>
                <w:rFonts w:eastAsia="Calibri"/>
                <w:iCs/>
                <w:sz w:val="18"/>
                <w:szCs w:val="18"/>
              </w:rPr>
              <w:t>”</w:t>
            </w:r>
            <w:r w:rsidRPr="00874B0C">
              <w:rPr>
                <w:rFonts w:eastAsia="Calibri"/>
                <w:iCs/>
                <w:sz w:val="18"/>
                <w:szCs w:val="18"/>
              </w:rPr>
              <w:t xml:space="preserve"> means the government of a jurisdiction, any political subdivision of a jurisdiction (which, for the avoidance of doubt, includes a state, province, county, or municipality), or any wholly owned agency or instrumentality of a jurisdiction or of any one or more of the foregoing. This category is comprised of the integral parts, controlled entities, and political subdivisions of a jurisdiction.</w:t>
            </w:r>
          </w:p>
          <w:p w14:paraId="5FE94758" w14:textId="0796F919"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(a) An </w:t>
            </w:r>
            <w:r w:rsidR="009E71CE">
              <w:rPr>
                <w:rFonts w:eastAsia="Calibri"/>
                <w:iCs/>
                <w:sz w:val="18"/>
                <w:szCs w:val="18"/>
              </w:rPr>
              <w:t>“</w:t>
            </w:r>
            <w:r w:rsidRPr="00874B0C">
              <w:rPr>
                <w:rFonts w:eastAsia="Calibri"/>
                <w:iCs/>
                <w:sz w:val="18"/>
                <w:szCs w:val="18"/>
              </w:rPr>
              <w:t>integral part</w:t>
            </w:r>
            <w:r w:rsidR="009E71CE">
              <w:rPr>
                <w:rFonts w:eastAsia="Calibri"/>
                <w:iCs/>
                <w:sz w:val="18"/>
                <w:szCs w:val="18"/>
              </w:rPr>
              <w:t>”</w:t>
            </w:r>
            <w:r w:rsidRPr="00874B0C">
              <w:rPr>
                <w:rFonts w:eastAsia="Calibri"/>
                <w:iCs/>
                <w:sz w:val="18"/>
                <w:szCs w:val="18"/>
              </w:rPr>
              <w:t xml:space="preserve"> of a jurisdiction means any person, organisation, agency, bureau, fund, instrumentality, or other body, however designated, that constitutes a governing authority of a jurisdiction. The net earnings of the governing authority shall be credited to its own account or to other accounts of the jurisdiction, with no portion inuring to the benefit of any private person. An integral part does not include any individual who is a sovereign, official, or administrator acting in a private or personal capacity.</w:t>
            </w:r>
          </w:p>
          <w:p w14:paraId="1362E153"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2EC26D82" w14:textId="1AD10CD3"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(b) A </w:t>
            </w:r>
            <w:r w:rsidR="009E71CE">
              <w:rPr>
                <w:rFonts w:eastAsia="Calibri"/>
                <w:iCs/>
                <w:sz w:val="18"/>
                <w:szCs w:val="18"/>
              </w:rPr>
              <w:t>“</w:t>
            </w:r>
            <w:r w:rsidRPr="00874B0C">
              <w:rPr>
                <w:rFonts w:eastAsia="Calibri"/>
                <w:iCs/>
                <w:sz w:val="18"/>
                <w:szCs w:val="18"/>
              </w:rPr>
              <w:t>controlled entity</w:t>
            </w:r>
            <w:r w:rsidR="009E71CE">
              <w:rPr>
                <w:rFonts w:eastAsia="Calibri"/>
                <w:iCs/>
                <w:sz w:val="18"/>
                <w:szCs w:val="18"/>
              </w:rPr>
              <w:t>”</w:t>
            </w:r>
            <w:r w:rsidRPr="00874B0C">
              <w:rPr>
                <w:rFonts w:eastAsia="Calibri"/>
                <w:iCs/>
                <w:sz w:val="18"/>
                <w:szCs w:val="18"/>
              </w:rPr>
              <w:t xml:space="preserve"> means an Entity that is separate in form from the jurisdiction or that otherwise constitutes a separate juridical entity, provided that:</w:t>
            </w:r>
          </w:p>
          <w:p w14:paraId="73EFD350"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7674316A" w14:textId="77DA9AF6"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 the Entity is wholly owned and controlled by one or more Governmental Entities directly or through one or more controlled entities;</w:t>
            </w:r>
          </w:p>
          <w:p w14:paraId="629894BC"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32667B0D" w14:textId="0EB63A6F"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 the Entity’s net earnings are credited to its own account or to the accounts of one or more Governmental Entities, with no portion of its income inuring to the benefit of any private person; and</w:t>
            </w:r>
          </w:p>
          <w:p w14:paraId="208B6FA6"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7CB9552B" w14:textId="2A73DF5D"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(iii) the Entity’s assets vest in one or more Governmental Entities upon dissolution.</w:t>
            </w:r>
          </w:p>
          <w:p w14:paraId="6D055B96"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19364B69" w14:textId="12FA466F"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Income does not inure to the benefit of private persons if such persons are the intended beneficiaries of a governmental programme, and the programme activities are performed for the general public with respect to the common welfare or relate to the administration of some phase of government. Notwithstanding the foregoing, however, income is considered to inure to the benefit of private persons if the income is derived from the use of a governmental entity to conduct a commercial business, such as a commercial banking business, that provides financial services to private persons.</w:t>
            </w:r>
          </w:p>
        </w:tc>
        <w:tc>
          <w:tcPr>
            <w:tcW w:w="1080" w:type="dxa"/>
          </w:tcPr>
          <w:p w14:paraId="52F7C5B3"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0668339B"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6480304F" w14:textId="5F626BE7" w:rsidR="009E6C0E" w:rsidRPr="00874B0C" w:rsidRDefault="001F7AD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29.</w:t>
            </w:r>
            <w:r w:rsidR="009E6C0E"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9E6C0E" w:rsidRPr="00874B0C">
              <w:rPr>
                <w:rFonts w:ascii="Times New Roman" w:eastAsia="Times New Roman" w:hAnsi="Times New Roman" w:cs="Times New Roman"/>
                <w:sz w:val="18"/>
                <w:szCs w:val="18"/>
                <w:lang w:eastAsia="sq-AL"/>
              </w:rPr>
              <w:t>Public entity</w:t>
            </w:r>
            <w:r w:rsidR="009E71CE">
              <w:rPr>
                <w:rFonts w:ascii="Times New Roman" w:eastAsia="Times New Roman" w:hAnsi="Times New Roman" w:cs="Times New Roman"/>
                <w:sz w:val="18"/>
                <w:szCs w:val="18"/>
                <w:lang w:eastAsia="sq-AL"/>
              </w:rPr>
              <w:t>”</w:t>
            </w:r>
            <w:r w:rsidR="009E6C0E" w:rsidRPr="00874B0C">
              <w:rPr>
                <w:rFonts w:ascii="Times New Roman" w:eastAsia="Times New Roman" w:hAnsi="Times New Roman" w:cs="Times New Roman"/>
                <w:sz w:val="18"/>
                <w:szCs w:val="18"/>
                <w:lang w:eastAsia="sq-AL"/>
              </w:rPr>
              <w:t xml:space="preserve"> are the public bodies of a jurisdiction, including any subdivision of a jurisdiction, a state, province, county or municipality, or any agency or instrumentality wholly owned by a jurisdiction or by one or more of the above entities. This category includes the constituent parts, controlled entities and subdivisions of a jurisdiction.</w:t>
            </w:r>
          </w:p>
          <w:p w14:paraId="24CA36B8"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7CA1F985"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 The constituent parts of a jurisdiction, that is, any entity, organization, agency, office, fund, instrument or other body, regardless of its designation, that constitutes a governing authority of a jurisdiction. The net income of the governing authority is credited to its account or to other accounts of the jurisdiction, with no part of it benefiting a private person. A constituent part is not considered to be an individual acting as a representative of the government, official or administrator in a private or personal capacity;</w:t>
            </w:r>
          </w:p>
          <w:p w14:paraId="6CEE6ADC"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11866A64" w14:textId="332DC66D"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b) </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Controlled Entity</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 xml:space="preserve"> means an entity that is separate in form from the jurisdiction or that constitutes a separate legal person, provided that:</w:t>
            </w:r>
          </w:p>
          <w:p w14:paraId="6CAC4A87"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28B412D5"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 the entity is owned and under the full control of one or more public entities, directly or through one or more controlled entities;</w:t>
            </w:r>
          </w:p>
          <w:p w14:paraId="1F433D8A"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719C8789"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 the net income of the entity shall be credited to its account or to the accounts of one or more public entities and no part of its income shall benefit a private person; and</w:t>
            </w:r>
          </w:p>
          <w:p w14:paraId="1D0879A6"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692F97EA"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iii) the assets of the entity shall pass to one or more public entities in the event of dissolution.</w:t>
            </w:r>
          </w:p>
          <w:p w14:paraId="61E3D834" w14:textId="77777777" w:rsidR="009E6C0E" w:rsidRPr="00874B0C" w:rsidRDefault="009E6C0E" w:rsidP="00874B0C">
            <w:pPr>
              <w:spacing w:line="276" w:lineRule="auto"/>
              <w:jc w:val="both"/>
              <w:rPr>
                <w:rFonts w:ascii="Times New Roman" w:eastAsia="Times New Roman" w:hAnsi="Times New Roman" w:cs="Times New Roman"/>
                <w:sz w:val="18"/>
                <w:szCs w:val="18"/>
                <w:lang w:eastAsia="sq-AL"/>
              </w:rPr>
            </w:pPr>
          </w:p>
          <w:p w14:paraId="66907109" w14:textId="7CEA27D1" w:rsidR="00614C48" w:rsidRPr="00874B0C" w:rsidRDefault="009E6C0E"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c) The revenues are not considered to benefit private persons when those persons are the intended beneficiaries of a governmental program and the activities of the program are carried out for the general public in the interest of general welfare or relate to the administration of a function of governance. However, the revenues are considered to benefit private persons if they arise from the use of a public entity for the exercise of a commercial activity, such as commercial banking activity that provides financial services to private persons.</w:t>
            </w:r>
          </w:p>
        </w:tc>
        <w:tc>
          <w:tcPr>
            <w:tcW w:w="1184" w:type="dxa"/>
          </w:tcPr>
          <w:p w14:paraId="4E4D5B28"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08AEF529"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2A35BBED" w14:textId="77777777" w:rsidTr="00874B0C">
        <w:trPr>
          <w:trHeight w:val="764"/>
        </w:trPr>
        <w:tc>
          <w:tcPr>
            <w:tcW w:w="720" w:type="dxa"/>
          </w:tcPr>
          <w:p w14:paraId="05767559"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33BA8084" w14:textId="28F9531A"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8.</w:t>
            </w:r>
            <w:r w:rsidR="009E71CE">
              <w:rPr>
                <w:rFonts w:eastAsia="Calibri"/>
                <w:iCs/>
                <w:sz w:val="18"/>
                <w:szCs w:val="18"/>
              </w:rPr>
              <w:t>”</w:t>
            </w:r>
            <w:r w:rsidRPr="00874B0C">
              <w:rPr>
                <w:rFonts w:eastAsia="Calibri"/>
                <w:iCs/>
                <w:sz w:val="18"/>
                <w:szCs w:val="18"/>
              </w:rPr>
              <w:t>International Organisation</w:t>
            </w:r>
            <w:r w:rsidR="009E71CE">
              <w:rPr>
                <w:rFonts w:eastAsia="Calibri"/>
                <w:iCs/>
                <w:sz w:val="18"/>
                <w:szCs w:val="18"/>
              </w:rPr>
              <w:t>”</w:t>
            </w:r>
            <w:r w:rsidRPr="00874B0C">
              <w:rPr>
                <w:rFonts w:eastAsia="Calibri"/>
                <w:iCs/>
                <w:sz w:val="18"/>
                <w:szCs w:val="18"/>
              </w:rPr>
              <w:t xml:space="preserve"> means any international organisation or wholly owned agency or instrumentality thereof. This category includes any intergovernmental organisation (including a supranational organisation):</w:t>
            </w:r>
          </w:p>
          <w:p w14:paraId="14E124CB"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033704AE" w14:textId="1B8C5863"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that is comprised primarily of governments;</w:t>
            </w:r>
          </w:p>
          <w:p w14:paraId="70BB392F"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303DF527" w14:textId="689331D9"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that has in effect a headquarters or substantially similar agreement with the jurisdiction; and</w:t>
            </w:r>
          </w:p>
          <w:p w14:paraId="53F29B54"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2C809DC4" w14:textId="7DB46B92"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the income of which does not inure to the benefit of private persons.</w:t>
            </w:r>
          </w:p>
        </w:tc>
        <w:tc>
          <w:tcPr>
            <w:tcW w:w="1080" w:type="dxa"/>
          </w:tcPr>
          <w:p w14:paraId="5D313826"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444402BD"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6D68E0F" w14:textId="53052D6C" w:rsidR="00F7685F" w:rsidRPr="00874B0C" w:rsidRDefault="00843C41"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30.</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International organization</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is every international organization or every agency or instrument fully owned by it. This category includes every intergovernmental organization including an intergovernmental organization, which:</w:t>
            </w:r>
          </w:p>
          <w:p w14:paraId="1014AA0C" w14:textId="1F4B339A" w:rsidR="00F7685F"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F7685F" w:rsidRPr="00874B0C">
              <w:rPr>
                <w:rFonts w:ascii="Times New Roman" w:eastAsia="Times New Roman" w:hAnsi="Times New Roman" w:cs="Times New Roman"/>
                <w:sz w:val="18"/>
                <w:szCs w:val="18"/>
                <w:lang w:eastAsia="sq-AL"/>
              </w:rPr>
              <w:t>) consists mainly of governments;</w:t>
            </w:r>
          </w:p>
          <w:p w14:paraId="03CC449D" w14:textId="6FEFCAC0" w:rsidR="00F7685F"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F7685F" w:rsidRPr="00874B0C">
              <w:rPr>
                <w:rFonts w:ascii="Times New Roman" w:eastAsia="Times New Roman" w:hAnsi="Times New Roman" w:cs="Times New Roman"/>
                <w:sz w:val="18"/>
                <w:szCs w:val="18"/>
                <w:lang w:eastAsia="sq-AL"/>
              </w:rPr>
              <w:t xml:space="preserve">) has in force a headquarters agreement or another agreement substantially similar with the jurisdiction in which it operates; </w:t>
            </w:r>
          </w:p>
          <w:p w14:paraId="0029ECF2" w14:textId="155B46E7" w:rsidR="00DC3028"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c</w:t>
            </w:r>
            <w:r w:rsidR="00F7685F" w:rsidRPr="00874B0C">
              <w:rPr>
                <w:rFonts w:ascii="Times New Roman" w:eastAsia="Times New Roman" w:hAnsi="Times New Roman" w:cs="Times New Roman"/>
                <w:sz w:val="18"/>
                <w:szCs w:val="18"/>
                <w:lang w:eastAsia="sq-AL"/>
              </w:rPr>
              <w:t>) the proceeds of which do not benefit private persons.</w:t>
            </w:r>
          </w:p>
        </w:tc>
        <w:tc>
          <w:tcPr>
            <w:tcW w:w="1184" w:type="dxa"/>
          </w:tcPr>
          <w:p w14:paraId="6373C30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6B0E99F8"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5D17FF88" w14:textId="77777777" w:rsidTr="00874B0C">
        <w:trPr>
          <w:trHeight w:val="764"/>
        </w:trPr>
        <w:tc>
          <w:tcPr>
            <w:tcW w:w="720" w:type="dxa"/>
          </w:tcPr>
          <w:p w14:paraId="6A773E40"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7B9BFE34" w14:textId="715D338B"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9. </w:t>
            </w:r>
            <w:r w:rsidR="009E71CE">
              <w:rPr>
                <w:rFonts w:eastAsia="Calibri"/>
                <w:iCs/>
                <w:sz w:val="18"/>
                <w:szCs w:val="18"/>
              </w:rPr>
              <w:t>“</w:t>
            </w:r>
            <w:r w:rsidRPr="00874B0C">
              <w:rPr>
                <w:rFonts w:eastAsia="Calibri"/>
                <w:iCs/>
                <w:sz w:val="18"/>
                <w:szCs w:val="18"/>
              </w:rPr>
              <w:t>Financial Asset</w:t>
            </w:r>
            <w:r w:rsidR="009E71CE">
              <w:rPr>
                <w:rFonts w:eastAsia="Calibri"/>
                <w:iCs/>
                <w:sz w:val="18"/>
                <w:szCs w:val="18"/>
              </w:rPr>
              <w:t>”</w:t>
            </w:r>
            <w:r w:rsidRPr="00874B0C">
              <w:rPr>
                <w:rFonts w:eastAsia="Calibri"/>
                <w:iCs/>
                <w:sz w:val="18"/>
                <w:szCs w:val="18"/>
              </w:rPr>
              <w:t xml:space="preserve"> includes a security (for example, a share of stock in a corporation; partnership or beneficial ownership interest in a widely held or publicly traded partnership or trust; note, bond, debenture, or other evidence of indebtedness), partnership interest, commodity, swap (for example, interest rate swaps, currency swaps, basis swaps, interest rate caps, interest rate floors, commodity swaps, equity swaps, equity index swaps, and similar agreements), Insurance Contract or Annuity Contract, or any interest (including a futures or forward contract or option) in a security, Reportable Crypto-Asset, partnership interest, commodity, swap, Insurance Contract, or Annuity Contract. The term </w:t>
            </w:r>
            <w:r w:rsidR="009E71CE">
              <w:rPr>
                <w:rFonts w:eastAsia="Calibri"/>
                <w:iCs/>
                <w:sz w:val="18"/>
                <w:szCs w:val="18"/>
              </w:rPr>
              <w:t>“</w:t>
            </w:r>
            <w:r w:rsidRPr="00874B0C">
              <w:rPr>
                <w:rFonts w:eastAsia="Calibri"/>
                <w:iCs/>
                <w:sz w:val="18"/>
                <w:szCs w:val="18"/>
              </w:rPr>
              <w:t>Financial Asset</w:t>
            </w:r>
            <w:r w:rsidR="009E71CE">
              <w:rPr>
                <w:rFonts w:eastAsia="Calibri"/>
                <w:iCs/>
                <w:sz w:val="18"/>
                <w:szCs w:val="18"/>
              </w:rPr>
              <w:t>”</w:t>
            </w:r>
            <w:r w:rsidRPr="00874B0C">
              <w:rPr>
                <w:rFonts w:eastAsia="Calibri"/>
                <w:iCs/>
                <w:sz w:val="18"/>
                <w:szCs w:val="18"/>
              </w:rPr>
              <w:t xml:space="preserve"> does not include a non-debt, direct interest in real property.</w:t>
            </w:r>
          </w:p>
        </w:tc>
        <w:tc>
          <w:tcPr>
            <w:tcW w:w="1080" w:type="dxa"/>
          </w:tcPr>
          <w:p w14:paraId="2A7412BE"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41FFD49F"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0E8CAA30" w14:textId="7274A6DC" w:rsidR="00DC3028" w:rsidRPr="00874B0C" w:rsidRDefault="00843C41"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31.</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Financial asset</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includes a security, an equity interest in a company; a partnership interest or a beneficial interest in a widely held or publicly traded partnership or trust; bills of exchange, bonds, debt obligations or other evidence of a financial liability, a partnership interest, a commodity, a financial exchange instrument, interest rate swap contracts, foreign exchange swap contracts, interest rate differential swap contracts, interest rate cap or floor contracts, commodity swap contracts, equity swap contracts, equity index swap contracts and similar agreements, an insurance contract or an annuity contract, as well as any interest, including futures contracts, forward contracts or options, on a security, a reportable crypto-asset. The term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financial asset</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does not include a direct interest in immovable property that does not represent a debt instrument.</w:t>
            </w:r>
          </w:p>
        </w:tc>
        <w:tc>
          <w:tcPr>
            <w:tcW w:w="1184" w:type="dxa"/>
          </w:tcPr>
          <w:p w14:paraId="45699F6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0015BD9E"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7F11D095" w14:textId="77777777" w:rsidTr="00874B0C">
        <w:trPr>
          <w:trHeight w:val="764"/>
        </w:trPr>
        <w:tc>
          <w:tcPr>
            <w:tcW w:w="720" w:type="dxa"/>
          </w:tcPr>
          <w:p w14:paraId="7CB2F9E4"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7929A679" w14:textId="2569F067"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10. </w:t>
            </w:r>
            <w:r w:rsidR="009E71CE">
              <w:rPr>
                <w:rFonts w:eastAsia="Calibri"/>
                <w:iCs/>
                <w:sz w:val="18"/>
                <w:szCs w:val="18"/>
              </w:rPr>
              <w:t>“</w:t>
            </w:r>
            <w:r w:rsidRPr="00874B0C">
              <w:rPr>
                <w:rFonts w:eastAsia="Calibri"/>
                <w:iCs/>
                <w:sz w:val="18"/>
                <w:szCs w:val="18"/>
              </w:rPr>
              <w:t>Equity Interest</w:t>
            </w:r>
            <w:r w:rsidR="009E71CE">
              <w:rPr>
                <w:rFonts w:eastAsia="Calibri"/>
                <w:iCs/>
                <w:sz w:val="18"/>
                <w:szCs w:val="18"/>
              </w:rPr>
              <w:t>”</w:t>
            </w:r>
            <w:r w:rsidRPr="00874B0C">
              <w:rPr>
                <w:rFonts w:eastAsia="Calibri"/>
                <w:iCs/>
                <w:sz w:val="18"/>
                <w:szCs w:val="18"/>
              </w:rPr>
              <w:t xml:space="preserve"> means, in the case of a partnership that is a Financial Institution, either a capital or profits interest in the partnership. In the case of a trust that is a Financial Institution, an Equity Interest is considered to be held by any person treated as a settlor or beneficiary of all or a portion of the trust, or any other natural person exercising ultimate effective control over the trust. A Reportable Person will be treated as being a beneficiary of a trust if such Reportable Person has the right to receive directly or indirectly (for example, through a nominee) a mandatory distribution or may receive, directly or indirectly, a discretionary distribution from the trust.</w:t>
            </w:r>
          </w:p>
          <w:p w14:paraId="06B91E99" w14:textId="77777777" w:rsidR="00DC3028" w:rsidRPr="00874B0C" w:rsidRDefault="00DC3028" w:rsidP="00874B0C">
            <w:pPr>
              <w:spacing w:line="276" w:lineRule="auto"/>
              <w:rPr>
                <w:rFonts w:ascii="Times New Roman" w:hAnsi="Times New Roman" w:cs="Times New Roman"/>
                <w:sz w:val="18"/>
                <w:szCs w:val="18"/>
              </w:rPr>
            </w:pPr>
          </w:p>
        </w:tc>
        <w:tc>
          <w:tcPr>
            <w:tcW w:w="1080" w:type="dxa"/>
          </w:tcPr>
          <w:p w14:paraId="4DE45988"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4C4B8DB3"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0987D6F6" w14:textId="6F76BFF8" w:rsidR="00DC3028" w:rsidRPr="00874B0C" w:rsidRDefault="00843C41"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32.</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Equity interest</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in the case of a partnership that is a financial institution, an interest in the capital or in the profits of the partnership. In the case of a trust that is a financial institution, an equity interest shall be considered to be held by any person who is treated as a settlor or beneficiary of all or part of the trust, or by any other natural person exercising ultimate effective control over the trust. A reportable person shall be considered a beneficiary of a trust if he is entitled to receive, directly or indirectly, a mandatory distribution or may receive, directly or indirectly, a discretionary distribution from the trust.</w:t>
            </w:r>
          </w:p>
        </w:tc>
        <w:tc>
          <w:tcPr>
            <w:tcW w:w="1184" w:type="dxa"/>
          </w:tcPr>
          <w:p w14:paraId="3B4E410F"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44229DF0"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0FF3902D" w14:textId="77777777" w:rsidTr="00874B0C">
        <w:trPr>
          <w:trHeight w:val="764"/>
        </w:trPr>
        <w:tc>
          <w:tcPr>
            <w:tcW w:w="720" w:type="dxa"/>
          </w:tcPr>
          <w:p w14:paraId="697BE082"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5060C925" w14:textId="0136A789"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11.  </w:t>
            </w:r>
            <w:r w:rsidR="009E71CE">
              <w:rPr>
                <w:rFonts w:eastAsia="Calibri"/>
                <w:iCs/>
                <w:sz w:val="18"/>
                <w:szCs w:val="18"/>
              </w:rPr>
              <w:t>“</w:t>
            </w:r>
            <w:r w:rsidRPr="00874B0C">
              <w:rPr>
                <w:rFonts w:eastAsia="Calibri"/>
                <w:iCs/>
                <w:sz w:val="18"/>
                <w:szCs w:val="18"/>
              </w:rPr>
              <w:t>Insurance Contract</w:t>
            </w:r>
            <w:r w:rsidR="009E71CE">
              <w:rPr>
                <w:rFonts w:eastAsia="Calibri"/>
                <w:iCs/>
                <w:sz w:val="18"/>
                <w:szCs w:val="18"/>
              </w:rPr>
              <w:t>”</w:t>
            </w:r>
            <w:r w:rsidRPr="00874B0C">
              <w:rPr>
                <w:rFonts w:eastAsia="Calibri"/>
                <w:iCs/>
                <w:sz w:val="18"/>
                <w:szCs w:val="18"/>
              </w:rPr>
              <w:t xml:space="preserve"> means a contract (other than an Annuity Contract) under which the issuer agrees to pay an amount upon the occurrence of a specified contingency involving mortality, morbidity, accident, liability, or property risk.</w:t>
            </w:r>
          </w:p>
        </w:tc>
        <w:tc>
          <w:tcPr>
            <w:tcW w:w="1080" w:type="dxa"/>
          </w:tcPr>
          <w:p w14:paraId="2C117C31"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35D61EEC"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26D0345" w14:textId="26F32136" w:rsidR="00DC3028" w:rsidRPr="00874B0C" w:rsidRDefault="009D212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33.</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Insurance contract</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a contract other than an annuity contract under which the issuer undertakes to pay a specified amount in the event of the occurrence of a specified event relating to death, illness, accident, civil liability or risk to property.</w:t>
            </w:r>
          </w:p>
        </w:tc>
        <w:tc>
          <w:tcPr>
            <w:tcW w:w="1184" w:type="dxa"/>
          </w:tcPr>
          <w:p w14:paraId="5B236F77"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79781CBE"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58FFBA8E" w14:textId="77777777" w:rsidTr="00874B0C">
        <w:trPr>
          <w:trHeight w:val="764"/>
        </w:trPr>
        <w:tc>
          <w:tcPr>
            <w:tcW w:w="720" w:type="dxa"/>
          </w:tcPr>
          <w:p w14:paraId="0DEEB83C"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1A1E9DE1" w14:textId="6E135C08"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12. </w:t>
            </w:r>
            <w:r w:rsidR="009E71CE">
              <w:rPr>
                <w:rFonts w:eastAsia="Calibri"/>
                <w:iCs/>
                <w:sz w:val="18"/>
                <w:szCs w:val="18"/>
              </w:rPr>
              <w:t>“</w:t>
            </w:r>
            <w:r w:rsidRPr="00874B0C">
              <w:rPr>
                <w:rFonts w:eastAsia="Calibri"/>
                <w:iCs/>
                <w:sz w:val="18"/>
                <w:szCs w:val="18"/>
              </w:rPr>
              <w:t>Annuity Contract</w:t>
            </w:r>
            <w:r w:rsidR="009E71CE">
              <w:rPr>
                <w:rFonts w:eastAsia="Calibri"/>
                <w:iCs/>
                <w:sz w:val="18"/>
                <w:szCs w:val="18"/>
              </w:rPr>
              <w:t>”</w:t>
            </w:r>
            <w:r w:rsidRPr="00874B0C">
              <w:rPr>
                <w:rFonts w:eastAsia="Calibri"/>
                <w:iCs/>
                <w:sz w:val="18"/>
                <w:szCs w:val="18"/>
              </w:rPr>
              <w:t xml:space="preserve"> means a contract under which the issuer agrees to make payments for a period of time determined in whole or in part by reference to the life expectancy of one or more individuals. The term also includes a contract that is considered to be an Annuity Contract in accordance with the law, regulation, or practice of the Member State or other jurisdiction in which the contract was issued, and under which the issuer agrees to make payments for a term of years.</w:t>
            </w:r>
          </w:p>
        </w:tc>
        <w:tc>
          <w:tcPr>
            <w:tcW w:w="1080" w:type="dxa"/>
          </w:tcPr>
          <w:p w14:paraId="239B908A"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2204C2C5"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BB0C1BB" w14:textId="5840B7E9" w:rsidR="00DC3028" w:rsidRPr="00874B0C" w:rsidRDefault="009D212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34.</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Annuity contract</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a contract according to which the issuer undertakes to make payments for a period of time determined wholly or partly as a function of the life expectancy of one or more individuals. This term also includes any contract that is considered an annuity contract under the legislation, bylaws or practice of another jurisdiction in which the contract was issued and according to which the issuer undertakes to make payments for a specified period of years.</w:t>
            </w:r>
          </w:p>
        </w:tc>
        <w:tc>
          <w:tcPr>
            <w:tcW w:w="1184" w:type="dxa"/>
          </w:tcPr>
          <w:p w14:paraId="3704E552"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1DE5214"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6207EE7E" w14:textId="77777777" w:rsidTr="00874B0C">
        <w:trPr>
          <w:trHeight w:val="764"/>
        </w:trPr>
        <w:tc>
          <w:tcPr>
            <w:tcW w:w="720" w:type="dxa"/>
          </w:tcPr>
          <w:p w14:paraId="65A4CC00"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7E3303D9" w14:textId="3F1CB572"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13. </w:t>
            </w:r>
            <w:r w:rsidR="009E71CE">
              <w:rPr>
                <w:rFonts w:eastAsia="Calibri"/>
                <w:iCs/>
                <w:sz w:val="18"/>
                <w:szCs w:val="18"/>
              </w:rPr>
              <w:t>“</w:t>
            </w:r>
            <w:r w:rsidRPr="00874B0C">
              <w:rPr>
                <w:rFonts w:eastAsia="Calibri"/>
                <w:iCs/>
                <w:sz w:val="18"/>
                <w:szCs w:val="18"/>
              </w:rPr>
              <w:t>Cash Value Insurance Contract</w:t>
            </w:r>
            <w:r w:rsidR="009E71CE">
              <w:rPr>
                <w:rFonts w:eastAsia="Calibri"/>
                <w:iCs/>
                <w:sz w:val="18"/>
                <w:szCs w:val="18"/>
              </w:rPr>
              <w:t>”</w:t>
            </w:r>
            <w:r w:rsidRPr="00874B0C">
              <w:rPr>
                <w:rFonts w:eastAsia="Calibri"/>
                <w:iCs/>
                <w:sz w:val="18"/>
                <w:szCs w:val="18"/>
              </w:rPr>
              <w:t xml:space="preserve"> means an Insurance Contract (other than an indemnity reinsurance contract between two insurance companies) that has a Cash Value.</w:t>
            </w:r>
          </w:p>
        </w:tc>
        <w:tc>
          <w:tcPr>
            <w:tcW w:w="1080" w:type="dxa"/>
          </w:tcPr>
          <w:p w14:paraId="06279299"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372FA750"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A327697" w14:textId="0D709212" w:rsidR="00DC3028" w:rsidRPr="00874B0C" w:rsidRDefault="009D212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35.</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Cash Value Insurance Contract</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an insurance contract, other than an indemnity reinsurance contract between two insurance companies, which has a cash value.</w:t>
            </w:r>
          </w:p>
        </w:tc>
        <w:tc>
          <w:tcPr>
            <w:tcW w:w="1184" w:type="dxa"/>
          </w:tcPr>
          <w:p w14:paraId="3CFC401E"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3434A0C1"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163A97D5" w14:textId="77777777" w:rsidTr="00874B0C">
        <w:trPr>
          <w:trHeight w:val="764"/>
        </w:trPr>
        <w:tc>
          <w:tcPr>
            <w:tcW w:w="720" w:type="dxa"/>
          </w:tcPr>
          <w:p w14:paraId="65554491"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15DD4DF4" w14:textId="1116C9DE"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14. </w:t>
            </w:r>
            <w:r w:rsidR="009E71CE">
              <w:rPr>
                <w:rFonts w:eastAsia="Calibri"/>
                <w:iCs/>
                <w:sz w:val="18"/>
                <w:szCs w:val="18"/>
              </w:rPr>
              <w:t>“</w:t>
            </w:r>
            <w:r w:rsidRPr="00874B0C">
              <w:rPr>
                <w:rFonts w:eastAsia="Calibri"/>
                <w:iCs/>
                <w:sz w:val="18"/>
                <w:szCs w:val="18"/>
              </w:rPr>
              <w:t>Cash Value</w:t>
            </w:r>
            <w:r w:rsidR="009E71CE">
              <w:rPr>
                <w:rFonts w:eastAsia="Calibri"/>
                <w:iCs/>
                <w:sz w:val="18"/>
                <w:szCs w:val="18"/>
              </w:rPr>
              <w:t>”</w:t>
            </w:r>
            <w:r w:rsidRPr="00874B0C">
              <w:rPr>
                <w:rFonts w:eastAsia="Calibri"/>
                <w:iCs/>
                <w:sz w:val="18"/>
                <w:szCs w:val="18"/>
              </w:rPr>
              <w:t xml:space="preserve"> means the greater of (i) the amount that the policyholder is entitled to receive upon surrender or termination of the contract (determined without reduction for any surrender charge or policy loan) and (ii) the amount the policyholder can borrow under or with regard to the contract. Notwithstanding the foregoing, the term </w:t>
            </w:r>
            <w:r w:rsidR="009E71CE">
              <w:rPr>
                <w:rFonts w:eastAsia="Calibri"/>
                <w:iCs/>
                <w:sz w:val="18"/>
                <w:szCs w:val="18"/>
              </w:rPr>
              <w:t>“</w:t>
            </w:r>
            <w:r w:rsidRPr="00874B0C">
              <w:rPr>
                <w:rFonts w:eastAsia="Calibri"/>
                <w:iCs/>
                <w:sz w:val="18"/>
                <w:szCs w:val="18"/>
              </w:rPr>
              <w:t>Cash Value</w:t>
            </w:r>
            <w:r w:rsidR="009E71CE">
              <w:rPr>
                <w:rFonts w:eastAsia="Calibri"/>
                <w:iCs/>
                <w:sz w:val="18"/>
                <w:szCs w:val="18"/>
              </w:rPr>
              <w:t>”</w:t>
            </w:r>
            <w:r w:rsidRPr="00874B0C">
              <w:rPr>
                <w:rFonts w:eastAsia="Calibri"/>
                <w:iCs/>
                <w:sz w:val="18"/>
                <w:szCs w:val="18"/>
              </w:rPr>
              <w:t xml:space="preserve"> does not include an amount payable under an Insurance Contract:</w:t>
            </w:r>
          </w:p>
          <w:p w14:paraId="660457CA"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01DB6560" w14:textId="4E4D2F1F"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solely by reason of the death of an individual insured under a life insurance contract;</w:t>
            </w:r>
          </w:p>
          <w:p w14:paraId="58CCC58D"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496463CA" w14:textId="2365856F"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as a personal injury or sickness benefit or other benefit providing indemnification of an economic loss incurred upon the occurrence of the event insured against;</w:t>
            </w:r>
          </w:p>
          <w:p w14:paraId="2B5510C1"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346B53EA" w14:textId="59B141D3"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as a refund of a previously paid premium (less cost of insurance charges whether or not actually imposed) under an Insurance Contract (other than an investment-linked life insurance or annuity contract) due to cancellation or termination of the contract, decrease in risk exposure during the effective period of the contract, or arising from the correction of a posting or similar error with regard to the premium for the contract;</w:t>
            </w:r>
          </w:p>
          <w:p w14:paraId="147EF860"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031A97E7" w14:textId="5E7112C3"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as a policyholder dividend (other than a termination dividend) provided that the dividend relates to an Insurance Contract under which the only benefits payable are described in point (b); or</w:t>
            </w:r>
          </w:p>
          <w:p w14:paraId="2E422667" w14:textId="77777777" w:rsidR="006B0D7D" w:rsidRPr="00874B0C" w:rsidRDefault="006B0D7D" w:rsidP="00874B0C">
            <w:pPr>
              <w:pStyle w:val="oj-ti-grseq-1"/>
              <w:shd w:val="clear" w:color="auto" w:fill="FFFFFF"/>
              <w:spacing w:before="240" w:after="120" w:line="276" w:lineRule="auto"/>
              <w:rPr>
                <w:rFonts w:eastAsia="Calibri"/>
                <w:iCs/>
                <w:sz w:val="18"/>
                <w:szCs w:val="18"/>
              </w:rPr>
            </w:pPr>
          </w:p>
          <w:p w14:paraId="133464FE" w14:textId="26505FE4"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as a return of an advance premium or premium deposit for an Insurance Contract for which the premium is payable at least annually if the amount of the advance premium or premium deposit does not exceed the next annual premium that will be payable under the contract.</w:t>
            </w:r>
          </w:p>
        </w:tc>
        <w:tc>
          <w:tcPr>
            <w:tcW w:w="1080" w:type="dxa"/>
          </w:tcPr>
          <w:p w14:paraId="5C13107B"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626C1EF7"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1283F44B" w14:textId="2E21D69C" w:rsidR="00F7685F" w:rsidRPr="00874B0C" w:rsidRDefault="009D212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36. </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Cash Value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the greater amount between:</w:t>
            </w:r>
          </w:p>
          <w:p w14:paraId="6B3F9611" w14:textId="39FF801D" w:rsidR="00F7685F"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F7685F" w:rsidRPr="00874B0C">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ab/>
              <w:t>the amount that the policyholder is entitled to receive upon surrender or termination of the contract, determined without reduction for any surrender charge or policy loan; and</w:t>
            </w:r>
          </w:p>
          <w:p w14:paraId="016D0C8E" w14:textId="2738C38D" w:rsidR="00F7685F" w:rsidRPr="00874B0C" w:rsidRDefault="00157994" w:rsidP="00874B0C">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F7685F" w:rsidRPr="00874B0C">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ab/>
              <w:t>the amount that that the policyholder may borrow under or with regard to the contract.</w:t>
            </w:r>
          </w:p>
          <w:p w14:paraId="4F875929" w14:textId="4887FA45" w:rsidR="00F7685F" w:rsidRPr="00874B0C" w:rsidRDefault="00F7685F"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Notwithstanding the above, the term </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Cash Value</w:t>
            </w:r>
            <w:r w:rsidR="009E71CE">
              <w:rPr>
                <w:rFonts w:ascii="Times New Roman" w:eastAsia="Times New Roman" w:hAnsi="Times New Roman" w:cs="Times New Roman"/>
                <w:sz w:val="18"/>
                <w:szCs w:val="18"/>
                <w:lang w:eastAsia="sq-AL"/>
              </w:rPr>
              <w:t>”</w:t>
            </w:r>
            <w:r w:rsidRPr="00874B0C">
              <w:rPr>
                <w:rFonts w:ascii="Times New Roman" w:eastAsia="Times New Roman" w:hAnsi="Times New Roman" w:cs="Times New Roman"/>
                <w:sz w:val="18"/>
                <w:szCs w:val="18"/>
                <w:lang w:eastAsia="sq-AL"/>
              </w:rPr>
              <w:t xml:space="preserve"> does not include an amount payable under an insurance contract:</w:t>
            </w:r>
          </w:p>
          <w:p w14:paraId="16744EDE" w14:textId="77777777" w:rsidR="00F7685F" w:rsidRPr="00874B0C" w:rsidRDefault="00F7685F"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 solely by reason of the death of an individual insured under a life insurance contract;</w:t>
            </w:r>
          </w:p>
          <w:p w14:paraId="070258D8" w14:textId="77777777" w:rsidR="00F7685F" w:rsidRPr="00874B0C" w:rsidRDefault="00F7685F"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 as a personal injury or sickness benefit, or other benefit providing indemnification of an economic loss incurred upon the occurrence of the event insured against;</w:t>
            </w:r>
          </w:p>
          <w:p w14:paraId="001700CF" w14:textId="77777777" w:rsidR="00F7685F" w:rsidRPr="00874B0C" w:rsidRDefault="00F7685F"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(c) as a refund of a previously paid premium, less the cost of insurance charges (whether or not actually imposed), under an insurance contract, other than a life insurance contract or an investment-linked annuity contract, due to cancellation or termination of the contract, a decrease in risk exposure during the effective period of the contract, or arising from the correction of a posting or similar error with regard to the premium for the contract;</w:t>
            </w:r>
          </w:p>
          <w:p w14:paraId="0D86AA5E" w14:textId="77777777" w:rsidR="00F7685F" w:rsidRPr="00874B0C" w:rsidRDefault="00F7685F"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(d) as a policyholder dividend, other than a termination dividend, provided that the dividend relates to an insurance contract under which the only benefits payable is those described in subparagraph (b) of this point; or</w:t>
            </w:r>
          </w:p>
          <w:p w14:paraId="68ECD33A" w14:textId="02428F3A" w:rsidR="00DC3028" w:rsidRPr="00874B0C" w:rsidRDefault="00F7685F"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(e) as a return of an advance premium or premium deposit for an insurance contract for which the premium is payable at least annually, if the amount of the advance premium or premium deposit does not exceed the next annual premium that will become payable under the contract.</w:t>
            </w:r>
          </w:p>
        </w:tc>
        <w:tc>
          <w:tcPr>
            <w:tcW w:w="1184" w:type="dxa"/>
          </w:tcPr>
          <w:p w14:paraId="60704EAE"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4F8757A8"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0DD9C867" w14:textId="77777777" w:rsidTr="00874B0C">
        <w:trPr>
          <w:trHeight w:val="764"/>
        </w:trPr>
        <w:tc>
          <w:tcPr>
            <w:tcW w:w="720" w:type="dxa"/>
          </w:tcPr>
          <w:p w14:paraId="2E08E514"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72995B4E" w14:textId="5AF2E751"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Miscellaneous</w:t>
            </w:r>
          </w:p>
          <w:p w14:paraId="2648F487" w14:textId="0E786DC4"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1. </w:t>
            </w:r>
            <w:r w:rsidR="009E71CE">
              <w:rPr>
                <w:rFonts w:eastAsia="Calibri"/>
                <w:iCs/>
                <w:sz w:val="18"/>
                <w:szCs w:val="18"/>
              </w:rPr>
              <w:t>“</w:t>
            </w:r>
            <w:r w:rsidRPr="00874B0C">
              <w:rPr>
                <w:rFonts w:eastAsia="Calibri"/>
                <w:iCs/>
                <w:sz w:val="18"/>
                <w:szCs w:val="18"/>
              </w:rPr>
              <w:t>Customer Due Diligence Procedures</w:t>
            </w:r>
            <w:r w:rsidR="009E71CE">
              <w:rPr>
                <w:rFonts w:eastAsia="Calibri"/>
                <w:iCs/>
                <w:sz w:val="18"/>
                <w:szCs w:val="18"/>
              </w:rPr>
              <w:t>”</w:t>
            </w:r>
            <w:r w:rsidRPr="00874B0C">
              <w:rPr>
                <w:rFonts w:eastAsia="Calibri"/>
                <w:iCs/>
                <w:sz w:val="18"/>
                <w:szCs w:val="18"/>
              </w:rPr>
              <w:t xml:space="preserve"> means the customer due diligence procedures of a Reporting Crypto-Asset Service Provider pursuant to Directive (EU) 2015/849 or similar requirements to which such Reporting Crypto-Asset Service Provider is subject.</w:t>
            </w:r>
          </w:p>
        </w:tc>
        <w:tc>
          <w:tcPr>
            <w:tcW w:w="1080" w:type="dxa"/>
          </w:tcPr>
          <w:p w14:paraId="57D9A4BA"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53914A90"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07E64BBC" w14:textId="36A6CE21" w:rsidR="00DC3028" w:rsidRPr="00874B0C" w:rsidRDefault="007F7DB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 xml:space="preserve">37.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Customer due diligence procedures</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the customer due diligence procedures applied by a Reporting Crypto-Asset Service Provider in accordance with Directive (EU) 2015/849 or with similar requirements to which the Reporting Crypto-Asset Service Provider is subject.</w:t>
            </w:r>
          </w:p>
        </w:tc>
        <w:tc>
          <w:tcPr>
            <w:tcW w:w="1184" w:type="dxa"/>
          </w:tcPr>
          <w:p w14:paraId="28F42179"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38B4DEF2"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74F921A0" w14:textId="77777777" w:rsidTr="00874B0C">
        <w:trPr>
          <w:trHeight w:val="764"/>
        </w:trPr>
        <w:tc>
          <w:tcPr>
            <w:tcW w:w="720" w:type="dxa"/>
          </w:tcPr>
          <w:p w14:paraId="76E9CCC4"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026161A2" w14:textId="44255687"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w:t>
            </w:r>
            <w:r w:rsidR="009E71CE">
              <w:rPr>
                <w:rFonts w:eastAsia="Calibri"/>
                <w:iCs/>
                <w:sz w:val="18"/>
                <w:szCs w:val="18"/>
              </w:rPr>
              <w:t>”</w:t>
            </w:r>
            <w:r w:rsidRPr="00874B0C">
              <w:rPr>
                <w:rFonts w:eastAsia="Calibri"/>
                <w:iCs/>
                <w:sz w:val="18"/>
                <w:szCs w:val="18"/>
              </w:rPr>
              <w:t>Entity</w:t>
            </w:r>
            <w:r w:rsidR="009E71CE">
              <w:rPr>
                <w:rFonts w:eastAsia="Calibri"/>
                <w:iCs/>
                <w:sz w:val="18"/>
                <w:szCs w:val="18"/>
              </w:rPr>
              <w:t>”</w:t>
            </w:r>
            <w:r w:rsidRPr="00874B0C">
              <w:rPr>
                <w:rFonts w:eastAsia="Calibri"/>
                <w:iCs/>
                <w:sz w:val="18"/>
                <w:szCs w:val="18"/>
              </w:rPr>
              <w:t xml:space="preserve"> means a legal person or a legal arrangement, such as a corporation, partnership, trust, or foundation.</w:t>
            </w:r>
          </w:p>
        </w:tc>
        <w:tc>
          <w:tcPr>
            <w:tcW w:w="1080" w:type="dxa"/>
          </w:tcPr>
          <w:p w14:paraId="6CEB4304"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1876CF05"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0F09FDA" w14:textId="7C308A74" w:rsidR="00DC3028" w:rsidRPr="00874B0C" w:rsidRDefault="007F7DB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38.</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Entity</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w:t>
            </w:r>
            <w:r w:rsidR="008738E3" w:rsidRPr="00874B0C">
              <w:rPr>
                <w:rFonts w:ascii="Times New Roman" w:eastAsia="Times New Roman" w:hAnsi="Times New Roman" w:cs="Times New Roman"/>
                <w:sz w:val="18"/>
                <w:szCs w:val="18"/>
                <w:lang w:eastAsia="sq-AL"/>
              </w:rPr>
              <w:t>mean</w:t>
            </w:r>
            <w:r w:rsidR="00F7685F" w:rsidRPr="00874B0C">
              <w:rPr>
                <w:rFonts w:ascii="Times New Roman" w:eastAsia="Times New Roman" w:hAnsi="Times New Roman" w:cs="Times New Roman"/>
                <w:sz w:val="18"/>
                <w:szCs w:val="18"/>
                <w:lang w:eastAsia="sq-AL"/>
              </w:rPr>
              <w:t>s a legal person, such as a company, trust or non-profit organization, as well as or any other legal arrangement.</w:t>
            </w:r>
          </w:p>
        </w:tc>
        <w:tc>
          <w:tcPr>
            <w:tcW w:w="1184" w:type="dxa"/>
          </w:tcPr>
          <w:p w14:paraId="4A31280A"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AD9EA2A"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5F048BEE" w14:textId="77777777" w:rsidTr="00874B0C">
        <w:trPr>
          <w:trHeight w:val="764"/>
        </w:trPr>
        <w:tc>
          <w:tcPr>
            <w:tcW w:w="720" w:type="dxa"/>
          </w:tcPr>
          <w:p w14:paraId="148BE533"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55E4828F" w14:textId="06391568"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3. An Entity is a </w:t>
            </w:r>
            <w:r w:rsidR="009E71CE">
              <w:rPr>
                <w:rFonts w:eastAsia="Calibri"/>
                <w:iCs/>
                <w:sz w:val="18"/>
                <w:szCs w:val="18"/>
              </w:rPr>
              <w:t>“</w:t>
            </w:r>
            <w:r w:rsidRPr="00874B0C">
              <w:rPr>
                <w:rFonts w:eastAsia="Calibri"/>
                <w:iCs/>
                <w:sz w:val="18"/>
                <w:szCs w:val="18"/>
              </w:rPr>
              <w:t>Related Entity</w:t>
            </w:r>
            <w:r w:rsidR="009E71CE">
              <w:rPr>
                <w:rFonts w:eastAsia="Calibri"/>
                <w:iCs/>
                <w:sz w:val="18"/>
                <w:szCs w:val="18"/>
              </w:rPr>
              <w:t>”</w:t>
            </w:r>
            <w:r w:rsidRPr="00874B0C">
              <w:rPr>
                <w:rFonts w:eastAsia="Calibri"/>
                <w:iCs/>
                <w:sz w:val="18"/>
                <w:szCs w:val="18"/>
              </w:rPr>
              <w:t xml:space="preserve"> of another Entity if either Entity controls the other Entity, or the two Entities are under common control. For this purpose, control includes direct or indirect ownership of more than 50 % of the vote and value in an Entity.</w:t>
            </w:r>
          </w:p>
        </w:tc>
        <w:tc>
          <w:tcPr>
            <w:tcW w:w="1080" w:type="dxa"/>
          </w:tcPr>
          <w:p w14:paraId="3A718828"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30814910"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6ADCBF2E" w14:textId="4E8249D7" w:rsidR="00DC3028" w:rsidRPr="00874B0C" w:rsidRDefault="007F7DBD"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39.</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Related entity</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an entity that has a control relationship with another entity, where one entity controls the other or where both entities are under common control. For the purposes of this definition, control includes the direct or indirect ownership of more than 50 per cent of the voting rights and of the value of an entity.</w:t>
            </w:r>
          </w:p>
        </w:tc>
        <w:tc>
          <w:tcPr>
            <w:tcW w:w="1184" w:type="dxa"/>
          </w:tcPr>
          <w:p w14:paraId="319F35C8"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43DF0D0D"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767C90CD" w14:textId="77777777" w:rsidTr="00874B0C">
        <w:trPr>
          <w:trHeight w:val="764"/>
        </w:trPr>
        <w:tc>
          <w:tcPr>
            <w:tcW w:w="720" w:type="dxa"/>
          </w:tcPr>
          <w:p w14:paraId="4C790BFE"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5ACDE3A4" w14:textId="36CA3CBE"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w:t>
            </w:r>
            <w:r w:rsidR="009E71CE">
              <w:rPr>
                <w:rFonts w:eastAsia="Calibri"/>
                <w:iCs/>
                <w:sz w:val="18"/>
                <w:szCs w:val="18"/>
              </w:rPr>
              <w:t>”</w:t>
            </w:r>
            <w:r w:rsidRPr="00874B0C">
              <w:rPr>
                <w:rFonts w:eastAsia="Calibri"/>
                <w:iCs/>
                <w:sz w:val="18"/>
                <w:szCs w:val="18"/>
              </w:rPr>
              <w:t>Branch</w:t>
            </w:r>
            <w:r w:rsidR="009E71CE">
              <w:rPr>
                <w:rFonts w:eastAsia="Calibri"/>
                <w:iCs/>
                <w:sz w:val="18"/>
                <w:szCs w:val="18"/>
              </w:rPr>
              <w:t>”</w:t>
            </w:r>
            <w:r w:rsidRPr="00874B0C">
              <w:rPr>
                <w:rFonts w:eastAsia="Calibri"/>
                <w:iCs/>
                <w:sz w:val="18"/>
                <w:szCs w:val="18"/>
              </w:rPr>
              <w:t xml:space="preserve"> means a unit, business or office of a Reporting Crypto-Asset Service Provider that is treated as a branch under the regulatory regime of a jurisdiction or that is otherwise regulated under the laws of a jurisdiction as separate from other offices, units, or branches of the Reporting Crypto-Asset Service Provider. All units, businesses, or offices of a Reporting Crypto-Asset Service Provider in a single jurisdiction shall be treated as a single branch.</w:t>
            </w:r>
          </w:p>
        </w:tc>
        <w:tc>
          <w:tcPr>
            <w:tcW w:w="1080" w:type="dxa"/>
          </w:tcPr>
          <w:p w14:paraId="27A2F8A6"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3229CBA0"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0875925E" w14:textId="412AF364" w:rsidR="00DC3028" w:rsidRPr="00874B0C" w:rsidRDefault="007C65D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40.</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Branch</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a unit, activity, or office of a Reporting Crypto-Asset Service Provider that is treated as a branch under the regulatory regime of a jurisdiction or that is otherwise regulated under the legislation of a jurisdiction as separate from the other offices, units, or branches of the same Reporting Crypto-Asset Service Provider. All units, activities, or offices of a Reporting Crypto-Asset Service Provider in the same jurisdiction are considered a single branch.</w:t>
            </w:r>
          </w:p>
        </w:tc>
        <w:tc>
          <w:tcPr>
            <w:tcW w:w="1184" w:type="dxa"/>
          </w:tcPr>
          <w:p w14:paraId="217CE070"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4EBAFCAE"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47182BAB" w14:textId="77777777" w:rsidTr="00874B0C">
        <w:trPr>
          <w:trHeight w:val="764"/>
        </w:trPr>
        <w:tc>
          <w:tcPr>
            <w:tcW w:w="720" w:type="dxa"/>
          </w:tcPr>
          <w:p w14:paraId="23CBF066"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61D2507F" w14:textId="0A2975AA"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5. </w:t>
            </w:r>
            <w:r w:rsidR="009E71CE">
              <w:rPr>
                <w:rFonts w:eastAsia="Calibri"/>
                <w:iCs/>
                <w:sz w:val="18"/>
                <w:szCs w:val="18"/>
              </w:rPr>
              <w:t>“</w:t>
            </w:r>
            <w:r w:rsidRPr="00874B0C">
              <w:rPr>
                <w:rFonts w:eastAsia="Calibri"/>
                <w:iCs/>
                <w:sz w:val="18"/>
                <w:szCs w:val="18"/>
              </w:rPr>
              <w:t>Effective Qualifying Competent Authority Agreement</w:t>
            </w:r>
            <w:r w:rsidR="009E71CE">
              <w:rPr>
                <w:rFonts w:eastAsia="Calibri"/>
                <w:iCs/>
                <w:sz w:val="18"/>
                <w:szCs w:val="18"/>
              </w:rPr>
              <w:t>”</w:t>
            </w:r>
            <w:r w:rsidRPr="00874B0C">
              <w:rPr>
                <w:rFonts w:eastAsia="Calibri"/>
                <w:iCs/>
                <w:sz w:val="18"/>
                <w:szCs w:val="18"/>
              </w:rPr>
              <w:t xml:space="preserve"> means an agreement between the competent authorities of a Member State and a non-Union jurisdiction that requires the automatic exchange of information corresponding to that specified in Section II, paragraph B, of this Annex, as determined by an implementing act in accordance with Article 8ad(11).</w:t>
            </w:r>
          </w:p>
        </w:tc>
        <w:tc>
          <w:tcPr>
            <w:tcW w:w="1080" w:type="dxa"/>
          </w:tcPr>
          <w:p w14:paraId="5C66F100"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7438772C"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540BB96" w14:textId="4BC6A086" w:rsidR="00DC3028" w:rsidRPr="00874B0C" w:rsidRDefault="007C65D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41.</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Qualifying effective competent authority agreement</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an agreement between the competent authorities of a Member State and a non-Union jurisdiction, which requires the automatic exchange of information corresponding to the information specified in Article 10 of this Law, as determined in accordance with Article 8ad, paragraph 11, of Directive 2011/16/EU.</w:t>
            </w:r>
          </w:p>
        </w:tc>
        <w:tc>
          <w:tcPr>
            <w:tcW w:w="1184" w:type="dxa"/>
          </w:tcPr>
          <w:p w14:paraId="0F6932DA"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51D08200"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27111A5A" w14:textId="77777777" w:rsidTr="00874B0C">
        <w:trPr>
          <w:trHeight w:val="764"/>
        </w:trPr>
        <w:tc>
          <w:tcPr>
            <w:tcW w:w="720" w:type="dxa"/>
          </w:tcPr>
          <w:p w14:paraId="055007A8"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6A4264E9" w14:textId="17AE7AC3"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6. </w:t>
            </w:r>
            <w:r w:rsidR="009E71CE">
              <w:rPr>
                <w:rFonts w:eastAsia="Calibri"/>
                <w:iCs/>
                <w:sz w:val="18"/>
                <w:szCs w:val="18"/>
              </w:rPr>
              <w:t>“</w:t>
            </w:r>
            <w:r w:rsidRPr="00874B0C">
              <w:rPr>
                <w:rFonts w:eastAsia="Calibri"/>
                <w:iCs/>
                <w:sz w:val="18"/>
                <w:szCs w:val="18"/>
              </w:rPr>
              <w:t>Qualified Non-Union Jurisdiction</w:t>
            </w:r>
            <w:r w:rsidR="009E71CE">
              <w:rPr>
                <w:rFonts w:eastAsia="Calibri"/>
                <w:iCs/>
                <w:sz w:val="18"/>
                <w:szCs w:val="18"/>
              </w:rPr>
              <w:t>”</w:t>
            </w:r>
            <w:r w:rsidRPr="00874B0C">
              <w:rPr>
                <w:rFonts w:eastAsia="Calibri"/>
                <w:iCs/>
                <w:sz w:val="18"/>
                <w:szCs w:val="18"/>
              </w:rPr>
              <w:t xml:space="preserve"> means a non-Union jurisdiction that has in effect an Effective Qualifying Competent Authority Agreement with the competent authorities of all Member States which are identified as reportable jurisdictions in a list published by the non-Union jurisdiction.</w:t>
            </w:r>
          </w:p>
        </w:tc>
        <w:tc>
          <w:tcPr>
            <w:tcW w:w="1080" w:type="dxa"/>
          </w:tcPr>
          <w:p w14:paraId="10263748"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25238991"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5F61534B" w14:textId="7AFDF255" w:rsidR="00DC3028" w:rsidRPr="00874B0C" w:rsidRDefault="007C65D5"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42.</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Qualified non-Union jurisdiction</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means a non-Union jurisdiction that has in force an effective qualifying agreement between the competent authorities with the competent authorities of all Member States that have been identified as reportable jurisdictions in a list published by that non-Union jurisdiction.</w:t>
            </w:r>
          </w:p>
        </w:tc>
        <w:tc>
          <w:tcPr>
            <w:tcW w:w="1184" w:type="dxa"/>
          </w:tcPr>
          <w:p w14:paraId="33C5595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3501F497"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268B3219" w14:textId="77777777" w:rsidTr="00874B0C">
        <w:trPr>
          <w:trHeight w:val="764"/>
        </w:trPr>
        <w:tc>
          <w:tcPr>
            <w:tcW w:w="720" w:type="dxa"/>
          </w:tcPr>
          <w:p w14:paraId="562CABD6"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0AC912FA" w14:textId="30C5010F"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7. </w:t>
            </w:r>
            <w:r w:rsidR="009E71CE">
              <w:rPr>
                <w:rFonts w:eastAsia="Calibri"/>
                <w:iCs/>
                <w:sz w:val="18"/>
                <w:szCs w:val="18"/>
              </w:rPr>
              <w:t>“</w:t>
            </w:r>
            <w:r w:rsidRPr="00874B0C">
              <w:rPr>
                <w:rFonts w:eastAsia="Calibri"/>
                <w:iCs/>
                <w:sz w:val="18"/>
                <w:szCs w:val="18"/>
              </w:rPr>
              <w:t>TIN</w:t>
            </w:r>
            <w:r w:rsidR="009E71CE">
              <w:rPr>
                <w:rFonts w:eastAsia="Calibri"/>
                <w:iCs/>
                <w:sz w:val="18"/>
                <w:szCs w:val="18"/>
              </w:rPr>
              <w:t>”</w:t>
            </w:r>
            <w:r w:rsidRPr="00874B0C">
              <w:rPr>
                <w:rFonts w:eastAsia="Calibri"/>
                <w:iCs/>
                <w:sz w:val="18"/>
                <w:szCs w:val="18"/>
              </w:rPr>
              <w:t xml:space="preserve"> means Taxpayer Identification Number (or functional equivalent in the absence of a Taxpayer Identification Number). The TIN is any number or code that a competent authority uses to identify a taxpayer.</w:t>
            </w:r>
          </w:p>
        </w:tc>
        <w:tc>
          <w:tcPr>
            <w:tcW w:w="1080" w:type="dxa"/>
          </w:tcPr>
          <w:p w14:paraId="5EE9B951"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4777309E"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290EF38" w14:textId="1577AD80" w:rsidR="00DC3028" w:rsidRPr="00874B0C" w:rsidRDefault="00ED333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43.</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TIN</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or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Tax Identification Number</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has the same meaning as defined in the legislation in force on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Administrative Cooperation in the Field of Taxation and Exchange of Tax Information</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w:t>
            </w:r>
          </w:p>
        </w:tc>
        <w:tc>
          <w:tcPr>
            <w:tcW w:w="1184" w:type="dxa"/>
          </w:tcPr>
          <w:p w14:paraId="4D361EAB"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30437278"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37228938" w14:textId="77777777" w:rsidTr="00874B0C">
        <w:trPr>
          <w:trHeight w:val="764"/>
        </w:trPr>
        <w:tc>
          <w:tcPr>
            <w:tcW w:w="720" w:type="dxa"/>
          </w:tcPr>
          <w:p w14:paraId="450DAE04"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38D9AD7D" w14:textId="53636F5E"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 xml:space="preserve">8. </w:t>
            </w:r>
            <w:r w:rsidR="009E71CE">
              <w:rPr>
                <w:rFonts w:eastAsia="Calibri"/>
                <w:iCs/>
                <w:sz w:val="18"/>
                <w:szCs w:val="18"/>
              </w:rPr>
              <w:t>“</w:t>
            </w:r>
            <w:r w:rsidRPr="00874B0C">
              <w:rPr>
                <w:rFonts w:eastAsia="Calibri"/>
                <w:iCs/>
                <w:sz w:val="18"/>
                <w:szCs w:val="18"/>
              </w:rPr>
              <w:t>Identification Service</w:t>
            </w:r>
            <w:r w:rsidR="009E71CE">
              <w:rPr>
                <w:rFonts w:eastAsia="Calibri"/>
                <w:iCs/>
                <w:sz w:val="18"/>
                <w:szCs w:val="18"/>
              </w:rPr>
              <w:t>”</w:t>
            </w:r>
            <w:r w:rsidRPr="00874B0C">
              <w:rPr>
                <w:rFonts w:eastAsia="Calibri"/>
                <w:iCs/>
                <w:sz w:val="18"/>
                <w:szCs w:val="18"/>
              </w:rPr>
              <w:t xml:space="preserve"> means an electronic process made available free of charge by a Member State or the Union to a Reporting Crypto-Asset Service Provider for the purpose of ascertaining the identity and tax residence of a Crypto-Asset User.</w:t>
            </w:r>
          </w:p>
        </w:tc>
        <w:tc>
          <w:tcPr>
            <w:tcW w:w="1080" w:type="dxa"/>
          </w:tcPr>
          <w:p w14:paraId="11E16CAE"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101301A4"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432AD6C" w14:textId="706185E2" w:rsidR="00DC3028" w:rsidRPr="00874B0C" w:rsidRDefault="00ED333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44.</w:t>
            </w:r>
            <w:r w:rsidR="00F7685F" w:rsidRPr="00874B0C">
              <w:rPr>
                <w:rFonts w:ascii="Times New Roman" w:eastAsia="Times New Roman" w:hAnsi="Times New Roman" w:cs="Times New Roman"/>
                <w:sz w:val="18"/>
                <w:szCs w:val="18"/>
                <w:lang w:eastAsia="sq-AL"/>
              </w:rPr>
              <w:t xml:space="preserve">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Identification service</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 xml:space="preserve"> has the same meaning as defined in the legislation in force on </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Administrative Cooperation in the Field of Taxation and Exchange of Tax Information</w:t>
            </w:r>
            <w:r w:rsidR="009E71CE">
              <w:rPr>
                <w:rFonts w:ascii="Times New Roman" w:eastAsia="Times New Roman" w:hAnsi="Times New Roman" w:cs="Times New Roman"/>
                <w:sz w:val="18"/>
                <w:szCs w:val="18"/>
                <w:lang w:eastAsia="sq-AL"/>
              </w:rPr>
              <w:t>”</w:t>
            </w:r>
            <w:r w:rsidR="00F7685F" w:rsidRPr="00874B0C">
              <w:rPr>
                <w:rFonts w:ascii="Times New Roman" w:eastAsia="Times New Roman" w:hAnsi="Times New Roman" w:cs="Times New Roman"/>
                <w:sz w:val="18"/>
                <w:szCs w:val="18"/>
                <w:lang w:eastAsia="sq-AL"/>
              </w:rPr>
              <w:t>.</w:t>
            </w:r>
          </w:p>
        </w:tc>
        <w:tc>
          <w:tcPr>
            <w:tcW w:w="1184" w:type="dxa"/>
          </w:tcPr>
          <w:p w14:paraId="6733CE97"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49896633"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62376220" w14:textId="77777777" w:rsidTr="00874B0C">
        <w:trPr>
          <w:trHeight w:val="764"/>
        </w:trPr>
        <w:tc>
          <w:tcPr>
            <w:tcW w:w="720" w:type="dxa"/>
          </w:tcPr>
          <w:p w14:paraId="42F70941"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047FC686" w14:textId="40008242" w:rsidR="006B0D7D" w:rsidRPr="00874B0C" w:rsidRDefault="006B0D7D"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SECTION V</w:t>
            </w:r>
          </w:p>
          <w:p w14:paraId="6DA171E1" w14:textId="6E91EADA" w:rsidR="006B0D7D" w:rsidRPr="00874B0C" w:rsidRDefault="006B0D7D" w:rsidP="00874B0C">
            <w:pPr>
              <w:pStyle w:val="oj-ti-grseq-1"/>
              <w:shd w:val="clear" w:color="auto" w:fill="FFFFFF"/>
              <w:spacing w:before="240" w:after="120" w:line="276" w:lineRule="auto"/>
              <w:rPr>
                <w:rFonts w:eastAsia="Calibri"/>
                <w:b/>
                <w:iCs/>
                <w:sz w:val="18"/>
                <w:szCs w:val="18"/>
              </w:rPr>
            </w:pPr>
            <w:r w:rsidRPr="00874B0C">
              <w:rPr>
                <w:rFonts w:eastAsia="Calibri"/>
                <w:b/>
                <w:iCs/>
                <w:sz w:val="18"/>
                <w:szCs w:val="18"/>
              </w:rPr>
              <w:t>EFFECTIVE IMPLEMENTATION</w:t>
            </w:r>
          </w:p>
          <w:p w14:paraId="4FB834B2" w14:textId="170A2DA4"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A.Rules to enforce the collection and verification requirements laid down in Section III</w:t>
            </w:r>
          </w:p>
          <w:p w14:paraId="6F53A10F" w14:textId="43CFD423" w:rsidR="006B0D7D"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1.Member States shall take the necessary measures to require Reporting Crypto-Asset Service Providers to enforce the collection and verification requirements under Section III in relation to their Crypto-Asset Users.</w:t>
            </w:r>
          </w:p>
          <w:p w14:paraId="1A2AC946" w14:textId="0E6C7641" w:rsidR="00DC3028" w:rsidRPr="00874B0C" w:rsidRDefault="006B0D7D"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Where a Crypto-Asset User does not provide the information required under Section III after two reminders following the initial request by the Reporting Crypto-Asset Service Provider, but not prior to the expiration of 60 days, the Reporting Crypto-Asset Service Provider shall prevent the Crypto-Asset User from performing Reportable Transactions.</w:t>
            </w:r>
          </w:p>
        </w:tc>
        <w:tc>
          <w:tcPr>
            <w:tcW w:w="1080" w:type="dxa"/>
          </w:tcPr>
          <w:p w14:paraId="767840EB"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7E5F63F0"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EA80A39" w14:textId="77777777" w:rsidR="00157994" w:rsidRDefault="00157994" w:rsidP="00874B0C">
            <w:pPr>
              <w:spacing w:line="276" w:lineRule="auto"/>
              <w:jc w:val="center"/>
              <w:rPr>
                <w:rFonts w:ascii="Times New Roman" w:eastAsia="Times New Roman" w:hAnsi="Times New Roman" w:cs="Times New Roman"/>
                <w:b/>
                <w:sz w:val="18"/>
                <w:szCs w:val="18"/>
                <w:lang w:eastAsia="sq-AL"/>
              </w:rPr>
            </w:pPr>
          </w:p>
          <w:p w14:paraId="23AFB799" w14:textId="47B2BA76"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11</w:t>
            </w:r>
          </w:p>
          <w:p w14:paraId="0B2E83A6" w14:textId="77777777"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Measures for the Implementation of Information Collection and Verification Requirements</w:t>
            </w:r>
          </w:p>
          <w:p w14:paraId="795B6F75" w14:textId="77777777" w:rsidR="00AA4B0A" w:rsidRPr="00874B0C" w:rsidRDefault="00AA4B0A" w:rsidP="00874B0C">
            <w:pPr>
              <w:spacing w:line="276" w:lineRule="auto"/>
              <w:jc w:val="both"/>
              <w:rPr>
                <w:rFonts w:ascii="Times New Roman" w:eastAsia="Times New Roman" w:hAnsi="Times New Roman" w:cs="Times New Roman"/>
                <w:sz w:val="18"/>
                <w:szCs w:val="18"/>
                <w:lang w:eastAsia="sq-AL"/>
              </w:rPr>
            </w:pPr>
          </w:p>
          <w:p w14:paraId="420A5ED1" w14:textId="77777777" w:rsidR="00617558" w:rsidRPr="00874B0C" w:rsidRDefault="0061755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A Reporting Crypto-Asset Service Provider shall take all necessary measures to ensure the collection and verification of the information required under the due diligence procedures set out in this Law with respect to its Crypto-Asset Users.</w:t>
            </w:r>
          </w:p>
          <w:p w14:paraId="2C89F609" w14:textId="22E44DCC" w:rsidR="00DC3028" w:rsidRPr="00874B0C" w:rsidRDefault="0061755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Where a Crypto-Asset User fails to provide the information required under the due diligence procedures set out in this Law, following two reminders sent after the initial request and not earlier than 60 days from the date of the initial request, the Reporting Crypto-Asset Service Provider shall prevent the Crypto-Asset User from carrying out Reportable Transactions until the required information has been provided.</w:t>
            </w:r>
          </w:p>
        </w:tc>
        <w:tc>
          <w:tcPr>
            <w:tcW w:w="1184" w:type="dxa"/>
          </w:tcPr>
          <w:p w14:paraId="43B076E2"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63CD9E1B" w14:textId="77777777" w:rsidR="00DC3028" w:rsidRPr="00874B0C" w:rsidRDefault="00DC3028" w:rsidP="00874B0C">
            <w:pPr>
              <w:spacing w:line="276" w:lineRule="auto"/>
              <w:rPr>
                <w:rFonts w:ascii="Times New Roman" w:eastAsia="Calibri" w:hAnsi="Times New Roman" w:cs="Times New Roman"/>
                <w:sz w:val="18"/>
                <w:szCs w:val="18"/>
              </w:rPr>
            </w:pPr>
          </w:p>
        </w:tc>
      </w:tr>
      <w:tr w:rsidR="00DC3028" w:rsidRPr="00874B0C" w14:paraId="47B399DC" w14:textId="77777777" w:rsidTr="00874B0C">
        <w:trPr>
          <w:trHeight w:val="764"/>
        </w:trPr>
        <w:tc>
          <w:tcPr>
            <w:tcW w:w="720" w:type="dxa"/>
          </w:tcPr>
          <w:p w14:paraId="01BC4A2F" w14:textId="77777777" w:rsidR="00DC3028" w:rsidRPr="00874B0C" w:rsidRDefault="00DC3028" w:rsidP="00874B0C">
            <w:pPr>
              <w:spacing w:line="276" w:lineRule="auto"/>
              <w:jc w:val="center"/>
              <w:rPr>
                <w:rFonts w:ascii="Times New Roman" w:eastAsia="Calibri" w:hAnsi="Times New Roman" w:cs="Times New Roman"/>
                <w:i/>
                <w:sz w:val="18"/>
                <w:szCs w:val="18"/>
              </w:rPr>
            </w:pPr>
          </w:p>
        </w:tc>
        <w:tc>
          <w:tcPr>
            <w:tcW w:w="5220" w:type="dxa"/>
          </w:tcPr>
          <w:p w14:paraId="4B0ECFBE" w14:textId="77777777" w:rsidR="0062231E" w:rsidRPr="00874B0C" w:rsidRDefault="0062231E" w:rsidP="00874B0C">
            <w:pPr>
              <w:pStyle w:val="oj-ti-grseq-1"/>
              <w:shd w:val="clear" w:color="auto" w:fill="FFFFFF"/>
              <w:spacing w:before="240" w:after="120" w:line="276" w:lineRule="auto"/>
              <w:rPr>
                <w:rFonts w:eastAsia="Calibri"/>
                <w:iCs/>
                <w:sz w:val="18"/>
                <w:szCs w:val="18"/>
              </w:rPr>
            </w:pPr>
          </w:p>
          <w:p w14:paraId="1E23DC71" w14:textId="5ED3D6B0"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Rules requiring Reporting Crypto-Asset Service Providers to keep records of the steps undertaken and any information relied upon for the performance of the reporting requirements and due diligence procedures and adequate measures to obtain those records</w:t>
            </w:r>
          </w:p>
          <w:p w14:paraId="387B7281" w14:textId="7FE006C2"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Member States shall take the necessary measures to require Reporting Crypto-Asset Service Providers to keep records of the steps undertaken and any information relied upon for the performance of the reporting requirements and due diligence procedures set out in Sections II and III, respectively. Such records shall remain available for a sufficiently long period of time and in any event for a period of not less than five years but not more than 10 years following the end of the period within which the Reporting Crypto-Asset Service Provider is required to report the information if the information is reportable pursuant to Section II.</w:t>
            </w:r>
          </w:p>
          <w:p w14:paraId="2F769769" w14:textId="58DA0141" w:rsidR="00DC3028"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 Member States shall take the necessary measures, including the possibility of addressing an order for reporting to Reporting Crypto-Asset Service Providers, in order to ensure that all necessary information is reported to the competent authority so that the latter can comply with the obligation to communicate information in accordance with Article 8ad(3).</w:t>
            </w:r>
          </w:p>
        </w:tc>
        <w:tc>
          <w:tcPr>
            <w:tcW w:w="1080" w:type="dxa"/>
          </w:tcPr>
          <w:p w14:paraId="739B62AC"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720" w:type="dxa"/>
          </w:tcPr>
          <w:p w14:paraId="2B2554ED" w14:textId="77777777" w:rsidR="00DC3028" w:rsidRPr="00874B0C" w:rsidRDefault="00DC3028"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4A5945F" w14:textId="77777777" w:rsidR="008641EF" w:rsidRDefault="008641EF" w:rsidP="00874B0C">
            <w:pPr>
              <w:spacing w:line="276" w:lineRule="auto"/>
              <w:jc w:val="center"/>
              <w:rPr>
                <w:rFonts w:ascii="Times New Roman" w:eastAsia="Times New Roman" w:hAnsi="Times New Roman" w:cs="Times New Roman"/>
                <w:b/>
                <w:sz w:val="18"/>
                <w:szCs w:val="18"/>
                <w:lang w:eastAsia="sq-AL"/>
              </w:rPr>
            </w:pPr>
          </w:p>
          <w:p w14:paraId="2BE89449" w14:textId="325B53AB"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12</w:t>
            </w:r>
          </w:p>
          <w:p w14:paraId="148D7ABB" w14:textId="19E2CE46"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Record-Keeping and Provision of Information</w:t>
            </w:r>
          </w:p>
          <w:p w14:paraId="2D102122" w14:textId="77777777"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p>
          <w:p w14:paraId="5F8BAB92" w14:textId="77777777" w:rsidR="00617558" w:rsidRPr="00874B0C" w:rsidRDefault="0061755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A Reporting Crypto-Asset Service Provider shall maintain records and evidence of the actions taken and any information relied upon for the fulfilment of the reporting requirements and due diligence procedures set out in this Law. Such records and evidence shall be retained for a period of not less than seven years following the expiry of the period within which the information was required to be reported under this Law.</w:t>
            </w:r>
          </w:p>
          <w:p w14:paraId="5237C610" w14:textId="0C41E01A" w:rsidR="00DC3028" w:rsidRPr="00874B0C" w:rsidRDefault="0061755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A Reporting Crypto-Asset Service Provider shall provide any information, documentation or additional data requested by the General Directorate of Taxation for the purpose of verifying compliance with the reporting obligations under this Law.</w:t>
            </w:r>
          </w:p>
        </w:tc>
        <w:tc>
          <w:tcPr>
            <w:tcW w:w="1184" w:type="dxa"/>
          </w:tcPr>
          <w:p w14:paraId="40B635F8" w14:textId="77777777" w:rsidR="00DC3028" w:rsidRPr="00874B0C" w:rsidRDefault="00DC3028" w:rsidP="00874B0C">
            <w:pPr>
              <w:spacing w:line="276" w:lineRule="auto"/>
              <w:jc w:val="center"/>
              <w:rPr>
                <w:rFonts w:ascii="Times New Roman" w:eastAsia="Calibri" w:hAnsi="Times New Roman" w:cs="Times New Roman"/>
                <w:sz w:val="18"/>
                <w:szCs w:val="18"/>
              </w:rPr>
            </w:pPr>
          </w:p>
        </w:tc>
        <w:tc>
          <w:tcPr>
            <w:tcW w:w="3406" w:type="dxa"/>
          </w:tcPr>
          <w:p w14:paraId="294142FD" w14:textId="77777777" w:rsidR="00DC3028" w:rsidRPr="00874B0C" w:rsidRDefault="00DC3028" w:rsidP="00874B0C">
            <w:pPr>
              <w:spacing w:line="276" w:lineRule="auto"/>
              <w:rPr>
                <w:rFonts w:ascii="Times New Roman" w:eastAsia="Calibri" w:hAnsi="Times New Roman" w:cs="Times New Roman"/>
                <w:sz w:val="18"/>
                <w:szCs w:val="18"/>
              </w:rPr>
            </w:pPr>
          </w:p>
        </w:tc>
      </w:tr>
      <w:tr w:rsidR="0062231E" w:rsidRPr="00874B0C" w14:paraId="5AAE56F0" w14:textId="77777777" w:rsidTr="00874B0C">
        <w:trPr>
          <w:trHeight w:val="764"/>
        </w:trPr>
        <w:tc>
          <w:tcPr>
            <w:tcW w:w="720" w:type="dxa"/>
          </w:tcPr>
          <w:p w14:paraId="48AC7580"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04CA2625" w14:textId="32448828"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Administrative procedures to verify compliance of Reporting Crypto-Asset Service Providers with the reporting requirements and due diligence procedures</w:t>
            </w:r>
          </w:p>
          <w:p w14:paraId="1B247A81" w14:textId="5A260280"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Member States shall lay down administrative procedures to verify the compliance of Reporting Crypto-Asset Service Providers with the reporting requirements and due diligence procedures set out in Sections II and III, respectively.</w:t>
            </w:r>
          </w:p>
        </w:tc>
        <w:tc>
          <w:tcPr>
            <w:tcW w:w="1080" w:type="dxa"/>
          </w:tcPr>
          <w:p w14:paraId="617C79E2"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7F5CB6D4"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B0A0E8B" w14:textId="77777777" w:rsidR="008641EF" w:rsidRDefault="008641EF" w:rsidP="00874B0C">
            <w:pPr>
              <w:spacing w:line="276" w:lineRule="auto"/>
              <w:jc w:val="center"/>
              <w:rPr>
                <w:rFonts w:ascii="Times New Roman" w:eastAsia="Times New Roman" w:hAnsi="Times New Roman" w:cs="Times New Roman"/>
                <w:b/>
                <w:sz w:val="18"/>
                <w:szCs w:val="18"/>
                <w:lang w:eastAsia="sq-AL"/>
              </w:rPr>
            </w:pPr>
          </w:p>
          <w:p w14:paraId="51FA81FB" w14:textId="0F39E4C5"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13</w:t>
            </w:r>
          </w:p>
          <w:p w14:paraId="125950E1" w14:textId="77777777" w:rsidR="00AA4B0A"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Administrative procedures for verifying compliance with reporting obligations and due diligence procedures</w:t>
            </w:r>
          </w:p>
          <w:p w14:paraId="2C0F2F53" w14:textId="77777777" w:rsidR="008641EF" w:rsidRPr="00874B0C" w:rsidRDefault="008641EF" w:rsidP="00874B0C">
            <w:pPr>
              <w:spacing w:line="276" w:lineRule="auto"/>
              <w:jc w:val="center"/>
              <w:rPr>
                <w:rFonts w:ascii="Times New Roman" w:eastAsia="Times New Roman" w:hAnsi="Times New Roman" w:cs="Times New Roman"/>
                <w:b/>
                <w:sz w:val="18"/>
                <w:szCs w:val="18"/>
                <w:lang w:eastAsia="sq-AL"/>
              </w:rPr>
            </w:pPr>
          </w:p>
          <w:p w14:paraId="22DEDA27" w14:textId="002A909A" w:rsidR="0062231E" w:rsidRPr="00874B0C" w:rsidRDefault="0061755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The General Directorate of Taxation shall verify compliance by Reporting Crypto-Asset Service Providers with the reporting requirements and due diligence procedures set out in this Law.</w:t>
            </w:r>
          </w:p>
        </w:tc>
        <w:tc>
          <w:tcPr>
            <w:tcW w:w="1184" w:type="dxa"/>
          </w:tcPr>
          <w:p w14:paraId="5A63DCD0"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441AFED0"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255E980D" w14:textId="77777777" w:rsidTr="00874B0C">
        <w:trPr>
          <w:trHeight w:val="764"/>
        </w:trPr>
        <w:tc>
          <w:tcPr>
            <w:tcW w:w="720" w:type="dxa"/>
          </w:tcPr>
          <w:p w14:paraId="6D4A2C2C"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1F426C68" w14:textId="4E6EA6C6"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Administrative procedures to follow up with Reporting Crypto-Asset Service Providers where incomplete or inaccurate information is reported</w:t>
            </w:r>
          </w:p>
          <w:p w14:paraId="518D7EE8" w14:textId="52459D3C"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Member States shall lay down procedures for following up with Reporting Crypto-Asset Service Providers where the reported information is incomplete or inaccurate.</w:t>
            </w:r>
          </w:p>
        </w:tc>
        <w:tc>
          <w:tcPr>
            <w:tcW w:w="1080" w:type="dxa"/>
          </w:tcPr>
          <w:p w14:paraId="3C4A6BEA"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0E1ABD7D"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2E410D8" w14:textId="7547F6A9" w:rsidR="0062231E" w:rsidRPr="00874B0C" w:rsidRDefault="00617558"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The administrative procedures for verifying compliance with the obligations referred to in paragraph 1 of this Article, as well as the procedures for following up cases where the reported information is incomplete or inaccurate, shall be approved by a Decision of the Council of Ministers.</w:t>
            </w:r>
          </w:p>
        </w:tc>
        <w:tc>
          <w:tcPr>
            <w:tcW w:w="1184" w:type="dxa"/>
          </w:tcPr>
          <w:p w14:paraId="7266FD4A"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74100361"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5EA1270E" w14:textId="77777777" w:rsidTr="00874B0C">
        <w:trPr>
          <w:trHeight w:val="764"/>
        </w:trPr>
        <w:tc>
          <w:tcPr>
            <w:tcW w:w="720" w:type="dxa"/>
          </w:tcPr>
          <w:p w14:paraId="38FBEF48"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3BA6A4D7" w14:textId="48057566"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E.Administrative procedure for authorisation of a Crypto-Asset Service Provider</w:t>
            </w:r>
          </w:p>
          <w:p w14:paraId="34177EB7" w14:textId="030EA7D2"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The competent authority of a Member State providing authorisation to Crypto-Asset Service Providers in accordance with Regulation (EU) 2023/1114 shall communicate on a regular basis and at the latest before 31 December of the relevant calendar year or other appropriate reporting period to the competent authority under this Directive, if that is a different authority, a list of all authorised Crypto-Asset Service Providers.</w:t>
            </w:r>
          </w:p>
        </w:tc>
        <w:tc>
          <w:tcPr>
            <w:tcW w:w="1080" w:type="dxa"/>
          </w:tcPr>
          <w:p w14:paraId="0464F8FE"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30B0D8D4"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12393510" w14:textId="77777777" w:rsidR="008641EF" w:rsidRDefault="008641EF" w:rsidP="00874B0C">
            <w:pPr>
              <w:spacing w:line="276" w:lineRule="auto"/>
              <w:jc w:val="center"/>
              <w:rPr>
                <w:rFonts w:ascii="Times New Roman" w:eastAsia="Times New Roman" w:hAnsi="Times New Roman" w:cs="Times New Roman"/>
                <w:b/>
                <w:sz w:val="18"/>
                <w:szCs w:val="18"/>
                <w:lang w:eastAsia="sq-AL"/>
              </w:rPr>
            </w:pPr>
          </w:p>
          <w:p w14:paraId="6BF4F148" w14:textId="5D9758DE"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14</w:t>
            </w:r>
          </w:p>
          <w:p w14:paraId="2ED959D5" w14:textId="77777777" w:rsidR="00AA4B0A"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Communication of information by the Responsible Authorities under the legislation on Crypto-Asset Markets</w:t>
            </w:r>
          </w:p>
          <w:p w14:paraId="42BD4169" w14:textId="77777777" w:rsidR="008641EF" w:rsidRPr="00874B0C" w:rsidRDefault="008641EF" w:rsidP="00874B0C">
            <w:pPr>
              <w:spacing w:line="276" w:lineRule="auto"/>
              <w:jc w:val="center"/>
              <w:rPr>
                <w:rFonts w:ascii="Times New Roman" w:eastAsia="Times New Roman" w:hAnsi="Times New Roman" w:cs="Times New Roman"/>
                <w:b/>
                <w:sz w:val="18"/>
                <w:szCs w:val="18"/>
                <w:lang w:eastAsia="sq-AL"/>
              </w:rPr>
            </w:pPr>
          </w:p>
          <w:p w14:paraId="6F34342B" w14:textId="77777777" w:rsidR="00CE67AE" w:rsidRPr="00874B0C" w:rsidRDefault="00CE67AE" w:rsidP="00874B0C">
            <w:pPr>
              <w:spacing w:line="276" w:lineRule="auto"/>
              <w:jc w:val="both"/>
              <w:rPr>
                <w:rFonts w:ascii="Times New Roman" w:eastAsia="Times New Roman" w:hAnsi="Times New Roman" w:cs="Times New Roman"/>
                <w:sz w:val="18"/>
                <w:szCs w:val="18"/>
                <w:lang w:val="en-US" w:eastAsia="sq-AL"/>
              </w:rPr>
            </w:pPr>
            <w:r w:rsidRPr="00874B0C">
              <w:rPr>
                <w:rFonts w:ascii="Times New Roman" w:eastAsia="Times New Roman" w:hAnsi="Times New Roman" w:cs="Times New Roman"/>
                <w:sz w:val="18"/>
                <w:szCs w:val="18"/>
                <w:lang w:val="en-US" w:eastAsia="sq-AL"/>
              </w:rPr>
              <w:t>1. The Financial Supervisory Authority shall notify the General Directorate of Taxation of any authorization, suspension, or revocation of the authorization of crypto-asset service providers no later than 10 working days from the date of the respective decision.</w:t>
            </w:r>
          </w:p>
          <w:p w14:paraId="40C24112" w14:textId="77777777" w:rsidR="00CE67AE" w:rsidRPr="00874B0C" w:rsidRDefault="00CE67AE" w:rsidP="00874B0C">
            <w:pPr>
              <w:spacing w:line="276" w:lineRule="auto"/>
              <w:jc w:val="both"/>
              <w:rPr>
                <w:rFonts w:ascii="Times New Roman" w:eastAsia="Times New Roman" w:hAnsi="Times New Roman" w:cs="Times New Roman"/>
                <w:sz w:val="18"/>
                <w:szCs w:val="18"/>
                <w:lang w:val="en-US" w:eastAsia="sq-AL"/>
              </w:rPr>
            </w:pPr>
            <w:r w:rsidRPr="00874B0C">
              <w:rPr>
                <w:rFonts w:ascii="Times New Roman" w:eastAsia="Times New Roman" w:hAnsi="Times New Roman" w:cs="Times New Roman"/>
                <w:sz w:val="18"/>
                <w:szCs w:val="18"/>
                <w:lang w:val="en-US" w:eastAsia="sq-AL"/>
              </w:rPr>
              <w:t>2. The Financial Supervisory Authority shall provide the General Directorate of Taxation, no later than 31 December of each calendar year, with the updated list of crypto-asset service providers whose authorization has been granted, suspended, or revoked.</w:t>
            </w:r>
          </w:p>
          <w:p w14:paraId="7747154B" w14:textId="77777777" w:rsidR="00CE67AE" w:rsidRPr="00874B0C" w:rsidRDefault="00CE67AE" w:rsidP="00874B0C">
            <w:pPr>
              <w:spacing w:line="276" w:lineRule="auto"/>
              <w:jc w:val="both"/>
              <w:rPr>
                <w:rFonts w:ascii="Times New Roman" w:eastAsia="Times New Roman" w:hAnsi="Times New Roman" w:cs="Times New Roman"/>
                <w:sz w:val="18"/>
                <w:szCs w:val="18"/>
                <w:lang w:val="en-US" w:eastAsia="sq-AL"/>
              </w:rPr>
            </w:pPr>
            <w:r w:rsidRPr="00874B0C">
              <w:rPr>
                <w:rFonts w:ascii="Times New Roman" w:eastAsia="Times New Roman" w:hAnsi="Times New Roman" w:cs="Times New Roman"/>
                <w:sz w:val="18"/>
                <w:szCs w:val="18"/>
                <w:lang w:val="en-US" w:eastAsia="sq-AL"/>
              </w:rPr>
              <w:t>3. The list referred to in paragraph 2 shall contain, at a minimum, the name of the entity, the Unique Identification Number (NUIS/NIPT), the number and date of the authorization, the type of authorized services, the status of the authorization, and the effective date of the relevant change.</w:t>
            </w:r>
          </w:p>
          <w:p w14:paraId="0B7B0B78" w14:textId="62D3B784" w:rsidR="0062231E" w:rsidRPr="00874B0C" w:rsidRDefault="0062231E" w:rsidP="00874B0C">
            <w:pPr>
              <w:spacing w:line="276" w:lineRule="auto"/>
              <w:jc w:val="both"/>
              <w:rPr>
                <w:rFonts w:ascii="Times New Roman" w:eastAsia="Times New Roman" w:hAnsi="Times New Roman" w:cs="Times New Roman"/>
                <w:sz w:val="18"/>
                <w:szCs w:val="18"/>
                <w:lang w:eastAsia="sq-AL"/>
              </w:rPr>
            </w:pPr>
          </w:p>
        </w:tc>
        <w:tc>
          <w:tcPr>
            <w:tcW w:w="1184" w:type="dxa"/>
          </w:tcPr>
          <w:p w14:paraId="0A73B4E4"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13EF4E72"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1C4180C9" w14:textId="77777777" w:rsidTr="00874B0C">
        <w:trPr>
          <w:trHeight w:val="764"/>
        </w:trPr>
        <w:tc>
          <w:tcPr>
            <w:tcW w:w="720" w:type="dxa"/>
          </w:tcPr>
          <w:p w14:paraId="67643467"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1A5EB51C" w14:textId="61627D20"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F.Administrative procedure for single registration of a Crypto-Asset Operator</w:t>
            </w:r>
          </w:p>
          <w:p w14:paraId="3E56A5FA" w14:textId="77777777" w:rsidR="0062231E" w:rsidRPr="00874B0C" w:rsidRDefault="0062231E" w:rsidP="00874B0C">
            <w:pPr>
              <w:pStyle w:val="oj-ti-grseq-1"/>
              <w:shd w:val="clear" w:color="auto" w:fill="FFFFFF"/>
              <w:spacing w:before="240" w:after="120" w:line="276" w:lineRule="auto"/>
              <w:rPr>
                <w:rFonts w:eastAsia="Calibri"/>
                <w:iCs/>
                <w:sz w:val="18"/>
                <w:szCs w:val="18"/>
              </w:rPr>
            </w:pPr>
          </w:p>
          <w:p w14:paraId="03A45774" w14:textId="2E38D3DD"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1. A Crypto-Asset Operator that is a Reporting Crypto-Asset Service Provider as defined in Section IV, subparagraph B(3), shall register, pursuant to Article 8ad(7), with the competent authority of the Member State, determined in accordance with Section I, subparagraph A(2), point (a), (b), (c) or (d), or paragraph B, before the end of the period within which such Crypto-Asset Operator must report the information set out in Section II, paragraph B. If such Crypto-Asset Operator fulfils the conditions in Section I, subparagraph A(2), point (a), (b), (c) or (d), or paragraph B, respectively, in more than one Member State, it shall register, pursuant to Article 8ad(7), with the competent authority of one of those Member States, before the end of the period within which the Crypto-Asset Operator must report the information set out in Section II, paragraph B.</w:t>
            </w:r>
          </w:p>
          <w:p w14:paraId="52BBC24C" w14:textId="77777777" w:rsidR="0062231E" w:rsidRPr="00874B0C" w:rsidRDefault="0062231E" w:rsidP="00874B0C">
            <w:pPr>
              <w:pStyle w:val="oj-ti-grseq-1"/>
              <w:shd w:val="clear" w:color="auto" w:fill="FFFFFF"/>
              <w:spacing w:before="240" w:after="120" w:line="276" w:lineRule="auto"/>
              <w:rPr>
                <w:rFonts w:eastAsia="Calibri"/>
                <w:iCs/>
                <w:sz w:val="18"/>
                <w:szCs w:val="18"/>
              </w:rPr>
            </w:pPr>
          </w:p>
          <w:p w14:paraId="0A3B37FA" w14:textId="0819D08E"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Notwithstanding subparagraph F(1), first subparagraph, a Crypto-Asset Operator that is a Reporting Crypto-Asset Service Provider as defined in Section IV, subparagraph B(3), shall not register with the competent authority of a Member State in which such Crypto-Asset Operator is not required to complete the reporting and due diligence requirements set out in Sections II and III, respectively, pursuant to Section I, paragraph C, D, E, F, G or H, by virtue of such requirements being completed by such Crypto-Asset Operator in any other Member State.</w:t>
            </w:r>
          </w:p>
        </w:tc>
        <w:tc>
          <w:tcPr>
            <w:tcW w:w="1080" w:type="dxa"/>
          </w:tcPr>
          <w:p w14:paraId="1CDF1C28"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3647F60F"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4F73344C" w14:textId="77777777" w:rsidR="008641EF" w:rsidRDefault="008641EF" w:rsidP="00874B0C">
            <w:pPr>
              <w:spacing w:line="276" w:lineRule="auto"/>
              <w:jc w:val="center"/>
              <w:rPr>
                <w:rFonts w:ascii="Times New Roman" w:eastAsia="Times New Roman" w:hAnsi="Times New Roman" w:cs="Times New Roman"/>
                <w:b/>
                <w:sz w:val="18"/>
                <w:szCs w:val="18"/>
                <w:lang w:eastAsia="sq-AL"/>
              </w:rPr>
            </w:pPr>
          </w:p>
          <w:p w14:paraId="696376BE" w14:textId="718326C4"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Article 15</w:t>
            </w:r>
          </w:p>
          <w:p w14:paraId="27CF4672" w14:textId="77777777" w:rsidR="00AA4B0A" w:rsidRPr="00874B0C" w:rsidRDefault="00AA4B0A" w:rsidP="00874B0C">
            <w:pPr>
              <w:spacing w:line="276" w:lineRule="auto"/>
              <w:jc w:val="center"/>
              <w:rPr>
                <w:rFonts w:ascii="Times New Roman" w:eastAsia="Times New Roman" w:hAnsi="Times New Roman" w:cs="Times New Roman"/>
                <w:b/>
                <w:sz w:val="18"/>
                <w:szCs w:val="18"/>
                <w:lang w:eastAsia="sq-AL"/>
              </w:rPr>
            </w:pPr>
            <w:r w:rsidRPr="00874B0C">
              <w:rPr>
                <w:rFonts w:ascii="Times New Roman" w:eastAsia="Times New Roman" w:hAnsi="Times New Roman" w:cs="Times New Roman"/>
                <w:b/>
                <w:sz w:val="18"/>
                <w:szCs w:val="18"/>
                <w:lang w:eastAsia="sq-AL"/>
              </w:rPr>
              <w:t>Single Registration of a Crypto-Asset Operator</w:t>
            </w:r>
          </w:p>
          <w:p w14:paraId="55CE3AB6" w14:textId="77777777" w:rsidR="00AA4B0A" w:rsidRPr="00874B0C" w:rsidRDefault="00AA4B0A" w:rsidP="00874B0C">
            <w:pPr>
              <w:spacing w:line="276" w:lineRule="auto"/>
              <w:jc w:val="both"/>
              <w:rPr>
                <w:rFonts w:ascii="Times New Roman" w:eastAsia="Times New Roman" w:hAnsi="Times New Roman" w:cs="Times New Roman"/>
                <w:sz w:val="18"/>
                <w:szCs w:val="18"/>
                <w:lang w:eastAsia="sq-AL"/>
              </w:rPr>
            </w:pPr>
          </w:p>
          <w:p w14:paraId="6D02DC91" w14:textId="77777777" w:rsidR="008860EA"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1.</w:t>
            </w:r>
            <w:r w:rsidRPr="00874B0C">
              <w:rPr>
                <w:rFonts w:ascii="Times New Roman" w:eastAsia="Times New Roman" w:hAnsi="Times New Roman" w:cs="Times New Roman"/>
                <w:sz w:val="18"/>
                <w:szCs w:val="18"/>
                <w:lang w:eastAsia="sq-AL"/>
              </w:rPr>
              <w:tab/>
              <w:t>A Crypto-Asset Operator which is a Reporting Crypto-Asset Service Provider and is subject to reporting obligations in the Republic of Albania under this Law shall register with the General Directorate of Taxation prior to the expiry of the reporting deadline set out in Article 9 of this Law.</w:t>
            </w:r>
          </w:p>
          <w:p w14:paraId="21D499B1" w14:textId="77777777" w:rsidR="008860EA"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2.</w:t>
            </w:r>
            <w:r w:rsidRPr="00874B0C">
              <w:rPr>
                <w:rFonts w:ascii="Times New Roman" w:eastAsia="Times New Roman" w:hAnsi="Times New Roman" w:cs="Times New Roman"/>
                <w:sz w:val="18"/>
                <w:szCs w:val="18"/>
                <w:lang w:eastAsia="sq-AL"/>
              </w:rPr>
              <w:tab/>
              <w:t>A Crypto-Asset Operator that meets the conditions for a single registration in more than one Member State shall register with the competent authority of one of those Member States prior to the expiry of the reporting deadline set out in Article 9 of this Law.</w:t>
            </w:r>
          </w:p>
          <w:p w14:paraId="01B77AE4" w14:textId="7418EE3E" w:rsidR="00BC72D6"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3.</w:t>
            </w:r>
            <w:r w:rsidRPr="00874B0C">
              <w:rPr>
                <w:rFonts w:ascii="Times New Roman" w:eastAsia="Times New Roman" w:hAnsi="Times New Roman" w:cs="Times New Roman"/>
                <w:sz w:val="18"/>
                <w:szCs w:val="18"/>
                <w:lang w:eastAsia="sq-AL"/>
              </w:rPr>
              <w:tab/>
              <w:t>A Crypto-Asset Operator shall not register with the General Directorate of Taxation where it is not required to fulfil the reporting requirements and due diligence procedures in the Republic of Albania under this Law because those obligations are fulfilled by it in another Member State.</w:t>
            </w:r>
          </w:p>
        </w:tc>
        <w:tc>
          <w:tcPr>
            <w:tcW w:w="1184" w:type="dxa"/>
          </w:tcPr>
          <w:p w14:paraId="76F21D58"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415CB2BB"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73CBC235" w14:textId="77777777" w:rsidTr="00874B0C">
        <w:trPr>
          <w:trHeight w:val="764"/>
        </w:trPr>
        <w:tc>
          <w:tcPr>
            <w:tcW w:w="720" w:type="dxa"/>
          </w:tcPr>
          <w:p w14:paraId="17F65220"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6FC3E2FD" w14:textId="782D253A"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2.Upon registration, the Crypto-Asset Operator shall communicate to the Member State of its single registration, determined in accordance with subparagraph F(1), the following information:</w:t>
            </w:r>
          </w:p>
          <w:p w14:paraId="344A97C4" w14:textId="51584253"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name;</w:t>
            </w:r>
          </w:p>
          <w:p w14:paraId="085CA9FA" w14:textId="41F53CE0"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postal address;</w:t>
            </w:r>
          </w:p>
          <w:p w14:paraId="4B71820A" w14:textId="76FA29B0"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electronic addresses, including websites;</w:t>
            </w:r>
          </w:p>
          <w:p w14:paraId="7B173C76" w14:textId="761E3C72"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any TIN issued to the Crypto-Asset Operator;</w:t>
            </w:r>
          </w:p>
          <w:p w14:paraId="60909B7C" w14:textId="51EF09F8"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(e) Member States in which Reportable Users are residents within the meaning of Section III, paragraphs A and B;</w:t>
            </w:r>
          </w:p>
          <w:p w14:paraId="5FB94474" w14:textId="2622A38B"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(f) any Qualified Non-Union Jurisdiction as referred to in Section I, paragraph C, D, E, F or H.</w:t>
            </w:r>
          </w:p>
        </w:tc>
        <w:tc>
          <w:tcPr>
            <w:tcW w:w="1080" w:type="dxa"/>
          </w:tcPr>
          <w:p w14:paraId="61840422"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209F7F12"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3C096708" w14:textId="77777777" w:rsidR="008860EA"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4.</w:t>
            </w:r>
            <w:r w:rsidRPr="00874B0C">
              <w:rPr>
                <w:rFonts w:ascii="Times New Roman" w:eastAsia="Times New Roman" w:hAnsi="Times New Roman" w:cs="Times New Roman"/>
                <w:sz w:val="18"/>
                <w:szCs w:val="18"/>
                <w:lang w:eastAsia="sq-AL"/>
              </w:rPr>
              <w:tab/>
              <w:t>Upon registration, the Crypto-Asset Operator shall provide the General Directorate of Taxation with the following information:</w:t>
            </w:r>
          </w:p>
          <w:p w14:paraId="4FC278A5" w14:textId="77777777" w:rsidR="008860EA"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w:t>
            </w:r>
            <w:r w:rsidRPr="00874B0C">
              <w:rPr>
                <w:rFonts w:ascii="Times New Roman" w:eastAsia="Times New Roman" w:hAnsi="Times New Roman" w:cs="Times New Roman"/>
                <w:sz w:val="18"/>
                <w:szCs w:val="18"/>
                <w:lang w:eastAsia="sq-AL"/>
              </w:rPr>
              <w:tab/>
              <w:t>name;</w:t>
            </w:r>
          </w:p>
          <w:p w14:paraId="729B2A81" w14:textId="77777777" w:rsidR="008860EA"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w:t>
            </w:r>
            <w:r w:rsidRPr="00874B0C">
              <w:rPr>
                <w:rFonts w:ascii="Times New Roman" w:eastAsia="Times New Roman" w:hAnsi="Times New Roman" w:cs="Times New Roman"/>
                <w:sz w:val="18"/>
                <w:szCs w:val="18"/>
                <w:lang w:eastAsia="sq-AL"/>
              </w:rPr>
              <w:tab/>
              <w:t>postal address;</w:t>
            </w:r>
          </w:p>
          <w:p w14:paraId="45BA8B87" w14:textId="77777777" w:rsidR="008860EA"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(c)</w:t>
            </w:r>
            <w:r w:rsidRPr="00874B0C">
              <w:rPr>
                <w:rFonts w:ascii="Times New Roman" w:eastAsia="Times New Roman" w:hAnsi="Times New Roman" w:cs="Times New Roman"/>
                <w:sz w:val="18"/>
                <w:szCs w:val="18"/>
                <w:lang w:eastAsia="sq-AL"/>
              </w:rPr>
              <w:tab/>
              <w:t>electronic addresses, including websites;</w:t>
            </w:r>
          </w:p>
          <w:p w14:paraId="20878CD7" w14:textId="77777777" w:rsidR="008860EA"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(d)</w:t>
            </w:r>
            <w:r w:rsidRPr="00874B0C">
              <w:rPr>
                <w:rFonts w:ascii="Times New Roman" w:eastAsia="Times New Roman" w:hAnsi="Times New Roman" w:cs="Times New Roman"/>
                <w:sz w:val="18"/>
                <w:szCs w:val="18"/>
                <w:lang w:eastAsia="sq-AL"/>
              </w:rPr>
              <w:tab/>
              <w:t>any TIN(s) issued to the Crypto-Asset Operator;</w:t>
            </w:r>
          </w:p>
          <w:p w14:paraId="0B32E2EF" w14:textId="77777777" w:rsidR="008860EA"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(e)</w:t>
            </w:r>
            <w:r w:rsidRPr="00874B0C">
              <w:rPr>
                <w:rFonts w:ascii="Times New Roman" w:eastAsia="Times New Roman" w:hAnsi="Times New Roman" w:cs="Times New Roman"/>
                <w:sz w:val="18"/>
                <w:szCs w:val="18"/>
                <w:lang w:eastAsia="sq-AL"/>
              </w:rPr>
              <w:tab/>
              <w:t>the Member States in which Reportable Users are resident, as determined in accordance with Articles 5 and 7 of this Law;</w:t>
            </w:r>
          </w:p>
          <w:p w14:paraId="21DA8C8A" w14:textId="3A38A199" w:rsidR="0062231E"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(f)</w:t>
            </w:r>
            <w:r w:rsidRPr="00874B0C">
              <w:rPr>
                <w:rFonts w:ascii="Times New Roman" w:eastAsia="Times New Roman" w:hAnsi="Times New Roman" w:cs="Times New Roman"/>
                <w:sz w:val="18"/>
                <w:szCs w:val="18"/>
                <w:lang w:eastAsia="sq-AL"/>
              </w:rPr>
              <w:tab/>
              <w:t>any Qualifying Non-Union Jurisdiction, where applicable under this Law.</w:t>
            </w:r>
          </w:p>
        </w:tc>
        <w:tc>
          <w:tcPr>
            <w:tcW w:w="1184" w:type="dxa"/>
          </w:tcPr>
          <w:p w14:paraId="584E4A0C"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4E7B85E0"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03C66755" w14:textId="77777777" w:rsidTr="00874B0C">
        <w:trPr>
          <w:trHeight w:val="764"/>
        </w:trPr>
        <w:tc>
          <w:tcPr>
            <w:tcW w:w="720" w:type="dxa"/>
          </w:tcPr>
          <w:p w14:paraId="6AE6514E"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20CA0676" w14:textId="466716BB"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3. The Crypto-Asset Operator shall notify the Member State of single registration of any changes in the information provided under subparagraph F(2).</w:t>
            </w:r>
          </w:p>
        </w:tc>
        <w:tc>
          <w:tcPr>
            <w:tcW w:w="1080" w:type="dxa"/>
          </w:tcPr>
          <w:p w14:paraId="0166B0B7"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5B9619C5"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28678ABD" w14:textId="75BE6AA9" w:rsidR="0062231E"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5.</w:t>
            </w:r>
            <w:r w:rsidRPr="00874B0C">
              <w:rPr>
                <w:rFonts w:ascii="Times New Roman" w:eastAsia="Times New Roman" w:hAnsi="Times New Roman" w:cs="Times New Roman"/>
                <w:sz w:val="18"/>
                <w:szCs w:val="18"/>
                <w:lang w:eastAsia="sq-AL"/>
              </w:rPr>
              <w:tab/>
              <w:t>The Crypto-Asset Operator shall notify the General Directorate of Taxation of any change to the information submitted pursuant to paragraph 4 of this Article within 60 days from the occurrence of such change.</w:t>
            </w:r>
          </w:p>
        </w:tc>
        <w:tc>
          <w:tcPr>
            <w:tcW w:w="1184" w:type="dxa"/>
          </w:tcPr>
          <w:p w14:paraId="27423061"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3146CA29"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21CECD8F" w14:textId="77777777" w:rsidTr="00874B0C">
        <w:trPr>
          <w:trHeight w:val="764"/>
        </w:trPr>
        <w:tc>
          <w:tcPr>
            <w:tcW w:w="720" w:type="dxa"/>
          </w:tcPr>
          <w:p w14:paraId="11CF9132"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6301D486" w14:textId="4227A5E9"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4. The Member State of single registration shall allocate an individual identification number to the Crypto-Asset Operator and shall notify it to the competent authorities of all Member States by electronic means.</w:t>
            </w:r>
          </w:p>
        </w:tc>
        <w:tc>
          <w:tcPr>
            <w:tcW w:w="1080" w:type="dxa"/>
          </w:tcPr>
          <w:p w14:paraId="584313B6"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205810B3"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6D8565DC" w14:textId="143FFC4A" w:rsidR="0062231E" w:rsidRPr="00874B0C" w:rsidRDefault="008860EA"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6.</w:t>
            </w:r>
            <w:r w:rsidRPr="00874B0C">
              <w:rPr>
                <w:rFonts w:ascii="Times New Roman" w:eastAsia="Times New Roman" w:hAnsi="Times New Roman" w:cs="Times New Roman"/>
                <w:sz w:val="18"/>
                <w:szCs w:val="18"/>
                <w:lang w:eastAsia="sq-AL"/>
              </w:rPr>
              <w:tab/>
              <w:t>The General Directorate of Taxation shall assign the Crypto-Asset Operator an individual identification number for the purposes of registration under this Law and shall communicate that number electronically to the competent authorities of the Member States.</w:t>
            </w:r>
          </w:p>
        </w:tc>
        <w:tc>
          <w:tcPr>
            <w:tcW w:w="1184" w:type="dxa"/>
          </w:tcPr>
          <w:p w14:paraId="31A1AA06"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220480D2"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70BF0182" w14:textId="77777777" w:rsidTr="00874B0C">
        <w:trPr>
          <w:trHeight w:val="764"/>
        </w:trPr>
        <w:tc>
          <w:tcPr>
            <w:tcW w:w="720" w:type="dxa"/>
          </w:tcPr>
          <w:p w14:paraId="15B0B58D"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110D7242" w14:textId="3E590FC9"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5. The Member State of single registration shall be able to remove a Crypto-Asset Operator from the Crypto-Asset Operator register in the following cases:</w:t>
            </w:r>
          </w:p>
          <w:p w14:paraId="4DB2C26C" w14:textId="5D0C5D02"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(a) the Crypto-Asset Operator notifies that Member State that it no longer has Reportable Users in the Union;</w:t>
            </w:r>
          </w:p>
          <w:p w14:paraId="2360044D" w14:textId="00DDEE51"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(b) in the absence of a notification pursuant to point (a), there are grounds to assume that the activity of a Crypto-Asset Operator has ceased;</w:t>
            </w:r>
          </w:p>
          <w:p w14:paraId="5D6669B9" w14:textId="2A32FB42"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(c) the Crypto-Asset Operator no longer meets the conditions laid down in Section IV, subparagraph B(2);</w:t>
            </w:r>
          </w:p>
          <w:p w14:paraId="3731AA74" w14:textId="7F294221"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(d) the Member State revoked the registration with its competent authority pursuant to subparagraph F(7).</w:t>
            </w:r>
          </w:p>
        </w:tc>
        <w:tc>
          <w:tcPr>
            <w:tcW w:w="1080" w:type="dxa"/>
          </w:tcPr>
          <w:p w14:paraId="076501E1"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4905D121"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68C610E7" w14:textId="77777777" w:rsidR="00DA5F17"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7.</w:t>
            </w:r>
            <w:r w:rsidRPr="00874B0C">
              <w:rPr>
                <w:rFonts w:ascii="Times New Roman" w:eastAsia="Times New Roman" w:hAnsi="Times New Roman" w:cs="Times New Roman"/>
                <w:sz w:val="18"/>
                <w:szCs w:val="18"/>
                <w:lang w:eastAsia="sq-AL"/>
              </w:rPr>
              <w:tab/>
              <w:t>The General Directorate of Taxation may remove a Crypto-Asset Operator from the register of Crypto-Asset Operators where:</w:t>
            </w:r>
          </w:p>
          <w:p w14:paraId="118359AB" w14:textId="77777777" w:rsidR="00DA5F17"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(a)</w:t>
            </w:r>
            <w:r w:rsidRPr="00874B0C">
              <w:rPr>
                <w:rFonts w:ascii="Times New Roman" w:eastAsia="Times New Roman" w:hAnsi="Times New Roman" w:cs="Times New Roman"/>
                <w:sz w:val="18"/>
                <w:szCs w:val="18"/>
                <w:lang w:eastAsia="sq-AL"/>
              </w:rPr>
              <w:tab/>
              <w:t>the Crypto-Asset Operator notifies that it no longer has any Reportable Users in the European Union;</w:t>
            </w:r>
          </w:p>
          <w:p w14:paraId="7713B03D" w14:textId="77777777" w:rsidR="00DA5F17"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(b)</w:t>
            </w:r>
            <w:r w:rsidRPr="00874B0C">
              <w:rPr>
                <w:rFonts w:ascii="Times New Roman" w:eastAsia="Times New Roman" w:hAnsi="Times New Roman" w:cs="Times New Roman"/>
                <w:sz w:val="18"/>
                <w:szCs w:val="18"/>
                <w:lang w:eastAsia="sq-AL"/>
              </w:rPr>
              <w:tab/>
              <w:t>in the absence of a notification pursuant to point (a), there are reasonable grounds to conclude that the activities of the Crypto-Asset Operator have ceased;</w:t>
            </w:r>
          </w:p>
          <w:p w14:paraId="495CFA10" w14:textId="77777777" w:rsidR="00DA5F17"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(c)</w:t>
            </w:r>
            <w:r w:rsidRPr="00874B0C">
              <w:rPr>
                <w:rFonts w:ascii="Times New Roman" w:eastAsia="Times New Roman" w:hAnsi="Times New Roman" w:cs="Times New Roman"/>
                <w:sz w:val="18"/>
                <w:szCs w:val="18"/>
                <w:lang w:eastAsia="sq-AL"/>
              </w:rPr>
              <w:tab/>
              <w:t>the Crypto-Asset Operator no longer fulfils the conditions to qualify as a Reporting Crypto-Asset Service Provider under this Law;</w:t>
            </w:r>
          </w:p>
          <w:p w14:paraId="7F34C842" w14:textId="0EF212DB" w:rsidR="0062231E"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(d)</w:t>
            </w:r>
            <w:r w:rsidRPr="00874B0C">
              <w:rPr>
                <w:rFonts w:ascii="Times New Roman" w:eastAsia="Times New Roman" w:hAnsi="Times New Roman" w:cs="Times New Roman"/>
                <w:sz w:val="18"/>
                <w:szCs w:val="18"/>
                <w:lang w:eastAsia="sq-AL"/>
              </w:rPr>
              <w:tab/>
              <w:t>the registration of the Crypto-Asset Operator has been revoked in accordance with paragraph 9 of this Article.</w:t>
            </w:r>
          </w:p>
        </w:tc>
        <w:tc>
          <w:tcPr>
            <w:tcW w:w="1184" w:type="dxa"/>
          </w:tcPr>
          <w:p w14:paraId="26F3940C"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698364CD"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345DC573" w14:textId="77777777" w:rsidTr="00874B0C">
        <w:trPr>
          <w:trHeight w:val="764"/>
        </w:trPr>
        <w:tc>
          <w:tcPr>
            <w:tcW w:w="720" w:type="dxa"/>
          </w:tcPr>
          <w:p w14:paraId="6AA9CDC9"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0F489813" w14:textId="731D8543"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6. Each Member State shall forthwith notify the Commission of any Crypto-Asset Operator within the meaning of Section IV, subparagraph B(2), that has Reportable Users resident in the Union while failing to register itself pursuant to this paragraph. Where a Crypto-Asset Operator does not comply with the obligation to register or where its registration has been revoked in accordance with subparagraph F(7) of this Section, Member States shall, without prejudice to Article 25a, take effective, proportionate and dissuasive measures to enforce compliance within their jurisdiction. The choice of such measures shall remain within the discretion of Member States. Member States shall also endeavour to coordinate their actions aimed at enforcing compliance, including the prevention of the Crypto-Asset Operator from being able to operate within the Union as a last resort.</w:t>
            </w:r>
          </w:p>
        </w:tc>
        <w:tc>
          <w:tcPr>
            <w:tcW w:w="1080" w:type="dxa"/>
          </w:tcPr>
          <w:p w14:paraId="6EFED4A3"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413052D9"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5E71C61" w14:textId="3500505D" w:rsidR="0062231E"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8.</w:t>
            </w:r>
            <w:r w:rsidRPr="00874B0C">
              <w:rPr>
                <w:rFonts w:ascii="Times New Roman" w:eastAsia="Times New Roman" w:hAnsi="Times New Roman" w:cs="Times New Roman"/>
                <w:sz w:val="18"/>
                <w:szCs w:val="18"/>
                <w:lang w:eastAsia="sq-AL"/>
              </w:rPr>
              <w:tab/>
              <w:t>A Crypto-Asset Operator whose registration has been revoked by a Member State due to non-compliance with reporting obligations may be registered again with the General Directorate of Taxation only after providing adequate assurances of compliance with the reporting obligations set out in this Law, including any outstanding reporting obligations.</w:t>
            </w:r>
          </w:p>
        </w:tc>
        <w:tc>
          <w:tcPr>
            <w:tcW w:w="1184" w:type="dxa"/>
          </w:tcPr>
          <w:p w14:paraId="3E38B55E"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2092A201" w14:textId="77777777" w:rsidR="0062231E" w:rsidRPr="00874B0C" w:rsidRDefault="0062231E" w:rsidP="00874B0C">
            <w:pPr>
              <w:spacing w:line="276" w:lineRule="auto"/>
              <w:rPr>
                <w:rFonts w:ascii="Times New Roman" w:eastAsia="Calibri" w:hAnsi="Times New Roman" w:cs="Times New Roman"/>
                <w:sz w:val="18"/>
                <w:szCs w:val="18"/>
              </w:rPr>
            </w:pPr>
          </w:p>
        </w:tc>
      </w:tr>
      <w:tr w:rsidR="0062231E" w:rsidRPr="00874B0C" w14:paraId="58BC3921" w14:textId="77777777" w:rsidTr="00874B0C">
        <w:trPr>
          <w:trHeight w:val="764"/>
        </w:trPr>
        <w:tc>
          <w:tcPr>
            <w:tcW w:w="720" w:type="dxa"/>
          </w:tcPr>
          <w:p w14:paraId="0C6C9264" w14:textId="77777777" w:rsidR="0062231E" w:rsidRPr="00874B0C" w:rsidRDefault="0062231E" w:rsidP="00874B0C">
            <w:pPr>
              <w:spacing w:line="276" w:lineRule="auto"/>
              <w:jc w:val="center"/>
              <w:rPr>
                <w:rFonts w:ascii="Times New Roman" w:eastAsia="Calibri" w:hAnsi="Times New Roman" w:cs="Times New Roman"/>
                <w:i/>
                <w:sz w:val="18"/>
                <w:szCs w:val="18"/>
              </w:rPr>
            </w:pPr>
          </w:p>
        </w:tc>
        <w:tc>
          <w:tcPr>
            <w:tcW w:w="5220" w:type="dxa"/>
          </w:tcPr>
          <w:p w14:paraId="3C38AFFD" w14:textId="674FED22" w:rsidR="0062231E" w:rsidRPr="00874B0C" w:rsidRDefault="0062231E" w:rsidP="00874B0C">
            <w:pPr>
              <w:pStyle w:val="oj-ti-grseq-1"/>
              <w:shd w:val="clear" w:color="auto" w:fill="FFFFFF"/>
              <w:spacing w:before="240" w:after="120" w:line="276" w:lineRule="auto"/>
              <w:rPr>
                <w:rFonts w:eastAsia="Calibri"/>
                <w:iCs/>
                <w:sz w:val="18"/>
                <w:szCs w:val="18"/>
              </w:rPr>
            </w:pPr>
            <w:r w:rsidRPr="00874B0C">
              <w:rPr>
                <w:rFonts w:eastAsia="Calibri"/>
                <w:iCs/>
                <w:sz w:val="18"/>
                <w:szCs w:val="18"/>
              </w:rPr>
              <w:t>7. Where a Crypto-Asset Operator does not comply with the obligation to report in accordance with Section II, paragraph B, of this Annex after two reminders by the Member State of single registration, the Member State of single registration shall, without prejudice to Article 25a, take the necessary measures to revoke the registration of the Crypto-Asset Operator made pursuant to Article 8ad(7). The registration shall be revoked not later than after the expiration of 90 days but not prior to the expiration of 30 days after the second reminder.</w:t>
            </w:r>
          </w:p>
        </w:tc>
        <w:tc>
          <w:tcPr>
            <w:tcW w:w="1080" w:type="dxa"/>
          </w:tcPr>
          <w:p w14:paraId="65C45673"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720" w:type="dxa"/>
          </w:tcPr>
          <w:p w14:paraId="383555F1" w14:textId="77777777" w:rsidR="0062231E" w:rsidRPr="00874B0C" w:rsidRDefault="0062231E" w:rsidP="00874B0C">
            <w:pPr>
              <w:spacing w:line="276" w:lineRule="auto"/>
              <w:jc w:val="center"/>
              <w:rPr>
                <w:rFonts w:ascii="Times New Roman" w:eastAsia="Times New Roman" w:hAnsi="Times New Roman" w:cs="Times New Roman"/>
                <w:sz w:val="18"/>
                <w:szCs w:val="18"/>
                <w:lang w:eastAsia="sq-AL"/>
              </w:rPr>
            </w:pPr>
          </w:p>
        </w:tc>
        <w:tc>
          <w:tcPr>
            <w:tcW w:w="3870" w:type="dxa"/>
          </w:tcPr>
          <w:p w14:paraId="712EC20F" w14:textId="7FC88DE3" w:rsidR="0062231E" w:rsidRPr="00874B0C" w:rsidRDefault="00DA5F17" w:rsidP="00874B0C">
            <w:pPr>
              <w:spacing w:line="276" w:lineRule="auto"/>
              <w:jc w:val="both"/>
              <w:rPr>
                <w:rFonts w:ascii="Times New Roman" w:eastAsia="Times New Roman" w:hAnsi="Times New Roman" w:cs="Times New Roman"/>
                <w:sz w:val="18"/>
                <w:szCs w:val="18"/>
                <w:lang w:eastAsia="sq-AL"/>
              </w:rPr>
            </w:pPr>
            <w:r w:rsidRPr="00874B0C">
              <w:rPr>
                <w:rFonts w:ascii="Times New Roman" w:eastAsia="Times New Roman" w:hAnsi="Times New Roman" w:cs="Times New Roman"/>
                <w:sz w:val="18"/>
                <w:szCs w:val="18"/>
                <w:lang w:eastAsia="sq-AL"/>
              </w:rPr>
              <w:t>9.</w:t>
            </w:r>
            <w:r w:rsidRPr="00874B0C">
              <w:rPr>
                <w:rFonts w:ascii="Times New Roman" w:eastAsia="Times New Roman" w:hAnsi="Times New Roman" w:cs="Times New Roman"/>
                <w:sz w:val="18"/>
                <w:szCs w:val="18"/>
                <w:lang w:eastAsia="sq-AL"/>
              </w:rPr>
              <w:tab/>
              <w:t>Where a Crypto-Asset Operator fails to comply with the reporting obligations set out in Article 10 of this Law following two notifications from the General Directorate of Taxation, the latter shall, without prejudice to the application of the sanctions provided for in this Law, revoke the registration of the Crypto-Asset Operator. The revocation shall take place not earlier than 30 days and not later than 90 days from the date of the second notification.</w:t>
            </w:r>
          </w:p>
        </w:tc>
        <w:tc>
          <w:tcPr>
            <w:tcW w:w="1184" w:type="dxa"/>
          </w:tcPr>
          <w:p w14:paraId="29D7AC8A" w14:textId="77777777" w:rsidR="0062231E" w:rsidRPr="00874B0C" w:rsidRDefault="0062231E" w:rsidP="00874B0C">
            <w:pPr>
              <w:spacing w:line="276" w:lineRule="auto"/>
              <w:jc w:val="center"/>
              <w:rPr>
                <w:rFonts w:ascii="Times New Roman" w:eastAsia="Calibri" w:hAnsi="Times New Roman" w:cs="Times New Roman"/>
                <w:sz w:val="18"/>
                <w:szCs w:val="18"/>
              </w:rPr>
            </w:pPr>
          </w:p>
        </w:tc>
        <w:tc>
          <w:tcPr>
            <w:tcW w:w="3406" w:type="dxa"/>
          </w:tcPr>
          <w:p w14:paraId="520303F9" w14:textId="77777777" w:rsidR="0062231E" w:rsidRPr="00874B0C" w:rsidRDefault="0062231E" w:rsidP="00874B0C">
            <w:pPr>
              <w:spacing w:line="276" w:lineRule="auto"/>
              <w:rPr>
                <w:rFonts w:ascii="Times New Roman" w:eastAsia="Calibri" w:hAnsi="Times New Roman" w:cs="Times New Roman"/>
                <w:sz w:val="18"/>
                <w:szCs w:val="18"/>
              </w:rPr>
            </w:pPr>
          </w:p>
        </w:tc>
      </w:tr>
    </w:tbl>
    <w:p w14:paraId="4E2D4073" w14:textId="0279B2DE" w:rsidR="009A20F7" w:rsidRPr="00874B0C" w:rsidRDefault="009A20F7" w:rsidP="00874B0C">
      <w:pPr>
        <w:spacing w:line="276" w:lineRule="auto"/>
        <w:rPr>
          <w:rFonts w:ascii="Times New Roman" w:hAnsi="Times New Roman" w:cs="Times New Roman"/>
          <w:sz w:val="18"/>
          <w:szCs w:val="18"/>
        </w:rPr>
      </w:pPr>
    </w:p>
    <w:sectPr w:rsidR="009A20F7" w:rsidRPr="00874B0C" w:rsidSect="003F6C69">
      <w:footerReference w:type="default" r:id="rId11"/>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E39E" w14:textId="77777777" w:rsidR="00000F99" w:rsidRDefault="00000F99" w:rsidP="00922FEB">
      <w:pPr>
        <w:spacing w:after="0" w:line="240" w:lineRule="auto"/>
      </w:pPr>
      <w:r>
        <w:separator/>
      </w:r>
    </w:p>
  </w:endnote>
  <w:endnote w:type="continuationSeparator" w:id="0">
    <w:p w14:paraId="4B5B75E2" w14:textId="77777777" w:rsidR="00000F99" w:rsidRDefault="00000F99"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020A13AF" w:rsidR="009C4565" w:rsidRDefault="009C4565">
    <w:pPr>
      <w:pStyle w:val="Foo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4DA7" w14:textId="77777777" w:rsidR="00000F99" w:rsidRDefault="00000F99" w:rsidP="00922FEB">
      <w:pPr>
        <w:spacing w:after="0" w:line="240" w:lineRule="auto"/>
      </w:pPr>
      <w:r>
        <w:separator/>
      </w:r>
    </w:p>
  </w:footnote>
  <w:footnote w:type="continuationSeparator" w:id="0">
    <w:p w14:paraId="393B39A3" w14:textId="77777777" w:rsidR="00000F99" w:rsidRDefault="00000F99"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851"/>
    <w:multiLevelType w:val="hybridMultilevel"/>
    <w:tmpl w:val="4A309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8758BB"/>
    <w:multiLevelType w:val="hybridMultilevel"/>
    <w:tmpl w:val="ECF2BEF2"/>
    <w:lvl w:ilvl="0" w:tplc="CC3472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3663A"/>
    <w:multiLevelType w:val="hybridMultilevel"/>
    <w:tmpl w:val="DB666586"/>
    <w:lvl w:ilvl="0" w:tplc="33B4EE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A60B4"/>
    <w:multiLevelType w:val="hybridMultilevel"/>
    <w:tmpl w:val="1A40880C"/>
    <w:lvl w:ilvl="0" w:tplc="858A5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D14282"/>
    <w:multiLevelType w:val="hybridMultilevel"/>
    <w:tmpl w:val="56F8E514"/>
    <w:lvl w:ilvl="0" w:tplc="C38206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A1B0B"/>
    <w:multiLevelType w:val="hybridMultilevel"/>
    <w:tmpl w:val="C14AD418"/>
    <w:lvl w:ilvl="0" w:tplc="3B466E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C172A"/>
    <w:multiLevelType w:val="hybridMultilevel"/>
    <w:tmpl w:val="F7E24BD0"/>
    <w:lvl w:ilvl="0" w:tplc="180AC1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055E8"/>
    <w:multiLevelType w:val="hybridMultilevel"/>
    <w:tmpl w:val="9912E1F6"/>
    <w:lvl w:ilvl="0" w:tplc="3F700CA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A7695C"/>
    <w:multiLevelType w:val="hybridMultilevel"/>
    <w:tmpl w:val="902C58DE"/>
    <w:lvl w:ilvl="0" w:tplc="370878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87D41"/>
    <w:multiLevelType w:val="hybridMultilevel"/>
    <w:tmpl w:val="6C601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746BC"/>
    <w:multiLevelType w:val="hybridMultilevel"/>
    <w:tmpl w:val="2EAA7BE2"/>
    <w:lvl w:ilvl="0" w:tplc="33EA04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01F2C"/>
    <w:multiLevelType w:val="hybridMultilevel"/>
    <w:tmpl w:val="F5288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885256">
    <w:abstractNumId w:val="0"/>
  </w:num>
  <w:num w:numId="2" w16cid:durableId="1502115236">
    <w:abstractNumId w:val="3"/>
  </w:num>
  <w:num w:numId="3" w16cid:durableId="568271104">
    <w:abstractNumId w:val="5"/>
  </w:num>
  <w:num w:numId="4" w16cid:durableId="287973396">
    <w:abstractNumId w:val="6"/>
  </w:num>
  <w:num w:numId="5" w16cid:durableId="1668628526">
    <w:abstractNumId w:val="9"/>
  </w:num>
  <w:num w:numId="6" w16cid:durableId="863788963">
    <w:abstractNumId w:val="1"/>
  </w:num>
  <w:num w:numId="7" w16cid:durableId="988097923">
    <w:abstractNumId w:val="10"/>
  </w:num>
  <w:num w:numId="8" w16cid:durableId="757336579">
    <w:abstractNumId w:val="2"/>
  </w:num>
  <w:num w:numId="9" w16cid:durableId="386339601">
    <w:abstractNumId w:val="4"/>
  </w:num>
  <w:num w:numId="10" w16cid:durableId="465390908">
    <w:abstractNumId w:val="8"/>
  </w:num>
  <w:num w:numId="11" w16cid:durableId="282352502">
    <w:abstractNumId w:val="7"/>
  </w:num>
  <w:num w:numId="12" w16cid:durableId="61101446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00F99"/>
    <w:rsid w:val="0000140B"/>
    <w:rsid w:val="00010A4D"/>
    <w:rsid w:val="00013D9E"/>
    <w:rsid w:val="000144FB"/>
    <w:rsid w:val="00015086"/>
    <w:rsid w:val="000150BB"/>
    <w:rsid w:val="00016C4D"/>
    <w:rsid w:val="00017CC1"/>
    <w:rsid w:val="00020AE3"/>
    <w:rsid w:val="00026CC0"/>
    <w:rsid w:val="000339C8"/>
    <w:rsid w:val="00034129"/>
    <w:rsid w:val="00036F88"/>
    <w:rsid w:val="00046B6D"/>
    <w:rsid w:val="00052607"/>
    <w:rsid w:val="00052664"/>
    <w:rsid w:val="00053923"/>
    <w:rsid w:val="00054009"/>
    <w:rsid w:val="00061FFB"/>
    <w:rsid w:val="00062524"/>
    <w:rsid w:val="00065705"/>
    <w:rsid w:val="00075318"/>
    <w:rsid w:val="00075E79"/>
    <w:rsid w:val="00076B31"/>
    <w:rsid w:val="00077A9A"/>
    <w:rsid w:val="00080E02"/>
    <w:rsid w:val="00081BC1"/>
    <w:rsid w:val="00082EBC"/>
    <w:rsid w:val="000916B6"/>
    <w:rsid w:val="00092CAE"/>
    <w:rsid w:val="00093110"/>
    <w:rsid w:val="00095ECC"/>
    <w:rsid w:val="000A1939"/>
    <w:rsid w:val="000A26EF"/>
    <w:rsid w:val="000A38FB"/>
    <w:rsid w:val="000A7EA3"/>
    <w:rsid w:val="000B014A"/>
    <w:rsid w:val="000B05B4"/>
    <w:rsid w:val="000B1124"/>
    <w:rsid w:val="000B162F"/>
    <w:rsid w:val="000B190A"/>
    <w:rsid w:val="000B19FC"/>
    <w:rsid w:val="000B4CF9"/>
    <w:rsid w:val="000B5E85"/>
    <w:rsid w:val="000C09CF"/>
    <w:rsid w:val="000C227B"/>
    <w:rsid w:val="000C4C00"/>
    <w:rsid w:val="000D0E76"/>
    <w:rsid w:val="000D34E7"/>
    <w:rsid w:val="000D4CD0"/>
    <w:rsid w:val="000D6E38"/>
    <w:rsid w:val="000D77FB"/>
    <w:rsid w:val="000D7CA4"/>
    <w:rsid w:val="000D7DCD"/>
    <w:rsid w:val="000E0147"/>
    <w:rsid w:val="000E09F3"/>
    <w:rsid w:val="000E1010"/>
    <w:rsid w:val="000E16D8"/>
    <w:rsid w:val="000E2BC3"/>
    <w:rsid w:val="000E4DE0"/>
    <w:rsid w:val="000E5AC4"/>
    <w:rsid w:val="000E668E"/>
    <w:rsid w:val="000E7263"/>
    <w:rsid w:val="00101EF4"/>
    <w:rsid w:val="001024E6"/>
    <w:rsid w:val="00103497"/>
    <w:rsid w:val="00106912"/>
    <w:rsid w:val="0010722F"/>
    <w:rsid w:val="0010735E"/>
    <w:rsid w:val="0010796A"/>
    <w:rsid w:val="0011146E"/>
    <w:rsid w:val="001123ED"/>
    <w:rsid w:val="001207DE"/>
    <w:rsid w:val="00121010"/>
    <w:rsid w:val="00125EE3"/>
    <w:rsid w:val="00140D96"/>
    <w:rsid w:val="00142D73"/>
    <w:rsid w:val="00147A54"/>
    <w:rsid w:val="001520C0"/>
    <w:rsid w:val="0015399E"/>
    <w:rsid w:val="00153CCC"/>
    <w:rsid w:val="00154981"/>
    <w:rsid w:val="001552C4"/>
    <w:rsid w:val="0015599D"/>
    <w:rsid w:val="00157994"/>
    <w:rsid w:val="00160121"/>
    <w:rsid w:val="001619E7"/>
    <w:rsid w:val="00164173"/>
    <w:rsid w:val="00170836"/>
    <w:rsid w:val="00171AE3"/>
    <w:rsid w:val="001775D3"/>
    <w:rsid w:val="001828C4"/>
    <w:rsid w:val="00185FF3"/>
    <w:rsid w:val="00190654"/>
    <w:rsid w:val="00190EF9"/>
    <w:rsid w:val="00191477"/>
    <w:rsid w:val="00192388"/>
    <w:rsid w:val="0019465F"/>
    <w:rsid w:val="001A054E"/>
    <w:rsid w:val="001A1CC0"/>
    <w:rsid w:val="001A1DCF"/>
    <w:rsid w:val="001A223E"/>
    <w:rsid w:val="001A240D"/>
    <w:rsid w:val="001B46A8"/>
    <w:rsid w:val="001B4AFB"/>
    <w:rsid w:val="001B4F3F"/>
    <w:rsid w:val="001C029C"/>
    <w:rsid w:val="001C2405"/>
    <w:rsid w:val="001C7741"/>
    <w:rsid w:val="001D180F"/>
    <w:rsid w:val="001D413A"/>
    <w:rsid w:val="001D47BD"/>
    <w:rsid w:val="001D652C"/>
    <w:rsid w:val="001D7325"/>
    <w:rsid w:val="001D75F8"/>
    <w:rsid w:val="001E074F"/>
    <w:rsid w:val="001E2141"/>
    <w:rsid w:val="001E566F"/>
    <w:rsid w:val="001E71E0"/>
    <w:rsid w:val="001F0349"/>
    <w:rsid w:val="001F1CAE"/>
    <w:rsid w:val="001F2CB3"/>
    <w:rsid w:val="001F3413"/>
    <w:rsid w:val="001F3E2D"/>
    <w:rsid w:val="001F6E50"/>
    <w:rsid w:val="001F7AD8"/>
    <w:rsid w:val="001F7BBC"/>
    <w:rsid w:val="00200996"/>
    <w:rsid w:val="00200AA9"/>
    <w:rsid w:val="00206694"/>
    <w:rsid w:val="00207E2E"/>
    <w:rsid w:val="00212234"/>
    <w:rsid w:val="00216CB5"/>
    <w:rsid w:val="00217FFD"/>
    <w:rsid w:val="00220DD6"/>
    <w:rsid w:val="002234E1"/>
    <w:rsid w:val="00226B07"/>
    <w:rsid w:val="002351EE"/>
    <w:rsid w:val="00236C1E"/>
    <w:rsid w:val="00237085"/>
    <w:rsid w:val="00241058"/>
    <w:rsid w:val="00241DAE"/>
    <w:rsid w:val="00242D3A"/>
    <w:rsid w:val="00243A1A"/>
    <w:rsid w:val="0024728F"/>
    <w:rsid w:val="00247573"/>
    <w:rsid w:val="00250974"/>
    <w:rsid w:val="00250B34"/>
    <w:rsid w:val="002511E0"/>
    <w:rsid w:val="00253F5A"/>
    <w:rsid w:val="00256570"/>
    <w:rsid w:val="00260632"/>
    <w:rsid w:val="00261EE3"/>
    <w:rsid w:val="00262E99"/>
    <w:rsid w:val="002652D5"/>
    <w:rsid w:val="00265C53"/>
    <w:rsid w:val="00266B2B"/>
    <w:rsid w:val="00266B43"/>
    <w:rsid w:val="00266B81"/>
    <w:rsid w:val="002675D8"/>
    <w:rsid w:val="00271F5B"/>
    <w:rsid w:val="00273323"/>
    <w:rsid w:val="0027774B"/>
    <w:rsid w:val="00277A8F"/>
    <w:rsid w:val="002826E4"/>
    <w:rsid w:val="00282FA2"/>
    <w:rsid w:val="002852DA"/>
    <w:rsid w:val="00287B86"/>
    <w:rsid w:val="00292825"/>
    <w:rsid w:val="002973DE"/>
    <w:rsid w:val="002A2DF8"/>
    <w:rsid w:val="002A59EF"/>
    <w:rsid w:val="002B02E4"/>
    <w:rsid w:val="002B106A"/>
    <w:rsid w:val="002B3D21"/>
    <w:rsid w:val="002B44A1"/>
    <w:rsid w:val="002B4C9F"/>
    <w:rsid w:val="002B731D"/>
    <w:rsid w:val="002C1FF8"/>
    <w:rsid w:val="002C569C"/>
    <w:rsid w:val="002C6E4F"/>
    <w:rsid w:val="002C733F"/>
    <w:rsid w:val="002C7F03"/>
    <w:rsid w:val="002D0742"/>
    <w:rsid w:val="002D2221"/>
    <w:rsid w:val="002D529D"/>
    <w:rsid w:val="002D574D"/>
    <w:rsid w:val="002D7485"/>
    <w:rsid w:val="002E6526"/>
    <w:rsid w:val="002F152A"/>
    <w:rsid w:val="002F76DE"/>
    <w:rsid w:val="00301958"/>
    <w:rsid w:val="0030526E"/>
    <w:rsid w:val="00310B3D"/>
    <w:rsid w:val="0031114B"/>
    <w:rsid w:val="003116B5"/>
    <w:rsid w:val="003154C5"/>
    <w:rsid w:val="0031566F"/>
    <w:rsid w:val="00317005"/>
    <w:rsid w:val="00322C4F"/>
    <w:rsid w:val="00327169"/>
    <w:rsid w:val="00332366"/>
    <w:rsid w:val="003323EE"/>
    <w:rsid w:val="00335C48"/>
    <w:rsid w:val="00344587"/>
    <w:rsid w:val="00345085"/>
    <w:rsid w:val="0035145A"/>
    <w:rsid w:val="003518E4"/>
    <w:rsid w:val="003541B4"/>
    <w:rsid w:val="00356F7E"/>
    <w:rsid w:val="00357D61"/>
    <w:rsid w:val="00361C42"/>
    <w:rsid w:val="00364559"/>
    <w:rsid w:val="00365D68"/>
    <w:rsid w:val="0037327C"/>
    <w:rsid w:val="00374572"/>
    <w:rsid w:val="0038082A"/>
    <w:rsid w:val="00381019"/>
    <w:rsid w:val="00391383"/>
    <w:rsid w:val="00391CBC"/>
    <w:rsid w:val="00395E2E"/>
    <w:rsid w:val="003A75B8"/>
    <w:rsid w:val="003B191B"/>
    <w:rsid w:val="003B1CE7"/>
    <w:rsid w:val="003B7C4A"/>
    <w:rsid w:val="003C045B"/>
    <w:rsid w:val="003C1E87"/>
    <w:rsid w:val="003C2EAB"/>
    <w:rsid w:val="003C4AC6"/>
    <w:rsid w:val="003C63BE"/>
    <w:rsid w:val="003C79E1"/>
    <w:rsid w:val="003D4694"/>
    <w:rsid w:val="003D4793"/>
    <w:rsid w:val="003D4F83"/>
    <w:rsid w:val="003E2711"/>
    <w:rsid w:val="003F12A2"/>
    <w:rsid w:val="003F422C"/>
    <w:rsid w:val="003F6A79"/>
    <w:rsid w:val="003F6C69"/>
    <w:rsid w:val="004003B3"/>
    <w:rsid w:val="00400C6E"/>
    <w:rsid w:val="004020E6"/>
    <w:rsid w:val="0040246D"/>
    <w:rsid w:val="004024D0"/>
    <w:rsid w:val="00405A74"/>
    <w:rsid w:val="00410A88"/>
    <w:rsid w:val="00411E80"/>
    <w:rsid w:val="00415B69"/>
    <w:rsid w:val="00415BDC"/>
    <w:rsid w:val="00415C9E"/>
    <w:rsid w:val="004164B2"/>
    <w:rsid w:val="00416E2E"/>
    <w:rsid w:val="004224EA"/>
    <w:rsid w:val="00424D4A"/>
    <w:rsid w:val="0042577F"/>
    <w:rsid w:val="00427624"/>
    <w:rsid w:val="00427E4C"/>
    <w:rsid w:val="00427EE2"/>
    <w:rsid w:val="0043228D"/>
    <w:rsid w:val="00433DB0"/>
    <w:rsid w:val="004457A1"/>
    <w:rsid w:val="00450B0B"/>
    <w:rsid w:val="00450C23"/>
    <w:rsid w:val="00451218"/>
    <w:rsid w:val="00451313"/>
    <w:rsid w:val="004570E7"/>
    <w:rsid w:val="004605F8"/>
    <w:rsid w:val="00462F38"/>
    <w:rsid w:val="00463860"/>
    <w:rsid w:val="00463D26"/>
    <w:rsid w:val="0047211B"/>
    <w:rsid w:val="00472C5C"/>
    <w:rsid w:val="004738EE"/>
    <w:rsid w:val="004745E6"/>
    <w:rsid w:val="00476A5C"/>
    <w:rsid w:val="004812F5"/>
    <w:rsid w:val="004816E5"/>
    <w:rsid w:val="004833A3"/>
    <w:rsid w:val="004857FB"/>
    <w:rsid w:val="004933C1"/>
    <w:rsid w:val="00497724"/>
    <w:rsid w:val="004A1713"/>
    <w:rsid w:val="004A3603"/>
    <w:rsid w:val="004A36CD"/>
    <w:rsid w:val="004A4B29"/>
    <w:rsid w:val="004B21D9"/>
    <w:rsid w:val="004B748A"/>
    <w:rsid w:val="004B7E97"/>
    <w:rsid w:val="004B7F04"/>
    <w:rsid w:val="004C2EE7"/>
    <w:rsid w:val="004C52B1"/>
    <w:rsid w:val="004D0576"/>
    <w:rsid w:val="004D36D7"/>
    <w:rsid w:val="004D3792"/>
    <w:rsid w:val="004D4A5A"/>
    <w:rsid w:val="004E0D2B"/>
    <w:rsid w:val="004E2956"/>
    <w:rsid w:val="004E30E5"/>
    <w:rsid w:val="004E4138"/>
    <w:rsid w:val="004E7D58"/>
    <w:rsid w:val="004F0084"/>
    <w:rsid w:val="004F0109"/>
    <w:rsid w:val="004F2266"/>
    <w:rsid w:val="004F27D1"/>
    <w:rsid w:val="004F5B78"/>
    <w:rsid w:val="004F619A"/>
    <w:rsid w:val="004F637B"/>
    <w:rsid w:val="004F778D"/>
    <w:rsid w:val="004F7895"/>
    <w:rsid w:val="005002A2"/>
    <w:rsid w:val="005007CA"/>
    <w:rsid w:val="0050266C"/>
    <w:rsid w:val="00502F25"/>
    <w:rsid w:val="0050578D"/>
    <w:rsid w:val="0050674B"/>
    <w:rsid w:val="00510FD6"/>
    <w:rsid w:val="005178FC"/>
    <w:rsid w:val="005222ED"/>
    <w:rsid w:val="00523BD5"/>
    <w:rsid w:val="00532F36"/>
    <w:rsid w:val="00534507"/>
    <w:rsid w:val="00536BD1"/>
    <w:rsid w:val="00536F48"/>
    <w:rsid w:val="005373C7"/>
    <w:rsid w:val="00542046"/>
    <w:rsid w:val="00542B90"/>
    <w:rsid w:val="00544726"/>
    <w:rsid w:val="00545293"/>
    <w:rsid w:val="0054653E"/>
    <w:rsid w:val="00555B0E"/>
    <w:rsid w:val="00561970"/>
    <w:rsid w:val="00562EF5"/>
    <w:rsid w:val="0056390B"/>
    <w:rsid w:val="005721F0"/>
    <w:rsid w:val="005739CF"/>
    <w:rsid w:val="005740C8"/>
    <w:rsid w:val="005759ED"/>
    <w:rsid w:val="00575CAB"/>
    <w:rsid w:val="0058092D"/>
    <w:rsid w:val="00581189"/>
    <w:rsid w:val="005828C1"/>
    <w:rsid w:val="00584007"/>
    <w:rsid w:val="00591261"/>
    <w:rsid w:val="00591577"/>
    <w:rsid w:val="0059538D"/>
    <w:rsid w:val="005A3A0B"/>
    <w:rsid w:val="005A7288"/>
    <w:rsid w:val="005B0CEA"/>
    <w:rsid w:val="005B425E"/>
    <w:rsid w:val="005B76CF"/>
    <w:rsid w:val="005C1917"/>
    <w:rsid w:val="005C2C12"/>
    <w:rsid w:val="005C4E8B"/>
    <w:rsid w:val="005C5778"/>
    <w:rsid w:val="005D1762"/>
    <w:rsid w:val="005D2CA7"/>
    <w:rsid w:val="005D6115"/>
    <w:rsid w:val="005D7747"/>
    <w:rsid w:val="005E10BC"/>
    <w:rsid w:val="005E5DCC"/>
    <w:rsid w:val="005E65A8"/>
    <w:rsid w:val="005E6AA8"/>
    <w:rsid w:val="005E6B47"/>
    <w:rsid w:val="005F1B9C"/>
    <w:rsid w:val="005F434C"/>
    <w:rsid w:val="005F57EB"/>
    <w:rsid w:val="0060204E"/>
    <w:rsid w:val="00614C48"/>
    <w:rsid w:val="0061684B"/>
    <w:rsid w:val="00617362"/>
    <w:rsid w:val="00617558"/>
    <w:rsid w:val="0062231E"/>
    <w:rsid w:val="00623590"/>
    <w:rsid w:val="00625036"/>
    <w:rsid w:val="00627580"/>
    <w:rsid w:val="0063030D"/>
    <w:rsid w:val="006310DD"/>
    <w:rsid w:val="00632923"/>
    <w:rsid w:val="00635147"/>
    <w:rsid w:val="0064231D"/>
    <w:rsid w:val="006444CD"/>
    <w:rsid w:val="00651851"/>
    <w:rsid w:val="00654FB9"/>
    <w:rsid w:val="006566CD"/>
    <w:rsid w:val="00657867"/>
    <w:rsid w:val="0066027E"/>
    <w:rsid w:val="006618BF"/>
    <w:rsid w:val="00665606"/>
    <w:rsid w:val="0066667D"/>
    <w:rsid w:val="00666B47"/>
    <w:rsid w:val="0067247A"/>
    <w:rsid w:val="006726C3"/>
    <w:rsid w:val="00672C4E"/>
    <w:rsid w:val="00676111"/>
    <w:rsid w:val="00676EA9"/>
    <w:rsid w:val="0067730A"/>
    <w:rsid w:val="006774B8"/>
    <w:rsid w:val="00683F40"/>
    <w:rsid w:val="00695317"/>
    <w:rsid w:val="006953D8"/>
    <w:rsid w:val="006A09C7"/>
    <w:rsid w:val="006A2D4D"/>
    <w:rsid w:val="006A6DE3"/>
    <w:rsid w:val="006B0D0A"/>
    <w:rsid w:val="006B0D7D"/>
    <w:rsid w:val="006B323C"/>
    <w:rsid w:val="006B7ABD"/>
    <w:rsid w:val="006C1477"/>
    <w:rsid w:val="006C1526"/>
    <w:rsid w:val="006C1BCA"/>
    <w:rsid w:val="006C4222"/>
    <w:rsid w:val="006C7B60"/>
    <w:rsid w:val="006D6109"/>
    <w:rsid w:val="006D648E"/>
    <w:rsid w:val="006D70D0"/>
    <w:rsid w:val="006E3A8B"/>
    <w:rsid w:val="006E7F7A"/>
    <w:rsid w:val="006E7FA1"/>
    <w:rsid w:val="006F2527"/>
    <w:rsid w:val="006F2F12"/>
    <w:rsid w:val="006F4662"/>
    <w:rsid w:val="007006CF"/>
    <w:rsid w:val="00700F75"/>
    <w:rsid w:val="00703F01"/>
    <w:rsid w:val="007045CF"/>
    <w:rsid w:val="00705280"/>
    <w:rsid w:val="00706107"/>
    <w:rsid w:val="0071079D"/>
    <w:rsid w:val="00710999"/>
    <w:rsid w:val="00714B51"/>
    <w:rsid w:val="007155A5"/>
    <w:rsid w:val="00717DF3"/>
    <w:rsid w:val="00720B64"/>
    <w:rsid w:val="0072295D"/>
    <w:rsid w:val="00723BB2"/>
    <w:rsid w:val="00724305"/>
    <w:rsid w:val="007246D5"/>
    <w:rsid w:val="007251FA"/>
    <w:rsid w:val="007277B4"/>
    <w:rsid w:val="00732339"/>
    <w:rsid w:val="00736441"/>
    <w:rsid w:val="00745147"/>
    <w:rsid w:val="007462E6"/>
    <w:rsid w:val="00746656"/>
    <w:rsid w:val="00746F5E"/>
    <w:rsid w:val="00747364"/>
    <w:rsid w:val="007556BD"/>
    <w:rsid w:val="00757BFC"/>
    <w:rsid w:val="00760919"/>
    <w:rsid w:val="00760A37"/>
    <w:rsid w:val="00765071"/>
    <w:rsid w:val="0076650E"/>
    <w:rsid w:val="00766567"/>
    <w:rsid w:val="007668CC"/>
    <w:rsid w:val="00766BAF"/>
    <w:rsid w:val="0076782F"/>
    <w:rsid w:val="007731D9"/>
    <w:rsid w:val="007743FD"/>
    <w:rsid w:val="00775A2D"/>
    <w:rsid w:val="0077636B"/>
    <w:rsid w:val="00776B9D"/>
    <w:rsid w:val="007777E8"/>
    <w:rsid w:val="00777958"/>
    <w:rsid w:val="00780F53"/>
    <w:rsid w:val="00794E58"/>
    <w:rsid w:val="007A1CE1"/>
    <w:rsid w:val="007A24BB"/>
    <w:rsid w:val="007A609F"/>
    <w:rsid w:val="007A64BB"/>
    <w:rsid w:val="007B00C7"/>
    <w:rsid w:val="007B312A"/>
    <w:rsid w:val="007C025E"/>
    <w:rsid w:val="007C217F"/>
    <w:rsid w:val="007C23D6"/>
    <w:rsid w:val="007C3F0C"/>
    <w:rsid w:val="007C5223"/>
    <w:rsid w:val="007C527B"/>
    <w:rsid w:val="007C65D5"/>
    <w:rsid w:val="007C78D2"/>
    <w:rsid w:val="007D0DF0"/>
    <w:rsid w:val="007D6215"/>
    <w:rsid w:val="007D6CB1"/>
    <w:rsid w:val="007E346B"/>
    <w:rsid w:val="007E431F"/>
    <w:rsid w:val="007E488D"/>
    <w:rsid w:val="007F0768"/>
    <w:rsid w:val="007F323E"/>
    <w:rsid w:val="007F3CF1"/>
    <w:rsid w:val="007F518E"/>
    <w:rsid w:val="007F5D33"/>
    <w:rsid w:val="007F7DBD"/>
    <w:rsid w:val="008018C3"/>
    <w:rsid w:val="008036D5"/>
    <w:rsid w:val="0080541B"/>
    <w:rsid w:val="00811CF0"/>
    <w:rsid w:val="00830C7D"/>
    <w:rsid w:val="00835CD6"/>
    <w:rsid w:val="008363D3"/>
    <w:rsid w:val="00840BC8"/>
    <w:rsid w:val="00843C41"/>
    <w:rsid w:val="0084519E"/>
    <w:rsid w:val="0085013E"/>
    <w:rsid w:val="00854007"/>
    <w:rsid w:val="0085501A"/>
    <w:rsid w:val="00857138"/>
    <w:rsid w:val="00861003"/>
    <w:rsid w:val="008641EF"/>
    <w:rsid w:val="00865C4F"/>
    <w:rsid w:val="008723DD"/>
    <w:rsid w:val="00873538"/>
    <w:rsid w:val="008738E3"/>
    <w:rsid w:val="00873B84"/>
    <w:rsid w:val="00874B0C"/>
    <w:rsid w:val="00874BD7"/>
    <w:rsid w:val="00876F48"/>
    <w:rsid w:val="00877039"/>
    <w:rsid w:val="00880C14"/>
    <w:rsid w:val="00881798"/>
    <w:rsid w:val="008829C8"/>
    <w:rsid w:val="00883E0C"/>
    <w:rsid w:val="00886049"/>
    <w:rsid w:val="008860EA"/>
    <w:rsid w:val="00886459"/>
    <w:rsid w:val="0088678D"/>
    <w:rsid w:val="00886FB5"/>
    <w:rsid w:val="008876A4"/>
    <w:rsid w:val="0089224E"/>
    <w:rsid w:val="00895D36"/>
    <w:rsid w:val="008A3696"/>
    <w:rsid w:val="008A5926"/>
    <w:rsid w:val="008A6294"/>
    <w:rsid w:val="008A70F4"/>
    <w:rsid w:val="008B055C"/>
    <w:rsid w:val="008B39B5"/>
    <w:rsid w:val="008B5730"/>
    <w:rsid w:val="008B6E7F"/>
    <w:rsid w:val="008C06D1"/>
    <w:rsid w:val="008C4F82"/>
    <w:rsid w:val="008C6992"/>
    <w:rsid w:val="008C7CE9"/>
    <w:rsid w:val="008D5CE4"/>
    <w:rsid w:val="008D5DD4"/>
    <w:rsid w:val="008E1B0E"/>
    <w:rsid w:val="008E267F"/>
    <w:rsid w:val="008E382D"/>
    <w:rsid w:val="008E499E"/>
    <w:rsid w:val="008E5E6C"/>
    <w:rsid w:val="008F0B14"/>
    <w:rsid w:val="008F7A0F"/>
    <w:rsid w:val="00900733"/>
    <w:rsid w:val="00900CDD"/>
    <w:rsid w:val="0090345E"/>
    <w:rsid w:val="00903483"/>
    <w:rsid w:val="00905100"/>
    <w:rsid w:val="0091018F"/>
    <w:rsid w:val="009116FC"/>
    <w:rsid w:val="00912024"/>
    <w:rsid w:val="00912A81"/>
    <w:rsid w:val="00914927"/>
    <w:rsid w:val="00916618"/>
    <w:rsid w:val="00922FEB"/>
    <w:rsid w:val="0093106A"/>
    <w:rsid w:val="00937073"/>
    <w:rsid w:val="0093777F"/>
    <w:rsid w:val="0094028D"/>
    <w:rsid w:val="0094134A"/>
    <w:rsid w:val="00943DF9"/>
    <w:rsid w:val="00946891"/>
    <w:rsid w:val="00947346"/>
    <w:rsid w:val="00950BE7"/>
    <w:rsid w:val="0095143E"/>
    <w:rsid w:val="00954EFF"/>
    <w:rsid w:val="00956D2D"/>
    <w:rsid w:val="00960DD4"/>
    <w:rsid w:val="00961CE2"/>
    <w:rsid w:val="009669F8"/>
    <w:rsid w:val="00973DF3"/>
    <w:rsid w:val="009740A1"/>
    <w:rsid w:val="009770D2"/>
    <w:rsid w:val="009837C8"/>
    <w:rsid w:val="00984729"/>
    <w:rsid w:val="00986E09"/>
    <w:rsid w:val="00990A3C"/>
    <w:rsid w:val="00991E9A"/>
    <w:rsid w:val="009930BD"/>
    <w:rsid w:val="0099499F"/>
    <w:rsid w:val="00996667"/>
    <w:rsid w:val="009A05BF"/>
    <w:rsid w:val="009A0775"/>
    <w:rsid w:val="009A1F4D"/>
    <w:rsid w:val="009A20F7"/>
    <w:rsid w:val="009B2315"/>
    <w:rsid w:val="009B5674"/>
    <w:rsid w:val="009C4544"/>
    <w:rsid w:val="009C4565"/>
    <w:rsid w:val="009C4AB8"/>
    <w:rsid w:val="009C6155"/>
    <w:rsid w:val="009C71E4"/>
    <w:rsid w:val="009D0B38"/>
    <w:rsid w:val="009D14DE"/>
    <w:rsid w:val="009D1668"/>
    <w:rsid w:val="009D2128"/>
    <w:rsid w:val="009D26C0"/>
    <w:rsid w:val="009D64A3"/>
    <w:rsid w:val="009D7B8C"/>
    <w:rsid w:val="009E06AE"/>
    <w:rsid w:val="009E08DD"/>
    <w:rsid w:val="009E0C89"/>
    <w:rsid w:val="009E29DA"/>
    <w:rsid w:val="009E4A2F"/>
    <w:rsid w:val="009E6BD3"/>
    <w:rsid w:val="009E6C0E"/>
    <w:rsid w:val="009E71CE"/>
    <w:rsid w:val="009F0018"/>
    <w:rsid w:val="009F018B"/>
    <w:rsid w:val="009F0E45"/>
    <w:rsid w:val="009F2891"/>
    <w:rsid w:val="009F4771"/>
    <w:rsid w:val="00A03335"/>
    <w:rsid w:val="00A106AB"/>
    <w:rsid w:val="00A10ABB"/>
    <w:rsid w:val="00A11922"/>
    <w:rsid w:val="00A12F75"/>
    <w:rsid w:val="00A17682"/>
    <w:rsid w:val="00A22CD6"/>
    <w:rsid w:val="00A231BF"/>
    <w:rsid w:val="00A235BE"/>
    <w:rsid w:val="00A23CE3"/>
    <w:rsid w:val="00A25B73"/>
    <w:rsid w:val="00A25D4A"/>
    <w:rsid w:val="00A26FC2"/>
    <w:rsid w:val="00A34557"/>
    <w:rsid w:val="00A345DE"/>
    <w:rsid w:val="00A3756C"/>
    <w:rsid w:val="00A40F57"/>
    <w:rsid w:val="00A43694"/>
    <w:rsid w:val="00A43EA9"/>
    <w:rsid w:val="00A45944"/>
    <w:rsid w:val="00A4752A"/>
    <w:rsid w:val="00A52FC2"/>
    <w:rsid w:val="00A57D3C"/>
    <w:rsid w:val="00A61AEB"/>
    <w:rsid w:val="00A625F8"/>
    <w:rsid w:val="00A644F8"/>
    <w:rsid w:val="00A64D34"/>
    <w:rsid w:val="00A74DD7"/>
    <w:rsid w:val="00A7637A"/>
    <w:rsid w:val="00A7784E"/>
    <w:rsid w:val="00A8172F"/>
    <w:rsid w:val="00A835CB"/>
    <w:rsid w:val="00A837E0"/>
    <w:rsid w:val="00A8449D"/>
    <w:rsid w:val="00A9181F"/>
    <w:rsid w:val="00A919CD"/>
    <w:rsid w:val="00A93747"/>
    <w:rsid w:val="00A95385"/>
    <w:rsid w:val="00A96A0F"/>
    <w:rsid w:val="00A96B7A"/>
    <w:rsid w:val="00A96FAA"/>
    <w:rsid w:val="00A97512"/>
    <w:rsid w:val="00AA1B31"/>
    <w:rsid w:val="00AA2A3A"/>
    <w:rsid w:val="00AA4B0A"/>
    <w:rsid w:val="00AA68CF"/>
    <w:rsid w:val="00AA72C3"/>
    <w:rsid w:val="00AB0BE6"/>
    <w:rsid w:val="00AB296B"/>
    <w:rsid w:val="00AB4788"/>
    <w:rsid w:val="00AB57E9"/>
    <w:rsid w:val="00AB6BA4"/>
    <w:rsid w:val="00AC3A97"/>
    <w:rsid w:val="00AC3DAE"/>
    <w:rsid w:val="00AC4CF3"/>
    <w:rsid w:val="00AC5123"/>
    <w:rsid w:val="00AC59BE"/>
    <w:rsid w:val="00AC6B0B"/>
    <w:rsid w:val="00AD0ED0"/>
    <w:rsid w:val="00AD0F34"/>
    <w:rsid w:val="00AD597C"/>
    <w:rsid w:val="00AD5C20"/>
    <w:rsid w:val="00AD6055"/>
    <w:rsid w:val="00AD61E7"/>
    <w:rsid w:val="00AD7342"/>
    <w:rsid w:val="00AD7C53"/>
    <w:rsid w:val="00AE3E8F"/>
    <w:rsid w:val="00AE45F0"/>
    <w:rsid w:val="00AE5216"/>
    <w:rsid w:val="00AF0520"/>
    <w:rsid w:val="00AF1AA4"/>
    <w:rsid w:val="00AF1DCF"/>
    <w:rsid w:val="00AF2598"/>
    <w:rsid w:val="00AF3271"/>
    <w:rsid w:val="00AF6E05"/>
    <w:rsid w:val="00AF7139"/>
    <w:rsid w:val="00B02FF5"/>
    <w:rsid w:val="00B03A2F"/>
    <w:rsid w:val="00B058FC"/>
    <w:rsid w:val="00B114DB"/>
    <w:rsid w:val="00B13469"/>
    <w:rsid w:val="00B15547"/>
    <w:rsid w:val="00B1652A"/>
    <w:rsid w:val="00B167C6"/>
    <w:rsid w:val="00B16F37"/>
    <w:rsid w:val="00B17414"/>
    <w:rsid w:val="00B21860"/>
    <w:rsid w:val="00B25191"/>
    <w:rsid w:val="00B255FB"/>
    <w:rsid w:val="00B259CE"/>
    <w:rsid w:val="00B306D3"/>
    <w:rsid w:val="00B353DE"/>
    <w:rsid w:val="00B37AA1"/>
    <w:rsid w:val="00B418E2"/>
    <w:rsid w:val="00B45264"/>
    <w:rsid w:val="00B46145"/>
    <w:rsid w:val="00B503DF"/>
    <w:rsid w:val="00B5370F"/>
    <w:rsid w:val="00B54657"/>
    <w:rsid w:val="00B54EA3"/>
    <w:rsid w:val="00B552B1"/>
    <w:rsid w:val="00B55371"/>
    <w:rsid w:val="00B63161"/>
    <w:rsid w:val="00B6607B"/>
    <w:rsid w:val="00B6709E"/>
    <w:rsid w:val="00B70DBE"/>
    <w:rsid w:val="00B72C75"/>
    <w:rsid w:val="00B73C4F"/>
    <w:rsid w:val="00B76DBB"/>
    <w:rsid w:val="00B84C0D"/>
    <w:rsid w:val="00B84C5E"/>
    <w:rsid w:val="00B909DA"/>
    <w:rsid w:val="00B9571F"/>
    <w:rsid w:val="00B96DD0"/>
    <w:rsid w:val="00BA2EF6"/>
    <w:rsid w:val="00BA5747"/>
    <w:rsid w:val="00BA7CDB"/>
    <w:rsid w:val="00BA7D26"/>
    <w:rsid w:val="00BB2ED5"/>
    <w:rsid w:val="00BB6DD9"/>
    <w:rsid w:val="00BC3517"/>
    <w:rsid w:val="00BC4268"/>
    <w:rsid w:val="00BC5DCD"/>
    <w:rsid w:val="00BC72D6"/>
    <w:rsid w:val="00BD1B8F"/>
    <w:rsid w:val="00BD3625"/>
    <w:rsid w:val="00BD7236"/>
    <w:rsid w:val="00BE2ADC"/>
    <w:rsid w:val="00BE354A"/>
    <w:rsid w:val="00BE44C9"/>
    <w:rsid w:val="00BE6AC7"/>
    <w:rsid w:val="00BE7055"/>
    <w:rsid w:val="00BF0152"/>
    <w:rsid w:val="00BF173E"/>
    <w:rsid w:val="00BF18F7"/>
    <w:rsid w:val="00BF3F3D"/>
    <w:rsid w:val="00BF5500"/>
    <w:rsid w:val="00BF76F8"/>
    <w:rsid w:val="00C0015B"/>
    <w:rsid w:val="00C00F26"/>
    <w:rsid w:val="00C04EE6"/>
    <w:rsid w:val="00C04FDF"/>
    <w:rsid w:val="00C0516B"/>
    <w:rsid w:val="00C064BA"/>
    <w:rsid w:val="00C11ACA"/>
    <w:rsid w:val="00C155F2"/>
    <w:rsid w:val="00C23FE6"/>
    <w:rsid w:val="00C32352"/>
    <w:rsid w:val="00C327BA"/>
    <w:rsid w:val="00C34A80"/>
    <w:rsid w:val="00C355B7"/>
    <w:rsid w:val="00C378C4"/>
    <w:rsid w:val="00C428C9"/>
    <w:rsid w:val="00C45CE8"/>
    <w:rsid w:val="00C46328"/>
    <w:rsid w:val="00C46499"/>
    <w:rsid w:val="00C52639"/>
    <w:rsid w:val="00C52BF2"/>
    <w:rsid w:val="00C54DF6"/>
    <w:rsid w:val="00C569B0"/>
    <w:rsid w:val="00C60A86"/>
    <w:rsid w:val="00C63F93"/>
    <w:rsid w:val="00C64C7A"/>
    <w:rsid w:val="00C66519"/>
    <w:rsid w:val="00C67DD0"/>
    <w:rsid w:val="00C714C9"/>
    <w:rsid w:val="00C7263F"/>
    <w:rsid w:val="00C815F0"/>
    <w:rsid w:val="00C82DD3"/>
    <w:rsid w:val="00C85409"/>
    <w:rsid w:val="00C85E90"/>
    <w:rsid w:val="00C86A4A"/>
    <w:rsid w:val="00C90DD5"/>
    <w:rsid w:val="00C913FB"/>
    <w:rsid w:val="00C917BB"/>
    <w:rsid w:val="00C92686"/>
    <w:rsid w:val="00C93E05"/>
    <w:rsid w:val="00C9465F"/>
    <w:rsid w:val="00C947F4"/>
    <w:rsid w:val="00CA00ED"/>
    <w:rsid w:val="00CA04A6"/>
    <w:rsid w:val="00CA069C"/>
    <w:rsid w:val="00CA1C4C"/>
    <w:rsid w:val="00CA2F97"/>
    <w:rsid w:val="00CA76DC"/>
    <w:rsid w:val="00CA7D24"/>
    <w:rsid w:val="00CB0400"/>
    <w:rsid w:val="00CB11D0"/>
    <w:rsid w:val="00CB4834"/>
    <w:rsid w:val="00CB6827"/>
    <w:rsid w:val="00CB7E55"/>
    <w:rsid w:val="00CC0BDE"/>
    <w:rsid w:val="00CC146E"/>
    <w:rsid w:val="00CC583E"/>
    <w:rsid w:val="00CD074A"/>
    <w:rsid w:val="00CD0902"/>
    <w:rsid w:val="00CD260C"/>
    <w:rsid w:val="00CD3FEC"/>
    <w:rsid w:val="00CD42B9"/>
    <w:rsid w:val="00CD6E0B"/>
    <w:rsid w:val="00CE37E5"/>
    <w:rsid w:val="00CE58C1"/>
    <w:rsid w:val="00CE67AE"/>
    <w:rsid w:val="00CE6B7A"/>
    <w:rsid w:val="00CE707E"/>
    <w:rsid w:val="00D00AE0"/>
    <w:rsid w:val="00D02465"/>
    <w:rsid w:val="00D026D5"/>
    <w:rsid w:val="00D0274A"/>
    <w:rsid w:val="00D03F62"/>
    <w:rsid w:val="00D1104B"/>
    <w:rsid w:val="00D15D65"/>
    <w:rsid w:val="00D17890"/>
    <w:rsid w:val="00D23DA5"/>
    <w:rsid w:val="00D24852"/>
    <w:rsid w:val="00D27C06"/>
    <w:rsid w:val="00D35297"/>
    <w:rsid w:val="00D35B3D"/>
    <w:rsid w:val="00D41BE4"/>
    <w:rsid w:val="00D429B0"/>
    <w:rsid w:val="00D43E43"/>
    <w:rsid w:val="00D44638"/>
    <w:rsid w:val="00D47DA4"/>
    <w:rsid w:val="00D47FB4"/>
    <w:rsid w:val="00D50C6D"/>
    <w:rsid w:val="00D5103B"/>
    <w:rsid w:val="00D5354C"/>
    <w:rsid w:val="00D567C3"/>
    <w:rsid w:val="00D57B4D"/>
    <w:rsid w:val="00D61709"/>
    <w:rsid w:val="00D622C1"/>
    <w:rsid w:val="00D62947"/>
    <w:rsid w:val="00D63898"/>
    <w:rsid w:val="00D64B2B"/>
    <w:rsid w:val="00D6605E"/>
    <w:rsid w:val="00D732B4"/>
    <w:rsid w:val="00D751DD"/>
    <w:rsid w:val="00D759D9"/>
    <w:rsid w:val="00D76C5B"/>
    <w:rsid w:val="00D779F7"/>
    <w:rsid w:val="00D77E79"/>
    <w:rsid w:val="00D827AD"/>
    <w:rsid w:val="00D82EC3"/>
    <w:rsid w:val="00D838DF"/>
    <w:rsid w:val="00D83F54"/>
    <w:rsid w:val="00D84EF8"/>
    <w:rsid w:val="00D8530B"/>
    <w:rsid w:val="00D87421"/>
    <w:rsid w:val="00D94863"/>
    <w:rsid w:val="00DA047A"/>
    <w:rsid w:val="00DA2762"/>
    <w:rsid w:val="00DA36BF"/>
    <w:rsid w:val="00DA5F17"/>
    <w:rsid w:val="00DA6234"/>
    <w:rsid w:val="00DA6DDA"/>
    <w:rsid w:val="00DB0BB8"/>
    <w:rsid w:val="00DB377A"/>
    <w:rsid w:val="00DB7C8F"/>
    <w:rsid w:val="00DB7D40"/>
    <w:rsid w:val="00DC032B"/>
    <w:rsid w:val="00DC1794"/>
    <w:rsid w:val="00DC1EF3"/>
    <w:rsid w:val="00DC3028"/>
    <w:rsid w:val="00DC43ED"/>
    <w:rsid w:val="00DD0E9B"/>
    <w:rsid w:val="00DD36A7"/>
    <w:rsid w:val="00DD3DDA"/>
    <w:rsid w:val="00DD48A5"/>
    <w:rsid w:val="00DD54E0"/>
    <w:rsid w:val="00DE0020"/>
    <w:rsid w:val="00DE4307"/>
    <w:rsid w:val="00DE4DCE"/>
    <w:rsid w:val="00DE543B"/>
    <w:rsid w:val="00DE6956"/>
    <w:rsid w:val="00DF3533"/>
    <w:rsid w:val="00DF42C2"/>
    <w:rsid w:val="00DF520A"/>
    <w:rsid w:val="00DF55CE"/>
    <w:rsid w:val="00DF5D9D"/>
    <w:rsid w:val="00E0142F"/>
    <w:rsid w:val="00E0229B"/>
    <w:rsid w:val="00E0351F"/>
    <w:rsid w:val="00E036DD"/>
    <w:rsid w:val="00E04699"/>
    <w:rsid w:val="00E10775"/>
    <w:rsid w:val="00E12826"/>
    <w:rsid w:val="00E16BA5"/>
    <w:rsid w:val="00E17299"/>
    <w:rsid w:val="00E172D2"/>
    <w:rsid w:val="00E17D54"/>
    <w:rsid w:val="00E17EDB"/>
    <w:rsid w:val="00E24383"/>
    <w:rsid w:val="00E260AB"/>
    <w:rsid w:val="00E27D40"/>
    <w:rsid w:val="00E316B8"/>
    <w:rsid w:val="00E336AC"/>
    <w:rsid w:val="00E37B3A"/>
    <w:rsid w:val="00E4179D"/>
    <w:rsid w:val="00E43433"/>
    <w:rsid w:val="00E43EC9"/>
    <w:rsid w:val="00E44329"/>
    <w:rsid w:val="00E519B9"/>
    <w:rsid w:val="00E540A1"/>
    <w:rsid w:val="00E55097"/>
    <w:rsid w:val="00E55E51"/>
    <w:rsid w:val="00E560C7"/>
    <w:rsid w:val="00E571EA"/>
    <w:rsid w:val="00E6089F"/>
    <w:rsid w:val="00E609B5"/>
    <w:rsid w:val="00E60B27"/>
    <w:rsid w:val="00E65DD8"/>
    <w:rsid w:val="00E66962"/>
    <w:rsid w:val="00E669C9"/>
    <w:rsid w:val="00E67446"/>
    <w:rsid w:val="00E706E1"/>
    <w:rsid w:val="00E7431C"/>
    <w:rsid w:val="00E80D7B"/>
    <w:rsid w:val="00E83899"/>
    <w:rsid w:val="00E8462D"/>
    <w:rsid w:val="00E847A2"/>
    <w:rsid w:val="00E87546"/>
    <w:rsid w:val="00E9084B"/>
    <w:rsid w:val="00E92FF4"/>
    <w:rsid w:val="00E94486"/>
    <w:rsid w:val="00E95C28"/>
    <w:rsid w:val="00E960C8"/>
    <w:rsid w:val="00E96B23"/>
    <w:rsid w:val="00EA5226"/>
    <w:rsid w:val="00EB212D"/>
    <w:rsid w:val="00EB2C6A"/>
    <w:rsid w:val="00EB64E9"/>
    <w:rsid w:val="00EB7E72"/>
    <w:rsid w:val="00EC3FD8"/>
    <w:rsid w:val="00EC4617"/>
    <w:rsid w:val="00EC4D26"/>
    <w:rsid w:val="00EC5EDE"/>
    <w:rsid w:val="00EC6441"/>
    <w:rsid w:val="00ED0068"/>
    <w:rsid w:val="00ED333A"/>
    <w:rsid w:val="00ED4F81"/>
    <w:rsid w:val="00EE0155"/>
    <w:rsid w:val="00EE46E6"/>
    <w:rsid w:val="00EE66CC"/>
    <w:rsid w:val="00EF06F3"/>
    <w:rsid w:val="00EF287B"/>
    <w:rsid w:val="00EF4510"/>
    <w:rsid w:val="00EF5C3B"/>
    <w:rsid w:val="00EF72C9"/>
    <w:rsid w:val="00F024B2"/>
    <w:rsid w:val="00F04225"/>
    <w:rsid w:val="00F04D6F"/>
    <w:rsid w:val="00F103E1"/>
    <w:rsid w:val="00F11DDC"/>
    <w:rsid w:val="00F1494A"/>
    <w:rsid w:val="00F20FBB"/>
    <w:rsid w:val="00F24589"/>
    <w:rsid w:val="00F248C7"/>
    <w:rsid w:val="00F25125"/>
    <w:rsid w:val="00F320F0"/>
    <w:rsid w:val="00F33B15"/>
    <w:rsid w:val="00F35123"/>
    <w:rsid w:val="00F4007B"/>
    <w:rsid w:val="00F45D2D"/>
    <w:rsid w:val="00F46524"/>
    <w:rsid w:val="00F52149"/>
    <w:rsid w:val="00F52F64"/>
    <w:rsid w:val="00F56840"/>
    <w:rsid w:val="00F60585"/>
    <w:rsid w:val="00F6440D"/>
    <w:rsid w:val="00F714DD"/>
    <w:rsid w:val="00F72A00"/>
    <w:rsid w:val="00F74957"/>
    <w:rsid w:val="00F763F5"/>
    <w:rsid w:val="00F7685F"/>
    <w:rsid w:val="00F8202D"/>
    <w:rsid w:val="00F82237"/>
    <w:rsid w:val="00F82F30"/>
    <w:rsid w:val="00F83098"/>
    <w:rsid w:val="00F83FEC"/>
    <w:rsid w:val="00F85F25"/>
    <w:rsid w:val="00F868FF"/>
    <w:rsid w:val="00F91685"/>
    <w:rsid w:val="00F9184B"/>
    <w:rsid w:val="00F92708"/>
    <w:rsid w:val="00F94F58"/>
    <w:rsid w:val="00F9523D"/>
    <w:rsid w:val="00FA0ED9"/>
    <w:rsid w:val="00FA3440"/>
    <w:rsid w:val="00FA34C6"/>
    <w:rsid w:val="00FA7216"/>
    <w:rsid w:val="00FB1F82"/>
    <w:rsid w:val="00FB42CE"/>
    <w:rsid w:val="00FB71AF"/>
    <w:rsid w:val="00FB7673"/>
    <w:rsid w:val="00FC0B94"/>
    <w:rsid w:val="00FC2BF7"/>
    <w:rsid w:val="00FC5AE0"/>
    <w:rsid w:val="00FC5D1C"/>
    <w:rsid w:val="00FC5DB9"/>
    <w:rsid w:val="00FC6541"/>
    <w:rsid w:val="00FC68D3"/>
    <w:rsid w:val="00FD4A8D"/>
    <w:rsid w:val="00FD6B7D"/>
    <w:rsid w:val="00FD6CD0"/>
    <w:rsid w:val="00FD7583"/>
    <w:rsid w:val="00FD7C5C"/>
    <w:rsid w:val="00FE067A"/>
    <w:rsid w:val="00FE09EE"/>
    <w:rsid w:val="00FE45A5"/>
    <w:rsid w:val="00FE4A52"/>
    <w:rsid w:val="00FE4E3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docId w15:val="{BE76CB99-5151-44B9-9BAD-39B65BF9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917"/>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25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1051474">
      <w:bodyDiv w:val="1"/>
      <w:marLeft w:val="0"/>
      <w:marRight w:val="0"/>
      <w:marTop w:val="0"/>
      <w:marBottom w:val="0"/>
      <w:divBdr>
        <w:top w:val="none" w:sz="0" w:space="0" w:color="auto"/>
        <w:left w:val="none" w:sz="0" w:space="0" w:color="auto"/>
        <w:bottom w:val="none" w:sz="0" w:space="0" w:color="auto"/>
        <w:right w:val="none" w:sz="0" w:space="0" w:color="auto"/>
      </w:divBdr>
      <w:divsChild>
        <w:div w:id="875309546">
          <w:marLeft w:val="0"/>
          <w:marRight w:val="0"/>
          <w:marTop w:val="0"/>
          <w:marBottom w:val="0"/>
          <w:divBdr>
            <w:top w:val="none" w:sz="0" w:space="0" w:color="auto"/>
            <w:left w:val="none" w:sz="0" w:space="0" w:color="auto"/>
            <w:bottom w:val="none" w:sz="0" w:space="0" w:color="auto"/>
            <w:right w:val="none" w:sz="0" w:space="0" w:color="auto"/>
          </w:divBdr>
        </w:div>
      </w:divsChild>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99180801">
      <w:bodyDiv w:val="1"/>
      <w:marLeft w:val="0"/>
      <w:marRight w:val="0"/>
      <w:marTop w:val="0"/>
      <w:marBottom w:val="0"/>
      <w:divBdr>
        <w:top w:val="none" w:sz="0" w:space="0" w:color="auto"/>
        <w:left w:val="none" w:sz="0" w:space="0" w:color="auto"/>
        <w:bottom w:val="none" w:sz="0" w:space="0" w:color="auto"/>
        <w:right w:val="none" w:sz="0" w:space="0" w:color="auto"/>
      </w:divBdr>
      <w:divsChild>
        <w:div w:id="99298901">
          <w:marLeft w:val="0"/>
          <w:marRight w:val="0"/>
          <w:marTop w:val="0"/>
          <w:marBottom w:val="0"/>
          <w:divBdr>
            <w:top w:val="none" w:sz="0" w:space="0" w:color="auto"/>
            <w:left w:val="none" w:sz="0" w:space="0" w:color="auto"/>
            <w:bottom w:val="none" w:sz="0" w:space="0" w:color="auto"/>
            <w:right w:val="none" w:sz="0" w:space="0" w:color="auto"/>
          </w:divBdr>
        </w:div>
      </w:divsChild>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6823937">
      <w:bodyDiv w:val="1"/>
      <w:marLeft w:val="0"/>
      <w:marRight w:val="0"/>
      <w:marTop w:val="0"/>
      <w:marBottom w:val="0"/>
      <w:divBdr>
        <w:top w:val="none" w:sz="0" w:space="0" w:color="auto"/>
        <w:left w:val="none" w:sz="0" w:space="0" w:color="auto"/>
        <w:bottom w:val="none" w:sz="0" w:space="0" w:color="auto"/>
        <w:right w:val="none" w:sz="0" w:space="0" w:color="auto"/>
      </w:divBdr>
      <w:divsChild>
        <w:div w:id="1319185451">
          <w:marLeft w:val="0"/>
          <w:marRight w:val="0"/>
          <w:marTop w:val="0"/>
          <w:marBottom w:val="0"/>
          <w:divBdr>
            <w:top w:val="none" w:sz="0" w:space="0" w:color="auto"/>
            <w:left w:val="none" w:sz="0" w:space="0" w:color="auto"/>
            <w:bottom w:val="none" w:sz="0" w:space="0" w:color="auto"/>
            <w:right w:val="none" w:sz="0" w:space="0" w:color="auto"/>
          </w:divBdr>
        </w:div>
      </w:divsChild>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197744658">
      <w:bodyDiv w:val="1"/>
      <w:marLeft w:val="0"/>
      <w:marRight w:val="0"/>
      <w:marTop w:val="0"/>
      <w:marBottom w:val="0"/>
      <w:divBdr>
        <w:top w:val="none" w:sz="0" w:space="0" w:color="auto"/>
        <w:left w:val="none" w:sz="0" w:space="0" w:color="auto"/>
        <w:bottom w:val="none" w:sz="0" w:space="0" w:color="auto"/>
        <w:right w:val="none" w:sz="0" w:space="0" w:color="auto"/>
      </w:divBdr>
      <w:divsChild>
        <w:div w:id="824004724">
          <w:marLeft w:val="0"/>
          <w:marRight w:val="0"/>
          <w:marTop w:val="0"/>
          <w:marBottom w:val="0"/>
          <w:divBdr>
            <w:top w:val="none" w:sz="0" w:space="0" w:color="auto"/>
            <w:left w:val="none" w:sz="0" w:space="0" w:color="auto"/>
            <w:bottom w:val="none" w:sz="0" w:space="0" w:color="auto"/>
            <w:right w:val="none" w:sz="0" w:space="0" w:color="auto"/>
          </w:divBdr>
        </w:div>
      </w:divsChild>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2012678">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53363157">
      <w:bodyDiv w:val="1"/>
      <w:marLeft w:val="0"/>
      <w:marRight w:val="0"/>
      <w:marTop w:val="0"/>
      <w:marBottom w:val="0"/>
      <w:divBdr>
        <w:top w:val="none" w:sz="0" w:space="0" w:color="auto"/>
        <w:left w:val="none" w:sz="0" w:space="0" w:color="auto"/>
        <w:bottom w:val="none" w:sz="0" w:space="0" w:color="auto"/>
        <w:right w:val="none" w:sz="0" w:space="0" w:color="auto"/>
      </w:divBdr>
      <w:divsChild>
        <w:div w:id="1789354778">
          <w:marLeft w:val="0"/>
          <w:marRight w:val="0"/>
          <w:marTop w:val="0"/>
          <w:marBottom w:val="0"/>
          <w:divBdr>
            <w:top w:val="none" w:sz="0" w:space="0" w:color="auto"/>
            <w:left w:val="none" w:sz="0" w:space="0" w:color="auto"/>
            <w:bottom w:val="none" w:sz="0" w:space="0" w:color="auto"/>
            <w:right w:val="none" w:sz="0" w:space="0" w:color="auto"/>
          </w:divBdr>
        </w:div>
      </w:divsChild>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51538661">
      <w:bodyDiv w:val="1"/>
      <w:marLeft w:val="0"/>
      <w:marRight w:val="0"/>
      <w:marTop w:val="0"/>
      <w:marBottom w:val="0"/>
      <w:divBdr>
        <w:top w:val="none" w:sz="0" w:space="0" w:color="auto"/>
        <w:left w:val="none" w:sz="0" w:space="0" w:color="auto"/>
        <w:bottom w:val="none" w:sz="0" w:space="0" w:color="auto"/>
        <w:right w:val="none" w:sz="0" w:space="0" w:color="auto"/>
      </w:divBdr>
      <w:divsChild>
        <w:div w:id="1800219538">
          <w:marLeft w:val="0"/>
          <w:marRight w:val="0"/>
          <w:marTop w:val="0"/>
          <w:marBottom w:val="0"/>
          <w:divBdr>
            <w:top w:val="none" w:sz="0" w:space="0" w:color="auto"/>
            <w:left w:val="none" w:sz="0" w:space="0" w:color="auto"/>
            <w:bottom w:val="none" w:sz="0" w:space="0" w:color="auto"/>
            <w:right w:val="none" w:sz="0" w:space="0" w:color="auto"/>
          </w:divBdr>
        </w:div>
      </w:divsChild>
    </w:div>
    <w:div w:id="373651388">
      <w:bodyDiv w:val="1"/>
      <w:marLeft w:val="0"/>
      <w:marRight w:val="0"/>
      <w:marTop w:val="0"/>
      <w:marBottom w:val="0"/>
      <w:divBdr>
        <w:top w:val="none" w:sz="0" w:space="0" w:color="auto"/>
        <w:left w:val="none" w:sz="0" w:space="0" w:color="auto"/>
        <w:bottom w:val="none" w:sz="0" w:space="0" w:color="auto"/>
        <w:right w:val="none" w:sz="0" w:space="0" w:color="auto"/>
      </w:divBdr>
      <w:divsChild>
        <w:div w:id="1559784496">
          <w:marLeft w:val="0"/>
          <w:marRight w:val="0"/>
          <w:marTop w:val="0"/>
          <w:marBottom w:val="0"/>
          <w:divBdr>
            <w:top w:val="none" w:sz="0" w:space="0" w:color="auto"/>
            <w:left w:val="none" w:sz="0" w:space="0" w:color="auto"/>
            <w:bottom w:val="none" w:sz="0" w:space="0" w:color="auto"/>
            <w:right w:val="none" w:sz="0" w:space="0" w:color="auto"/>
          </w:divBdr>
        </w:div>
      </w:divsChild>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93969">
      <w:bodyDiv w:val="1"/>
      <w:marLeft w:val="0"/>
      <w:marRight w:val="0"/>
      <w:marTop w:val="0"/>
      <w:marBottom w:val="0"/>
      <w:divBdr>
        <w:top w:val="none" w:sz="0" w:space="0" w:color="auto"/>
        <w:left w:val="none" w:sz="0" w:space="0" w:color="auto"/>
        <w:bottom w:val="none" w:sz="0" w:space="0" w:color="auto"/>
        <w:right w:val="none" w:sz="0" w:space="0" w:color="auto"/>
      </w:divBdr>
      <w:divsChild>
        <w:div w:id="1735152977">
          <w:marLeft w:val="0"/>
          <w:marRight w:val="0"/>
          <w:marTop w:val="0"/>
          <w:marBottom w:val="0"/>
          <w:divBdr>
            <w:top w:val="none" w:sz="0" w:space="0" w:color="auto"/>
            <w:left w:val="none" w:sz="0" w:space="0" w:color="auto"/>
            <w:bottom w:val="none" w:sz="0" w:space="0" w:color="auto"/>
            <w:right w:val="none" w:sz="0" w:space="0" w:color="auto"/>
          </w:divBdr>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0629444">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369655">
      <w:bodyDiv w:val="1"/>
      <w:marLeft w:val="0"/>
      <w:marRight w:val="0"/>
      <w:marTop w:val="0"/>
      <w:marBottom w:val="0"/>
      <w:divBdr>
        <w:top w:val="none" w:sz="0" w:space="0" w:color="auto"/>
        <w:left w:val="none" w:sz="0" w:space="0" w:color="auto"/>
        <w:bottom w:val="none" w:sz="0" w:space="0" w:color="auto"/>
        <w:right w:val="none" w:sz="0" w:space="0" w:color="auto"/>
      </w:divBdr>
      <w:divsChild>
        <w:div w:id="402216587">
          <w:marLeft w:val="0"/>
          <w:marRight w:val="0"/>
          <w:marTop w:val="0"/>
          <w:marBottom w:val="0"/>
          <w:divBdr>
            <w:top w:val="none" w:sz="0" w:space="0" w:color="auto"/>
            <w:left w:val="none" w:sz="0" w:space="0" w:color="auto"/>
            <w:bottom w:val="none" w:sz="0" w:space="0" w:color="auto"/>
            <w:right w:val="none" w:sz="0" w:space="0" w:color="auto"/>
          </w:divBdr>
        </w:div>
      </w:divsChild>
    </w:div>
    <w:div w:id="564686841">
      <w:bodyDiv w:val="1"/>
      <w:marLeft w:val="0"/>
      <w:marRight w:val="0"/>
      <w:marTop w:val="0"/>
      <w:marBottom w:val="0"/>
      <w:divBdr>
        <w:top w:val="none" w:sz="0" w:space="0" w:color="auto"/>
        <w:left w:val="none" w:sz="0" w:space="0" w:color="auto"/>
        <w:bottom w:val="none" w:sz="0" w:space="0" w:color="auto"/>
        <w:right w:val="none" w:sz="0" w:space="0" w:color="auto"/>
      </w:divBdr>
      <w:divsChild>
        <w:div w:id="826481380">
          <w:marLeft w:val="0"/>
          <w:marRight w:val="0"/>
          <w:marTop w:val="0"/>
          <w:marBottom w:val="0"/>
          <w:divBdr>
            <w:top w:val="none" w:sz="0" w:space="0" w:color="auto"/>
            <w:left w:val="none" w:sz="0" w:space="0" w:color="auto"/>
            <w:bottom w:val="none" w:sz="0" w:space="0" w:color="auto"/>
            <w:right w:val="none" w:sz="0" w:space="0" w:color="auto"/>
          </w:divBdr>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621765434">
      <w:bodyDiv w:val="1"/>
      <w:marLeft w:val="0"/>
      <w:marRight w:val="0"/>
      <w:marTop w:val="0"/>
      <w:marBottom w:val="0"/>
      <w:divBdr>
        <w:top w:val="none" w:sz="0" w:space="0" w:color="auto"/>
        <w:left w:val="none" w:sz="0" w:space="0" w:color="auto"/>
        <w:bottom w:val="none" w:sz="0" w:space="0" w:color="auto"/>
        <w:right w:val="none" w:sz="0" w:space="0" w:color="auto"/>
      </w:divBdr>
      <w:divsChild>
        <w:div w:id="1059327104">
          <w:marLeft w:val="0"/>
          <w:marRight w:val="0"/>
          <w:marTop w:val="0"/>
          <w:marBottom w:val="0"/>
          <w:divBdr>
            <w:top w:val="none" w:sz="0" w:space="0" w:color="auto"/>
            <w:left w:val="none" w:sz="0" w:space="0" w:color="auto"/>
            <w:bottom w:val="none" w:sz="0" w:space="0" w:color="auto"/>
            <w:right w:val="none" w:sz="0" w:space="0" w:color="auto"/>
          </w:divBdr>
        </w:div>
      </w:divsChild>
    </w:div>
    <w:div w:id="710879036">
      <w:bodyDiv w:val="1"/>
      <w:marLeft w:val="0"/>
      <w:marRight w:val="0"/>
      <w:marTop w:val="0"/>
      <w:marBottom w:val="0"/>
      <w:divBdr>
        <w:top w:val="none" w:sz="0" w:space="0" w:color="auto"/>
        <w:left w:val="none" w:sz="0" w:space="0" w:color="auto"/>
        <w:bottom w:val="none" w:sz="0" w:space="0" w:color="auto"/>
        <w:right w:val="none" w:sz="0" w:space="0" w:color="auto"/>
      </w:divBdr>
      <w:divsChild>
        <w:div w:id="2096395800">
          <w:marLeft w:val="0"/>
          <w:marRight w:val="0"/>
          <w:marTop w:val="0"/>
          <w:marBottom w:val="0"/>
          <w:divBdr>
            <w:top w:val="none" w:sz="0" w:space="0" w:color="auto"/>
            <w:left w:val="none" w:sz="0" w:space="0" w:color="auto"/>
            <w:bottom w:val="none" w:sz="0" w:space="0" w:color="auto"/>
            <w:right w:val="none" w:sz="0" w:space="0" w:color="auto"/>
          </w:divBdr>
        </w:div>
      </w:divsChild>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751196519">
      <w:bodyDiv w:val="1"/>
      <w:marLeft w:val="0"/>
      <w:marRight w:val="0"/>
      <w:marTop w:val="0"/>
      <w:marBottom w:val="0"/>
      <w:divBdr>
        <w:top w:val="none" w:sz="0" w:space="0" w:color="auto"/>
        <w:left w:val="none" w:sz="0" w:space="0" w:color="auto"/>
        <w:bottom w:val="none" w:sz="0" w:space="0" w:color="auto"/>
        <w:right w:val="none" w:sz="0" w:space="0" w:color="auto"/>
      </w:divBdr>
      <w:divsChild>
        <w:div w:id="1478646491">
          <w:marLeft w:val="0"/>
          <w:marRight w:val="0"/>
          <w:marTop w:val="0"/>
          <w:marBottom w:val="0"/>
          <w:divBdr>
            <w:top w:val="none" w:sz="0" w:space="0" w:color="auto"/>
            <w:left w:val="none" w:sz="0" w:space="0" w:color="auto"/>
            <w:bottom w:val="none" w:sz="0" w:space="0" w:color="auto"/>
            <w:right w:val="none" w:sz="0" w:space="0" w:color="auto"/>
          </w:divBdr>
        </w:div>
      </w:divsChild>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40705891">
      <w:bodyDiv w:val="1"/>
      <w:marLeft w:val="0"/>
      <w:marRight w:val="0"/>
      <w:marTop w:val="0"/>
      <w:marBottom w:val="0"/>
      <w:divBdr>
        <w:top w:val="none" w:sz="0" w:space="0" w:color="auto"/>
        <w:left w:val="none" w:sz="0" w:space="0" w:color="auto"/>
        <w:bottom w:val="none" w:sz="0" w:space="0" w:color="auto"/>
        <w:right w:val="none" w:sz="0" w:space="0" w:color="auto"/>
      </w:divBdr>
    </w:div>
    <w:div w:id="869030184">
      <w:bodyDiv w:val="1"/>
      <w:marLeft w:val="0"/>
      <w:marRight w:val="0"/>
      <w:marTop w:val="0"/>
      <w:marBottom w:val="0"/>
      <w:divBdr>
        <w:top w:val="none" w:sz="0" w:space="0" w:color="auto"/>
        <w:left w:val="none" w:sz="0" w:space="0" w:color="auto"/>
        <w:bottom w:val="none" w:sz="0" w:space="0" w:color="auto"/>
        <w:right w:val="none" w:sz="0" w:space="0" w:color="auto"/>
      </w:divBdr>
      <w:divsChild>
        <w:div w:id="1452281802">
          <w:marLeft w:val="0"/>
          <w:marRight w:val="0"/>
          <w:marTop w:val="0"/>
          <w:marBottom w:val="0"/>
          <w:divBdr>
            <w:top w:val="none" w:sz="0" w:space="0" w:color="auto"/>
            <w:left w:val="none" w:sz="0" w:space="0" w:color="auto"/>
            <w:bottom w:val="none" w:sz="0" w:space="0" w:color="auto"/>
            <w:right w:val="none" w:sz="0" w:space="0" w:color="auto"/>
          </w:divBdr>
        </w:div>
      </w:divsChild>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19677650">
      <w:bodyDiv w:val="1"/>
      <w:marLeft w:val="0"/>
      <w:marRight w:val="0"/>
      <w:marTop w:val="0"/>
      <w:marBottom w:val="0"/>
      <w:divBdr>
        <w:top w:val="none" w:sz="0" w:space="0" w:color="auto"/>
        <w:left w:val="none" w:sz="0" w:space="0" w:color="auto"/>
        <w:bottom w:val="none" w:sz="0" w:space="0" w:color="auto"/>
        <w:right w:val="none" w:sz="0" w:space="0" w:color="auto"/>
      </w:divBdr>
      <w:divsChild>
        <w:div w:id="3636541">
          <w:marLeft w:val="0"/>
          <w:marRight w:val="0"/>
          <w:marTop w:val="0"/>
          <w:marBottom w:val="0"/>
          <w:divBdr>
            <w:top w:val="none" w:sz="0" w:space="0" w:color="auto"/>
            <w:left w:val="none" w:sz="0" w:space="0" w:color="auto"/>
            <w:bottom w:val="none" w:sz="0" w:space="0" w:color="auto"/>
            <w:right w:val="none" w:sz="0" w:space="0" w:color="auto"/>
          </w:divBdr>
        </w:div>
      </w:divsChild>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31668483">
      <w:bodyDiv w:val="1"/>
      <w:marLeft w:val="0"/>
      <w:marRight w:val="0"/>
      <w:marTop w:val="0"/>
      <w:marBottom w:val="0"/>
      <w:divBdr>
        <w:top w:val="none" w:sz="0" w:space="0" w:color="auto"/>
        <w:left w:val="none" w:sz="0" w:space="0" w:color="auto"/>
        <w:bottom w:val="none" w:sz="0" w:space="0" w:color="auto"/>
        <w:right w:val="none" w:sz="0" w:space="0" w:color="auto"/>
      </w:divBdr>
    </w:div>
    <w:div w:id="934897949">
      <w:bodyDiv w:val="1"/>
      <w:marLeft w:val="0"/>
      <w:marRight w:val="0"/>
      <w:marTop w:val="0"/>
      <w:marBottom w:val="0"/>
      <w:divBdr>
        <w:top w:val="none" w:sz="0" w:space="0" w:color="auto"/>
        <w:left w:val="none" w:sz="0" w:space="0" w:color="auto"/>
        <w:bottom w:val="none" w:sz="0" w:space="0" w:color="auto"/>
        <w:right w:val="none" w:sz="0" w:space="0" w:color="auto"/>
      </w:divBdr>
    </w:div>
    <w:div w:id="99295526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62675586">
      <w:bodyDiv w:val="1"/>
      <w:marLeft w:val="0"/>
      <w:marRight w:val="0"/>
      <w:marTop w:val="0"/>
      <w:marBottom w:val="0"/>
      <w:divBdr>
        <w:top w:val="none" w:sz="0" w:space="0" w:color="auto"/>
        <w:left w:val="none" w:sz="0" w:space="0" w:color="auto"/>
        <w:bottom w:val="none" w:sz="0" w:space="0" w:color="auto"/>
        <w:right w:val="none" w:sz="0" w:space="0" w:color="auto"/>
      </w:divBdr>
    </w:div>
    <w:div w:id="1084567547">
      <w:bodyDiv w:val="1"/>
      <w:marLeft w:val="0"/>
      <w:marRight w:val="0"/>
      <w:marTop w:val="0"/>
      <w:marBottom w:val="0"/>
      <w:divBdr>
        <w:top w:val="none" w:sz="0" w:space="0" w:color="auto"/>
        <w:left w:val="none" w:sz="0" w:space="0" w:color="auto"/>
        <w:bottom w:val="none" w:sz="0" w:space="0" w:color="auto"/>
        <w:right w:val="none" w:sz="0" w:space="0" w:color="auto"/>
      </w:divBdr>
      <w:divsChild>
        <w:div w:id="395903985">
          <w:marLeft w:val="0"/>
          <w:marRight w:val="0"/>
          <w:marTop w:val="0"/>
          <w:marBottom w:val="0"/>
          <w:divBdr>
            <w:top w:val="none" w:sz="0" w:space="0" w:color="auto"/>
            <w:left w:val="none" w:sz="0" w:space="0" w:color="auto"/>
            <w:bottom w:val="none" w:sz="0" w:space="0" w:color="auto"/>
            <w:right w:val="none" w:sz="0" w:space="0" w:color="auto"/>
          </w:divBdr>
        </w:div>
      </w:divsChild>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1826380">
      <w:bodyDiv w:val="1"/>
      <w:marLeft w:val="0"/>
      <w:marRight w:val="0"/>
      <w:marTop w:val="0"/>
      <w:marBottom w:val="0"/>
      <w:divBdr>
        <w:top w:val="none" w:sz="0" w:space="0" w:color="auto"/>
        <w:left w:val="none" w:sz="0" w:space="0" w:color="auto"/>
        <w:bottom w:val="none" w:sz="0" w:space="0" w:color="auto"/>
        <w:right w:val="none" w:sz="0" w:space="0" w:color="auto"/>
      </w:divBdr>
      <w:divsChild>
        <w:div w:id="369845006">
          <w:marLeft w:val="0"/>
          <w:marRight w:val="0"/>
          <w:marTop w:val="0"/>
          <w:marBottom w:val="0"/>
          <w:divBdr>
            <w:top w:val="none" w:sz="0" w:space="0" w:color="auto"/>
            <w:left w:val="none" w:sz="0" w:space="0" w:color="auto"/>
            <w:bottom w:val="none" w:sz="0" w:space="0" w:color="auto"/>
            <w:right w:val="none" w:sz="0" w:space="0" w:color="auto"/>
          </w:divBdr>
        </w:div>
      </w:divsChild>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45271705">
      <w:bodyDiv w:val="1"/>
      <w:marLeft w:val="0"/>
      <w:marRight w:val="0"/>
      <w:marTop w:val="0"/>
      <w:marBottom w:val="0"/>
      <w:divBdr>
        <w:top w:val="none" w:sz="0" w:space="0" w:color="auto"/>
        <w:left w:val="none" w:sz="0" w:space="0" w:color="auto"/>
        <w:bottom w:val="none" w:sz="0" w:space="0" w:color="auto"/>
        <w:right w:val="none" w:sz="0" w:space="0" w:color="auto"/>
      </w:divBdr>
      <w:divsChild>
        <w:div w:id="1413433094">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02748485">
      <w:bodyDiv w:val="1"/>
      <w:marLeft w:val="0"/>
      <w:marRight w:val="0"/>
      <w:marTop w:val="0"/>
      <w:marBottom w:val="0"/>
      <w:divBdr>
        <w:top w:val="none" w:sz="0" w:space="0" w:color="auto"/>
        <w:left w:val="none" w:sz="0" w:space="0" w:color="auto"/>
        <w:bottom w:val="none" w:sz="0" w:space="0" w:color="auto"/>
        <w:right w:val="none" w:sz="0" w:space="0" w:color="auto"/>
      </w:divBdr>
    </w:div>
    <w:div w:id="12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108238942">
          <w:marLeft w:val="0"/>
          <w:marRight w:val="0"/>
          <w:marTop w:val="0"/>
          <w:marBottom w:val="0"/>
          <w:divBdr>
            <w:top w:val="none" w:sz="0" w:space="0" w:color="auto"/>
            <w:left w:val="none" w:sz="0" w:space="0" w:color="auto"/>
            <w:bottom w:val="none" w:sz="0" w:space="0" w:color="auto"/>
            <w:right w:val="none" w:sz="0" w:space="0" w:color="auto"/>
          </w:divBdr>
        </w:div>
      </w:divsChild>
    </w:div>
    <w:div w:id="1206675337">
      <w:bodyDiv w:val="1"/>
      <w:marLeft w:val="0"/>
      <w:marRight w:val="0"/>
      <w:marTop w:val="0"/>
      <w:marBottom w:val="0"/>
      <w:divBdr>
        <w:top w:val="none" w:sz="0" w:space="0" w:color="auto"/>
        <w:left w:val="none" w:sz="0" w:space="0" w:color="auto"/>
        <w:bottom w:val="none" w:sz="0" w:space="0" w:color="auto"/>
        <w:right w:val="none" w:sz="0" w:space="0" w:color="auto"/>
      </w:divBdr>
    </w:div>
    <w:div w:id="1215585258">
      <w:bodyDiv w:val="1"/>
      <w:marLeft w:val="0"/>
      <w:marRight w:val="0"/>
      <w:marTop w:val="0"/>
      <w:marBottom w:val="0"/>
      <w:divBdr>
        <w:top w:val="none" w:sz="0" w:space="0" w:color="auto"/>
        <w:left w:val="none" w:sz="0" w:space="0" w:color="auto"/>
        <w:bottom w:val="none" w:sz="0" w:space="0" w:color="auto"/>
        <w:right w:val="none" w:sz="0" w:space="0" w:color="auto"/>
      </w:divBdr>
      <w:divsChild>
        <w:div w:id="511187518">
          <w:marLeft w:val="0"/>
          <w:marRight w:val="0"/>
          <w:marTop w:val="0"/>
          <w:marBottom w:val="0"/>
          <w:divBdr>
            <w:top w:val="none" w:sz="0" w:space="0" w:color="auto"/>
            <w:left w:val="none" w:sz="0" w:space="0" w:color="auto"/>
            <w:bottom w:val="none" w:sz="0" w:space="0" w:color="auto"/>
            <w:right w:val="none" w:sz="0" w:space="0" w:color="auto"/>
          </w:divBdr>
        </w:div>
      </w:divsChild>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88509228">
      <w:bodyDiv w:val="1"/>
      <w:marLeft w:val="0"/>
      <w:marRight w:val="0"/>
      <w:marTop w:val="0"/>
      <w:marBottom w:val="0"/>
      <w:divBdr>
        <w:top w:val="none" w:sz="0" w:space="0" w:color="auto"/>
        <w:left w:val="none" w:sz="0" w:space="0" w:color="auto"/>
        <w:bottom w:val="none" w:sz="0" w:space="0" w:color="auto"/>
        <w:right w:val="none" w:sz="0" w:space="0" w:color="auto"/>
      </w:divBdr>
      <w:divsChild>
        <w:div w:id="1444113407">
          <w:marLeft w:val="0"/>
          <w:marRight w:val="0"/>
          <w:marTop w:val="0"/>
          <w:marBottom w:val="0"/>
          <w:divBdr>
            <w:top w:val="none" w:sz="0" w:space="0" w:color="auto"/>
            <w:left w:val="none" w:sz="0" w:space="0" w:color="auto"/>
            <w:bottom w:val="none" w:sz="0" w:space="0" w:color="auto"/>
            <w:right w:val="none" w:sz="0" w:space="0" w:color="auto"/>
          </w:divBdr>
        </w:div>
      </w:divsChild>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3190203">
      <w:bodyDiv w:val="1"/>
      <w:marLeft w:val="0"/>
      <w:marRight w:val="0"/>
      <w:marTop w:val="0"/>
      <w:marBottom w:val="0"/>
      <w:divBdr>
        <w:top w:val="none" w:sz="0" w:space="0" w:color="auto"/>
        <w:left w:val="none" w:sz="0" w:space="0" w:color="auto"/>
        <w:bottom w:val="none" w:sz="0" w:space="0" w:color="auto"/>
        <w:right w:val="none" w:sz="0" w:space="0" w:color="auto"/>
      </w:divBdr>
      <w:divsChild>
        <w:div w:id="2109496138">
          <w:marLeft w:val="0"/>
          <w:marRight w:val="0"/>
          <w:marTop w:val="0"/>
          <w:marBottom w:val="0"/>
          <w:divBdr>
            <w:top w:val="none" w:sz="0" w:space="0" w:color="auto"/>
            <w:left w:val="none" w:sz="0" w:space="0" w:color="auto"/>
            <w:bottom w:val="none" w:sz="0" w:space="0" w:color="auto"/>
            <w:right w:val="none" w:sz="0" w:space="0" w:color="auto"/>
          </w:divBdr>
        </w:div>
      </w:divsChild>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17688136">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404063093">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3161487">
      <w:bodyDiv w:val="1"/>
      <w:marLeft w:val="0"/>
      <w:marRight w:val="0"/>
      <w:marTop w:val="0"/>
      <w:marBottom w:val="0"/>
      <w:divBdr>
        <w:top w:val="none" w:sz="0" w:space="0" w:color="auto"/>
        <w:left w:val="none" w:sz="0" w:space="0" w:color="auto"/>
        <w:bottom w:val="none" w:sz="0" w:space="0" w:color="auto"/>
        <w:right w:val="none" w:sz="0" w:space="0" w:color="auto"/>
      </w:divBdr>
      <w:divsChild>
        <w:div w:id="239799749">
          <w:marLeft w:val="0"/>
          <w:marRight w:val="0"/>
          <w:marTop w:val="0"/>
          <w:marBottom w:val="0"/>
          <w:divBdr>
            <w:top w:val="none" w:sz="0" w:space="0" w:color="auto"/>
            <w:left w:val="none" w:sz="0" w:space="0" w:color="auto"/>
            <w:bottom w:val="none" w:sz="0" w:space="0" w:color="auto"/>
            <w:right w:val="none" w:sz="0" w:space="0" w:color="auto"/>
          </w:divBdr>
        </w:div>
      </w:divsChild>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21488161">
      <w:bodyDiv w:val="1"/>
      <w:marLeft w:val="0"/>
      <w:marRight w:val="0"/>
      <w:marTop w:val="0"/>
      <w:marBottom w:val="0"/>
      <w:divBdr>
        <w:top w:val="none" w:sz="0" w:space="0" w:color="auto"/>
        <w:left w:val="none" w:sz="0" w:space="0" w:color="auto"/>
        <w:bottom w:val="none" w:sz="0" w:space="0" w:color="auto"/>
        <w:right w:val="none" w:sz="0" w:space="0" w:color="auto"/>
      </w:divBdr>
      <w:divsChild>
        <w:div w:id="131095707">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45750518">
      <w:bodyDiv w:val="1"/>
      <w:marLeft w:val="0"/>
      <w:marRight w:val="0"/>
      <w:marTop w:val="0"/>
      <w:marBottom w:val="0"/>
      <w:divBdr>
        <w:top w:val="none" w:sz="0" w:space="0" w:color="auto"/>
        <w:left w:val="none" w:sz="0" w:space="0" w:color="auto"/>
        <w:bottom w:val="none" w:sz="0" w:space="0" w:color="auto"/>
        <w:right w:val="none" w:sz="0" w:space="0" w:color="auto"/>
      </w:divBdr>
      <w:divsChild>
        <w:div w:id="897739740">
          <w:marLeft w:val="0"/>
          <w:marRight w:val="0"/>
          <w:marTop w:val="0"/>
          <w:marBottom w:val="0"/>
          <w:divBdr>
            <w:top w:val="none" w:sz="0" w:space="0" w:color="auto"/>
            <w:left w:val="none" w:sz="0" w:space="0" w:color="auto"/>
            <w:bottom w:val="none" w:sz="0" w:space="0" w:color="auto"/>
            <w:right w:val="none" w:sz="0" w:space="0" w:color="auto"/>
          </w:divBdr>
          <w:divsChild>
            <w:div w:id="1789615952">
              <w:marLeft w:val="0"/>
              <w:marRight w:val="0"/>
              <w:marTop w:val="0"/>
              <w:marBottom w:val="0"/>
              <w:divBdr>
                <w:top w:val="none" w:sz="0" w:space="0" w:color="auto"/>
                <w:left w:val="none" w:sz="0" w:space="0" w:color="auto"/>
                <w:bottom w:val="none" w:sz="0" w:space="0" w:color="auto"/>
                <w:right w:val="none" w:sz="0" w:space="0" w:color="auto"/>
              </w:divBdr>
            </w:div>
            <w:div w:id="868837757">
              <w:marLeft w:val="0"/>
              <w:marRight w:val="0"/>
              <w:marTop w:val="0"/>
              <w:marBottom w:val="0"/>
              <w:divBdr>
                <w:top w:val="none" w:sz="0" w:space="0" w:color="auto"/>
                <w:left w:val="none" w:sz="0" w:space="0" w:color="auto"/>
                <w:bottom w:val="none" w:sz="0" w:space="0" w:color="auto"/>
                <w:right w:val="none" w:sz="0" w:space="0" w:color="auto"/>
              </w:divBdr>
            </w:div>
            <w:div w:id="34892998">
              <w:marLeft w:val="0"/>
              <w:marRight w:val="0"/>
              <w:marTop w:val="0"/>
              <w:marBottom w:val="0"/>
              <w:divBdr>
                <w:top w:val="none" w:sz="0" w:space="0" w:color="auto"/>
                <w:left w:val="none" w:sz="0" w:space="0" w:color="auto"/>
                <w:bottom w:val="none" w:sz="0" w:space="0" w:color="auto"/>
                <w:right w:val="none" w:sz="0" w:space="0" w:color="auto"/>
              </w:divBdr>
            </w:div>
            <w:div w:id="272633386">
              <w:marLeft w:val="0"/>
              <w:marRight w:val="0"/>
              <w:marTop w:val="0"/>
              <w:marBottom w:val="0"/>
              <w:divBdr>
                <w:top w:val="none" w:sz="0" w:space="0" w:color="auto"/>
                <w:left w:val="none" w:sz="0" w:space="0" w:color="auto"/>
                <w:bottom w:val="none" w:sz="0" w:space="0" w:color="auto"/>
                <w:right w:val="none" w:sz="0" w:space="0" w:color="auto"/>
              </w:divBdr>
            </w:div>
            <w:div w:id="1659647382">
              <w:marLeft w:val="0"/>
              <w:marRight w:val="0"/>
              <w:marTop w:val="0"/>
              <w:marBottom w:val="0"/>
              <w:divBdr>
                <w:top w:val="none" w:sz="0" w:space="0" w:color="auto"/>
                <w:left w:val="none" w:sz="0" w:space="0" w:color="auto"/>
                <w:bottom w:val="none" w:sz="0" w:space="0" w:color="auto"/>
                <w:right w:val="none" w:sz="0" w:space="0" w:color="auto"/>
              </w:divBdr>
            </w:div>
            <w:div w:id="1397633122">
              <w:marLeft w:val="0"/>
              <w:marRight w:val="0"/>
              <w:marTop w:val="0"/>
              <w:marBottom w:val="0"/>
              <w:divBdr>
                <w:top w:val="none" w:sz="0" w:space="0" w:color="auto"/>
                <w:left w:val="none" w:sz="0" w:space="0" w:color="auto"/>
                <w:bottom w:val="none" w:sz="0" w:space="0" w:color="auto"/>
                <w:right w:val="none" w:sz="0" w:space="0" w:color="auto"/>
              </w:divBdr>
            </w:div>
            <w:div w:id="1015378537">
              <w:marLeft w:val="0"/>
              <w:marRight w:val="0"/>
              <w:marTop w:val="0"/>
              <w:marBottom w:val="0"/>
              <w:divBdr>
                <w:top w:val="none" w:sz="0" w:space="0" w:color="auto"/>
                <w:left w:val="none" w:sz="0" w:space="0" w:color="auto"/>
                <w:bottom w:val="none" w:sz="0" w:space="0" w:color="auto"/>
                <w:right w:val="none" w:sz="0" w:space="0" w:color="auto"/>
              </w:divBdr>
            </w:div>
            <w:div w:id="1354651986">
              <w:marLeft w:val="0"/>
              <w:marRight w:val="0"/>
              <w:marTop w:val="0"/>
              <w:marBottom w:val="0"/>
              <w:divBdr>
                <w:top w:val="none" w:sz="0" w:space="0" w:color="auto"/>
                <w:left w:val="none" w:sz="0" w:space="0" w:color="auto"/>
                <w:bottom w:val="none" w:sz="0" w:space="0" w:color="auto"/>
                <w:right w:val="none" w:sz="0" w:space="0" w:color="auto"/>
              </w:divBdr>
            </w:div>
            <w:div w:id="1376352043">
              <w:marLeft w:val="0"/>
              <w:marRight w:val="0"/>
              <w:marTop w:val="0"/>
              <w:marBottom w:val="0"/>
              <w:divBdr>
                <w:top w:val="none" w:sz="0" w:space="0" w:color="auto"/>
                <w:left w:val="none" w:sz="0" w:space="0" w:color="auto"/>
                <w:bottom w:val="none" w:sz="0" w:space="0" w:color="auto"/>
                <w:right w:val="none" w:sz="0" w:space="0" w:color="auto"/>
              </w:divBdr>
            </w:div>
            <w:div w:id="1759210653">
              <w:marLeft w:val="0"/>
              <w:marRight w:val="0"/>
              <w:marTop w:val="0"/>
              <w:marBottom w:val="0"/>
              <w:divBdr>
                <w:top w:val="none" w:sz="0" w:space="0" w:color="auto"/>
                <w:left w:val="none" w:sz="0" w:space="0" w:color="auto"/>
                <w:bottom w:val="none" w:sz="0" w:space="0" w:color="auto"/>
                <w:right w:val="none" w:sz="0" w:space="0" w:color="auto"/>
              </w:divBdr>
            </w:div>
            <w:div w:id="700253051">
              <w:marLeft w:val="0"/>
              <w:marRight w:val="0"/>
              <w:marTop w:val="0"/>
              <w:marBottom w:val="0"/>
              <w:divBdr>
                <w:top w:val="none" w:sz="0" w:space="0" w:color="auto"/>
                <w:left w:val="none" w:sz="0" w:space="0" w:color="auto"/>
                <w:bottom w:val="none" w:sz="0" w:space="0" w:color="auto"/>
                <w:right w:val="none" w:sz="0" w:space="0" w:color="auto"/>
              </w:divBdr>
            </w:div>
            <w:div w:id="256643611">
              <w:marLeft w:val="0"/>
              <w:marRight w:val="0"/>
              <w:marTop w:val="0"/>
              <w:marBottom w:val="0"/>
              <w:divBdr>
                <w:top w:val="none" w:sz="0" w:space="0" w:color="auto"/>
                <w:left w:val="none" w:sz="0" w:space="0" w:color="auto"/>
                <w:bottom w:val="none" w:sz="0" w:space="0" w:color="auto"/>
                <w:right w:val="none" w:sz="0" w:space="0" w:color="auto"/>
              </w:divBdr>
            </w:div>
          </w:divsChild>
        </w:div>
        <w:div w:id="1185900122">
          <w:marLeft w:val="0"/>
          <w:marRight w:val="0"/>
          <w:marTop w:val="0"/>
          <w:marBottom w:val="0"/>
          <w:divBdr>
            <w:top w:val="none" w:sz="0" w:space="0" w:color="auto"/>
            <w:left w:val="none" w:sz="0" w:space="0" w:color="auto"/>
            <w:bottom w:val="none" w:sz="0" w:space="0" w:color="auto"/>
            <w:right w:val="none" w:sz="0" w:space="0" w:color="auto"/>
          </w:divBdr>
        </w:div>
        <w:div w:id="1913856650">
          <w:marLeft w:val="0"/>
          <w:marRight w:val="0"/>
          <w:marTop w:val="0"/>
          <w:marBottom w:val="0"/>
          <w:divBdr>
            <w:top w:val="none" w:sz="0" w:space="0" w:color="auto"/>
            <w:left w:val="none" w:sz="0" w:space="0" w:color="auto"/>
            <w:bottom w:val="none" w:sz="0" w:space="0" w:color="auto"/>
            <w:right w:val="none" w:sz="0" w:space="0" w:color="auto"/>
          </w:divBdr>
        </w:div>
        <w:div w:id="1373992271">
          <w:marLeft w:val="0"/>
          <w:marRight w:val="0"/>
          <w:marTop w:val="0"/>
          <w:marBottom w:val="0"/>
          <w:divBdr>
            <w:top w:val="none" w:sz="0" w:space="0" w:color="auto"/>
            <w:left w:val="none" w:sz="0" w:space="0" w:color="auto"/>
            <w:bottom w:val="none" w:sz="0" w:space="0" w:color="auto"/>
            <w:right w:val="none" w:sz="0" w:space="0" w:color="auto"/>
          </w:divBdr>
        </w:div>
        <w:div w:id="54932655">
          <w:marLeft w:val="0"/>
          <w:marRight w:val="0"/>
          <w:marTop w:val="0"/>
          <w:marBottom w:val="0"/>
          <w:divBdr>
            <w:top w:val="none" w:sz="0" w:space="0" w:color="auto"/>
            <w:left w:val="none" w:sz="0" w:space="0" w:color="auto"/>
            <w:bottom w:val="none" w:sz="0" w:space="0" w:color="auto"/>
            <w:right w:val="none" w:sz="0" w:space="0" w:color="auto"/>
          </w:divBdr>
        </w:div>
        <w:div w:id="1798452203">
          <w:marLeft w:val="0"/>
          <w:marRight w:val="0"/>
          <w:marTop w:val="0"/>
          <w:marBottom w:val="0"/>
          <w:divBdr>
            <w:top w:val="none" w:sz="0" w:space="0" w:color="auto"/>
            <w:left w:val="none" w:sz="0" w:space="0" w:color="auto"/>
            <w:bottom w:val="none" w:sz="0" w:space="0" w:color="auto"/>
            <w:right w:val="none" w:sz="0" w:space="0" w:color="auto"/>
          </w:divBdr>
        </w:div>
        <w:div w:id="324094033">
          <w:marLeft w:val="0"/>
          <w:marRight w:val="0"/>
          <w:marTop w:val="0"/>
          <w:marBottom w:val="0"/>
          <w:divBdr>
            <w:top w:val="none" w:sz="0" w:space="0" w:color="auto"/>
            <w:left w:val="none" w:sz="0" w:space="0" w:color="auto"/>
            <w:bottom w:val="none" w:sz="0" w:space="0" w:color="auto"/>
            <w:right w:val="none" w:sz="0" w:space="0" w:color="auto"/>
          </w:divBdr>
        </w:div>
        <w:div w:id="999424847">
          <w:marLeft w:val="0"/>
          <w:marRight w:val="0"/>
          <w:marTop w:val="0"/>
          <w:marBottom w:val="0"/>
          <w:divBdr>
            <w:top w:val="none" w:sz="0" w:space="0" w:color="auto"/>
            <w:left w:val="none" w:sz="0" w:space="0" w:color="auto"/>
            <w:bottom w:val="none" w:sz="0" w:space="0" w:color="auto"/>
            <w:right w:val="none" w:sz="0" w:space="0" w:color="auto"/>
          </w:divBdr>
        </w:div>
        <w:div w:id="58938792">
          <w:marLeft w:val="0"/>
          <w:marRight w:val="0"/>
          <w:marTop w:val="0"/>
          <w:marBottom w:val="0"/>
          <w:divBdr>
            <w:top w:val="none" w:sz="0" w:space="0" w:color="auto"/>
            <w:left w:val="none" w:sz="0" w:space="0" w:color="auto"/>
            <w:bottom w:val="none" w:sz="0" w:space="0" w:color="auto"/>
            <w:right w:val="none" w:sz="0" w:space="0" w:color="auto"/>
          </w:divBdr>
        </w:div>
        <w:div w:id="1971591890">
          <w:marLeft w:val="0"/>
          <w:marRight w:val="0"/>
          <w:marTop w:val="0"/>
          <w:marBottom w:val="0"/>
          <w:divBdr>
            <w:top w:val="none" w:sz="0" w:space="0" w:color="auto"/>
            <w:left w:val="none" w:sz="0" w:space="0" w:color="auto"/>
            <w:bottom w:val="none" w:sz="0" w:space="0" w:color="auto"/>
            <w:right w:val="none" w:sz="0" w:space="0" w:color="auto"/>
          </w:divBdr>
        </w:div>
        <w:div w:id="755705954">
          <w:marLeft w:val="0"/>
          <w:marRight w:val="0"/>
          <w:marTop w:val="0"/>
          <w:marBottom w:val="0"/>
          <w:divBdr>
            <w:top w:val="none" w:sz="0" w:space="0" w:color="auto"/>
            <w:left w:val="none" w:sz="0" w:space="0" w:color="auto"/>
            <w:bottom w:val="none" w:sz="0" w:space="0" w:color="auto"/>
            <w:right w:val="none" w:sz="0" w:space="0" w:color="auto"/>
          </w:divBdr>
        </w:div>
        <w:div w:id="1416971101">
          <w:marLeft w:val="0"/>
          <w:marRight w:val="0"/>
          <w:marTop w:val="0"/>
          <w:marBottom w:val="0"/>
          <w:divBdr>
            <w:top w:val="none" w:sz="0" w:space="0" w:color="auto"/>
            <w:left w:val="none" w:sz="0" w:space="0" w:color="auto"/>
            <w:bottom w:val="none" w:sz="0" w:space="0" w:color="auto"/>
            <w:right w:val="none" w:sz="0" w:space="0" w:color="auto"/>
          </w:divBdr>
        </w:div>
      </w:divsChild>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40182488">
      <w:bodyDiv w:val="1"/>
      <w:marLeft w:val="0"/>
      <w:marRight w:val="0"/>
      <w:marTop w:val="0"/>
      <w:marBottom w:val="0"/>
      <w:divBdr>
        <w:top w:val="none" w:sz="0" w:space="0" w:color="auto"/>
        <w:left w:val="none" w:sz="0" w:space="0" w:color="auto"/>
        <w:bottom w:val="none" w:sz="0" w:space="0" w:color="auto"/>
        <w:right w:val="none" w:sz="0" w:space="0" w:color="auto"/>
      </w:divBdr>
    </w:div>
    <w:div w:id="1641306092">
      <w:bodyDiv w:val="1"/>
      <w:marLeft w:val="0"/>
      <w:marRight w:val="0"/>
      <w:marTop w:val="0"/>
      <w:marBottom w:val="0"/>
      <w:divBdr>
        <w:top w:val="none" w:sz="0" w:space="0" w:color="auto"/>
        <w:left w:val="none" w:sz="0" w:space="0" w:color="auto"/>
        <w:bottom w:val="none" w:sz="0" w:space="0" w:color="auto"/>
        <w:right w:val="none" w:sz="0" w:space="0" w:color="auto"/>
      </w:divBdr>
      <w:divsChild>
        <w:div w:id="1753509481">
          <w:marLeft w:val="0"/>
          <w:marRight w:val="0"/>
          <w:marTop w:val="0"/>
          <w:marBottom w:val="0"/>
          <w:divBdr>
            <w:top w:val="none" w:sz="0" w:space="0" w:color="auto"/>
            <w:left w:val="none" w:sz="0" w:space="0" w:color="auto"/>
            <w:bottom w:val="none" w:sz="0" w:space="0" w:color="auto"/>
            <w:right w:val="none" w:sz="0" w:space="0" w:color="auto"/>
          </w:divBdr>
        </w:div>
      </w:divsChild>
    </w:div>
    <w:div w:id="1648700782">
      <w:bodyDiv w:val="1"/>
      <w:marLeft w:val="0"/>
      <w:marRight w:val="0"/>
      <w:marTop w:val="0"/>
      <w:marBottom w:val="0"/>
      <w:divBdr>
        <w:top w:val="none" w:sz="0" w:space="0" w:color="auto"/>
        <w:left w:val="none" w:sz="0" w:space="0" w:color="auto"/>
        <w:bottom w:val="none" w:sz="0" w:space="0" w:color="auto"/>
        <w:right w:val="none" w:sz="0" w:space="0" w:color="auto"/>
      </w:divBdr>
      <w:divsChild>
        <w:div w:id="295722113">
          <w:marLeft w:val="0"/>
          <w:marRight w:val="0"/>
          <w:marTop w:val="0"/>
          <w:marBottom w:val="0"/>
          <w:divBdr>
            <w:top w:val="none" w:sz="0" w:space="0" w:color="auto"/>
            <w:left w:val="none" w:sz="0" w:space="0" w:color="auto"/>
            <w:bottom w:val="none" w:sz="0" w:space="0" w:color="auto"/>
            <w:right w:val="none" w:sz="0" w:space="0" w:color="auto"/>
          </w:divBdr>
        </w:div>
      </w:divsChild>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57491284">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67262482">
      <w:bodyDiv w:val="1"/>
      <w:marLeft w:val="0"/>
      <w:marRight w:val="0"/>
      <w:marTop w:val="0"/>
      <w:marBottom w:val="0"/>
      <w:divBdr>
        <w:top w:val="none" w:sz="0" w:space="0" w:color="auto"/>
        <w:left w:val="none" w:sz="0" w:space="0" w:color="auto"/>
        <w:bottom w:val="none" w:sz="0" w:space="0" w:color="auto"/>
        <w:right w:val="none" w:sz="0" w:space="0" w:color="auto"/>
      </w:divBdr>
      <w:divsChild>
        <w:div w:id="607389149">
          <w:marLeft w:val="0"/>
          <w:marRight w:val="0"/>
          <w:marTop w:val="0"/>
          <w:marBottom w:val="0"/>
          <w:divBdr>
            <w:top w:val="none" w:sz="0" w:space="0" w:color="auto"/>
            <w:left w:val="none" w:sz="0" w:space="0" w:color="auto"/>
            <w:bottom w:val="none" w:sz="0" w:space="0" w:color="auto"/>
            <w:right w:val="none" w:sz="0" w:space="0" w:color="auto"/>
          </w:divBdr>
        </w:div>
      </w:divsChild>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04220576">
      <w:bodyDiv w:val="1"/>
      <w:marLeft w:val="0"/>
      <w:marRight w:val="0"/>
      <w:marTop w:val="0"/>
      <w:marBottom w:val="0"/>
      <w:divBdr>
        <w:top w:val="none" w:sz="0" w:space="0" w:color="auto"/>
        <w:left w:val="none" w:sz="0" w:space="0" w:color="auto"/>
        <w:bottom w:val="none" w:sz="0" w:space="0" w:color="auto"/>
        <w:right w:val="none" w:sz="0" w:space="0" w:color="auto"/>
      </w:divBdr>
      <w:divsChild>
        <w:div w:id="1297297040">
          <w:marLeft w:val="0"/>
          <w:marRight w:val="0"/>
          <w:marTop w:val="0"/>
          <w:marBottom w:val="0"/>
          <w:divBdr>
            <w:top w:val="none" w:sz="0" w:space="0" w:color="auto"/>
            <w:left w:val="none" w:sz="0" w:space="0" w:color="auto"/>
            <w:bottom w:val="none" w:sz="0" w:space="0" w:color="auto"/>
            <w:right w:val="none" w:sz="0" w:space="0" w:color="auto"/>
          </w:divBdr>
        </w:div>
      </w:divsChild>
    </w:div>
    <w:div w:id="1910192093">
      <w:bodyDiv w:val="1"/>
      <w:marLeft w:val="0"/>
      <w:marRight w:val="0"/>
      <w:marTop w:val="0"/>
      <w:marBottom w:val="0"/>
      <w:divBdr>
        <w:top w:val="none" w:sz="0" w:space="0" w:color="auto"/>
        <w:left w:val="none" w:sz="0" w:space="0" w:color="auto"/>
        <w:bottom w:val="none" w:sz="0" w:space="0" w:color="auto"/>
        <w:right w:val="none" w:sz="0" w:space="0" w:color="auto"/>
      </w:divBdr>
      <w:divsChild>
        <w:div w:id="994533989">
          <w:marLeft w:val="0"/>
          <w:marRight w:val="0"/>
          <w:marTop w:val="0"/>
          <w:marBottom w:val="0"/>
          <w:divBdr>
            <w:top w:val="none" w:sz="0" w:space="0" w:color="auto"/>
            <w:left w:val="none" w:sz="0" w:space="0" w:color="auto"/>
            <w:bottom w:val="none" w:sz="0" w:space="0" w:color="auto"/>
            <w:right w:val="none" w:sz="0" w:space="0" w:color="auto"/>
          </w:divBdr>
        </w:div>
      </w:divsChild>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58172853">
      <w:bodyDiv w:val="1"/>
      <w:marLeft w:val="0"/>
      <w:marRight w:val="0"/>
      <w:marTop w:val="0"/>
      <w:marBottom w:val="0"/>
      <w:divBdr>
        <w:top w:val="none" w:sz="0" w:space="0" w:color="auto"/>
        <w:left w:val="none" w:sz="0" w:space="0" w:color="auto"/>
        <w:bottom w:val="none" w:sz="0" w:space="0" w:color="auto"/>
        <w:right w:val="none" w:sz="0" w:space="0" w:color="auto"/>
      </w:divBdr>
    </w:div>
    <w:div w:id="2044594590">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1680670">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A9D05-736E-4640-A230-B82B493A710C}">
  <ds:schemaRefs>
    <ds:schemaRef ds:uri="http://schemas.microsoft.com/sharepoint/v3/contenttype/forms"/>
  </ds:schemaRefs>
</ds:datastoreItem>
</file>

<file path=customXml/itemProps2.xml><?xml version="1.0" encoding="utf-8"?>
<ds:datastoreItem xmlns:ds="http://schemas.openxmlformats.org/officeDocument/2006/customXml" ds:itemID="{5E6E8220-6A97-40D1-B0EA-F545CDFB90D7}">
  <ds:schemaRefs>
    <ds:schemaRef ds:uri="http://schemas.openxmlformats.org/officeDocument/2006/bibliography"/>
  </ds:schemaRefs>
</ds:datastoreItem>
</file>

<file path=customXml/itemProps3.xml><?xml version="1.0" encoding="utf-8"?>
<ds:datastoreItem xmlns:ds="http://schemas.openxmlformats.org/officeDocument/2006/customXml" ds:itemID="{54CC7308-B6BD-4BBA-8377-DE70EF76F367}">
  <ds:schemaRefs>
    <ds:schemaRef ds:uri="http://schemas.microsoft.com/office/2006/metadata/properties"/>
    <ds:schemaRef ds:uri="http://schemas.microsoft.com/office/infopath/2007/PartnerControls"/>
    <ds:schemaRef ds:uri="240d9007-a1fb-482a-96da-a02b62c04690"/>
  </ds:schemaRefs>
</ds:datastoreItem>
</file>

<file path=customXml/itemProps4.xml><?xml version="1.0" encoding="utf-8"?>
<ds:datastoreItem xmlns:ds="http://schemas.openxmlformats.org/officeDocument/2006/customXml" ds:itemID="{B2FEED44-A682-48E6-BA7F-4C2132162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24036</Words>
  <Characters>137011</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160726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34</cp:revision>
  <cp:lastPrinted>2025-12-13T13:46:00Z</cp:lastPrinted>
  <dcterms:created xsi:type="dcterms:W3CDTF">2026-06-30T11:35:00Z</dcterms:created>
  <dcterms:modified xsi:type="dcterms:W3CDTF">2026-07-07T10:15:00Z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