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0931CF3" w14:textId="20333573" w:rsidR="00D90B87" w:rsidRDefault="00D90B87" w:rsidP="00B97DB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proofErr w:type="spellStart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Për</w:t>
      </w:r>
      <w:proofErr w:type="spellEnd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 xml:space="preserve"> Shërbimet </w:t>
      </w:r>
      <w:proofErr w:type="spellStart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Digjitale</w:t>
      </w:r>
      <w:proofErr w:type="spellEnd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në</w:t>
      </w:r>
      <w:proofErr w:type="spellEnd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Republikën</w:t>
      </w:r>
      <w:proofErr w:type="spellEnd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 xml:space="preserve"> e </w:t>
      </w:r>
      <w:proofErr w:type="spellStart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Shqipërisë</w:t>
      </w:r>
      <w:proofErr w:type="spellEnd"/>
      <w:r w:rsidRPr="00D90B87">
        <w:rPr>
          <w:rFonts w:ascii="Times New Roman" w:hAnsi="Times New Roman"/>
          <w:b/>
          <w:bCs/>
          <w:sz w:val="24"/>
          <w:szCs w:val="24"/>
          <w:lang w:val="de-DE"/>
        </w:rPr>
        <w:t>”</w:t>
      </w:r>
    </w:p>
    <w:p w14:paraId="0C15CDA1" w14:textId="77777777" w:rsidR="00D90B87" w:rsidRPr="00D90B87" w:rsidRDefault="00D90B87" w:rsidP="00B97DB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40"/>
        <w:gridCol w:w="2970"/>
        <w:gridCol w:w="2851"/>
      </w:tblGrid>
      <w:tr w:rsidR="00155C01" w:rsidRPr="00C065CD" w14:paraId="3E3D8027" w14:textId="77777777" w:rsidTr="00150E6C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44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970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2851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150E6C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A7ED93D" w14:textId="77777777" w:rsidR="00C11488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F60B7CC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970" w:type="dxa"/>
          </w:tcPr>
          <w:p w14:paraId="5506698B" w14:textId="77777777" w:rsidR="005B36EC" w:rsidRPr="00C11488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C1148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C11488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C11488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C1148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C1148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C11488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141BE7D" w14:textId="77777777" w:rsidR="00825120" w:rsidRPr="00C11488" w:rsidRDefault="00825120" w:rsidP="00C11488">
            <w:pPr>
              <w:pStyle w:val="BodyText"/>
              <w:tabs>
                <w:tab w:val="clear" w:pos="567"/>
                <w:tab w:val="left" w:pos="346"/>
              </w:tabs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C11488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C11488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2851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405B040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11644C" w14:paraId="4402B14D" w14:textId="77777777" w:rsidTr="00150E6C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558B9B65" w:rsidR="00155C01" w:rsidRPr="008C2E21" w:rsidRDefault="00052BD5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0E6C">
              <w:rPr>
                <w:rFonts w:ascii="Times New Roman" w:hAnsi="Times New Roman"/>
                <w:sz w:val="24"/>
                <w:lang w:val="sq-AL"/>
              </w:rPr>
              <w:t>Ins</w:t>
            </w:r>
            <w:r w:rsidR="00150E6C">
              <w:rPr>
                <w:rFonts w:ascii="Times New Roman" w:hAnsi="Times New Roman"/>
                <w:sz w:val="24"/>
                <w:lang w:val="sq-AL"/>
              </w:rPr>
              <w:t>t</w:t>
            </w:r>
            <w:r w:rsidRPr="00150E6C">
              <w:rPr>
                <w:rFonts w:ascii="Times New Roman" w:hAnsi="Times New Roman"/>
                <w:sz w:val="24"/>
                <w:lang w:val="sq-AL"/>
              </w:rPr>
              <w:t>itucionet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publike, </w:t>
            </w:r>
            <w:r w:rsidR="00C065CD">
              <w:rPr>
                <w:rFonts w:ascii="Times New Roman" w:hAnsi="Times New Roman"/>
                <w:sz w:val="24"/>
                <w:szCs w:val="24"/>
                <w:lang w:val="sq-AL"/>
              </w:rPr>
              <w:t>ofruesit e sherbimeve digjitale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rregulator, shoqeria civile, grupet e interesit, etj</w:t>
            </w:r>
            <w:r w:rsidR="001164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40" w:type="dxa"/>
          </w:tcPr>
          <w:p w14:paraId="00866826" w14:textId="77777777" w:rsidR="00C11488" w:rsidRPr="00736FC0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6FC0">
              <w:rPr>
                <w:rFonts w:ascii="Times New Roman" w:hAnsi="Times New Roman"/>
                <w:sz w:val="24"/>
                <w:szCs w:val="24"/>
                <w:lang w:val="sq-AL"/>
              </w:rPr>
              <w:t>(1)</w:t>
            </w:r>
          </w:p>
          <w:p w14:paraId="326B8556" w14:textId="0CCF1C89" w:rsidR="00155C01" w:rsidRPr="00736FC0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36FC0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970" w:type="dxa"/>
          </w:tcPr>
          <w:p w14:paraId="40F07579" w14:textId="77777777" w:rsidR="00150E6C" w:rsidRPr="00150E6C" w:rsidRDefault="00150E6C" w:rsidP="00150E6C">
            <w:pPr>
              <w:shd w:val="clear" w:color="auto" w:fill="FFFFFF"/>
              <w:tabs>
                <w:tab w:val="left" w:pos="360"/>
              </w:tabs>
              <w:ind w:left="-11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150E6C">
              <w:rPr>
                <w:rFonts w:ascii="Times New Roman" w:hAnsi="Times New Roman"/>
                <w:szCs w:val="22"/>
                <w:lang w:val="sq-AL"/>
              </w:rPr>
              <w:t>Takimet ndërinstitucionale për këtë projektligj kanë filluar në viti 2025, dhe kanë vijuar gjatë vitit 2026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>.</w:t>
            </w:r>
          </w:p>
          <w:p w14:paraId="68AA2833" w14:textId="3629BF24" w:rsidR="00150E6C" w:rsidRPr="00150E6C" w:rsidRDefault="00150E6C" w:rsidP="00150E6C">
            <w:pPr>
              <w:shd w:val="clear" w:color="auto" w:fill="FFFFFF"/>
              <w:tabs>
                <w:tab w:val="left" w:pos="360"/>
              </w:tabs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Në muajin maj-qershor 2025 u përgatit analiza e boshllëkut ligjor në kuadër të Reformë Agjendës në bashkëpunim me Ministrinë e Brendshme, institucionet e tjera kontribuese si AMA, AKEP, MEKI, DPA etj. </w:t>
            </w:r>
            <w:r>
              <w:rPr>
                <w:rFonts w:ascii="Times New Roman" w:hAnsi="Times New Roman"/>
                <w:szCs w:val="22"/>
                <w:lang w:val="sq-AL"/>
              </w:rPr>
              <w:t>G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jatë vitit 2025 janë zhvilluar nga MIE dy takime me përfaqësuesit e institucioneve me datë 19 Shtator 2025 dhe 29 Tetor 2025. </w:t>
            </w:r>
          </w:p>
          <w:p w14:paraId="62D51F2A" w14:textId="5F71FD23" w:rsidR="00150E6C" w:rsidRPr="00150E6C" w:rsidRDefault="00150E6C" w:rsidP="00150E6C">
            <w:pPr>
              <w:shd w:val="clear" w:color="auto" w:fill="FFFFFF"/>
              <w:tabs>
                <w:tab w:val="left" w:pos="360"/>
              </w:tabs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Me  20 Janar 2026, u zhvillua takimi i dialogut rregullator me 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lastRenderedPageBreak/>
              <w:t xml:space="preserve">pjesëmarrje të nivelit të lartë 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nga MIE, 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>përfaqësues nga Kuvendi, drejtuesit e organeve rregullatore AMA, AKEP, AK, përfaqësues të institucioneve, shoqërisë civile dhe EUD.</w:t>
            </w:r>
          </w:p>
          <w:p w14:paraId="25198B04" w14:textId="11724B62" w:rsidR="00150E6C" w:rsidRPr="00150E6C" w:rsidRDefault="00150E6C" w:rsidP="00150E6C">
            <w:pPr>
              <w:shd w:val="clear" w:color="auto" w:fill="FFFFFF"/>
              <w:tabs>
                <w:tab w:val="left" w:pos="360"/>
              </w:tabs>
              <w:jc w:val="both"/>
              <w:rPr>
                <w:rFonts w:ascii="Times New Roman" w:hAnsi="Times New Roman"/>
                <w:szCs w:val="22"/>
                <w:lang w:val="sq-AL"/>
              </w:rPr>
            </w:pP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Gjate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vitit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2026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j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>anë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zhvilluar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katër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takime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me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përfaqësuesit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e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institucioneve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datat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:  31 Mars 2026,   8 Prill 2026,  9 Prill 2026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dhe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10 Prill 2026.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Gjithashtu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u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zhvillua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një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workshop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për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metodologjinë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e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identifikimit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ndërmjetësave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shërbimeve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si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dhe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paralelisht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zhvilluar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takime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bilaterale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me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institucionet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dhe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konsulentin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e BE-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së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. </w:t>
            </w:r>
          </w:p>
          <w:p w14:paraId="61E7102D" w14:textId="591884A0" w:rsidR="0011644C" w:rsidRPr="00150E6C" w:rsidRDefault="00150E6C" w:rsidP="00150E6C">
            <w:pPr>
              <w:shd w:val="clear" w:color="auto" w:fill="FFFFFF"/>
              <w:tabs>
                <w:tab w:val="left" w:pos="360"/>
              </w:tabs>
              <w:ind w:left="-11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150E6C">
              <w:rPr>
                <w:rFonts w:ascii="Times New Roman" w:hAnsi="Times New Roman"/>
                <w:szCs w:val="22"/>
                <w:lang w:val="sq-AL"/>
              </w:rPr>
              <w:t>N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ë muajin maj 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2026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janë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zhvilluar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tre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tryeza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dialogimi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>/</w:t>
            </w:r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diskutimi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me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shoqërinë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civile,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përfaqësues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të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akademisë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dhe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institucioneve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në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150E6C">
              <w:rPr>
                <w:rFonts w:ascii="Times New Roman" w:hAnsi="Times New Roman"/>
                <w:szCs w:val="22"/>
                <w:lang w:val="sq-AL"/>
              </w:rPr>
              <w:t>datat</w:t>
            </w:r>
            <w:proofErr w:type="spellEnd"/>
            <w:r w:rsidRPr="00150E6C">
              <w:rPr>
                <w:rFonts w:ascii="Times New Roman" w:hAnsi="Times New Roman"/>
                <w:szCs w:val="22"/>
                <w:lang w:val="sq-AL"/>
              </w:rPr>
              <w:t>:  12 Maj 2026,  21 dhe 22 Maj 2026.</w:t>
            </w:r>
          </w:p>
        </w:tc>
        <w:tc>
          <w:tcPr>
            <w:tcW w:w="2851" w:type="dxa"/>
          </w:tcPr>
          <w:p w14:paraId="786489AD" w14:textId="47C29DCB" w:rsidR="00155C01" w:rsidRPr="008C2E21" w:rsidRDefault="00C11488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Ftesa me email</w:t>
            </w:r>
            <w:r w:rsidR="001164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me shkresë zyrtare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2E44F3CF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</w:t>
            </w:r>
            <w:r w:rsidR="00052BD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deri në datën 10.09.2026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, duke filluar nga data </w:t>
            </w:r>
            <w:r w:rsidR="008B6A9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</w:t>
            </w:r>
            <w:r w:rsidR="00D90B8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 Korrik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40366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2026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C065CD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4FC105EE" w:rsidR="00B91600" w:rsidRPr="00445521" w:rsidRDefault="00EB7D73" w:rsidP="004C491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45521" w:rsidRPr="0044552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  Telekomunikacionit dhe Postave.</w:t>
            </w:r>
          </w:p>
          <w:p w14:paraId="2D6A133C" w14:textId="30CAE660" w:rsidR="00097DAE" w:rsidRPr="002E48A8" w:rsidRDefault="00EB7D73" w:rsidP="002E48A8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343CBE37" w14:textId="77777777" w:rsidR="008D2F66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794D81F" w14:textId="4B439348" w:rsidR="002E48A8" w:rsidRPr="00097DAE" w:rsidRDefault="002E48A8" w:rsidP="002E48A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C065CD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C11488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C11488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C5C"/>
    <w:multiLevelType w:val="multilevel"/>
    <w:tmpl w:val="5FD6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35D2A"/>
    <w:multiLevelType w:val="hybridMultilevel"/>
    <w:tmpl w:val="2D80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7"/>
  </w:num>
  <w:num w:numId="5" w16cid:durableId="1515804896">
    <w:abstractNumId w:val="14"/>
  </w:num>
  <w:num w:numId="6" w16cid:durableId="2088727926">
    <w:abstractNumId w:val="11"/>
  </w:num>
  <w:num w:numId="7" w16cid:durableId="2062900052">
    <w:abstractNumId w:val="15"/>
  </w:num>
  <w:num w:numId="8" w16cid:durableId="1402603214">
    <w:abstractNumId w:val="5"/>
  </w:num>
  <w:num w:numId="9" w16cid:durableId="1296762646">
    <w:abstractNumId w:val="12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3"/>
  </w:num>
  <w:num w:numId="15" w16cid:durableId="548612058">
    <w:abstractNumId w:val="2"/>
  </w:num>
  <w:num w:numId="16" w16cid:durableId="279649037">
    <w:abstractNumId w:val="16"/>
  </w:num>
  <w:num w:numId="17" w16cid:durableId="875697730">
    <w:abstractNumId w:val="4"/>
  </w:num>
  <w:num w:numId="18" w16cid:durableId="1934392381">
    <w:abstractNumId w:val="18"/>
  </w:num>
  <w:num w:numId="19" w16cid:durableId="1397581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52BD5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1644C"/>
    <w:rsid w:val="00145B8D"/>
    <w:rsid w:val="00150E6C"/>
    <w:rsid w:val="00155C01"/>
    <w:rsid w:val="00172891"/>
    <w:rsid w:val="0017315C"/>
    <w:rsid w:val="0019195E"/>
    <w:rsid w:val="00193249"/>
    <w:rsid w:val="00194761"/>
    <w:rsid w:val="001A05CF"/>
    <w:rsid w:val="001B0354"/>
    <w:rsid w:val="001D0C8A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16C5"/>
    <w:rsid w:val="002D3DC0"/>
    <w:rsid w:val="002E1E72"/>
    <w:rsid w:val="002E48A8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03663"/>
    <w:rsid w:val="00413ACA"/>
    <w:rsid w:val="004146C4"/>
    <w:rsid w:val="00417A78"/>
    <w:rsid w:val="0042028C"/>
    <w:rsid w:val="00420D14"/>
    <w:rsid w:val="004274ED"/>
    <w:rsid w:val="00441981"/>
    <w:rsid w:val="00445521"/>
    <w:rsid w:val="00464F89"/>
    <w:rsid w:val="004720C4"/>
    <w:rsid w:val="00481152"/>
    <w:rsid w:val="00483750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9A6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36FC0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7E2A9B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651D7"/>
    <w:rsid w:val="008942B5"/>
    <w:rsid w:val="00895DCB"/>
    <w:rsid w:val="00897121"/>
    <w:rsid w:val="008A4647"/>
    <w:rsid w:val="008B06E9"/>
    <w:rsid w:val="008B485C"/>
    <w:rsid w:val="008B6A9E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E0BCA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3F9B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065CD"/>
    <w:rsid w:val="00C11488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0B87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0B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10</cp:revision>
  <cp:lastPrinted>2026-04-17T11:10:00Z</cp:lastPrinted>
  <dcterms:created xsi:type="dcterms:W3CDTF">2026-04-17T09:31:00Z</dcterms:created>
  <dcterms:modified xsi:type="dcterms:W3CDTF">2026-07-23T13:38:00Z</dcterms:modified>
</cp:coreProperties>
</file>