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63D9" w14:textId="77777777" w:rsidR="004F0863" w:rsidRDefault="00B43FD4">
      <w:pPr>
        <w:keepNext/>
        <w:spacing w:after="240" w:line="240" w:lineRule="auto"/>
        <w:jc w:val="center"/>
      </w:pPr>
      <w:r>
        <w:rPr>
          <w:rFonts w:ascii="Times New Roman" w:eastAsia="Times New Roman" w:hAnsi="Times New Roman"/>
          <w:b/>
          <w:color w:val="000000"/>
          <w:sz w:val="28"/>
        </w:rPr>
        <w:t>R E L A C I O N</w:t>
      </w:r>
    </w:p>
    <w:p w14:paraId="7BF251C5" w14:textId="77777777" w:rsidR="004F0863" w:rsidRDefault="00B43FD4">
      <w:pPr>
        <w:keepNext/>
        <w:spacing w:after="240" w:line="240" w:lineRule="auto"/>
        <w:jc w:val="center"/>
      </w:pPr>
      <w:r>
        <w:rPr>
          <w:rFonts w:ascii="Times New Roman" w:eastAsia="Times New Roman" w:hAnsi="Times New Roman"/>
          <w:b/>
          <w:color w:val="000000"/>
          <w:sz w:val="28"/>
        </w:rPr>
        <w:t>PËR</w:t>
      </w:r>
    </w:p>
    <w:p w14:paraId="1A37FFE2" w14:textId="77777777" w:rsidR="004F0863" w:rsidRDefault="00B43FD4">
      <w:pPr>
        <w:keepNext/>
        <w:spacing w:after="160" w:line="240" w:lineRule="auto"/>
        <w:jc w:val="center"/>
      </w:pPr>
      <w:r>
        <w:rPr>
          <w:rFonts w:ascii="Times New Roman" w:eastAsia="Times New Roman" w:hAnsi="Times New Roman"/>
          <w:b/>
          <w:color w:val="000000"/>
          <w:sz w:val="28"/>
        </w:rPr>
        <w:t>PROJEKTVENDIMIN</w:t>
      </w:r>
    </w:p>
    <w:p w14:paraId="71604AC1" w14:textId="16D5EB15" w:rsidR="004F0863" w:rsidRPr="00A52C70" w:rsidRDefault="00B43FD4" w:rsidP="009F754C">
      <w:pPr>
        <w:pStyle w:val="Paragrafi"/>
        <w:ind w:firstLine="0"/>
        <w:rPr>
          <w:lang w:val="sq-AL"/>
        </w:rPr>
      </w:pPr>
      <w:r w:rsidRPr="009D5184">
        <w:rPr>
          <w:rFonts w:ascii="Times New Roman" w:hAnsi="Times New Roman"/>
          <w:b/>
          <w:color w:val="000000"/>
          <w:sz w:val="28"/>
          <w:lang w:val="sq-AL"/>
        </w:rPr>
        <w:t>“</w:t>
      </w:r>
      <w:r w:rsidR="00957088" w:rsidRPr="00D67C20">
        <w:rPr>
          <w:rFonts w:ascii="Times New Roman" w:hAnsi="Times New Roman"/>
          <w:b/>
          <w:sz w:val="24"/>
          <w:szCs w:val="24"/>
          <w:lang w:val="sq-AL"/>
        </w:rPr>
        <w:t xml:space="preserve">MIRATIMIN E METODAVE DHE PROCEDURAVE PËR SIGURIMIN E </w:t>
      </w:r>
      <w:r w:rsidR="00957088" w:rsidRPr="00030BF8">
        <w:rPr>
          <w:rFonts w:ascii="Times New Roman" w:hAnsi="Times New Roman"/>
          <w:b/>
          <w:sz w:val="24"/>
          <w:szCs w:val="24"/>
          <w:lang w:val="sq-AL"/>
        </w:rPr>
        <w:t>GARANCI</w:t>
      </w:r>
      <w:r w:rsidR="00957088" w:rsidRPr="00D67C20">
        <w:rPr>
          <w:rFonts w:ascii="Times New Roman" w:hAnsi="Times New Roman"/>
          <w:b/>
          <w:sz w:val="24"/>
          <w:szCs w:val="24"/>
          <w:lang w:val="sq-AL"/>
        </w:rPr>
        <w:t>VE FINANCIARE PËR KOMPENSIMIN E NJË DËMI TË MUNDSHËM NDAJ MJEDISIT APO PËR ELIMINIMIN E NJË KËRCËNIMI TË PASHMANGSHËM PËR DËME NË MJEDIS.</w:t>
      </w:r>
      <w:r w:rsidR="00957088" w:rsidRPr="00D67C20">
        <w:rPr>
          <w:rFonts w:ascii="Times New Roman" w:hAnsi="Times New Roman"/>
          <w:b/>
          <w:bCs/>
          <w:sz w:val="24"/>
          <w:szCs w:val="24"/>
          <w:lang w:val="sq-AL"/>
        </w:rPr>
        <w:t xml:space="preserve"> </w:t>
      </w:r>
      <w:r w:rsidR="00957088" w:rsidRPr="00030BF8">
        <w:rPr>
          <w:rStyle w:val="FootnoteReference"/>
          <w:rFonts w:ascii="Times New Roman" w:hAnsi="Times New Roman"/>
          <w:b/>
          <w:bCs/>
          <w:sz w:val="24"/>
          <w:szCs w:val="24"/>
          <w:lang w:val="sq-AL"/>
        </w:rPr>
        <w:footnoteReference w:id="1"/>
      </w:r>
      <w:r w:rsidRPr="00A52C70">
        <w:rPr>
          <w:rFonts w:ascii="Times New Roman" w:hAnsi="Times New Roman"/>
          <w:b/>
          <w:color w:val="000000"/>
          <w:sz w:val="28"/>
          <w:lang w:val="sq-AL"/>
        </w:rPr>
        <w:t>”</w:t>
      </w:r>
    </w:p>
    <w:p w14:paraId="1620BD29" w14:textId="1ABE0F58" w:rsidR="004F0863" w:rsidRDefault="00BD6238">
      <w:pPr>
        <w:pStyle w:val="ListParagraph"/>
        <w:keepNext/>
        <w:numPr>
          <w:ilvl w:val="0"/>
          <w:numId w:val="1"/>
        </w:numPr>
        <w:spacing w:before="200" w:after="120"/>
        <w:ind w:left="450" w:hanging="450"/>
        <w:jc w:val="both"/>
      </w:pPr>
      <w:r>
        <w:rPr>
          <w:rFonts w:ascii="Times New Roman" w:eastAsia="Times New Roman" w:hAnsi="Times New Roman"/>
          <w:b/>
          <w:color w:val="000000"/>
          <w:sz w:val="28"/>
        </w:rPr>
        <w:t xml:space="preserve"> </w:t>
      </w:r>
      <w:r w:rsidR="00B43FD4" w:rsidRPr="00BD6238">
        <w:rPr>
          <w:rFonts w:ascii="Times New Roman" w:eastAsia="Times New Roman" w:hAnsi="Times New Roman"/>
          <w:b/>
          <w:color w:val="000000"/>
          <w:sz w:val="28"/>
        </w:rPr>
        <w:t>QËLLIMI I PROJEKTAKTIT DHE OBJEKTIVAT QË SYNOHEN TË ARRIHEN</w:t>
      </w:r>
    </w:p>
    <w:p w14:paraId="23994DE9" w14:textId="24B167C6" w:rsidR="00AA28F2" w:rsidRPr="000F0EBF" w:rsidRDefault="00B43FD4" w:rsidP="00AA28F2">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Ky projektvendim ka për qëllim të përcaktojë metodat dhe procedurat për sigurimin, nëpërmjet garancisë bankare ose kontratës së sigurimit, të fondeve të nevojshme që operatori duhet të vërë paraprakisht në dispozicion për kompensimin e një dëmi të mundshëm në mjedis ose për eliminimin e një kërcënimi të pashmangshëm për dëme në mjedis.</w:t>
      </w:r>
      <w:r w:rsidR="00AA28F2" w:rsidRPr="000F0EBF">
        <w:rPr>
          <w:rFonts w:ascii="Segoe UI" w:eastAsia="Times New Roman" w:hAnsi="Segoe UI" w:cs="Segoe UI"/>
          <w:sz w:val="21"/>
          <w:szCs w:val="21"/>
        </w:rPr>
        <w:t xml:space="preserve"> </w:t>
      </w:r>
      <w:r w:rsidR="00AA28F2" w:rsidRPr="000F0EBF">
        <w:rPr>
          <w:rFonts w:ascii="Times New Roman" w:eastAsia="Times New Roman" w:hAnsi="Times New Roman"/>
          <w:color w:val="000000"/>
          <w:sz w:val="28"/>
        </w:rPr>
        <w:t>Këto instrumente ofrojnë siguri juridike dhe financiare të mjaftueshme për garantimin e disponueshmërisë së fondeve të nevojshme për përballimin e kostove që lidhen me parandalimin, rehabilitimin dhe kompensimin e dëmit në mjedis, duke siguruar njëkohësisht zbatueshmëri praktike dhe aksesueshmëri për operatorët.</w:t>
      </w:r>
    </w:p>
    <w:p w14:paraId="4C605E40" w14:textId="77777777" w:rsidR="004F0863" w:rsidRDefault="00B43FD4" w:rsidP="003E6AC0">
      <w:pPr>
        <w:spacing w:after="120"/>
        <w:jc w:val="both"/>
      </w:pPr>
      <w:r>
        <w:rPr>
          <w:rFonts w:ascii="Times New Roman" w:eastAsia="Times New Roman" w:hAnsi="Times New Roman"/>
          <w:color w:val="000000"/>
          <w:sz w:val="28"/>
        </w:rPr>
        <w:t>Projektvendimi rregullon format e pranueshme të garancisë financiare dhe kushtet minimale të tyre; metodën dhe procedurën për përcaktimin e vlerës së garancisë financiare; si dhe paraqitjen, pranimin, vlefshmërinë, rinovimin, rishikimin dhe ekzekutimin e garancisë financiare.</w:t>
      </w:r>
    </w:p>
    <w:p w14:paraId="280CA088" w14:textId="77777777" w:rsidR="004F0863" w:rsidRDefault="00B43FD4" w:rsidP="003E6AC0">
      <w:pPr>
        <w:spacing w:after="120"/>
        <w:jc w:val="both"/>
      </w:pPr>
      <w:r>
        <w:rPr>
          <w:rFonts w:ascii="Times New Roman" w:eastAsia="Times New Roman" w:hAnsi="Times New Roman"/>
          <w:color w:val="000000"/>
          <w:sz w:val="28"/>
        </w:rPr>
        <w:t xml:space="preserve">Garancia financiare siguron përmbushjen e detyrimeve financiare të operatorit sipas neneve 50 deri në 53 të ligjit nr. 10 431, datë 9.6.2011, “Për </w:t>
      </w:r>
      <w:r>
        <w:rPr>
          <w:rFonts w:ascii="Times New Roman" w:eastAsia="Times New Roman" w:hAnsi="Times New Roman"/>
          <w:color w:val="000000"/>
          <w:sz w:val="28"/>
        </w:rPr>
        <w:lastRenderedPageBreak/>
        <w:t>mbrojtjen e mjedisit”, të ndryshuar, pa zëvendësuar detyrimin parësor të operatorit për marrjen e masave parandaluese dhe rehabilituese.</w:t>
      </w:r>
    </w:p>
    <w:p w14:paraId="07775A33" w14:textId="77777777" w:rsidR="004F0863" w:rsidRDefault="00B43FD4" w:rsidP="003E6AC0">
      <w:pPr>
        <w:spacing w:after="120"/>
        <w:jc w:val="both"/>
      </w:pPr>
      <w:r>
        <w:rPr>
          <w:rFonts w:ascii="Times New Roman" w:eastAsia="Times New Roman" w:hAnsi="Times New Roman"/>
          <w:color w:val="000000"/>
          <w:sz w:val="28"/>
        </w:rPr>
        <w:t>Objektivat kryesore që synohen të arrihen nëpërmjet këtij projektvendimi janë përcaktimi i fushës së zbatimit dhe i detyrimit për garancinë financiare; përcaktimi i formave, kushteve minimale dhe kostove të mbuluara; përcaktimi i vlerës së garancisë financiare për çdo operator, veprimtari dhe vendndodhje; rregullimi i procedurës së paraqitjes, pranimit, vlefshmërisë, rinovimit dhe rishikimit; si dhe rregullimi i ekzekutimit, monitorimit, bashkërendimit me garancitë financiare sektoriale dhe administrimit të regjistrit elektronik.</w:t>
      </w:r>
    </w:p>
    <w:p w14:paraId="08CC135F" w14:textId="791A7923" w:rsidR="004F0863" w:rsidRDefault="00B43FD4">
      <w:pPr>
        <w:pStyle w:val="ListParagraph"/>
        <w:keepNext/>
        <w:numPr>
          <w:ilvl w:val="0"/>
          <w:numId w:val="1"/>
        </w:numPr>
        <w:spacing w:before="200" w:after="120"/>
        <w:ind w:left="90" w:firstLine="0"/>
        <w:jc w:val="both"/>
      </w:pPr>
      <w:r w:rsidRPr="00BD6238">
        <w:rPr>
          <w:rFonts w:ascii="Times New Roman" w:eastAsia="Times New Roman" w:hAnsi="Times New Roman"/>
          <w:b/>
          <w:color w:val="000000"/>
          <w:sz w:val="28"/>
        </w:rPr>
        <w:t>VLERËSIMI I PROJEKTAKTIT NË RAPORT ME PROGRAMIN POLITIK TË KËSHILLIT TË MINISTRAVE, ME PROGRAMIN ANALITIK TË AKTEVE DHE DOKUMENTE TË TJERA POLITIKE</w:t>
      </w:r>
    </w:p>
    <w:p w14:paraId="6BF35A61" w14:textId="77777777" w:rsidR="00845427" w:rsidRDefault="00845427" w:rsidP="003E6AC0">
      <w:pPr>
        <w:spacing w:after="120"/>
        <w:jc w:val="both"/>
        <w:rPr>
          <w:rFonts w:ascii="Times New Roman" w:eastAsia="Times New Roman" w:hAnsi="Times New Roman"/>
          <w:color w:val="000000"/>
          <w:sz w:val="28"/>
        </w:rPr>
      </w:pPr>
    </w:p>
    <w:p w14:paraId="52691372" w14:textId="5A4AD50B" w:rsidR="0011279A" w:rsidRPr="000F0EBF" w:rsidRDefault="00B43FD4" w:rsidP="0011279A">
      <w:pPr>
        <w:spacing w:after="120"/>
        <w:jc w:val="both"/>
        <w:rPr>
          <w:rFonts w:ascii="Times New Roman" w:eastAsia="Times New Roman" w:hAnsi="Times New Roman"/>
          <w:sz w:val="28"/>
          <w:szCs w:val="28"/>
        </w:rPr>
      </w:pPr>
      <w:r>
        <w:rPr>
          <w:rFonts w:ascii="Times New Roman" w:eastAsia="Times New Roman" w:hAnsi="Times New Roman"/>
          <w:color w:val="000000"/>
          <w:sz w:val="28"/>
        </w:rPr>
        <w:t>Ky projektvendim del në zbatim të nenit 100 të Kushtetutës dhe të pikës 2 të nenit 53 të ligjit nr. 10 431, datë 9.6.2011, “Për mbrojtjen e mjedisit”, të ndryshuar, dhe propozohet nga ministri përgjegjës për mjedisin.</w:t>
      </w:r>
      <w:r w:rsidR="000A1321" w:rsidRPr="000F0EBF">
        <w:rPr>
          <w:rFonts w:ascii="Times New Roman" w:eastAsia="Times New Roman" w:hAnsi="Times New Roman"/>
          <w:color w:val="000000"/>
          <w:sz w:val="28"/>
        </w:rPr>
        <w:t xml:space="preserve"> </w:t>
      </w:r>
      <w:r w:rsidR="00344674" w:rsidRPr="000F0EBF">
        <w:rPr>
          <w:rFonts w:ascii="Times New Roman" w:eastAsia="Times New Roman" w:hAnsi="Times New Roman"/>
          <w:color w:val="000000"/>
          <w:sz w:val="28"/>
        </w:rPr>
        <w:t>P</w:t>
      </w:r>
      <w:r w:rsidR="000A1321" w:rsidRPr="000F0EBF">
        <w:rPr>
          <w:rFonts w:ascii="Times New Roman" w:eastAsia="Times New Roman" w:hAnsi="Times New Roman"/>
          <w:color w:val="000000"/>
          <w:sz w:val="28"/>
        </w:rPr>
        <w:t>rojektvendim nuk është parashikuar në Programin e Përgjithshëm Analitik të Projektakteve për vitin 2026.</w:t>
      </w:r>
      <w:r w:rsidR="0011279A" w:rsidRPr="000F0EBF">
        <w:rPr>
          <w:rFonts w:ascii="Times New Roman" w:eastAsia="Times New Roman" w:hAnsi="Times New Roman"/>
          <w:color w:val="000000"/>
          <w:sz w:val="28"/>
        </w:rPr>
        <w:t xml:space="preserve"> Megjithatë</w:t>
      </w:r>
      <w:r w:rsidR="0011279A" w:rsidRPr="000F0EBF">
        <w:rPr>
          <w:rFonts w:ascii="Times New Roman" w:eastAsia="Times New Roman" w:hAnsi="Times New Roman"/>
          <w:sz w:val="28"/>
          <w:szCs w:val="28"/>
        </w:rPr>
        <w:t>, hartimi i tij është i nevojshëm për vënien në zbatim të autorizimit të parashikuar në nenin 53 të ligjit nr. 10 431, datë 9.6.2011, “Për mbrojtjen e mjedisit”, të ndryshuar, i cili deri më sot nuk është zbatuar përmes miratimit të akteve nënligjore përkatëse.</w:t>
      </w:r>
    </w:p>
    <w:p w14:paraId="180FE9DF" w14:textId="241BD1C2" w:rsidR="004F0863" w:rsidRDefault="004F0863" w:rsidP="003E6AC0">
      <w:pPr>
        <w:spacing w:after="120"/>
        <w:jc w:val="both"/>
      </w:pPr>
    </w:p>
    <w:p w14:paraId="51105EF7" w14:textId="71DF3B23" w:rsidR="004F0863" w:rsidRDefault="00B43FD4">
      <w:pPr>
        <w:keepNext/>
        <w:numPr>
          <w:ilvl w:val="0"/>
          <w:numId w:val="1"/>
        </w:numPr>
        <w:spacing w:before="200" w:after="120"/>
        <w:ind w:left="630" w:firstLine="0"/>
        <w:jc w:val="both"/>
      </w:pPr>
      <w:r>
        <w:rPr>
          <w:rFonts w:ascii="Times New Roman" w:eastAsia="Times New Roman" w:hAnsi="Times New Roman"/>
          <w:b/>
          <w:color w:val="000000"/>
          <w:sz w:val="28"/>
        </w:rPr>
        <w:t>ARGUMENTIMI I PROJEKTAKTIT LIDHUR ME PËRPARËSITË, PROBLEMATIKAT, EFEKTET E PRITSHME</w:t>
      </w:r>
    </w:p>
    <w:p w14:paraId="7307937C" w14:textId="77777777" w:rsidR="00845427" w:rsidRDefault="00845427" w:rsidP="003E6AC0">
      <w:pPr>
        <w:spacing w:after="120"/>
        <w:jc w:val="both"/>
        <w:rPr>
          <w:rFonts w:ascii="Times New Roman" w:eastAsia="Times New Roman" w:hAnsi="Times New Roman"/>
          <w:color w:val="000000"/>
          <w:sz w:val="28"/>
        </w:rPr>
      </w:pPr>
    </w:p>
    <w:p w14:paraId="7C1809A3" w14:textId="23905487" w:rsidR="004F0863" w:rsidRDefault="00B43FD4" w:rsidP="003E6AC0">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 xml:space="preserve">Projektvendimi përcakton se detyrimi për garancinë financiare zbatohet për çdo operator që kryen cilëndo nga veprimtaritë e përfshira në listën e miratuar me vendim të Këshillit të Ministrave në zbatim të shkronjës “a” të pikës 3 të nenit 50 të ligjit nr. 10 431, datë 9.6.2011, “Për mbrojtjen e mjedisit”, të ndryshuar. Detyrimi lind nga përfshirja e veprimtarisë në këtë </w:t>
      </w:r>
      <w:r>
        <w:rPr>
          <w:rFonts w:ascii="Times New Roman" w:eastAsia="Times New Roman" w:hAnsi="Times New Roman"/>
          <w:color w:val="000000"/>
          <w:sz w:val="28"/>
        </w:rPr>
        <w:lastRenderedPageBreak/>
        <w:t>listë dhe nuk kushtëzohet nga një klasifikim tjetër i operatorit ose i veprimtarisë sipas nivelit të rrezikut. Për operatorët që kryejnë veprimtari jashtë kësaj liste nuk krijohet detyrim për garanci financiare, pa cenuar përgjegjësinë e tyre sipas shkronjës “b” të pikës 2 të nenit 50 të të njëjtit ligj.</w:t>
      </w:r>
    </w:p>
    <w:p w14:paraId="40A6083D" w14:textId="37504D53" w:rsidR="00915E55" w:rsidRDefault="00D23336" w:rsidP="003E6AC0">
      <w:pPr>
        <w:spacing w:after="120"/>
        <w:jc w:val="both"/>
        <w:rPr>
          <w:rFonts w:ascii="Times New Roman" w:eastAsia="Times New Roman" w:hAnsi="Times New Roman"/>
          <w:color w:val="000000"/>
          <w:sz w:val="28"/>
        </w:rPr>
      </w:pPr>
      <w:r w:rsidRPr="00F82AEB">
        <w:rPr>
          <w:rFonts w:ascii="Times New Roman" w:eastAsia="Times New Roman" w:hAnsi="Times New Roman"/>
          <w:color w:val="000000"/>
          <w:sz w:val="28"/>
        </w:rPr>
        <w:t>Tabela e Përputhshmërisë (T</w:t>
      </w:r>
      <w:r w:rsidR="00B65D5F">
        <w:rPr>
          <w:rFonts w:ascii="Times New Roman" w:eastAsia="Times New Roman" w:hAnsi="Times New Roman"/>
          <w:color w:val="000000"/>
          <w:sz w:val="28"/>
        </w:rPr>
        <w:t>o</w:t>
      </w:r>
      <w:r w:rsidRPr="00F82AEB">
        <w:rPr>
          <w:rFonts w:ascii="Times New Roman" w:eastAsia="Times New Roman" w:hAnsi="Times New Roman"/>
          <w:color w:val="000000"/>
          <w:sz w:val="28"/>
        </w:rPr>
        <w:t>C) është hartuar fillimisht për të gjithë Direktivën 2004/35/KE për Përgjegjësinë Mjedisore, duke përfshirë të gjitha dispozitat e saj. Mbi bazën e kësaj T</w:t>
      </w:r>
      <w:r w:rsidR="00B65D5F">
        <w:rPr>
          <w:rFonts w:ascii="Times New Roman" w:eastAsia="Times New Roman" w:hAnsi="Times New Roman"/>
          <w:color w:val="000000"/>
          <w:sz w:val="28"/>
        </w:rPr>
        <w:t>o</w:t>
      </w:r>
      <w:r w:rsidRPr="00F82AEB">
        <w:rPr>
          <w:rFonts w:ascii="Times New Roman" w:eastAsia="Times New Roman" w:hAnsi="Times New Roman"/>
          <w:color w:val="000000"/>
          <w:sz w:val="28"/>
        </w:rPr>
        <w:t>C-je të përgjithshme janë hartuar tabelat e veçanta të përputhshmërisë (T</w:t>
      </w:r>
      <w:r w:rsidR="00B65D5F">
        <w:rPr>
          <w:rFonts w:ascii="Times New Roman" w:eastAsia="Times New Roman" w:hAnsi="Times New Roman"/>
          <w:color w:val="000000"/>
          <w:sz w:val="28"/>
        </w:rPr>
        <w:t>o</w:t>
      </w:r>
      <w:r w:rsidRPr="00F82AEB">
        <w:rPr>
          <w:rFonts w:ascii="Times New Roman" w:eastAsia="Times New Roman" w:hAnsi="Times New Roman"/>
          <w:color w:val="000000"/>
          <w:sz w:val="28"/>
        </w:rPr>
        <w:t>C) për secilin akt nënligjor të përgatitur në zbatim të direktivës, përkatësisht: Projektvendimin e Këshillit të Ministrave "Për listën e veprimtarive të konsideruara si të rrezikshme për mjedisin",</w:t>
      </w:r>
      <w:r w:rsidR="000E6CCC">
        <w:rPr>
          <w:rFonts w:ascii="Times New Roman" w:eastAsia="Times New Roman" w:hAnsi="Times New Roman"/>
          <w:color w:val="000000"/>
          <w:sz w:val="28"/>
        </w:rPr>
        <w:t xml:space="preserve"> </w:t>
      </w:r>
      <w:r w:rsidRPr="00F82AEB">
        <w:rPr>
          <w:rFonts w:ascii="Times New Roman" w:eastAsia="Times New Roman" w:hAnsi="Times New Roman"/>
          <w:color w:val="000000"/>
          <w:sz w:val="28"/>
        </w:rPr>
        <w:t>Projektvendimin e Këshillit të Ministrave "Për kriteret për vlerësimin e kërcënimeve të mundshme dhe përcaktimin e dëmit mjedisor", Projektvendimin e Këshillit të Ministrave "</w:t>
      </w:r>
      <w:r w:rsidR="00F82AEB">
        <w:rPr>
          <w:rFonts w:ascii="Times New Roman" w:eastAsia="Times New Roman" w:hAnsi="Times New Roman"/>
          <w:color w:val="000000"/>
          <w:sz w:val="28"/>
        </w:rPr>
        <w:t>P</w:t>
      </w:r>
      <w:r w:rsidR="007476C9">
        <w:rPr>
          <w:rFonts w:ascii="Times New Roman" w:eastAsia="Times New Roman" w:hAnsi="Times New Roman"/>
          <w:color w:val="000000"/>
          <w:sz w:val="28"/>
        </w:rPr>
        <w:t>ë</w:t>
      </w:r>
      <w:r w:rsidR="00F82AEB">
        <w:rPr>
          <w:rFonts w:ascii="Times New Roman" w:eastAsia="Times New Roman" w:hAnsi="Times New Roman"/>
          <w:color w:val="000000"/>
          <w:sz w:val="28"/>
        </w:rPr>
        <w:t xml:space="preserve">r </w:t>
      </w:r>
      <w:r w:rsidR="00F82AEB" w:rsidRPr="00F82AEB">
        <w:rPr>
          <w:rFonts w:ascii="Times New Roman" w:eastAsia="Times New Roman" w:hAnsi="Times New Roman"/>
          <w:color w:val="000000"/>
          <w:sz w:val="28"/>
        </w:rPr>
        <w:t>miratimin e metodave dhe procedurave për sigurimin e garancive financiare për kompensimin e një dëmi të mundshëm ndaj mjedisit apo për eliminimin e një kërcënimi të pashmangshëm për dëme në mjedis</w:t>
      </w:r>
      <w:r w:rsidRPr="00F82AEB">
        <w:rPr>
          <w:rFonts w:ascii="Times New Roman" w:eastAsia="Times New Roman" w:hAnsi="Times New Roman"/>
          <w:color w:val="000000"/>
          <w:sz w:val="28"/>
        </w:rPr>
        <w:t>", Projekturdhrin e Ministrit "Për përcaktimin e masave për rehabilitimin e mjedisit të dëmtuar". Si rrjedhojë, secil</w:t>
      </w:r>
      <w:r w:rsidR="00B65D5F">
        <w:rPr>
          <w:rFonts w:ascii="Times New Roman" w:eastAsia="Times New Roman" w:hAnsi="Times New Roman"/>
          <w:color w:val="000000"/>
          <w:sz w:val="28"/>
        </w:rPr>
        <w:t xml:space="preserve">a </w:t>
      </w:r>
      <w:r w:rsidRPr="00F82AEB">
        <w:rPr>
          <w:rFonts w:ascii="Times New Roman" w:eastAsia="Times New Roman" w:hAnsi="Times New Roman"/>
          <w:color w:val="000000"/>
          <w:sz w:val="28"/>
        </w:rPr>
        <w:t>T</w:t>
      </w:r>
      <w:r w:rsidR="00B65D5F">
        <w:rPr>
          <w:rFonts w:ascii="Times New Roman" w:eastAsia="Times New Roman" w:hAnsi="Times New Roman"/>
          <w:color w:val="000000"/>
          <w:sz w:val="28"/>
        </w:rPr>
        <w:t>o</w:t>
      </w:r>
      <w:r w:rsidRPr="00F82AEB">
        <w:rPr>
          <w:rFonts w:ascii="Times New Roman" w:eastAsia="Times New Roman" w:hAnsi="Times New Roman"/>
          <w:color w:val="000000"/>
          <w:sz w:val="28"/>
        </w:rPr>
        <w:t>C përmban vetëm dispozitat e Direktivës 2004/35/KE që rregullohen nga akti përkatës.</w:t>
      </w:r>
    </w:p>
    <w:p w14:paraId="58576032" w14:textId="77777777" w:rsidR="004C2B36" w:rsidRPr="000F0EBF" w:rsidRDefault="004C2B36" w:rsidP="004C2B36">
      <w:pPr>
        <w:spacing w:after="120"/>
        <w:jc w:val="both"/>
        <w:rPr>
          <w:rFonts w:ascii="Times New Roman" w:eastAsia="Times New Roman" w:hAnsi="Times New Roman"/>
          <w:color w:val="000000"/>
          <w:sz w:val="28"/>
        </w:rPr>
      </w:pPr>
      <w:r w:rsidRPr="000F0EBF">
        <w:rPr>
          <w:rFonts w:ascii="Times New Roman" w:eastAsia="Times New Roman" w:hAnsi="Times New Roman"/>
          <w:color w:val="000000"/>
          <w:sz w:val="28"/>
        </w:rPr>
        <w:t>Nevoja për miratimin e këtij projektvendimi lidhet me mungesën e një mekanizmi të posaçëm që siguron paraprakisht disponueshmërinë e fondeve të nevojshme për përballimin e kostove që lidhen me dëmet në mjedis ose me kërcënimin e pashmangshëm për dëme të tilla. Mungesa e rregullave të detajuara për format e garancive financiare, mënyrën e përcaktimit të vlerës së tyre dhe procedurat e administrimit të tyre mund të krijojë vështirësi në zbatimin efektiv të parimit “ndotësi paguan” dhe në mbulimin në kohë të kostove të masave parandaluese, rehabilituese dhe kompensuese.</w:t>
      </w:r>
    </w:p>
    <w:p w14:paraId="41369F3C" w14:textId="77777777" w:rsidR="004F0863" w:rsidRDefault="00B43FD4" w:rsidP="003E6AC0">
      <w:pPr>
        <w:spacing w:after="120"/>
        <w:jc w:val="both"/>
      </w:pPr>
      <w:r>
        <w:rPr>
          <w:rFonts w:ascii="Times New Roman" w:eastAsia="Times New Roman" w:hAnsi="Times New Roman"/>
          <w:color w:val="000000"/>
          <w:sz w:val="28"/>
        </w:rPr>
        <w:t>Operatori duhet të sigurojë një garanci financiare të vlefshme përpara fillimit të veprimtarisë dhe ta mbajë atë pa ndërprerje gjatë gjithë periudhës së përcaktuar nga AKM-ja. Garancia identifikon operatorin, veprimtarinë dhe vendndodhjen që mbulon. Të gjitha shpenzimet për sigurimin dhe mbajtjen e saj përballohen nga operatori, ndërsa vlera e garancisë nuk përbën kufi të përgjegjësisë së tij.</w:t>
      </w:r>
    </w:p>
    <w:p w14:paraId="59ED9DBF" w14:textId="3ACDEB31" w:rsidR="004F0863" w:rsidRDefault="00B43FD4" w:rsidP="003E6AC0">
      <w:pPr>
        <w:spacing w:after="120"/>
        <w:jc w:val="both"/>
      </w:pPr>
      <w:r>
        <w:rPr>
          <w:rFonts w:ascii="Times New Roman" w:eastAsia="Times New Roman" w:hAnsi="Times New Roman"/>
          <w:color w:val="000000"/>
          <w:sz w:val="28"/>
        </w:rPr>
        <w:lastRenderedPageBreak/>
        <w:t>Projektvendimi përcakton kushtet minimale të garancisë financiare, kostot që mbulohen dhe rastet që nuk mbulohen. Brenda vlerës së miratuar, mbulohen kostot e vlerësimit të kërcënimit dhe të dëmit në mjedis, masat parandaluese, kontrolli dhe menaxhimi i faktorëve që kanë shkaktuar dëmin, masat rehabilituese, kompensimi kur rehabilitimi dhe kthimi i mjedisit në gjendjen e mëparshme është i pamundur, si dhe zbatimi i masave nga AKM-ja</w:t>
      </w:r>
      <w:r w:rsidR="005912CF">
        <w:rPr>
          <w:rFonts w:ascii="Times New Roman" w:eastAsia="Times New Roman" w:hAnsi="Times New Roman"/>
          <w:color w:val="000000"/>
          <w:sz w:val="28"/>
        </w:rPr>
        <w:t>.</w:t>
      </w:r>
    </w:p>
    <w:p w14:paraId="0BC985AD" w14:textId="77777777" w:rsidR="004F0863" w:rsidRDefault="00B43FD4" w:rsidP="003E6AC0">
      <w:pPr>
        <w:spacing w:after="120"/>
        <w:jc w:val="both"/>
      </w:pPr>
      <w:r>
        <w:rPr>
          <w:rFonts w:ascii="Times New Roman" w:eastAsia="Times New Roman" w:hAnsi="Times New Roman"/>
          <w:color w:val="000000"/>
          <w:sz w:val="28"/>
        </w:rPr>
        <w:t>Vlera e garancisë financiare përcaktohet nga AKM-ja për çdo operator, veprimtari dhe vendndodhje, me vendim të arsyetuar, mbi bazën e vlerësimit të rrezikut dhe preventivit të kostove. Vlera nuk mund të jetë më e ulët se kostoja e plotë e vlerësuar e masave dhe e kompensimit që mund të kërkohen njëkohësisht për skenarin më të rëndë të parashikueshëm në mënyrë të arsyeshme, pa llogaritur dy herë të njëjtën kosto.</w:t>
      </w:r>
    </w:p>
    <w:p w14:paraId="4D19F6CB" w14:textId="77777777" w:rsidR="004F0863" w:rsidRDefault="00B43FD4" w:rsidP="003E6AC0">
      <w:pPr>
        <w:spacing w:after="120"/>
        <w:jc w:val="both"/>
      </w:pPr>
      <w:r>
        <w:rPr>
          <w:rFonts w:ascii="Times New Roman" w:eastAsia="Times New Roman" w:hAnsi="Times New Roman"/>
          <w:color w:val="000000"/>
          <w:sz w:val="28"/>
        </w:rPr>
        <w:t>Efektet e parashikuara në projektvendim lidhen me mbajtjen e garancisë financiare të vlefshme, rishikimin e vlerës dhe të mbulimit kur ndryshojnë rreziku ose kostot, ekzekutimin e saj kur operatori nuk përmbush detyrimet, monitorimin e përmbushjes së detyrimit, bashkërendimin me garancitë financiare sektoriale dhe administrimin e regjistrit elektronik të garancive financiare.</w:t>
      </w:r>
    </w:p>
    <w:p w14:paraId="781DA561" w14:textId="77777777" w:rsidR="004F0863" w:rsidRDefault="00B43FD4">
      <w:pPr>
        <w:keepNext/>
        <w:numPr>
          <w:ilvl w:val="0"/>
          <w:numId w:val="1"/>
        </w:numPr>
        <w:spacing w:before="200" w:after="120"/>
        <w:ind w:left="540" w:hanging="450"/>
        <w:jc w:val="both"/>
      </w:pPr>
      <w:r>
        <w:rPr>
          <w:rFonts w:ascii="Times New Roman" w:eastAsia="Times New Roman" w:hAnsi="Times New Roman"/>
          <w:b/>
          <w:color w:val="000000"/>
          <w:sz w:val="28"/>
        </w:rPr>
        <w:t>VLERËSIMI I LIGJSHMËRISË, KUSHTETUTSHMËRISË DHE HARMONIZIMI ME LEGJISLACIONIN NË FUQI VENDAS E NDËRKOMBËTAR</w:t>
      </w:r>
    </w:p>
    <w:p w14:paraId="1F6C8129" w14:textId="77777777" w:rsidR="00BD6238" w:rsidRDefault="00BD6238" w:rsidP="003E6AC0">
      <w:pPr>
        <w:spacing w:after="120"/>
        <w:jc w:val="both"/>
        <w:rPr>
          <w:rFonts w:ascii="Times New Roman" w:eastAsia="Times New Roman" w:hAnsi="Times New Roman"/>
          <w:color w:val="000000"/>
          <w:sz w:val="28"/>
        </w:rPr>
      </w:pPr>
    </w:p>
    <w:p w14:paraId="620799C7" w14:textId="22ED5F7B" w:rsidR="00FD219F" w:rsidRPr="000F0EBF" w:rsidRDefault="00B43FD4" w:rsidP="003E6AC0">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Projektvendimi mbështetet në nenin 100 të Kushtetutës dhe në pikën 2 të nenit 53 të ligjit nr. 10 431, datë 9.6.2011, “Për mbrojtjen e mjedisit”, të ndryshuar.</w:t>
      </w:r>
      <w:r w:rsidR="00FD219F" w:rsidRPr="000F0EBF">
        <w:rPr>
          <w:rFonts w:ascii="Segoe UI" w:eastAsia="Times New Roman" w:hAnsi="Segoe UI" w:cs="Segoe UI"/>
          <w:sz w:val="21"/>
          <w:szCs w:val="21"/>
        </w:rPr>
        <w:t xml:space="preserve"> </w:t>
      </w:r>
      <w:r w:rsidR="00FD219F" w:rsidRPr="000F0EBF">
        <w:rPr>
          <w:rFonts w:ascii="Times New Roman" w:eastAsia="Times New Roman" w:hAnsi="Times New Roman"/>
          <w:color w:val="000000"/>
          <w:sz w:val="28"/>
        </w:rPr>
        <w:t xml:space="preserve">Projektvendimi është gjithashtu në përputhje me frymën dhe objektivat e Direktivës 2004/35/EC të Parlamentit Evropian dhe të Këshillit, datë 21 prill 2004, “Mbi përgjegjësinë mjedisore në lidhje me parandalimin dhe riparimin e dëmit mjedisor”, e cila nxit përdorimin e instrumenteve financiare dhe mekanizmave të garancisë financiare për mbështetjen e regjimit të përgjegjësisë mjedisore. Në këtë kuadër, projektvendimi kontribuon në forcimin e parimit “ndotësi paguan” dhe në garantimin e </w:t>
      </w:r>
      <w:r w:rsidR="00FD219F" w:rsidRPr="000F0EBF">
        <w:rPr>
          <w:rFonts w:ascii="Times New Roman" w:eastAsia="Times New Roman" w:hAnsi="Times New Roman"/>
          <w:color w:val="000000"/>
          <w:sz w:val="28"/>
        </w:rPr>
        <w:lastRenderedPageBreak/>
        <w:t>burimeve financiare të nevojshme për marrjen e masave parandaluese, rehabilituese dhe kompensuese në rast të dëmtimit të mjedisit.</w:t>
      </w:r>
    </w:p>
    <w:p w14:paraId="16D853CB" w14:textId="12700CC8" w:rsidR="003E0299" w:rsidRPr="000F0EBF" w:rsidRDefault="003E0299" w:rsidP="003E0299">
      <w:pPr>
        <w:spacing w:after="120"/>
        <w:jc w:val="both"/>
        <w:rPr>
          <w:rFonts w:ascii="Times New Roman" w:eastAsia="Times New Roman" w:hAnsi="Times New Roman"/>
          <w:color w:val="000000"/>
          <w:sz w:val="28"/>
        </w:rPr>
      </w:pPr>
      <w:r w:rsidRPr="000F0EBF">
        <w:rPr>
          <w:rFonts w:ascii="Times New Roman" w:eastAsia="Times New Roman" w:hAnsi="Times New Roman"/>
          <w:color w:val="000000"/>
          <w:sz w:val="28"/>
        </w:rPr>
        <w:t xml:space="preserve">Projektvendimi </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sht</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 xml:space="preserve"> n</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 xml:space="preserve"> harmonizim edhe me </w:t>
      </w:r>
      <w:r w:rsidRPr="000F0EBF">
        <w:rPr>
          <w:rFonts w:ascii="Times New Roman" w:eastAsia="Times New Roman" w:hAnsi="Times New Roman"/>
          <w:color w:val="000000"/>
          <w:sz w:val="28"/>
        </w:rPr>
        <w:t>legjislacionin në fuqi në fushën e veprimtarisë bankare dhe të sigurimeve, pasi parashikon përdorimin e garancisë bankare dhe kontratës së sigurimit si forma të pranueshme të garancisë financiare, të ofruara nga subjekte të licencuara ose të autorizuara sipas legjislacionit sektorial.</w:t>
      </w:r>
    </w:p>
    <w:p w14:paraId="17C3AB58" w14:textId="20A3CC13" w:rsidR="004F0863" w:rsidRDefault="00B43FD4">
      <w:pPr>
        <w:keepNext/>
        <w:numPr>
          <w:ilvl w:val="0"/>
          <w:numId w:val="1"/>
        </w:numPr>
        <w:spacing w:before="200" w:after="120"/>
        <w:jc w:val="both"/>
      </w:pPr>
      <w:r>
        <w:rPr>
          <w:rFonts w:ascii="Times New Roman" w:eastAsia="Times New Roman" w:hAnsi="Times New Roman"/>
          <w:b/>
          <w:color w:val="000000"/>
          <w:sz w:val="28"/>
        </w:rPr>
        <w:t>VLERËSIMI I SHKALLËS SË PËRAFRIMIT ME ACQUIS E BE-së (PËR PROJEKTAKTET NORMATIVE)</w:t>
      </w:r>
    </w:p>
    <w:p w14:paraId="3F103E17" w14:textId="347C03A0" w:rsidR="0015244D" w:rsidRPr="000F0EBF" w:rsidRDefault="0015244D" w:rsidP="000F0EBF">
      <w:pPr>
        <w:pStyle w:val="NormalWeb"/>
        <w:spacing w:line="300" w:lineRule="atLeast"/>
        <w:ind w:left="-90"/>
        <w:jc w:val="both"/>
        <w:rPr>
          <w:color w:val="000000"/>
          <w:sz w:val="28"/>
          <w:szCs w:val="22"/>
          <w:lang w:val="sq-AL"/>
        </w:rPr>
      </w:pPr>
      <w:r w:rsidRPr="000F0EBF">
        <w:rPr>
          <w:color w:val="000000"/>
          <w:sz w:val="28"/>
          <w:szCs w:val="22"/>
          <w:lang w:val="sq-AL"/>
        </w:rPr>
        <w:t>Projektvendimi përafron pjesërisht Direktivën 2004/35/EC të Parlamentit Evropian dhe të Këshillit, datë 21 prill 2004, mbi përgjegjësinë mjedisore në lidhje me parandalimin dhe riparimin e dëmit mjedisor.</w:t>
      </w:r>
    </w:p>
    <w:p w14:paraId="6D2ADF9B" w14:textId="77777777" w:rsidR="0015244D" w:rsidRPr="00BD30D0" w:rsidRDefault="0015244D" w:rsidP="00BD30D0">
      <w:pPr>
        <w:spacing w:after="120"/>
        <w:jc w:val="both"/>
        <w:rPr>
          <w:rFonts w:ascii="Times New Roman" w:eastAsia="Times New Roman" w:hAnsi="Times New Roman"/>
          <w:color w:val="000000"/>
          <w:sz w:val="28"/>
        </w:rPr>
      </w:pPr>
      <w:r w:rsidRPr="00BD30D0">
        <w:rPr>
          <w:rFonts w:ascii="Times New Roman" w:eastAsia="Times New Roman" w:hAnsi="Times New Roman"/>
          <w:color w:val="000000"/>
          <w:sz w:val="28"/>
        </w:rPr>
        <w:t>Projektvendimi kontribuon në zbatimin e detyrimeve që lidhen me sigurimin e garancive financiare për mbulimin e kostove të masave parandaluese, rehabilituese dhe kompensuese në rast dëmi në mjedis, në përputhje me frymën dhe objektivat e nenit 14 të Direktivës 2004/35/EC, i cili nxit zhvillimin dhe përdorimin e instrumenteve financiare dhe mekanizmave të garancisë financiare për mbështetjen e regjimit të përgjegjësisë mjedisore.</w:t>
      </w:r>
    </w:p>
    <w:p w14:paraId="0130FD65" w14:textId="4333FCC7" w:rsidR="004F0863" w:rsidRDefault="00B43FD4">
      <w:pPr>
        <w:keepNext/>
        <w:numPr>
          <w:ilvl w:val="0"/>
          <w:numId w:val="1"/>
        </w:numPr>
        <w:spacing w:before="200" w:after="120"/>
        <w:jc w:val="both"/>
      </w:pPr>
      <w:r>
        <w:rPr>
          <w:rFonts w:ascii="Times New Roman" w:eastAsia="Times New Roman" w:hAnsi="Times New Roman"/>
          <w:b/>
          <w:color w:val="000000"/>
          <w:sz w:val="28"/>
        </w:rPr>
        <w:t>PËRMBLEDHJE SHPJEGUESE E PËRMBAJTJES SË PROJEKTAKTIT</w:t>
      </w:r>
    </w:p>
    <w:p w14:paraId="591888B5"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Projektvendimi është i strukturuar në pesë krerë dhe rregullon metodat dhe procedurat për sigurimin e garancive financiare për kompensimin e një dëmi të mundshëm ndaj mjedisit ose për eliminimin e një kërcënimi të pashmangshëm për dëme në mjedis.</w:t>
      </w:r>
    </w:p>
    <w:p w14:paraId="1D416963"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 “Dispozita të përgjithshme”, përmban nenet 1 deri në 3 dhe përcakton objektin e vendimit, fushën e zbatimit dhe përkufizimet kryesore. Në këtë kre përcaktohen metodat dhe procedurat për sigurimin e fondeve të nevojshme nëpërmjet garancisë bankare ose kontratës së sigurimit, operatorët dhe veprimtaritë ndaj të cilëve zbatohet vendimi, si dhe përkufizimet e termave kryesorë që përdoren në akt.</w:t>
      </w:r>
    </w:p>
    <w:p w14:paraId="7174C870"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 xml:space="preserve">Kreu II “Garancia financiare”, përmban nenet 4 deri në 8 dhe rregullon detyrimin për vendosjen e garancisë financiare, format e pranueshme të saj, </w:t>
      </w:r>
      <w:r w:rsidRPr="000F0EBF">
        <w:rPr>
          <w:color w:val="000000"/>
          <w:sz w:val="28"/>
          <w:szCs w:val="22"/>
          <w:lang w:val="sq-AL"/>
        </w:rPr>
        <w:lastRenderedPageBreak/>
        <w:t>kushtet minimale që duhet të plotësojë, kostot që mbulohen nga garancia financiare, si dhe metodën për përcaktimin e vlerës së saj.</w:t>
      </w:r>
    </w:p>
    <w:p w14:paraId="283A69D9"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III “Procedura e përcaktimit, pranimit dhe rishikimit”, përmban nenet 9 deri në 12 dhe përcakton procedurat që ndiqen nga Agjencia Kombëtare e Mjedisit për përcaktimin e vlerës së garancisë financiare, paraqitjen dhe pranimin e saj, vlefshmërinë dhe vazhdimësinë e garancisë financiare, si dhe rastet dhe procedurat për rishikimin e vlerës dhe të mbulimit të saj.</w:t>
      </w:r>
    </w:p>
    <w:p w14:paraId="63FB78BB"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IV “Ekzekutimi, monitorimi dhe bashkërendimi”, përmban nenet 13 deri në 16 dhe përcakton rregullat për ekzekutimin e garancisë financiare, monitorimin e përmbushjes së detyrimeve nga operatorët, bashkërendimin me garancitë financiare sektoriale, si dhe krijimin dhe administrimin e regjistrit elektronik të garancive financiare nga Agjencia Kombëtare e Mjedisit.</w:t>
      </w:r>
    </w:p>
    <w:p w14:paraId="4153820A"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V “Dispozita kalimtare dhe të fundit”, përmban nenet 17 deri në 19 dhe parashikon afatet kalimtare për operatorët ekzistues, institucionet përgjegjëse për zbatimin e vendimit, si dhe hyrjen në fuqi të tij.</w:t>
      </w:r>
    </w:p>
    <w:p w14:paraId="2A607FD5" w14:textId="79FF8A9D" w:rsidR="004F0863" w:rsidRDefault="00B43FD4">
      <w:pPr>
        <w:keepNext/>
        <w:numPr>
          <w:ilvl w:val="0"/>
          <w:numId w:val="1"/>
        </w:numPr>
        <w:spacing w:before="200" w:after="120"/>
        <w:jc w:val="both"/>
      </w:pPr>
      <w:r>
        <w:rPr>
          <w:rFonts w:ascii="Times New Roman" w:eastAsia="Times New Roman" w:hAnsi="Times New Roman"/>
          <w:b/>
          <w:color w:val="000000"/>
          <w:sz w:val="28"/>
        </w:rPr>
        <w:t>INSTITUCIONET DHE ORGANET QË NGARKOHEN PËR ZBATIMIN E AKTIT</w:t>
      </w:r>
    </w:p>
    <w:p w14:paraId="463F836D" w14:textId="52566230" w:rsidR="005F34D4" w:rsidRPr="000F0EBF" w:rsidRDefault="00B43FD4" w:rsidP="005F34D4">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Për zbatimin e këtij vendimi ngarkohen ministria përgjegjëse për mjedisin, Ministria e Financave, Agjencia Kombëtare e Mjedisit dhe struktura përgjegjëse inspektuese në fushën e mjedisit.</w:t>
      </w:r>
      <w:r w:rsidR="005F34D4" w:rsidRPr="000F0EBF">
        <w:rPr>
          <w:rFonts w:ascii="Segoe UI" w:eastAsia="Times New Roman" w:hAnsi="Segoe UI" w:cs="Segoe UI"/>
          <w:sz w:val="21"/>
          <w:szCs w:val="21"/>
        </w:rPr>
        <w:t xml:space="preserve"> </w:t>
      </w:r>
      <w:r w:rsidR="005F34D4" w:rsidRPr="000F0EBF">
        <w:rPr>
          <w:rFonts w:ascii="Times New Roman" w:eastAsia="Times New Roman" w:hAnsi="Times New Roman"/>
          <w:color w:val="000000"/>
          <w:sz w:val="28"/>
        </w:rPr>
        <w:t>Ministria përgjegjëse për mjedisin mbikëqyr zbatimin e kuadrit rregullator në fushën e garancive financiare për përgjegjësinë mjedisore, ndërsa Agjencia Kombëtare e Mjedisit është institucioni përgjegjës për përcaktimin, pranimin, rishikimin, monitorimin dhe administrimin e garancive financiare, në përputhje me dispozitat e këtij vendimi. Struktura përgjegjëse inspektuese në fushën e mjedisit kontrollon përmbushjen e detyrimeve të operatorëve sipas kompetencave të saj ligjore</w:t>
      </w:r>
      <w:r w:rsidR="001C7422">
        <w:rPr>
          <w:rFonts w:ascii="Times New Roman" w:eastAsia="Times New Roman" w:hAnsi="Times New Roman"/>
          <w:color w:val="000000"/>
          <w:sz w:val="28"/>
        </w:rPr>
        <w:t xml:space="preserve"> </w:t>
      </w:r>
      <w:r w:rsidR="001C7422" w:rsidRPr="000F0EBF">
        <w:rPr>
          <w:rFonts w:ascii="Times New Roman" w:eastAsia="Times New Roman" w:hAnsi="Times New Roman"/>
          <w:color w:val="000000"/>
          <w:sz w:val="28"/>
        </w:rPr>
        <w:t>dh</w:t>
      </w:r>
      <w:r w:rsidR="001C7422">
        <w:rPr>
          <w:rFonts w:ascii="Times New Roman" w:eastAsia="Times New Roman" w:hAnsi="Times New Roman"/>
          <w:color w:val="000000"/>
          <w:sz w:val="28"/>
        </w:rPr>
        <w:t>e</w:t>
      </w:r>
      <w:r w:rsidR="005F34D4" w:rsidRPr="000F0EBF">
        <w:rPr>
          <w:rFonts w:ascii="Times New Roman" w:eastAsia="Times New Roman" w:hAnsi="Times New Roman"/>
          <w:color w:val="000000"/>
          <w:sz w:val="28"/>
        </w:rPr>
        <w:t xml:space="preserve"> Ministria e Financave ushtron kompetencat e saj në rastet dhe sipas procedurave të parashikuara nga legjislacioni </w:t>
      </w:r>
      <w:r w:rsidR="001C7422">
        <w:rPr>
          <w:rFonts w:ascii="Times New Roman" w:eastAsia="Times New Roman" w:hAnsi="Times New Roman"/>
          <w:color w:val="000000"/>
          <w:sz w:val="28"/>
        </w:rPr>
        <w:t xml:space="preserve">sektorial </w:t>
      </w:r>
      <w:r w:rsidR="005F34D4" w:rsidRPr="000F0EBF">
        <w:rPr>
          <w:rFonts w:ascii="Times New Roman" w:eastAsia="Times New Roman" w:hAnsi="Times New Roman"/>
          <w:color w:val="000000"/>
          <w:sz w:val="28"/>
        </w:rPr>
        <w:t>në fuqi.</w:t>
      </w:r>
    </w:p>
    <w:p w14:paraId="5314E8D1" w14:textId="0DA1B7E7" w:rsidR="004F0863" w:rsidRDefault="004F0863" w:rsidP="003E6AC0">
      <w:pPr>
        <w:spacing w:after="120"/>
        <w:jc w:val="both"/>
      </w:pPr>
    </w:p>
    <w:p w14:paraId="64347CFB" w14:textId="30F7A20A" w:rsidR="004F0863" w:rsidRDefault="00B43FD4">
      <w:pPr>
        <w:keepNext/>
        <w:numPr>
          <w:ilvl w:val="0"/>
          <w:numId w:val="1"/>
        </w:numPr>
        <w:spacing w:before="200" w:after="120"/>
        <w:jc w:val="both"/>
      </w:pPr>
      <w:r w:rsidRPr="00025EA2">
        <w:rPr>
          <w:rFonts w:ascii="Times New Roman" w:eastAsia="Times New Roman" w:hAnsi="Times New Roman"/>
          <w:b/>
          <w:color w:val="000000"/>
          <w:sz w:val="28"/>
        </w:rPr>
        <w:lastRenderedPageBreak/>
        <w:t>PERSONAT DHE INSTITUCIONET QË KANË KONTRIBUAR NË HARTIMIN E PROJEKTAKTIT</w:t>
      </w:r>
    </w:p>
    <w:p w14:paraId="61EB4B14" w14:textId="77777777" w:rsidR="00A74C62" w:rsidRDefault="00A74C62" w:rsidP="002F227D">
      <w:pPr>
        <w:spacing w:after="0"/>
        <w:jc w:val="both"/>
        <w:rPr>
          <w:rFonts w:ascii="Times New Roman" w:hAnsi="Times New Roman"/>
          <w:sz w:val="28"/>
          <w:szCs w:val="28"/>
        </w:rPr>
      </w:pPr>
    </w:p>
    <w:p w14:paraId="6CCB2305" w14:textId="3BA57131" w:rsidR="00A74C62" w:rsidRDefault="00A74C62" w:rsidP="00A74C62">
      <w:pPr>
        <w:spacing w:after="0"/>
        <w:jc w:val="both"/>
        <w:rPr>
          <w:rFonts w:ascii="Times New Roman" w:hAnsi="Times New Roman"/>
          <w:sz w:val="28"/>
          <w:szCs w:val="28"/>
        </w:rPr>
      </w:pPr>
      <w:r w:rsidRPr="00A74C62">
        <w:rPr>
          <w:rFonts w:ascii="Times New Roman" w:hAnsi="Times New Roman"/>
          <w:sz w:val="28"/>
          <w:szCs w:val="28"/>
        </w:rPr>
        <w:t>Në hartimin e këtij projekvendimi kanë kontribuar specialistët e Drejtorisë së Programimit dhe Harmonizimit të Kuadrit Rregullator dhe ekspertet e huaj, të cilët kanë bashkëpunuar me Agjenicinë Kombëtare të Mjedisit si institucion zbatuese të këtij vendimi.</w:t>
      </w:r>
    </w:p>
    <w:p w14:paraId="480B5E84" w14:textId="77777777" w:rsidR="00A74C62" w:rsidRPr="00A74C62" w:rsidRDefault="00A74C62" w:rsidP="00A74C62">
      <w:pPr>
        <w:spacing w:after="0"/>
        <w:jc w:val="both"/>
        <w:rPr>
          <w:rFonts w:ascii="Times New Roman" w:hAnsi="Times New Roman"/>
          <w:sz w:val="28"/>
          <w:szCs w:val="28"/>
        </w:rPr>
      </w:pPr>
      <w:r w:rsidRPr="00A74C62">
        <w:rPr>
          <w:rFonts w:ascii="Times New Roman" w:hAnsi="Times New Roman"/>
          <w:sz w:val="28"/>
          <w:szCs w:val="28"/>
        </w:rPr>
        <w:t>Projektvendimi do t’i nënshtrohet procesit të konsultimit publik dhe atij ndërinstitucional me ministritë e linjës.</w:t>
      </w:r>
    </w:p>
    <w:p w14:paraId="578D10D3" w14:textId="77777777" w:rsidR="00A74C62" w:rsidRPr="004F4C16" w:rsidRDefault="00A74C62" w:rsidP="002F227D">
      <w:pPr>
        <w:spacing w:after="0"/>
        <w:jc w:val="both"/>
        <w:rPr>
          <w:rFonts w:ascii="Times New Roman" w:hAnsi="Times New Roman"/>
          <w:sz w:val="28"/>
          <w:szCs w:val="28"/>
        </w:rPr>
      </w:pPr>
    </w:p>
    <w:p w14:paraId="6B8C0650" w14:textId="3A5D173B" w:rsidR="004F0863" w:rsidRDefault="00B43FD4" w:rsidP="0010426C">
      <w:pPr>
        <w:keepNext/>
        <w:numPr>
          <w:ilvl w:val="0"/>
          <w:numId w:val="1"/>
        </w:numPr>
        <w:spacing w:before="200" w:after="120"/>
        <w:jc w:val="both"/>
      </w:pPr>
      <w:r>
        <w:rPr>
          <w:rFonts w:ascii="Times New Roman" w:eastAsia="Times New Roman" w:hAnsi="Times New Roman"/>
          <w:b/>
          <w:color w:val="000000"/>
          <w:sz w:val="28"/>
        </w:rPr>
        <w:t>RAPORTI I VLERËSIMIT TË TË ARDHURAVE DHE SHPENZIMEVE BUXHETORE</w:t>
      </w:r>
    </w:p>
    <w:p w14:paraId="1873B490" w14:textId="77777777" w:rsidR="00D44FAE" w:rsidRDefault="00D44FAE" w:rsidP="00E3410B">
      <w:pPr>
        <w:spacing w:after="120" w:line="240" w:lineRule="auto"/>
        <w:jc w:val="both"/>
        <w:rPr>
          <w:rFonts w:ascii="Times New Roman" w:eastAsia="Times New Roman" w:hAnsi="Times New Roman"/>
          <w:color w:val="000000"/>
          <w:sz w:val="28"/>
        </w:rPr>
      </w:pPr>
    </w:p>
    <w:p w14:paraId="7E14CA51" w14:textId="01C9093A"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Projektvendimi parashikon që të gjitha kostot që lidhen me sigurimin dhe mbajtjen e garancisë financiare përballohen nga operatorët që ushtrojnë veprimtaritë e përcaktuara në fushën e zbatimit të tij. Për rrjedhojë, zbatimi i projektvendimit nuk krijon detyrime financiare shtesë për buxhetin e shtetit.</w:t>
      </w:r>
    </w:p>
    <w:p w14:paraId="09CB10B0" w14:textId="77777777" w:rsidR="00D44FAE" w:rsidRDefault="00D44FAE" w:rsidP="00E3410B">
      <w:pPr>
        <w:spacing w:after="120" w:line="240" w:lineRule="auto"/>
        <w:jc w:val="both"/>
        <w:rPr>
          <w:rFonts w:ascii="Times New Roman" w:eastAsia="Times New Roman" w:hAnsi="Times New Roman"/>
          <w:color w:val="000000"/>
          <w:sz w:val="28"/>
        </w:rPr>
      </w:pPr>
    </w:p>
    <w:p w14:paraId="7EA27750" w14:textId="18B59969"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Gjithashtu, projektvendimi parashikon që pagesat e përfituara nga ekzekutimi i garancisë financiare përdoren ekskluzivisht për mbulimin e kostove të përcaktuara në nenin 7 të tij dhe administrohen në përputhje me legjislacionin në fuqi.</w:t>
      </w:r>
    </w:p>
    <w:p w14:paraId="508E291C" w14:textId="77777777" w:rsidR="00D44FAE" w:rsidRDefault="00D44FAE" w:rsidP="00E3410B">
      <w:pPr>
        <w:spacing w:after="120" w:line="240" w:lineRule="auto"/>
        <w:jc w:val="both"/>
        <w:rPr>
          <w:rFonts w:ascii="Times New Roman" w:eastAsia="Times New Roman" w:hAnsi="Times New Roman"/>
          <w:color w:val="000000"/>
          <w:sz w:val="28"/>
        </w:rPr>
      </w:pPr>
    </w:p>
    <w:p w14:paraId="51AD543E" w14:textId="4E4BE49D" w:rsidR="00E3410B" w:rsidRPr="000F0EBF" w:rsidRDefault="00D44FAE" w:rsidP="00E3410B">
      <w:pPr>
        <w:spacing w:after="120" w:line="240" w:lineRule="auto"/>
        <w:jc w:val="both"/>
        <w:rPr>
          <w:rFonts w:ascii="Times New Roman" w:eastAsia="Times New Roman" w:hAnsi="Times New Roman"/>
          <w:color w:val="000000"/>
          <w:sz w:val="28"/>
        </w:rPr>
      </w:pPr>
      <w:r>
        <w:rPr>
          <w:rFonts w:ascii="Times New Roman" w:eastAsia="Times New Roman" w:hAnsi="Times New Roman"/>
          <w:color w:val="000000"/>
          <w:sz w:val="28"/>
        </w:rPr>
        <w:t>Z</w:t>
      </w:r>
      <w:r w:rsidR="00E3410B" w:rsidRPr="000F0EBF">
        <w:rPr>
          <w:rFonts w:ascii="Times New Roman" w:eastAsia="Times New Roman" w:hAnsi="Times New Roman"/>
          <w:color w:val="000000"/>
          <w:sz w:val="28"/>
        </w:rPr>
        <w:t>batimi i tij pritet të kontribuojë në forcimin e mekanizmave financiarë për përballimin e kostove që lidhen me parandalimin, rehabilitimin dhe kompensimin e dëmeve në mjedis, në përputhje me parimin “ndotësi paguan”.</w:t>
      </w:r>
    </w:p>
    <w:p w14:paraId="634C16E5" w14:textId="77777777" w:rsidR="004F0863" w:rsidRDefault="004F0863">
      <w:pPr>
        <w:keepNext/>
        <w:spacing w:before="120" w:after="240" w:line="240" w:lineRule="auto"/>
        <w:jc w:val="right"/>
      </w:pPr>
    </w:p>
    <w:p w14:paraId="79173338" w14:textId="77777777" w:rsidR="004F0863" w:rsidRDefault="00B43FD4">
      <w:pPr>
        <w:keepNext/>
        <w:spacing w:after="360" w:line="240" w:lineRule="auto"/>
        <w:jc w:val="right"/>
      </w:pPr>
      <w:r>
        <w:rPr>
          <w:rFonts w:ascii="Times New Roman" w:eastAsia="Times New Roman" w:hAnsi="Times New Roman"/>
          <w:b/>
          <w:color w:val="000000"/>
          <w:sz w:val="28"/>
        </w:rPr>
        <w:t>M I N I S T R I</w:t>
      </w:r>
    </w:p>
    <w:p w14:paraId="0A14D7FE" w14:textId="77777777" w:rsidR="004F0863" w:rsidRDefault="00B43FD4">
      <w:pPr>
        <w:spacing w:after="0" w:line="240" w:lineRule="auto"/>
        <w:jc w:val="right"/>
        <w:rPr>
          <w:rFonts w:ascii="Times New Roman" w:eastAsia="Times New Roman" w:hAnsi="Times New Roman"/>
          <w:b/>
          <w:color w:val="000000"/>
          <w:sz w:val="28"/>
        </w:rPr>
      </w:pPr>
      <w:r>
        <w:rPr>
          <w:rFonts w:ascii="Times New Roman" w:eastAsia="Times New Roman" w:hAnsi="Times New Roman"/>
          <w:b/>
          <w:color w:val="000000"/>
          <w:sz w:val="28"/>
        </w:rPr>
        <w:t>Sofjan JAUPAJ</w:t>
      </w:r>
    </w:p>
    <w:sectPr w:rsidR="004F0863" w:rsidSect="00F6791C">
      <w:headerReference w:type="default" r:id="rId11"/>
      <w:footerReference w:type="default" r:id="rId12"/>
      <w:pgSz w:w="11907" w:h="16839" w:code="9"/>
      <w:pgMar w:top="1134" w:right="1701" w:bottom="1134" w:left="1701"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7A72" w14:textId="77777777" w:rsidR="0069048F" w:rsidRPr="00D4570E" w:rsidRDefault="0069048F" w:rsidP="00B40129">
      <w:pPr>
        <w:spacing w:after="0" w:line="240" w:lineRule="auto"/>
      </w:pPr>
      <w:r w:rsidRPr="00D4570E">
        <w:separator/>
      </w:r>
    </w:p>
  </w:endnote>
  <w:endnote w:type="continuationSeparator" w:id="0">
    <w:p w14:paraId="7A263FF0" w14:textId="77777777" w:rsidR="0069048F" w:rsidRPr="00D4570E" w:rsidRDefault="0069048F" w:rsidP="00B40129">
      <w:pPr>
        <w:spacing w:after="0" w:line="240" w:lineRule="auto"/>
      </w:pPr>
      <w:r w:rsidRPr="00D45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343503"/>
      <w:docPartObj>
        <w:docPartGallery w:val="Page Numbers (Bottom of Page)"/>
        <w:docPartUnique/>
      </w:docPartObj>
    </w:sdtPr>
    <w:sdtEndPr>
      <w:rPr>
        <w:noProof/>
      </w:rPr>
    </w:sdtEndPr>
    <w:sdtContent>
      <w:p w14:paraId="3CB3BD57" w14:textId="77777777" w:rsidR="00A600BF" w:rsidRDefault="00A600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739210" w14:textId="29031B9B" w:rsidR="007203FA" w:rsidRPr="00B220E1" w:rsidRDefault="007203FA" w:rsidP="007203FA">
    <w:pPr>
      <w:pBdr>
        <w:top w:val="thinThickSmallGap" w:sz="24" w:space="1" w:color="660033"/>
      </w:pBdr>
      <w:spacing w:after="0" w:line="240" w:lineRule="auto"/>
      <w:jc w:val="both"/>
      <w:rPr>
        <w:rFonts w:ascii="Times New Roman" w:hAnsi="Times New Roman"/>
        <w:sz w:val="24"/>
        <w:szCs w:val="24"/>
      </w:rPr>
    </w:pPr>
    <w:r>
      <w:rPr>
        <w:rFonts w:ascii="Times New Roman" w:eastAsia="Times New Roman" w:hAnsi="Times New Roman"/>
        <w:color w:val="000000"/>
        <w:sz w:val="18"/>
      </w:rPr>
      <w:t xml:space="preserve">Relacion </w:t>
    </w:r>
    <w:r w:rsidR="00B220E1">
      <w:rPr>
        <w:rFonts w:ascii="Times New Roman" w:eastAsia="Times New Roman" w:hAnsi="Times New Roman"/>
        <w:color w:val="000000"/>
        <w:sz w:val="18"/>
      </w:rPr>
      <w:t xml:space="preserve">për </w:t>
    </w:r>
    <w:r w:rsidR="00B220E1" w:rsidRPr="00B220E1">
      <w:rPr>
        <w:rFonts w:ascii="Times New Roman" w:eastAsia="Times New Roman" w:hAnsi="Times New Roman"/>
        <w:color w:val="000000"/>
        <w:sz w:val="18"/>
      </w:rPr>
      <w:t>miratimin e metodave dhe procedurave për sigurimin e garancive financiare për kompensimin e një dëmi të mundshëm ndaj mjedisit apo për eliminimin e një kërcënimi të pashmangshëm për dëme në mjedis</w:t>
    </w:r>
    <w:r w:rsidR="00B220E1">
      <w:rPr>
        <w:rFonts w:ascii="Times New Roman" w:eastAsia="Times New Roman" w:hAnsi="Times New Roman"/>
        <w:color w:val="000000"/>
        <w:sz w:val="18"/>
      </w:rPr>
      <w:t>.</w:t>
    </w:r>
  </w:p>
  <w:p w14:paraId="2AB764DA" w14:textId="77777777" w:rsidR="00B40129" w:rsidRPr="00D4570E" w:rsidRDefault="00B40129" w:rsidP="00677187">
    <w:pPr>
      <w:pBdr>
        <w:top w:val="thinThickSmallGap" w:sz="24" w:space="1" w:color="660033"/>
      </w:pBdr>
      <w:spacing w:after="0"/>
      <w:jc w:val="both"/>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F081C" w14:textId="77777777" w:rsidR="0069048F" w:rsidRPr="00D4570E" w:rsidRDefault="0069048F" w:rsidP="00B40129">
      <w:pPr>
        <w:spacing w:after="0" w:line="240" w:lineRule="auto"/>
      </w:pPr>
      <w:r w:rsidRPr="00D4570E">
        <w:separator/>
      </w:r>
    </w:p>
  </w:footnote>
  <w:footnote w:type="continuationSeparator" w:id="0">
    <w:p w14:paraId="030AE59B" w14:textId="77777777" w:rsidR="0069048F" w:rsidRPr="00D4570E" w:rsidRDefault="0069048F" w:rsidP="00B40129">
      <w:pPr>
        <w:spacing w:after="0" w:line="240" w:lineRule="auto"/>
      </w:pPr>
      <w:r w:rsidRPr="00D4570E">
        <w:continuationSeparator/>
      </w:r>
    </w:p>
  </w:footnote>
  <w:footnote w:id="1">
    <w:p w14:paraId="101B1E27" w14:textId="77777777" w:rsidR="00957088" w:rsidRPr="00662AF8" w:rsidRDefault="00957088" w:rsidP="00957088">
      <w:pPr>
        <w:tabs>
          <w:tab w:val="left" w:pos="2527"/>
        </w:tabs>
        <w:jc w:val="both"/>
        <w:rPr>
          <w:sz w:val="18"/>
          <w:szCs w:val="18"/>
        </w:rPr>
      </w:pPr>
      <w:r>
        <w:rPr>
          <w:rStyle w:val="FootnoteReference"/>
        </w:rPr>
        <w:footnoteRef/>
      </w:r>
      <w:r>
        <w:t xml:space="preserve"> </w:t>
      </w:r>
      <w:r w:rsidRPr="00662AF8">
        <w:rPr>
          <w:sz w:val="18"/>
          <w:szCs w:val="18"/>
          <w:vertAlign w:val="superscript"/>
        </w:rPr>
        <w:footnoteRef/>
      </w:r>
      <w:r w:rsidRPr="00662AF8">
        <w:rPr>
          <w:sz w:val="18"/>
          <w:szCs w:val="18"/>
        </w:rPr>
        <w:t>Ky vendim synon të bëjë përafrimin e pjesshëm të Direktivës 2004/35/EC të Parlamentit Evropian dhe të Këshillit, datë 21 prill 2004, “për përgjegjësinë mjedisore në lidhje me parandalimin dhe riparimin e dëmit mjedisor” (OJ L 143, 30.4.2004, f. 56) (CELEX 32004L0035), e ndryshuar nga Direktiva 2006/21/EC e Parlamentit Evropian dhe e Këshillit, datë 15 mars 2006 (OJ L 102, f. 15, 11.4.2006) (CELEX 32006L0021); Direktiva 2009/31/EC e Parlamentit Evropian dhe e Këshillit, datë 23 prill 2009 (OJ L 140, f. 114, 5.6.2009) (CELEX 32009L0031); Direktiva 2013/30/EU e Parlamentit Evropian dhe e Këshillit, datë 12 qershor 2013 (OJ L 178, f. 66, 28.6.2013) (CELEX 32013L0030); Rregullorja (BE) 2019/1010 e Parlamentit Evropian dhe e Këshillit, datë 5 qershor 2019 (OJ L 170, f. 115, 25.6.2019) (CELEX 32019R1010) dhe e korrigjuar nga Corrigendum, OJ L 90016, 10.1.2025, f. 1 (2004/35/EC) (CELEX 32004L0035R(01)).</w:t>
      </w:r>
    </w:p>
    <w:p w14:paraId="7B60887E" w14:textId="77777777" w:rsidR="00957088" w:rsidRPr="007021BB" w:rsidRDefault="00957088" w:rsidP="009570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4604" w14:textId="77777777" w:rsidR="00A600BF" w:rsidRDefault="00A600BF">
    <w:pPr>
      <w:pStyle w:val="Header"/>
      <w:jc w:val="right"/>
    </w:pPr>
  </w:p>
  <w:p w14:paraId="705ED29B" w14:textId="77777777" w:rsidR="00A600BF" w:rsidRDefault="00A60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3ECB"/>
    <w:multiLevelType w:val="hybridMultilevel"/>
    <w:tmpl w:val="348E88B8"/>
    <w:lvl w:ilvl="0" w:tplc="71FE9218">
      <w:start w:val="1"/>
      <w:numFmt w:val="upperRoman"/>
      <w:lvlText w:val="%1."/>
      <w:lvlJc w:val="left"/>
      <w:pPr>
        <w:ind w:left="1080" w:hanging="720"/>
      </w:pPr>
      <w:rPr>
        <w:rFonts w:ascii="Times New Roman" w:eastAsia="Times New Roman" w:hAnsi="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B2C0F"/>
    <w:multiLevelType w:val="hybridMultilevel"/>
    <w:tmpl w:val="335A5F06"/>
    <w:lvl w:ilvl="0" w:tplc="9D623F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052364">
    <w:abstractNumId w:val="0"/>
  </w:num>
  <w:num w:numId="2" w16cid:durableId="40376772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4E"/>
    <w:rsid w:val="00006380"/>
    <w:rsid w:val="00010885"/>
    <w:rsid w:val="00010D4E"/>
    <w:rsid w:val="00012435"/>
    <w:rsid w:val="0001311A"/>
    <w:rsid w:val="00025EA2"/>
    <w:rsid w:val="0003332C"/>
    <w:rsid w:val="00034657"/>
    <w:rsid w:val="000507A8"/>
    <w:rsid w:val="00052CA1"/>
    <w:rsid w:val="00055BAB"/>
    <w:rsid w:val="00056036"/>
    <w:rsid w:val="00056FE7"/>
    <w:rsid w:val="00065B31"/>
    <w:rsid w:val="00072316"/>
    <w:rsid w:val="000724F9"/>
    <w:rsid w:val="00075D2D"/>
    <w:rsid w:val="000804FB"/>
    <w:rsid w:val="00080509"/>
    <w:rsid w:val="00081527"/>
    <w:rsid w:val="00081598"/>
    <w:rsid w:val="0008276E"/>
    <w:rsid w:val="00084098"/>
    <w:rsid w:val="000921F2"/>
    <w:rsid w:val="00093C90"/>
    <w:rsid w:val="00095071"/>
    <w:rsid w:val="0009515B"/>
    <w:rsid w:val="00095578"/>
    <w:rsid w:val="000957B2"/>
    <w:rsid w:val="000A1321"/>
    <w:rsid w:val="000A1E96"/>
    <w:rsid w:val="000D1F03"/>
    <w:rsid w:val="000D321D"/>
    <w:rsid w:val="000D34FF"/>
    <w:rsid w:val="000D5907"/>
    <w:rsid w:val="000D75BF"/>
    <w:rsid w:val="000E06EC"/>
    <w:rsid w:val="000E6AE8"/>
    <w:rsid w:val="000E6CCC"/>
    <w:rsid w:val="000F0EBF"/>
    <w:rsid w:val="000F7D24"/>
    <w:rsid w:val="0010204A"/>
    <w:rsid w:val="0010426C"/>
    <w:rsid w:val="001071F2"/>
    <w:rsid w:val="0011279A"/>
    <w:rsid w:val="00113752"/>
    <w:rsid w:val="001224CB"/>
    <w:rsid w:val="00122ED2"/>
    <w:rsid w:val="00132279"/>
    <w:rsid w:val="001426B2"/>
    <w:rsid w:val="00151DC1"/>
    <w:rsid w:val="0015244D"/>
    <w:rsid w:val="0015490C"/>
    <w:rsid w:val="001630F8"/>
    <w:rsid w:val="001647A7"/>
    <w:rsid w:val="001760CE"/>
    <w:rsid w:val="001773E8"/>
    <w:rsid w:val="00177C1F"/>
    <w:rsid w:val="001834AB"/>
    <w:rsid w:val="00184644"/>
    <w:rsid w:val="00193EAE"/>
    <w:rsid w:val="00194FDE"/>
    <w:rsid w:val="001A33A2"/>
    <w:rsid w:val="001B2C4C"/>
    <w:rsid w:val="001B3E14"/>
    <w:rsid w:val="001C3446"/>
    <w:rsid w:val="001C3A4A"/>
    <w:rsid w:val="001C4302"/>
    <w:rsid w:val="001C7422"/>
    <w:rsid w:val="001D1D78"/>
    <w:rsid w:val="001D5E01"/>
    <w:rsid w:val="001E4AA7"/>
    <w:rsid w:val="001E501A"/>
    <w:rsid w:val="001F17E8"/>
    <w:rsid w:val="001F4714"/>
    <w:rsid w:val="0020180C"/>
    <w:rsid w:val="0020251B"/>
    <w:rsid w:val="00204EEA"/>
    <w:rsid w:val="00216831"/>
    <w:rsid w:val="0021685E"/>
    <w:rsid w:val="0022181D"/>
    <w:rsid w:val="00222B52"/>
    <w:rsid w:val="002306AF"/>
    <w:rsid w:val="00231A35"/>
    <w:rsid w:val="00242E4E"/>
    <w:rsid w:val="002533FF"/>
    <w:rsid w:val="00253911"/>
    <w:rsid w:val="00254FE1"/>
    <w:rsid w:val="0025654E"/>
    <w:rsid w:val="00256754"/>
    <w:rsid w:val="00257125"/>
    <w:rsid w:val="00262508"/>
    <w:rsid w:val="00265D45"/>
    <w:rsid w:val="00266496"/>
    <w:rsid w:val="002700B6"/>
    <w:rsid w:val="002705A4"/>
    <w:rsid w:val="00275CB8"/>
    <w:rsid w:val="00280F97"/>
    <w:rsid w:val="00292321"/>
    <w:rsid w:val="00293234"/>
    <w:rsid w:val="002A07E5"/>
    <w:rsid w:val="002A0A6F"/>
    <w:rsid w:val="002A47C0"/>
    <w:rsid w:val="002A7FFB"/>
    <w:rsid w:val="002B11AA"/>
    <w:rsid w:val="002C2A1D"/>
    <w:rsid w:val="002C41C9"/>
    <w:rsid w:val="002C5748"/>
    <w:rsid w:val="002C7726"/>
    <w:rsid w:val="002C7DEC"/>
    <w:rsid w:val="002D2835"/>
    <w:rsid w:val="002D4F29"/>
    <w:rsid w:val="002E4C37"/>
    <w:rsid w:val="002E5286"/>
    <w:rsid w:val="002F227D"/>
    <w:rsid w:val="002F6E6E"/>
    <w:rsid w:val="00300059"/>
    <w:rsid w:val="00304E79"/>
    <w:rsid w:val="00305106"/>
    <w:rsid w:val="00315489"/>
    <w:rsid w:val="00317F77"/>
    <w:rsid w:val="00322E54"/>
    <w:rsid w:val="00325DE0"/>
    <w:rsid w:val="00331016"/>
    <w:rsid w:val="00331104"/>
    <w:rsid w:val="003379AB"/>
    <w:rsid w:val="003444D9"/>
    <w:rsid w:val="00344674"/>
    <w:rsid w:val="00350C38"/>
    <w:rsid w:val="00362184"/>
    <w:rsid w:val="00366B77"/>
    <w:rsid w:val="00367979"/>
    <w:rsid w:val="003724E1"/>
    <w:rsid w:val="0038557F"/>
    <w:rsid w:val="003A07F7"/>
    <w:rsid w:val="003A20B0"/>
    <w:rsid w:val="003A2AC1"/>
    <w:rsid w:val="003A529F"/>
    <w:rsid w:val="003A6292"/>
    <w:rsid w:val="003A7F4B"/>
    <w:rsid w:val="003B693A"/>
    <w:rsid w:val="003C12F7"/>
    <w:rsid w:val="003C15DC"/>
    <w:rsid w:val="003C1D81"/>
    <w:rsid w:val="003C2307"/>
    <w:rsid w:val="003D35F6"/>
    <w:rsid w:val="003D4ABF"/>
    <w:rsid w:val="003E0299"/>
    <w:rsid w:val="003E19C2"/>
    <w:rsid w:val="003E274C"/>
    <w:rsid w:val="003E4756"/>
    <w:rsid w:val="003E6AC0"/>
    <w:rsid w:val="003E6D4C"/>
    <w:rsid w:val="003E7E84"/>
    <w:rsid w:val="003F197E"/>
    <w:rsid w:val="003F23A0"/>
    <w:rsid w:val="003F4C3D"/>
    <w:rsid w:val="0040352F"/>
    <w:rsid w:val="00404DD7"/>
    <w:rsid w:val="00407A4C"/>
    <w:rsid w:val="00412B02"/>
    <w:rsid w:val="00412F7E"/>
    <w:rsid w:val="0041437D"/>
    <w:rsid w:val="0042063F"/>
    <w:rsid w:val="00424631"/>
    <w:rsid w:val="00427729"/>
    <w:rsid w:val="004336F8"/>
    <w:rsid w:val="00437CA0"/>
    <w:rsid w:val="00442186"/>
    <w:rsid w:val="0044348B"/>
    <w:rsid w:val="0045281E"/>
    <w:rsid w:val="00454AC2"/>
    <w:rsid w:val="00454D25"/>
    <w:rsid w:val="0046300F"/>
    <w:rsid w:val="00463AD6"/>
    <w:rsid w:val="00465179"/>
    <w:rsid w:val="00465440"/>
    <w:rsid w:val="00473DD0"/>
    <w:rsid w:val="00473EB3"/>
    <w:rsid w:val="00474AB4"/>
    <w:rsid w:val="00476A78"/>
    <w:rsid w:val="0048024D"/>
    <w:rsid w:val="00483C02"/>
    <w:rsid w:val="00493919"/>
    <w:rsid w:val="004978E3"/>
    <w:rsid w:val="004A5EC0"/>
    <w:rsid w:val="004B20F1"/>
    <w:rsid w:val="004B4F12"/>
    <w:rsid w:val="004B7312"/>
    <w:rsid w:val="004C0377"/>
    <w:rsid w:val="004C2B36"/>
    <w:rsid w:val="004C3A2D"/>
    <w:rsid w:val="004D17E4"/>
    <w:rsid w:val="004D2A05"/>
    <w:rsid w:val="004D3BB1"/>
    <w:rsid w:val="004D6606"/>
    <w:rsid w:val="004E069C"/>
    <w:rsid w:val="004E0E0D"/>
    <w:rsid w:val="004E7D99"/>
    <w:rsid w:val="004F0863"/>
    <w:rsid w:val="004F153E"/>
    <w:rsid w:val="005049C1"/>
    <w:rsid w:val="005055BC"/>
    <w:rsid w:val="00505F8F"/>
    <w:rsid w:val="00507B08"/>
    <w:rsid w:val="0051404D"/>
    <w:rsid w:val="00514B2F"/>
    <w:rsid w:val="00517712"/>
    <w:rsid w:val="00521253"/>
    <w:rsid w:val="005215F4"/>
    <w:rsid w:val="0052453A"/>
    <w:rsid w:val="00525027"/>
    <w:rsid w:val="0052781F"/>
    <w:rsid w:val="005300E7"/>
    <w:rsid w:val="00531F25"/>
    <w:rsid w:val="00535310"/>
    <w:rsid w:val="0055412F"/>
    <w:rsid w:val="00563080"/>
    <w:rsid w:val="00567568"/>
    <w:rsid w:val="005705BA"/>
    <w:rsid w:val="005912CF"/>
    <w:rsid w:val="00595A34"/>
    <w:rsid w:val="00595AE7"/>
    <w:rsid w:val="00597004"/>
    <w:rsid w:val="005B2290"/>
    <w:rsid w:val="005B3EF8"/>
    <w:rsid w:val="005B72D4"/>
    <w:rsid w:val="005C0830"/>
    <w:rsid w:val="005C344C"/>
    <w:rsid w:val="005C7793"/>
    <w:rsid w:val="005E35BD"/>
    <w:rsid w:val="005E4479"/>
    <w:rsid w:val="005F34D4"/>
    <w:rsid w:val="005F7E2C"/>
    <w:rsid w:val="0061439F"/>
    <w:rsid w:val="00623528"/>
    <w:rsid w:val="00624B3B"/>
    <w:rsid w:val="00647E81"/>
    <w:rsid w:val="0065094A"/>
    <w:rsid w:val="00650FE6"/>
    <w:rsid w:val="00654C18"/>
    <w:rsid w:val="00662B50"/>
    <w:rsid w:val="00671529"/>
    <w:rsid w:val="0067664C"/>
    <w:rsid w:val="00676A43"/>
    <w:rsid w:val="00677187"/>
    <w:rsid w:val="0068382B"/>
    <w:rsid w:val="00684F5A"/>
    <w:rsid w:val="0069048F"/>
    <w:rsid w:val="006941C5"/>
    <w:rsid w:val="006950C8"/>
    <w:rsid w:val="00695461"/>
    <w:rsid w:val="00696E49"/>
    <w:rsid w:val="006B7605"/>
    <w:rsid w:val="006C136A"/>
    <w:rsid w:val="006C1D15"/>
    <w:rsid w:val="006C72DD"/>
    <w:rsid w:val="006E6E00"/>
    <w:rsid w:val="00711E57"/>
    <w:rsid w:val="007124FE"/>
    <w:rsid w:val="00717122"/>
    <w:rsid w:val="00717A2E"/>
    <w:rsid w:val="00717BEF"/>
    <w:rsid w:val="007203FA"/>
    <w:rsid w:val="00725464"/>
    <w:rsid w:val="007324F4"/>
    <w:rsid w:val="00732E6E"/>
    <w:rsid w:val="007379D6"/>
    <w:rsid w:val="0074113E"/>
    <w:rsid w:val="00744BBF"/>
    <w:rsid w:val="00745A59"/>
    <w:rsid w:val="007476C9"/>
    <w:rsid w:val="0075221A"/>
    <w:rsid w:val="00754C35"/>
    <w:rsid w:val="00771323"/>
    <w:rsid w:val="0077222A"/>
    <w:rsid w:val="00773E03"/>
    <w:rsid w:val="00774410"/>
    <w:rsid w:val="00777532"/>
    <w:rsid w:val="00777DC0"/>
    <w:rsid w:val="007846FA"/>
    <w:rsid w:val="007919F9"/>
    <w:rsid w:val="007A1498"/>
    <w:rsid w:val="007A2D26"/>
    <w:rsid w:val="007A3636"/>
    <w:rsid w:val="007A4666"/>
    <w:rsid w:val="007A46C3"/>
    <w:rsid w:val="007A661B"/>
    <w:rsid w:val="007A7900"/>
    <w:rsid w:val="007B2C37"/>
    <w:rsid w:val="007B3741"/>
    <w:rsid w:val="007C6CE7"/>
    <w:rsid w:val="007D47FF"/>
    <w:rsid w:val="007D597E"/>
    <w:rsid w:val="007D6D50"/>
    <w:rsid w:val="007E2513"/>
    <w:rsid w:val="007E4CC8"/>
    <w:rsid w:val="007F2CD5"/>
    <w:rsid w:val="00816872"/>
    <w:rsid w:val="0082055D"/>
    <w:rsid w:val="00821955"/>
    <w:rsid w:val="00831250"/>
    <w:rsid w:val="0083527E"/>
    <w:rsid w:val="00836F17"/>
    <w:rsid w:val="008420A5"/>
    <w:rsid w:val="00843B68"/>
    <w:rsid w:val="00845427"/>
    <w:rsid w:val="00845C54"/>
    <w:rsid w:val="00846A59"/>
    <w:rsid w:val="00860725"/>
    <w:rsid w:val="008620B7"/>
    <w:rsid w:val="008658F8"/>
    <w:rsid w:val="00870EAC"/>
    <w:rsid w:val="0087125B"/>
    <w:rsid w:val="00876F87"/>
    <w:rsid w:val="00881DCE"/>
    <w:rsid w:val="00886FD7"/>
    <w:rsid w:val="008932B8"/>
    <w:rsid w:val="00896F51"/>
    <w:rsid w:val="008A0FBB"/>
    <w:rsid w:val="008A3060"/>
    <w:rsid w:val="008A50D5"/>
    <w:rsid w:val="008A5237"/>
    <w:rsid w:val="008B0172"/>
    <w:rsid w:val="008B03E5"/>
    <w:rsid w:val="008B2DDA"/>
    <w:rsid w:val="008C0008"/>
    <w:rsid w:val="008C43C3"/>
    <w:rsid w:val="008D2B36"/>
    <w:rsid w:val="008E3C36"/>
    <w:rsid w:val="008E5501"/>
    <w:rsid w:val="008F072E"/>
    <w:rsid w:val="008F1F46"/>
    <w:rsid w:val="009042F2"/>
    <w:rsid w:val="00915693"/>
    <w:rsid w:val="00915E55"/>
    <w:rsid w:val="009164A5"/>
    <w:rsid w:val="0091729D"/>
    <w:rsid w:val="00930129"/>
    <w:rsid w:val="00933221"/>
    <w:rsid w:val="00933894"/>
    <w:rsid w:val="00943729"/>
    <w:rsid w:val="00945002"/>
    <w:rsid w:val="0095139E"/>
    <w:rsid w:val="009551AF"/>
    <w:rsid w:val="009563B8"/>
    <w:rsid w:val="00956DCE"/>
    <w:rsid w:val="00957088"/>
    <w:rsid w:val="00960E66"/>
    <w:rsid w:val="009612AE"/>
    <w:rsid w:val="009626B2"/>
    <w:rsid w:val="00963C92"/>
    <w:rsid w:val="009654AB"/>
    <w:rsid w:val="0097115E"/>
    <w:rsid w:val="009721BD"/>
    <w:rsid w:val="00982F4A"/>
    <w:rsid w:val="00983BAB"/>
    <w:rsid w:val="00987043"/>
    <w:rsid w:val="0098719A"/>
    <w:rsid w:val="009919F4"/>
    <w:rsid w:val="009922A5"/>
    <w:rsid w:val="009A0785"/>
    <w:rsid w:val="009A2FE9"/>
    <w:rsid w:val="009B3099"/>
    <w:rsid w:val="009B5775"/>
    <w:rsid w:val="009D1F53"/>
    <w:rsid w:val="009D5184"/>
    <w:rsid w:val="009D547F"/>
    <w:rsid w:val="009E3B70"/>
    <w:rsid w:val="009E7817"/>
    <w:rsid w:val="009F1E3D"/>
    <w:rsid w:val="009F28BE"/>
    <w:rsid w:val="009F4D0E"/>
    <w:rsid w:val="009F6BDD"/>
    <w:rsid w:val="009F754C"/>
    <w:rsid w:val="009F7781"/>
    <w:rsid w:val="00A01033"/>
    <w:rsid w:val="00A03665"/>
    <w:rsid w:val="00A061B6"/>
    <w:rsid w:val="00A07A6C"/>
    <w:rsid w:val="00A10329"/>
    <w:rsid w:val="00A10386"/>
    <w:rsid w:val="00A14712"/>
    <w:rsid w:val="00A152C2"/>
    <w:rsid w:val="00A16F4A"/>
    <w:rsid w:val="00A3031C"/>
    <w:rsid w:val="00A335F2"/>
    <w:rsid w:val="00A33C4E"/>
    <w:rsid w:val="00A352F1"/>
    <w:rsid w:val="00A4194C"/>
    <w:rsid w:val="00A52C70"/>
    <w:rsid w:val="00A600BF"/>
    <w:rsid w:val="00A6054F"/>
    <w:rsid w:val="00A6385F"/>
    <w:rsid w:val="00A642DC"/>
    <w:rsid w:val="00A72C15"/>
    <w:rsid w:val="00A74C62"/>
    <w:rsid w:val="00A75F2A"/>
    <w:rsid w:val="00A800D6"/>
    <w:rsid w:val="00A83928"/>
    <w:rsid w:val="00A8703F"/>
    <w:rsid w:val="00A95829"/>
    <w:rsid w:val="00A97C67"/>
    <w:rsid w:val="00A97CB3"/>
    <w:rsid w:val="00AA28F2"/>
    <w:rsid w:val="00AA3B4D"/>
    <w:rsid w:val="00AA52FB"/>
    <w:rsid w:val="00AA6381"/>
    <w:rsid w:val="00AB19D5"/>
    <w:rsid w:val="00AB2042"/>
    <w:rsid w:val="00AC00B7"/>
    <w:rsid w:val="00AC32E5"/>
    <w:rsid w:val="00AD118A"/>
    <w:rsid w:val="00AD18C6"/>
    <w:rsid w:val="00AD4D50"/>
    <w:rsid w:val="00AE20AA"/>
    <w:rsid w:val="00AE58B1"/>
    <w:rsid w:val="00AE635A"/>
    <w:rsid w:val="00AF1685"/>
    <w:rsid w:val="00AF49BB"/>
    <w:rsid w:val="00AF7EEA"/>
    <w:rsid w:val="00B01AE0"/>
    <w:rsid w:val="00B0623A"/>
    <w:rsid w:val="00B10618"/>
    <w:rsid w:val="00B1298B"/>
    <w:rsid w:val="00B12BC2"/>
    <w:rsid w:val="00B12C28"/>
    <w:rsid w:val="00B13A34"/>
    <w:rsid w:val="00B1447D"/>
    <w:rsid w:val="00B14983"/>
    <w:rsid w:val="00B15002"/>
    <w:rsid w:val="00B220E1"/>
    <w:rsid w:val="00B342A2"/>
    <w:rsid w:val="00B36B9B"/>
    <w:rsid w:val="00B40129"/>
    <w:rsid w:val="00B41C42"/>
    <w:rsid w:val="00B43FD4"/>
    <w:rsid w:val="00B45156"/>
    <w:rsid w:val="00B4649E"/>
    <w:rsid w:val="00B46F65"/>
    <w:rsid w:val="00B46F8D"/>
    <w:rsid w:val="00B47E3E"/>
    <w:rsid w:val="00B51E9D"/>
    <w:rsid w:val="00B550D3"/>
    <w:rsid w:val="00B616F1"/>
    <w:rsid w:val="00B61B79"/>
    <w:rsid w:val="00B6523C"/>
    <w:rsid w:val="00B65D5F"/>
    <w:rsid w:val="00B70749"/>
    <w:rsid w:val="00B77671"/>
    <w:rsid w:val="00B77A03"/>
    <w:rsid w:val="00B87C85"/>
    <w:rsid w:val="00B92D04"/>
    <w:rsid w:val="00B963B9"/>
    <w:rsid w:val="00B979AA"/>
    <w:rsid w:val="00BA0B43"/>
    <w:rsid w:val="00BA711C"/>
    <w:rsid w:val="00BB205D"/>
    <w:rsid w:val="00BB660E"/>
    <w:rsid w:val="00BB7425"/>
    <w:rsid w:val="00BC31F2"/>
    <w:rsid w:val="00BC6210"/>
    <w:rsid w:val="00BC7DE7"/>
    <w:rsid w:val="00BD30D0"/>
    <w:rsid w:val="00BD6238"/>
    <w:rsid w:val="00BD700C"/>
    <w:rsid w:val="00BE280D"/>
    <w:rsid w:val="00BE2D3C"/>
    <w:rsid w:val="00BF0DD6"/>
    <w:rsid w:val="00C11D37"/>
    <w:rsid w:val="00C12002"/>
    <w:rsid w:val="00C31C6F"/>
    <w:rsid w:val="00C31FD1"/>
    <w:rsid w:val="00C3755F"/>
    <w:rsid w:val="00C426F5"/>
    <w:rsid w:val="00C45DE5"/>
    <w:rsid w:val="00C5009A"/>
    <w:rsid w:val="00C5655E"/>
    <w:rsid w:val="00C75D11"/>
    <w:rsid w:val="00C84E85"/>
    <w:rsid w:val="00C96A20"/>
    <w:rsid w:val="00C96A3F"/>
    <w:rsid w:val="00CA36B6"/>
    <w:rsid w:val="00CA556A"/>
    <w:rsid w:val="00CA799A"/>
    <w:rsid w:val="00CB085C"/>
    <w:rsid w:val="00CB3598"/>
    <w:rsid w:val="00CB49BC"/>
    <w:rsid w:val="00CC2940"/>
    <w:rsid w:val="00CC438A"/>
    <w:rsid w:val="00CD388C"/>
    <w:rsid w:val="00CD3F4B"/>
    <w:rsid w:val="00CD3FAA"/>
    <w:rsid w:val="00CE7352"/>
    <w:rsid w:val="00CF0519"/>
    <w:rsid w:val="00CF37A8"/>
    <w:rsid w:val="00CF4989"/>
    <w:rsid w:val="00D0297F"/>
    <w:rsid w:val="00D1302D"/>
    <w:rsid w:val="00D23336"/>
    <w:rsid w:val="00D245C5"/>
    <w:rsid w:val="00D31EF0"/>
    <w:rsid w:val="00D44FAE"/>
    <w:rsid w:val="00D4570E"/>
    <w:rsid w:val="00D51F63"/>
    <w:rsid w:val="00D5366D"/>
    <w:rsid w:val="00D6164B"/>
    <w:rsid w:val="00D617B3"/>
    <w:rsid w:val="00D63245"/>
    <w:rsid w:val="00D73558"/>
    <w:rsid w:val="00D741AA"/>
    <w:rsid w:val="00D81FEE"/>
    <w:rsid w:val="00D8251F"/>
    <w:rsid w:val="00D844AF"/>
    <w:rsid w:val="00D90629"/>
    <w:rsid w:val="00D971D7"/>
    <w:rsid w:val="00DA763E"/>
    <w:rsid w:val="00DB0771"/>
    <w:rsid w:val="00DB3BEC"/>
    <w:rsid w:val="00DB6C66"/>
    <w:rsid w:val="00DC1D20"/>
    <w:rsid w:val="00DC60BE"/>
    <w:rsid w:val="00DD1B98"/>
    <w:rsid w:val="00DD1F08"/>
    <w:rsid w:val="00DE01E1"/>
    <w:rsid w:val="00DE75AD"/>
    <w:rsid w:val="00DF2AFF"/>
    <w:rsid w:val="00DF6EEE"/>
    <w:rsid w:val="00DF7B4B"/>
    <w:rsid w:val="00E05748"/>
    <w:rsid w:val="00E1203F"/>
    <w:rsid w:val="00E1715C"/>
    <w:rsid w:val="00E216A7"/>
    <w:rsid w:val="00E31C00"/>
    <w:rsid w:val="00E3410B"/>
    <w:rsid w:val="00E444C3"/>
    <w:rsid w:val="00E44EF3"/>
    <w:rsid w:val="00E502EC"/>
    <w:rsid w:val="00E5417D"/>
    <w:rsid w:val="00E606E0"/>
    <w:rsid w:val="00E6387C"/>
    <w:rsid w:val="00E63BF8"/>
    <w:rsid w:val="00E66114"/>
    <w:rsid w:val="00E67C00"/>
    <w:rsid w:val="00E72616"/>
    <w:rsid w:val="00E75A70"/>
    <w:rsid w:val="00E849D6"/>
    <w:rsid w:val="00EA2BB1"/>
    <w:rsid w:val="00EC19D8"/>
    <w:rsid w:val="00EC1BE7"/>
    <w:rsid w:val="00EC49AB"/>
    <w:rsid w:val="00EC4E15"/>
    <w:rsid w:val="00EC6856"/>
    <w:rsid w:val="00ED1639"/>
    <w:rsid w:val="00EE0F63"/>
    <w:rsid w:val="00EE6E37"/>
    <w:rsid w:val="00EF2ED8"/>
    <w:rsid w:val="00EF494C"/>
    <w:rsid w:val="00EF5BBA"/>
    <w:rsid w:val="00EF6076"/>
    <w:rsid w:val="00EF6DA4"/>
    <w:rsid w:val="00EF75DB"/>
    <w:rsid w:val="00F045F9"/>
    <w:rsid w:val="00F060B3"/>
    <w:rsid w:val="00F122F9"/>
    <w:rsid w:val="00F14F01"/>
    <w:rsid w:val="00F206DC"/>
    <w:rsid w:val="00F25CFF"/>
    <w:rsid w:val="00F31F1B"/>
    <w:rsid w:val="00F33AF6"/>
    <w:rsid w:val="00F347C1"/>
    <w:rsid w:val="00F564D2"/>
    <w:rsid w:val="00F56653"/>
    <w:rsid w:val="00F6282E"/>
    <w:rsid w:val="00F62BAC"/>
    <w:rsid w:val="00F633DA"/>
    <w:rsid w:val="00F66F09"/>
    <w:rsid w:val="00F6791C"/>
    <w:rsid w:val="00F7068A"/>
    <w:rsid w:val="00F76725"/>
    <w:rsid w:val="00F8076F"/>
    <w:rsid w:val="00F82AEB"/>
    <w:rsid w:val="00F84E47"/>
    <w:rsid w:val="00F87BF4"/>
    <w:rsid w:val="00F95828"/>
    <w:rsid w:val="00FA10FA"/>
    <w:rsid w:val="00FA258A"/>
    <w:rsid w:val="00FA4023"/>
    <w:rsid w:val="00FB7C73"/>
    <w:rsid w:val="00FD219F"/>
    <w:rsid w:val="00FD3721"/>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B03FB"/>
  <w15:chartTrackingRefBased/>
  <w15:docId w15:val="{9E4492BB-7827-41EE-9F75-3383E558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basedOn w:val="Normal"/>
    <w:uiPriority w:val="34"/>
    <w:qFormat/>
    <w:rsid w:val="001E1005"/>
    <w:pPr>
      <w:ind w:left="720"/>
    </w:pPr>
  </w:style>
  <w:style w:type="paragraph" w:customStyle="1" w:styleId="Paragrafi">
    <w:name w:val="Paragrafi"/>
    <w:rsid w:val="00D844AF"/>
    <w:pPr>
      <w:widowControl w:val="0"/>
      <w:ind w:firstLine="720"/>
      <w:jc w:val="both"/>
    </w:pPr>
    <w:rPr>
      <w:rFonts w:ascii="CG Times" w:eastAsia="Times New Roman" w:hAnsi="CG Times"/>
      <w:sz w:val="22"/>
    </w:rPr>
  </w:style>
  <w:style w:type="paragraph" w:styleId="NoSpacing">
    <w:name w:val="No Spacing"/>
    <w:uiPriority w:val="1"/>
    <w:qFormat/>
    <w:rsid w:val="00D844AF"/>
    <w:rPr>
      <w:sz w:val="22"/>
      <w:szCs w:val="22"/>
    </w:rPr>
  </w:style>
  <w:style w:type="paragraph" w:styleId="CommentText">
    <w:name w:val="annotation text"/>
    <w:basedOn w:val="Normal"/>
    <w:link w:val="CommentTextChar"/>
    <w:uiPriority w:val="99"/>
    <w:unhideWhenUsed/>
    <w:rsid w:val="001D5E01"/>
    <w:rPr>
      <w:sz w:val="20"/>
      <w:szCs w:val="20"/>
    </w:rPr>
  </w:style>
  <w:style w:type="character" w:customStyle="1" w:styleId="CommentTextChar">
    <w:name w:val="Comment Text Char"/>
    <w:link w:val="CommentText"/>
    <w:uiPriority w:val="99"/>
    <w:rsid w:val="001D5E01"/>
    <w:rPr>
      <w:lang w:val="en-US" w:eastAsia="en-US"/>
    </w:rPr>
  </w:style>
  <w:style w:type="character" w:styleId="Hyperlink">
    <w:name w:val="Hyperlink"/>
    <w:uiPriority w:val="99"/>
    <w:semiHidden/>
    <w:unhideWhenUsed/>
    <w:rsid w:val="0074113E"/>
    <w:rPr>
      <w:color w:val="0563C1"/>
      <w:u w:val="single"/>
    </w:rPr>
  </w:style>
  <w:style w:type="paragraph" w:styleId="Revision">
    <w:name w:val="Revision"/>
    <w:hidden/>
    <w:uiPriority w:val="99"/>
    <w:semiHidden/>
    <w:rsid w:val="00A061B6"/>
    <w:rPr>
      <w:sz w:val="22"/>
      <w:szCs w:val="22"/>
      <w:lang w:val="sq-AL"/>
    </w:rPr>
  </w:style>
  <w:style w:type="character" w:styleId="CommentReference">
    <w:name w:val="annotation reference"/>
    <w:uiPriority w:val="99"/>
    <w:semiHidden/>
    <w:unhideWhenUsed/>
    <w:rsid w:val="00624B3B"/>
    <w:rPr>
      <w:sz w:val="16"/>
      <w:szCs w:val="16"/>
    </w:rPr>
  </w:style>
  <w:style w:type="paragraph" w:styleId="CommentSubject">
    <w:name w:val="annotation subject"/>
    <w:basedOn w:val="CommentText"/>
    <w:next w:val="CommentText"/>
    <w:link w:val="CommentSubjectChar"/>
    <w:uiPriority w:val="99"/>
    <w:semiHidden/>
    <w:unhideWhenUsed/>
    <w:rsid w:val="00624B3B"/>
    <w:rPr>
      <w:b/>
      <w:bCs/>
    </w:rPr>
  </w:style>
  <w:style w:type="character" w:customStyle="1" w:styleId="CommentSubjectChar">
    <w:name w:val="Comment Subject Char"/>
    <w:link w:val="CommentSubject"/>
    <w:uiPriority w:val="99"/>
    <w:semiHidden/>
    <w:rsid w:val="00624B3B"/>
    <w:rPr>
      <w:b/>
      <w:bCs/>
      <w:lang w:val="sq-AL" w:eastAsia="en-US"/>
    </w:rPr>
  </w:style>
  <w:style w:type="paragraph" w:styleId="NormalWeb">
    <w:name w:val="Normal (Web)"/>
    <w:basedOn w:val="Normal"/>
    <w:uiPriority w:val="99"/>
    <w:unhideWhenUsed/>
    <w:rsid w:val="00DC1D20"/>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15244D"/>
    <w:rPr>
      <w:b/>
      <w:bCs/>
    </w:rPr>
  </w:style>
  <w:style w:type="paragraph" w:styleId="FootnoteText">
    <w:name w:val="footnote text"/>
    <w:basedOn w:val="Normal"/>
    <w:link w:val="FootnoteTextChar"/>
    <w:uiPriority w:val="99"/>
    <w:semiHidden/>
    <w:unhideWhenUsed/>
    <w:rsid w:val="00957088"/>
    <w:pPr>
      <w:spacing w:after="0" w:line="240" w:lineRule="auto"/>
    </w:pPr>
    <w:rPr>
      <w:rFonts w:ascii="Times New Roman" w:eastAsia="Times New Roman" w:hAnsi="Times New Roman"/>
      <w:kern w:val="2"/>
      <w:sz w:val="20"/>
      <w:szCs w:val="20"/>
      <w14:ligatures w14:val="standardContextual"/>
    </w:rPr>
  </w:style>
  <w:style w:type="character" w:customStyle="1" w:styleId="FootnoteTextChar">
    <w:name w:val="Footnote Text Char"/>
    <w:basedOn w:val="DefaultParagraphFont"/>
    <w:link w:val="FootnoteText"/>
    <w:uiPriority w:val="99"/>
    <w:semiHidden/>
    <w:rsid w:val="00957088"/>
    <w:rPr>
      <w:rFonts w:ascii="Times New Roman" w:eastAsia="Times New Roman" w:hAnsi="Times New Roman"/>
      <w:kern w:val="2"/>
      <w:lang w:val="sq-AL"/>
      <w14:ligatures w14:val="standardContextual"/>
    </w:rPr>
  </w:style>
  <w:style w:type="character" w:styleId="FootnoteReference">
    <w:name w:val="footnote reference"/>
    <w:basedOn w:val="DefaultParagraphFont"/>
    <w:uiPriority w:val="99"/>
    <w:semiHidden/>
    <w:unhideWhenUsed/>
    <w:rsid w:val="00957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717">
      <w:bodyDiv w:val="1"/>
      <w:marLeft w:val="0"/>
      <w:marRight w:val="0"/>
      <w:marTop w:val="0"/>
      <w:marBottom w:val="0"/>
      <w:divBdr>
        <w:top w:val="none" w:sz="0" w:space="0" w:color="auto"/>
        <w:left w:val="none" w:sz="0" w:space="0" w:color="auto"/>
        <w:bottom w:val="none" w:sz="0" w:space="0" w:color="auto"/>
        <w:right w:val="none" w:sz="0" w:space="0" w:color="auto"/>
      </w:divBdr>
      <w:divsChild>
        <w:div w:id="915044284">
          <w:marLeft w:val="0"/>
          <w:marRight w:val="0"/>
          <w:marTop w:val="0"/>
          <w:marBottom w:val="0"/>
          <w:divBdr>
            <w:top w:val="none" w:sz="0" w:space="0" w:color="auto"/>
            <w:left w:val="none" w:sz="0" w:space="0" w:color="auto"/>
            <w:bottom w:val="none" w:sz="0" w:space="0" w:color="auto"/>
            <w:right w:val="none" w:sz="0" w:space="0" w:color="auto"/>
          </w:divBdr>
          <w:divsChild>
            <w:div w:id="417748008">
              <w:marLeft w:val="0"/>
              <w:marRight w:val="0"/>
              <w:marTop w:val="0"/>
              <w:marBottom w:val="0"/>
              <w:divBdr>
                <w:top w:val="none" w:sz="0" w:space="0" w:color="auto"/>
                <w:left w:val="none" w:sz="0" w:space="0" w:color="auto"/>
                <w:bottom w:val="none" w:sz="0" w:space="0" w:color="auto"/>
                <w:right w:val="none" w:sz="0" w:space="0" w:color="auto"/>
              </w:divBdr>
              <w:divsChild>
                <w:div w:id="898596647">
                  <w:marLeft w:val="0"/>
                  <w:marRight w:val="0"/>
                  <w:marTop w:val="0"/>
                  <w:marBottom w:val="0"/>
                  <w:divBdr>
                    <w:top w:val="none" w:sz="0" w:space="0" w:color="auto"/>
                    <w:left w:val="none" w:sz="0" w:space="0" w:color="auto"/>
                    <w:bottom w:val="none" w:sz="0" w:space="0" w:color="auto"/>
                    <w:right w:val="none" w:sz="0" w:space="0" w:color="auto"/>
                  </w:divBdr>
                  <w:divsChild>
                    <w:div w:id="1803576939">
                      <w:marLeft w:val="0"/>
                      <w:marRight w:val="0"/>
                      <w:marTop w:val="0"/>
                      <w:marBottom w:val="0"/>
                      <w:divBdr>
                        <w:top w:val="none" w:sz="0" w:space="0" w:color="auto"/>
                        <w:left w:val="none" w:sz="0" w:space="0" w:color="auto"/>
                        <w:bottom w:val="none" w:sz="0" w:space="0" w:color="auto"/>
                        <w:right w:val="none" w:sz="0" w:space="0" w:color="auto"/>
                      </w:divBdr>
                      <w:divsChild>
                        <w:div w:id="316493702">
                          <w:marLeft w:val="0"/>
                          <w:marRight w:val="0"/>
                          <w:marTop w:val="0"/>
                          <w:marBottom w:val="0"/>
                          <w:divBdr>
                            <w:top w:val="none" w:sz="0" w:space="0" w:color="auto"/>
                            <w:left w:val="none" w:sz="0" w:space="0" w:color="auto"/>
                            <w:bottom w:val="none" w:sz="0" w:space="0" w:color="auto"/>
                            <w:right w:val="none" w:sz="0" w:space="0" w:color="auto"/>
                          </w:divBdr>
                          <w:divsChild>
                            <w:div w:id="14439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01888">
      <w:bodyDiv w:val="1"/>
      <w:marLeft w:val="0"/>
      <w:marRight w:val="0"/>
      <w:marTop w:val="0"/>
      <w:marBottom w:val="0"/>
      <w:divBdr>
        <w:top w:val="none" w:sz="0" w:space="0" w:color="auto"/>
        <w:left w:val="none" w:sz="0" w:space="0" w:color="auto"/>
        <w:bottom w:val="none" w:sz="0" w:space="0" w:color="auto"/>
        <w:right w:val="none" w:sz="0" w:space="0" w:color="auto"/>
      </w:divBdr>
      <w:divsChild>
        <w:div w:id="1214274949">
          <w:marLeft w:val="0"/>
          <w:marRight w:val="0"/>
          <w:marTop w:val="0"/>
          <w:marBottom w:val="0"/>
          <w:divBdr>
            <w:top w:val="none" w:sz="0" w:space="0" w:color="auto"/>
            <w:left w:val="none" w:sz="0" w:space="0" w:color="auto"/>
            <w:bottom w:val="none" w:sz="0" w:space="0" w:color="auto"/>
            <w:right w:val="none" w:sz="0" w:space="0" w:color="auto"/>
          </w:divBdr>
        </w:div>
        <w:div w:id="1717654217">
          <w:marLeft w:val="0"/>
          <w:marRight w:val="0"/>
          <w:marTop w:val="0"/>
          <w:marBottom w:val="0"/>
          <w:divBdr>
            <w:top w:val="none" w:sz="0" w:space="0" w:color="auto"/>
            <w:left w:val="none" w:sz="0" w:space="0" w:color="auto"/>
            <w:bottom w:val="none" w:sz="0" w:space="0" w:color="auto"/>
            <w:right w:val="none" w:sz="0" w:space="0" w:color="auto"/>
          </w:divBdr>
        </w:div>
        <w:div w:id="69500880">
          <w:marLeft w:val="0"/>
          <w:marRight w:val="0"/>
          <w:marTop w:val="0"/>
          <w:marBottom w:val="0"/>
          <w:divBdr>
            <w:top w:val="none" w:sz="0" w:space="0" w:color="auto"/>
            <w:left w:val="none" w:sz="0" w:space="0" w:color="auto"/>
            <w:bottom w:val="none" w:sz="0" w:space="0" w:color="auto"/>
            <w:right w:val="none" w:sz="0" w:space="0" w:color="auto"/>
          </w:divBdr>
        </w:div>
      </w:divsChild>
    </w:div>
    <w:div w:id="284389183">
      <w:bodyDiv w:val="1"/>
      <w:marLeft w:val="0"/>
      <w:marRight w:val="0"/>
      <w:marTop w:val="0"/>
      <w:marBottom w:val="0"/>
      <w:divBdr>
        <w:top w:val="none" w:sz="0" w:space="0" w:color="auto"/>
        <w:left w:val="none" w:sz="0" w:space="0" w:color="auto"/>
        <w:bottom w:val="none" w:sz="0" w:space="0" w:color="auto"/>
        <w:right w:val="none" w:sz="0" w:space="0" w:color="auto"/>
      </w:divBdr>
    </w:div>
    <w:div w:id="414283223">
      <w:bodyDiv w:val="1"/>
      <w:marLeft w:val="0"/>
      <w:marRight w:val="0"/>
      <w:marTop w:val="0"/>
      <w:marBottom w:val="0"/>
      <w:divBdr>
        <w:top w:val="none" w:sz="0" w:space="0" w:color="auto"/>
        <w:left w:val="none" w:sz="0" w:space="0" w:color="auto"/>
        <w:bottom w:val="none" w:sz="0" w:space="0" w:color="auto"/>
        <w:right w:val="none" w:sz="0" w:space="0" w:color="auto"/>
      </w:divBdr>
    </w:div>
    <w:div w:id="628895475">
      <w:bodyDiv w:val="1"/>
      <w:marLeft w:val="0"/>
      <w:marRight w:val="0"/>
      <w:marTop w:val="0"/>
      <w:marBottom w:val="0"/>
      <w:divBdr>
        <w:top w:val="none" w:sz="0" w:space="0" w:color="auto"/>
        <w:left w:val="none" w:sz="0" w:space="0" w:color="auto"/>
        <w:bottom w:val="none" w:sz="0" w:space="0" w:color="auto"/>
        <w:right w:val="none" w:sz="0" w:space="0" w:color="auto"/>
      </w:divBdr>
    </w:div>
    <w:div w:id="704793693">
      <w:bodyDiv w:val="1"/>
      <w:marLeft w:val="0"/>
      <w:marRight w:val="0"/>
      <w:marTop w:val="0"/>
      <w:marBottom w:val="0"/>
      <w:divBdr>
        <w:top w:val="none" w:sz="0" w:space="0" w:color="auto"/>
        <w:left w:val="none" w:sz="0" w:space="0" w:color="auto"/>
        <w:bottom w:val="none" w:sz="0" w:space="0" w:color="auto"/>
        <w:right w:val="none" w:sz="0" w:space="0" w:color="auto"/>
      </w:divBdr>
      <w:divsChild>
        <w:div w:id="28839561">
          <w:marLeft w:val="0"/>
          <w:marRight w:val="0"/>
          <w:marTop w:val="0"/>
          <w:marBottom w:val="0"/>
          <w:divBdr>
            <w:top w:val="none" w:sz="0" w:space="0" w:color="auto"/>
            <w:left w:val="none" w:sz="0" w:space="0" w:color="auto"/>
            <w:bottom w:val="none" w:sz="0" w:space="0" w:color="auto"/>
            <w:right w:val="none" w:sz="0" w:space="0" w:color="auto"/>
          </w:divBdr>
          <w:divsChild>
            <w:div w:id="1856729429">
              <w:marLeft w:val="0"/>
              <w:marRight w:val="0"/>
              <w:marTop w:val="0"/>
              <w:marBottom w:val="0"/>
              <w:divBdr>
                <w:top w:val="none" w:sz="0" w:space="0" w:color="auto"/>
                <w:left w:val="none" w:sz="0" w:space="0" w:color="auto"/>
                <w:bottom w:val="none" w:sz="0" w:space="0" w:color="auto"/>
                <w:right w:val="none" w:sz="0" w:space="0" w:color="auto"/>
              </w:divBdr>
              <w:divsChild>
                <w:div w:id="1264875518">
                  <w:marLeft w:val="0"/>
                  <w:marRight w:val="0"/>
                  <w:marTop w:val="0"/>
                  <w:marBottom w:val="0"/>
                  <w:divBdr>
                    <w:top w:val="none" w:sz="0" w:space="0" w:color="auto"/>
                    <w:left w:val="none" w:sz="0" w:space="0" w:color="auto"/>
                    <w:bottom w:val="none" w:sz="0" w:space="0" w:color="auto"/>
                    <w:right w:val="none" w:sz="0" w:space="0" w:color="auto"/>
                  </w:divBdr>
                  <w:divsChild>
                    <w:div w:id="2014259415">
                      <w:marLeft w:val="0"/>
                      <w:marRight w:val="0"/>
                      <w:marTop w:val="0"/>
                      <w:marBottom w:val="0"/>
                      <w:divBdr>
                        <w:top w:val="none" w:sz="0" w:space="0" w:color="auto"/>
                        <w:left w:val="none" w:sz="0" w:space="0" w:color="auto"/>
                        <w:bottom w:val="none" w:sz="0" w:space="0" w:color="auto"/>
                        <w:right w:val="none" w:sz="0" w:space="0" w:color="auto"/>
                      </w:divBdr>
                      <w:divsChild>
                        <w:div w:id="1618482684">
                          <w:marLeft w:val="0"/>
                          <w:marRight w:val="0"/>
                          <w:marTop w:val="0"/>
                          <w:marBottom w:val="0"/>
                          <w:divBdr>
                            <w:top w:val="none" w:sz="0" w:space="0" w:color="auto"/>
                            <w:left w:val="none" w:sz="0" w:space="0" w:color="auto"/>
                            <w:bottom w:val="none" w:sz="0" w:space="0" w:color="auto"/>
                            <w:right w:val="none" w:sz="0" w:space="0" w:color="auto"/>
                          </w:divBdr>
                          <w:divsChild>
                            <w:div w:id="21241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266859">
      <w:bodyDiv w:val="1"/>
      <w:marLeft w:val="0"/>
      <w:marRight w:val="0"/>
      <w:marTop w:val="0"/>
      <w:marBottom w:val="0"/>
      <w:divBdr>
        <w:top w:val="none" w:sz="0" w:space="0" w:color="auto"/>
        <w:left w:val="none" w:sz="0" w:space="0" w:color="auto"/>
        <w:bottom w:val="none" w:sz="0" w:space="0" w:color="auto"/>
        <w:right w:val="none" w:sz="0" w:space="0" w:color="auto"/>
      </w:divBdr>
      <w:divsChild>
        <w:div w:id="1896044451">
          <w:marLeft w:val="0"/>
          <w:marRight w:val="0"/>
          <w:marTop w:val="0"/>
          <w:marBottom w:val="0"/>
          <w:divBdr>
            <w:top w:val="none" w:sz="0" w:space="0" w:color="auto"/>
            <w:left w:val="none" w:sz="0" w:space="0" w:color="auto"/>
            <w:bottom w:val="none" w:sz="0" w:space="0" w:color="auto"/>
            <w:right w:val="none" w:sz="0" w:space="0" w:color="auto"/>
          </w:divBdr>
          <w:divsChild>
            <w:div w:id="1516845293">
              <w:marLeft w:val="0"/>
              <w:marRight w:val="0"/>
              <w:marTop w:val="0"/>
              <w:marBottom w:val="0"/>
              <w:divBdr>
                <w:top w:val="none" w:sz="0" w:space="0" w:color="auto"/>
                <w:left w:val="none" w:sz="0" w:space="0" w:color="auto"/>
                <w:bottom w:val="none" w:sz="0" w:space="0" w:color="auto"/>
                <w:right w:val="none" w:sz="0" w:space="0" w:color="auto"/>
              </w:divBdr>
              <w:divsChild>
                <w:div w:id="1520394432">
                  <w:marLeft w:val="0"/>
                  <w:marRight w:val="0"/>
                  <w:marTop w:val="0"/>
                  <w:marBottom w:val="0"/>
                  <w:divBdr>
                    <w:top w:val="none" w:sz="0" w:space="0" w:color="auto"/>
                    <w:left w:val="none" w:sz="0" w:space="0" w:color="auto"/>
                    <w:bottom w:val="none" w:sz="0" w:space="0" w:color="auto"/>
                    <w:right w:val="none" w:sz="0" w:space="0" w:color="auto"/>
                  </w:divBdr>
                  <w:divsChild>
                    <w:div w:id="532881553">
                      <w:marLeft w:val="0"/>
                      <w:marRight w:val="0"/>
                      <w:marTop w:val="0"/>
                      <w:marBottom w:val="0"/>
                      <w:divBdr>
                        <w:top w:val="none" w:sz="0" w:space="0" w:color="auto"/>
                        <w:left w:val="none" w:sz="0" w:space="0" w:color="auto"/>
                        <w:bottom w:val="none" w:sz="0" w:space="0" w:color="auto"/>
                        <w:right w:val="none" w:sz="0" w:space="0" w:color="auto"/>
                      </w:divBdr>
                      <w:divsChild>
                        <w:div w:id="2045329990">
                          <w:marLeft w:val="0"/>
                          <w:marRight w:val="0"/>
                          <w:marTop w:val="0"/>
                          <w:marBottom w:val="0"/>
                          <w:divBdr>
                            <w:top w:val="none" w:sz="0" w:space="0" w:color="auto"/>
                            <w:left w:val="none" w:sz="0" w:space="0" w:color="auto"/>
                            <w:bottom w:val="none" w:sz="0" w:space="0" w:color="auto"/>
                            <w:right w:val="none" w:sz="0" w:space="0" w:color="auto"/>
                          </w:divBdr>
                          <w:divsChild>
                            <w:div w:id="9244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222343">
      <w:bodyDiv w:val="1"/>
      <w:marLeft w:val="0"/>
      <w:marRight w:val="0"/>
      <w:marTop w:val="0"/>
      <w:marBottom w:val="0"/>
      <w:divBdr>
        <w:top w:val="none" w:sz="0" w:space="0" w:color="auto"/>
        <w:left w:val="none" w:sz="0" w:space="0" w:color="auto"/>
        <w:bottom w:val="none" w:sz="0" w:space="0" w:color="auto"/>
        <w:right w:val="none" w:sz="0" w:space="0" w:color="auto"/>
      </w:divBdr>
      <w:divsChild>
        <w:div w:id="1220433576">
          <w:marLeft w:val="0"/>
          <w:marRight w:val="0"/>
          <w:marTop w:val="0"/>
          <w:marBottom w:val="0"/>
          <w:divBdr>
            <w:top w:val="none" w:sz="0" w:space="0" w:color="auto"/>
            <w:left w:val="none" w:sz="0" w:space="0" w:color="auto"/>
            <w:bottom w:val="none" w:sz="0" w:space="0" w:color="auto"/>
            <w:right w:val="none" w:sz="0" w:space="0" w:color="auto"/>
          </w:divBdr>
        </w:div>
        <w:div w:id="55903617">
          <w:marLeft w:val="0"/>
          <w:marRight w:val="0"/>
          <w:marTop w:val="0"/>
          <w:marBottom w:val="0"/>
          <w:divBdr>
            <w:top w:val="none" w:sz="0" w:space="0" w:color="auto"/>
            <w:left w:val="none" w:sz="0" w:space="0" w:color="auto"/>
            <w:bottom w:val="none" w:sz="0" w:space="0" w:color="auto"/>
            <w:right w:val="none" w:sz="0" w:space="0" w:color="auto"/>
          </w:divBdr>
        </w:div>
      </w:divsChild>
    </w:div>
    <w:div w:id="1305431606">
      <w:bodyDiv w:val="1"/>
      <w:marLeft w:val="0"/>
      <w:marRight w:val="0"/>
      <w:marTop w:val="0"/>
      <w:marBottom w:val="0"/>
      <w:divBdr>
        <w:top w:val="none" w:sz="0" w:space="0" w:color="auto"/>
        <w:left w:val="none" w:sz="0" w:space="0" w:color="auto"/>
        <w:bottom w:val="none" w:sz="0" w:space="0" w:color="auto"/>
        <w:right w:val="none" w:sz="0" w:space="0" w:color="auto"/>
      </w:divBdr>
      <w:divsChild>
        <w:div w:id="485587775">
          <w:marLeft w:val="0"/>
          <w:marRight w:val="0"/>
          <w:marTop w:val="0"/>
          <w:marBottom w:val="0"/>
          <w:divBdr>
            <w:top w:val="none" w:sz="0" w:space="0" w:color="auto"/>
            <w:left w:val="none" w:sz="0" w:space="0" w:color="auto"/>
            <w:bottom w:val="none" w:sz="0" w:space="0" w:color="auto"/>
            <w:right w:val="none" w:sz="0" w:space="0" w:color="auto"/>
          </w:divBdr>
        </w:div>
        <w:div w:id="1545485225">
          <w:marLeft w:val="0"/>
          <w:marRight w:val="0"/>
          <w:marTop w:val="0"/>
          <w:marBottom w:val="0"/>
          <w:divBdr>
            <w:top w:val="none" w:sz="0" w:space="0" w:color="auto"/>
            <w:left w:val="none" w:sz="0" w:space="0" w:color="auto"/>
            <w:bottom w:val="none" w:sz="0" w:space="0" w:color="auto"/>
            <w:right w:val="none" w:sz="0" w:space="0" w:color="auto"/>
          </w:divBdr>
        </w:div>
      </w:divsChild>
    </w:div>
    <w:div w:id="1330791498">
      <w:bodyDiv w:val="1"/>
      <w:marLeft w:val="0"/>
      <w:marRight w:val="0"/>
      <w:marTop w:val="0"/>
      <w:marBottom w:val="0"/>
      <w:divBdr>
        <w:top w:val="none" w:sz="0" w:space="0" w:color="auto"/>
        <w:left w:val="none" w:sz="0" w:space="0" w:color="auto"/>
        <w:bottom w:val="none" w:sz="0" w:space="0" w:color="auto"/>
        <w:right w:val="none" w:sz="0" w:space="0" w:color="auto"/>
      </w:divBdr>
    </w:div>
    <w:div w:id="1363821959">
      <w:bodyDiv w:val="1"/>
      <w:marLeft w:val="0"/>
      <w:marRight w:val="0"/>
      <w:marTop w:val="0"/>
      <w:marBottom w:val="0"/>
      <w:divBdr>
        <w:top w:val="none" w:sz="0" w:space="0" w:color="auto"/>
        <w:left w:val="none" w:sz="0" w:space="0" w:color="auto"/>
        <w:bottom w:val="none" w:sz="0" w:space="0" w:color="auto"/>
        <w:right w:val="none" w:sz="0" w:space="0" w:color="auto"/>
      </w:divBdr>
      <w:divsChild>
        <w:div w:id="241719843">
          <w:marLeft w:val="0"/>
          <w:marRight w:val="0"/>
          <w:marTop w:val="0"/>
          <w:marBottom w:val="0"/>
          <w:divBdr>
            <w:top w:val="none" w:sz="0" w:space="0" w:color="auto"/>
            <w:left w:val="none" w:sz="0" w:space="0" w:color="auto"/>
            <w:bottom w:val="none" w:sz="0" w:space="0" w:color="auto"/>
            <w:right w:val="none" w:sz="0" w:space="0" w:color="auto"/>
          </w:divBdr>
        </w:div>
        <w:div w:id="44565297">
          <w:marLeft w:val="0"/>
          <w:marRight w:val="0"/>
          <w:marTop w:val="0"/>
          <w:marBottom w:val="0"/>
          <w:divBdr>
            <w:top w:val="none" w:sz="0" w:space="0" w:color="auto"/>
            <w:left w:val="none" w:sz="0" w:space="0" w:color="auto"/>
            <w:bottom w:val="none" w:sz="0" w:space="0" w:color="auto"/>
            <w:right w:val="none" w:sz="0" w:space="0" w:color="auto"/>
          </w:divBdr>
        </w:div>
        <w:div w:id="2045017829">
          <w:marLeft w:val="0"/>
          <w:marRight w:val="0"/>
          <w:marTop w:val="0"/>
          <w:marBottom w:val="0"/>
          <w:divBdr>
            <w:top w:val="none" w:sz="0" w:space="0" w:color="auto"/>
            <w:left w:val="none" w:sz="0" w:space="0" w:color="auto"/>
            <w:bottom w:val="none" w:sz="0" w:space="0" w:color="auto"/>
            <w:right w:val="none" w:sz="0" w:space="0" w:color="auto"/>
          </w:divBdr>
        </w:div>
      </w:divsChild>
    </w:div>
    <w:div w:id="1490094559">
      <w:bodyDiv w:val="1"/>
      <w:marLeft w:val="0"/>
      <w:marRight w:val="0"/>
      <w:marTop w:val="0"/>
      <w:marBottom w:val="0"/>
      <w:divBdr>
        <w:top w:val="none" w:sz="0" w:space="0" w:color="auto"/>
        <w:left w:val="none" w:sz="0" w:space="0" w:color="auto"/>
        <w:bottom w:val="none" w:sz="0" w:space="0" w:color="auto"/>
        <w:right w:val="none" w:sz="0" w:space="0" w:color="auto"/>
      </w:divBdr>
      <w:divsChild>
        <w:div w:id="754397723">
          <w:marLeft w:val="0"/>
          <w:marRight w:val="0"/>
          <w:marTop w:val="0"/>
          <w:marBottom w:val="0"/>
          <w:divBdr>
            <w:top w:val="none" w:sz="0" w:space="0" w:color="auto"/>
            <w:left w:val="none" w:sz="0" w:space="0" w:color="auto"/>
            <w:bottom w:val="none" w:sz="0" w:space="0" w:color="auto"/>
            <w:right w:val="none" w:sz="0" w:space="0" w:color="auto"/>
          </w:divBdr>
          <w:divsChild>
            <w:div w:id="467164401">
              <w:marLeft w:val="0"/>
              <w:marRight w:val="0"/>
              <w:marTop w:val="0"/>
              <w:marBottom w:val="0"/>
              <w:divBdr>
                <w:top w:val="none" w:sz="0" w:space="0" w:color="auto"/>
                <w:left w:val="none" w:sz="0" w:space="0" w:color="auto"/>
                <w:bottom w:val="none" w:sz="0" w:space="0" w:color="auto"/>
                <w:right w:val="none" w:sz="0" w:space="0" w:color="auto"/>
              </w:divBdr>
              <w:divsChild>
                <w:div w:id="603611273">
                  <w:marLeft w:val="0"/>
                  <w:marRight w:val="0"/>
                  <w:marTop w:val="0"/>
                  <w:marBottom w:val="0"/>
                  <w:divBdr>
                    <w:top w:val="none" w:sz="0" w:space="0" w:color="auto"/>
                    <w:left w:val="none" w:sz="0" w:space="0" w:color="auto"/>
                    <w:bottom w:val="none" w:sz="0" w:space="0" w:color="auto"/>
                    <w:right w:val="none" w:sz="0" w:space="0" w:color="auto"/>
                  </w:divBdr>
                  <w:divsChild>
                    <w:div w:id="1939943705">
                      <w:marLeft w:val="0"/>
                      <w:marRight w:val="0"/>
                      <w:marTop w:val="0"/>
                      <w:marBottom w:val="0"/>
                      <w:divBdr>
                        <w:top w:val="none" w:sz="0" w:space="0" w:color="auto"/>
                        <w:left w:val="none" w:sz="0" w:space="0" w:color="auto"/>
                        <w:bottom w:val="none" w:sz="0" w:space="0" w:color="auto"/>
                        <w:right w:val="none" w:sz="0" w:space="0" w:color="auto"/>
                      </w:divBdr>
                      <w:divsChild>
                        <w:div w:id="1169445023">
                          <w:marLeft w:val="0"/>
                          <w:marRight w:val="0"/>
                          <w:marTop w:val="0"/>
                          <w:marBottom w:val="0"/>
                          <w:divBdr>
                            <w:top w:val="none" w:sz="0" w:space="0" w:color="auto"/>
                            <w:left w:val="none" w:sz="0" w:space="0" w:color="auto"/>
                            <w:bottom w:val="none" w:sz="0" w:space="0" w:color="auto"/>
                            <w:right w:val="none" w:sz="0" w:space="0" w:color="auto"/>
                          </w:divBdr>
                          <w:divsChild>
                            <w:div w:id="9168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05">
      <w:bodyDiv w:val="1"/>
      <w:marLeft w:val="0"/>
      <w:marRight w:val="0"/>
      <w:marTop w:val="0"/>
      <w:marBottom w:val="0"/>
      <w:divBdr>
        <w:top w:val="none" w:sz="0" w:space="0" w:color="auto"/>
        <w:left w:val="none" w:sz="0" w:space="0" w:color="auto"/>
        <w:bottom w:val="none" w:sz="0" w:space="0" w:color="auto"/>
        <w:right w:val="none" w:sz="0" w:space="0" w:color="auto"/>
      </w:divBdr>
    </w:div>
    <w:div w:id="1696689127">
      <w:bodyDiv w:val="1"/>
      <w:marLeft w:val="0"/>
      <w:marRight w:val="0"/>
      <w:marTop w:val="0"/>
      <w:marBottom w:val="0"/>
      <w:divBdr>
        <w:top w:val="none" w:sz="0" w:space="0" w:color="auto"/>
        <w:left w:val="none" w:sz="0" w:space="0" w:color="auto"/>
        <w:bottom w:val="none" w:sz="0" w:space="0" w:color="auto"/>
        <w:right w:val="none" w:sz="0" w:space="0" w:color="auto"/>
      </w:divBdr>
      <w:divsChild>
        <w:div w:id="969867992">
          <w:marLeft w:val="0"/>
          <w:marRight w:val="0"/>
          <w:marTop w:val="0"/>
          <w:marBottom w:val="0"/>
          <w:divBdr>
            <w:top w:val="none" w:sz="0" w:space="0" w:color="auto"/>
            <w:left w:val="none" w:sz="0" w:space="0" w:color="auto"/>
            <w:bottom w:val="none" w:sz="0" w:space="0" w:color="auto"/>
            <w:right w:val="none" w:sz="0" w:space="0" w:color="auto"/>
          </w:divBdr>
        </w:div>
        <w:div w:id="446582579">
          <w:marLeft w:val="0"/>
          <w:marRight w:val="0"/>
          <w:marTop w:val="0"/>
          <w:marBottom w:val="0"/>
          <w:divBdr>
            <w:top w:val="none" w:sz="0" w:space="0" w:color="auto"/>
            <w:left w:val="none" w:sz="0" w:space="0" w:color="auto"/>
            <w:bottom w:val="none" w:sz="0" w:space="0" w:color="auto"/>
            <w:right w:val="none" w:sz="0" w:space="0" w:color="auto"/>
          </w:divBdr>
        </w:div>
      </w:divsChild>
    </w:div>
    <w:div w:id="1840316707">
      <w:bodyDiv w:val="1"/>
      <w:marLeft w:val="0"/>
      <w:marRight w:val="0"/>
      <w:marTop w:val="0"/>
      <w:marBottom w:val="0"/>
      <w:divBdr>
        <w:top w:val="none" w:sz="0" w:space="0" w:color="auto"/>
        <w:left w:val="none" w:sz="0" w:space="0" w:color="auto"/>
        <w:bottom w:val="none" w:sz="0" w:space="0" w:color="auto"/>
        <w:right w:val="none" w:sz="0" w:space="0" w:color="auto"/>
      </w:divBdr>
      <w:divsChild>
        <w:div w:id="101612961">
          <w:marLeft w:val="0"/>
          <w:marRight w:val="0"/>
          <w:marTop w:val="0"/>
          <w:marBottom w:val="0"/>
          <w:divBdr>
            <w:top w:val="none" w:sz="0" w:space="0" w:color="auto"/>
            <w:left w:val="none" w:sz="0" w:space="0" w:color="auto"/>
            <w:bottom w:val="none" w:sz="0" w:space="0" w:color="auto"/>
            <w:right w:val="none" w:sz="0" w:space="0" w:color="auto"/>
          </w:divBdr>
        </w:div>
        <w:div w:id="777526303">
          <w:marLeft w:val="0"/>
          <w:marRight w:val="0"/>
          <w:marTop w:val="0"/>
          <w:marBottom w:val="0"/>
          <w:divBdr>
            <w:top w:val="none" w:sz="0" w:space="0" w:color="auto"/>
            <w:left w:val="none" w:sz="0" w:space="0" w:color="auto"/>
            <w:bottom w:val="none" w:sz="0" w:space="0" w:color="auto"/>
            <w:right w:val="none" w:sz="0" w:space="0" w:color="auto"/>
          </w:divBdr>
        </w:div>
      </w:divsChild>
    </w:div>
    <w:div w:id="1875458262">
      <w:bodyDiv w:val="1"/>
      <w:marLeft w:val="0"/>
      <w:marRight w:val="0"/>
      <w:marTop w:val="0"/>
      <w:marBottom w:val="0"/>
      <w:divBdr>
        <w:top w:val="none" w:sz="0" w:space="0" w:color="auto"/>
        <w:left w:val="none" w:sz="0" w:space="0" w:color="auto"/>
        <w:bottom w:val="none" w:sz="0" w:space="0" w:color="auto"/>
        <w:right w:val="none" w:sz="0" w:space="0" w:color="auto"/>
      </w:divBdr>
    </w:div>
    <w:div w:id="1973945719">
      <w:bodyDiv w:val="1"/>
      <w:marLeft w:val="0"/>
      <w:marRight w:val="0"/>
      <w:marTop w:val="0"/>
      <w:marBottom w:val="0"/>
      <w:divBdr>
        <w:top w:val="none" w:sz="0" w:space="0" w:color="auto"/>
        <w:left w:val="none" w:sz="0" w:space="0" w:color="auto"/>
        <w:bottom w:val="none" w:sz="0" w:space="0" w:color="auto"/>
        <w:right w:val="none" w:sz="0" w:space="0" w:color="auto"/>
      </w:divBdr>
      <w:divsChild>
        <w:div w:id="1098331900">
          <w:marLeft w:val="0"/>
          <w:marRight w:val="0"/>
          <w:marTop w:val="0"/>
          <w:marBottom w:val="0"/>
          <w:divBdr>
            <w:top w:val="none" w:sz="0" w:space="0" w:color="auto"/>
            <w:left w:val="none" w:sz="0" w:space="0" w:color="auto"/>
            <w:bottom w:val="none" w:sz="0" w:space="0" w:color="auto"/>
            <w:right w:val="none" w:sz="0" w:space="0" w:color="auto"/>
          </w:divBdr>
          <w:divsChild>
            <w:div w:id="1669599832">
              <w:marLeft w:val="0"/>
              <w:marRight w:val="0"/>
              <w:marTop w:val="0"/>
              <w:marBottom w:val="0"/>
              <w:divBdr>
                <w:top w:val="none" w:sz="0" w:space="0" w:color="auto"/>
                <w:left w:val="none" w:sz="0" w:space="0" w:color="auto"/>
                <w:bottom w:val="none" w:sz="0" w:space="0" w:color="auto"/>
                <w:right w:val="none" w:sz="0" w:space="0" w:color="auto"/>
              </w:divBdr>
              <w:divsChild>
                <w:div w:id="2052922613">
                  <w:marLeft w:val="0"/>
                  <w:marRight w:val="0"/>
                  <w:marTop w:val="0"/>
                  <w:marBottom w:val="0"/>
                  <w:divBdr>
                    <w:top w:val="none" w:sz="0" w:space="0" w:color="auto"/>
                    <w:left w:val="none" w:sz="0" w:space="0" w:color="auto"/>
                    <w:bottom w:val="none" w:sz="0" w:space="0" w:color="auto"/>
                    <w:right w:val="none" w:sz="0" w:space="0" w:color="auto"/>
                  </w:divBdr>
                  <w:divsChild>
                    <w:div w:id="680014541">
                      <w:marLeft w:val="0"/>
                      <w:marRight w:val="0"/>
                      <w:marTop w:val="0"/>
                      <w:marBottom w:val="0"/>
                      <w:divBdr>
                        <w:top w:val="none" w:sz="0" w:space="0" w:color="auto"/>
                        <w:left w:val="none" w:sz="0" w:space="0" w:color="auto"/>
                        <w:bottom w:val="none" w:sz="0" w:space="0" w:color="auto"/>
                        <w:right w:val="none" w:sz="0" w:space="0" w:color="auto"/>
                      </w:divBdr>
                      <w:divsChild>
                        <w:div w:id="1149132651">
                          <w:marLeft w:val="0"/>
                          <w:marRight w:val="0"/>
                          <w:marTop w:val="0"/>
                          <w:marBottom w:val="0"/>
                          <w:divBdr>
                            <w:top w:val="none" w:sz="0" w:space="0" w:color="auto"/>
                            <w:left w:val="none" w:sz="0" w:space="0" w:color="auto"/>
                            <w:bottom w:val="none" w:sz="0" w:space="0" w:color="auto"/>
                            <w:right w:val="none" w:sz="0" w:space="0" w:color="auto"/>
                          </w:divBdr>
                          <w:divsChild>
                            <w:div w:id="6211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47970">
      <w:bodyDiv w:val="1"/>
      <w:marLeft w:val="0"/>
      <w:marRight w:val="0"/>
      <w:marTop w:val="0"/>
      <w:marBottom w:val="0"/>
      <w:divBdr>
        <w:top w:val="none" w:sz="0" w:space="0" w:color="auto"/>
        <w:left w:val="none" w:sz="0" w:space="0" w:color="auto"/>
        <w:bottom w:val="none" w:sz="0" w:space="0" w:color="auto"/>
        <w:right w:val="none" w:sz="0" w:space="0" w:color="auto"/>
      </w:divBdr>
      <w:divsChild>
        <w:div w:id="1448889916">
          <w:marLeft w:val="0"/>
          <w:marRight w:val="0"/>
          <w:marTop w:val="0"/>
          <w:marBottom w:val="0"/>
          <w:divBdr>
            <w:top w:val="none" w:sz="0" w:space="0" w:color="auto"/>
            <w:left w:val="none" w:sz="0" w:space="0" w:color="auto"/>
            <w:bottom w:val="none" w:sz="0" w:space="0" w:color="auto"/>
            <w:right w:val="none" w:sz="0" w:space="0" w:color="auto"/>
          </w:divBdr>
          <w:divsChild>
            <w:div w:id="1901748506">
              <w:marLeft w:val="0"/>
              <w:marRight w:val="0"/>
              <w:marTop w:val="0"/>
              <w:marBottom w:val="0"/>
              <w:divBdr>
                <w:top w:val="none" w:sz="0" w:space="0" w:color="auto"/>
                <w:left w:val="none" w:sz="0" w:space="0" w:color="auto"/>
                <w:bottom w:val="none" w:sz="0" w:space="0" w:color="auto"/>
                <w:right w:val="none" w:sz="0" w:space="0" w:color="auto"/>
              </w:divBdr>
              <w:divsChild>
                <w:div w:id="641233170">
                  <w:marLeft w:val="0"/>
                  <w:marRight w:val="0"/>
                  <w:marTop w:val="0"/>
                  <w:marBottom w:val="0"/>
                  <w:divBdr>
                    <w:top w:val="none" w:sz="0" w:space="0" w:color="auto"/>
                    <w:left w:val="none" w:sz="0" w:space="0" w:color="auto"/>
                    <w:bottom w:val="none" w:sz="0" w:space="0" w:color="auto"/>
                    <w:right w:val="none" w:sz="0" w:space="0" w:color="auto"/>
                  </w:divBdr>
                  <w:divsChild>
                    <w:div w:id="848907103">
                      <w:marLeft w:val="0"/>
                      <w:marRight w:val="0"/>
                      <w:marTop w:val="0"/>
                      <w:marBottom w:val="0"/>
                      <w:divBdr>
                        <w:top w:val="none" w:sz="0" w:space="0" w:color="auto"/>
                        <w:left w:val="none" w:sz="0" w:space="0" w:color="auto"/>
                        <w:bottom w:val="none" w:sz="0" w:space="0" w:color="auto"/>
                        <w:right w:val="none" w:sz="0" w:space="0" w:color="auto"/>
                      </w:divBdr>
                      <w:divsChild>
                        <w:div w:id="387798530">
                          <w:marLeft w:val="0"/>
                          <w:marRight w:val="0"/>
                          <w:marTop w:val="0"/>
                          <w:marBottom w:val="0"/>
                          <w:divBdr>
                            <w:top w:val="none" w:sz="0" w:space="0" w:color="auto"/>
                            <w:left w:val="none" w:sz="0" w:space="0" w:color="auto"/>
                            <w:bottom w:val="none" w:sz="0" w:space="0" w:color="auto"/>
                            <w:right w:val="none" w:sz="0" w:space="0" w:color="auto"/>
                          </w:divBdr>
                          <w:divsChild>
                            <w:div w:id="9694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40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9493FF96C32F204991454080C9730B43" ma:contentTypeVersion="" ma:contentTypeDescription="" ma:contentTypeScope="" ma:versionID="9a4a7e53fe94b94506ae366fcc5c9c5c">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 xsi:nil="true"/>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8D25EE-514D-448E-A9A4-8CA5B102A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294FB-19A7-4D46-B60E-B0D66154C292}">
  <ds:schemaRefs>
    <ds:schemaRef ds:uri="http://schemas.openxmlformats.org/officeDocument/2006/bibliography"/>
  </ds:schemaRefs>
</ds:datastoreItem>
</file>

<file path=customXml/itemProps3.xml><?xml version="1.0" encoding="utf-8"?>
<ds:datastoreItem xmlns:ds="http://schemas.openxmlformats.org/officeDocument/2006/customXml" ds:itemID="{BFAFB35C-6364-4D15-A631-D14928785B9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524F16A-FDA2-4D95-AA5B-CBD37EED4291}">
  <ds:schemaRefs>
    <ds:schemaRef ds:uri="http://schemas.microsoft.com/office/2006/metadata/longProperties"/>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Relacion shpjegues për projektvendimin për metodat dhe procedurat e garancive financiare</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shpjegues për projektvendimin për metodat dhe procedurat e garancive financiare</dc:title>
  <dc:subject>Relacion shpjegues</dc:subject>
  <dc:creator>Admir Seci</dc:creator>
  <cp:keywords/>
  <cp:lastModifiedBy>Enerieta Tarelli</cp:lastModifiedBy>
  <cp:revision>2</cp:revision>
  <cp:lastPrinted>2026-07-30T11:54:00Z</cp:lastPrinted>
  <dcterms:created xsi:type="dcterms:W3CDTF">2026-08-04T13:35:00Z</dcterms:created>
  <dcterms:modified xsi:type="dcterms:W3CDTF">2026-08-04T13:35:00Z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y fmtid="{D5CDD505-2E9C-101B-9397-08002B2CF9AE}" pid="3" name="MSIP_Label_6cf46c2e-64e9-484b-aa4e-3ffc4469b01c_Enabled">
    <vt:lpwstr>true</vt:lpwstr>
  </property>
  <property fmtid="{D5CDD505-2E9C-101B-9397-08002B2CF9AE}" pid="4" name="MSIP_Label_6cf46c2e-64e9-484b-aa4e-3ffc4469b01c_SetDate">
    <vt:lpwstr>2025-08-26T12:01:44Z</vt:lpwstr>
  </property>
  <property fmtid="{D5CDD505-2E9C-101B-9397-08002B2CF9AE}" pid="5" name="MSIP_Label_6cf46c2e-64e9-484b-aa4e-3ffc4469b01c_Method">
    <vt:lpwstr>Standard</vt:lpwstr>
  </property>
  <property fmtid="{D5CDD505-2E9C-101B-9397-08002B2CF9AE}" pid="6" name="MSIP_Label_6cf46c2e-64e9-484b-aa4e-3ffc4469b01c_Name">
    <vt:lpwstr>General</vt:lpwstr>
  </property>
  <property fmtid="{D5CDD505-2E9C-101B-9397-08002B2CF9AE}" pid="7" name="MSIP_Label_6cf46c2e-64e9-484b-aa4e-3ffc4469b01c_SiteId">
    <vt:lpwstr>f5d8b812-606a-42ba-8cf9-3371cfe29c72</vt:lpwstr>
  </property>
  <property fmtid="{D5CDD505-2E9C-101B-9397-08002B2CF9AE}" pid="8" name="MSIP_Label_6cf46c2e-64e9-484b-aa4e-3ffc4469b01c_ActionId">
    <vt:lpwstr>30c18871-a48d-4828-a780-e2704e6d98b5</vt:lpwstr>
  </property>
  <property fmtid="{D5CDD505-2E9C-101B-9397-08002B2CF9AE}" pid="9" name="MSIP_Label_6cf46c2e-64e9-484b-aa4e-3ffc4469b01c_ContentBits">
    <vt:lpwstr>0</vt:lpwstr>
  </property>
</Properties>
</file>