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3808A" w14:textId="77777777" w:rsidR="008711EA" w:rsidRPr="005B3F01" w:rsidRDefault="00A7112A" w:rsidP="0035255D">
      <w:pPr>
        <w:spacing w:before="0" w:after="160" w:line="276" w:lineRule="auto"/>
        <w:jc w:val="center"/>
        <w:rPr>
          <w:rFonts w:asciiTheme="majorHAnsi" w:eastAsia="Calibri" w:hAnsiTheme="majorHAnsi" w:cstheme="majorHAnsi"/>
          <w:b/>
          <w:color w:val="000000"/>
          <w:kern w:val="0"/>
          <w:lang w:val="sq-AL"/>
          <w14:ligatures w14:val="none"/>
        </w:rPr>
      </w:pPr>
      <w:r w:rsidRPr="005B3F01">
        <w:rPr>
          <w:rFonts w:asciiTheme="majorHAnsi" w:eastAsia="Calibri" w:hAnsiTheme="majorHAnsi" w:cstheme="majorHAnsi"/>
          <w:b/>
          <w:color w:val="000000"/>
          <w:kern w:val="0"/>
          <w:lang w:val="sq-AL"/>
          <w14:ligatures w14:val="none"/>
        </w:rPr>
        <w:t>RELACION</w:t>
      </w:r>
    </w:p>
    <w:p w14:paraId="60877206" w14:textId="3F56FF21" w:rsidR="00A52A3F" w:rsidRPr="005B3F01" w:rsidRDefault="00AA29AD" w:rsidP="0035255D">
      <w:pPr>
        <w:spacing w:before="0" w:after="160" w:line="276" w:lineRule="auto"/>
        <w:jc w:val="center"/>
        <w:rPr>
          <w:rFonts w:asciiTheme="majorHAnsi" w:eastAsia="Calibri" w:hAnsiTheme="majorHAnsi" w:cstheme="majorHAnsi"/>
          <w:b/>
          <w:color w:val="000000"/>
          <w:kern w:val="0"/>
          <w:lang w:val="sq-AL"/>
          <w14:ligatures w14:val="none"/>
        </w:rPr>
      </w:pPr>
      <w:r w:rsidRPr="005B3F01">
        <w:rPr>
          <w:rFonts w:asciiTheme="majorHAnsi" w:eastAsia="Calibri" w:hAnsiTheme="majorHAnsi" w:cstheme="majorHAnsi"/>
          <w:b/>
          <w:color w:val="000000"/>
          <w:kern w:val="0"/>
          <w:lang w:val="sq-AL"/>
          <w14:ligatures w14:val="none"/>
        </w:rPr>
        <w:t>PROJEKT-</w:t>
      </w:r>
      <w:r w:rsidR="00A7112A" w:rsidRPr="005B3F01">
        <w:rPr>
          <w:rFonts w:asciiTheme="majorHAnsi" w:eastAsia="Times New Roman" w:hAnsiTheme="majorHAnsi" w:cstheme="majorHAnsi"/>
          <w:b/>
          <w:bCs/>
          <w:color w:val="000000"/>
          <w:kern w:val="0"/>
          <w:lang w:val="sq-AL"/>
          <w14:ligatures w14:val="none"/>
        </w:rPr>
        <w:t>LIGJI</w:t>
      </w:r>
    </w:p>
    <w:p w14:paraId="20712827" w14:textId="1646BFF4" w:rsidR="00A7112A" w:rsidRPr="005B3F01" w:rsidRDefault="00A52A3F" w:rsidP="0035255D">
      <w:pPr>
        <w:spacing w:before="0" w:after="160" w:line="276" w:lineRule="auto"/>
        <w:jc w:val="center"/>
        <w:rPr>
          <w:rFonts w:asciiTheme="majorHAnsi" w:eastAsia="Times New Roman" w:hAnsiTheme="majorHAnsi" w:cstheme="majorHAnsi"/>
          <w:b/>
          <w:bCs/>
          <w:color w:val="000000"/>
          <w:kern w:val="0"/>
          <w:lang w:val="sv-SE"/>
          <w14:ligatures w14:val="none"/>
        </w:rPr>
      </w:pPr>
      <w:r w:rsidRPr="005B3F01">
        <w:rPr>
          <w:rFonts w:asciiTheme="majorHAnsi" w:eastAsia="Times New Roman" w:hAnsiTheme="majorHAnsi" w:cstheme="majorHAnsi"/>
          <w:b/>
          <w:bCs/>
          <w:color w:val="000000"/>
          <w:kern w:val="0"/>
          <w:lang w:val="sv-SE"/>
          <w14:ligatures w14:val="none"/>
        </w:rPr>
        <w:t>”</w:t>
      </w:r>
      <w:r w:rsidR="00333A42" w:rsidRPr="005B3F01">
        <w:rPr>
          <w:rFonts w:asciiTheme="majorHAnsi" w:eastAsia="Times New Roman" w:hAnsiTheme="majorHAnsi" w:cstheme="majorHAnsi"/>
          <w:b/>
          <w:bCs/>
          <w:color w:val="000000"/>
          <w:kern w:val="0"/>
          <w:lang w:val="sv-SE"/>
          <w14:ligatures w14:val="none"/>
        </w:rPr>
        <w:t>PËR BYROTË E KREDITIT</w:t>
      </w:r>
      <w:r w:rsidR="00A7112A" w:rsidRPr="005B3F01">
        <w:rPr>
          <w:rFonts w:asciiTheme="majorHAnsi" w:eastAsia="Times New Roman" w:hAnsiTheme="majorHAnsi" w:cstheme="majorHAnsi"/>
          <w:b/>
          <w:bCs/>
          <w:color w:val="000000"/>
          <w:kern w:val="0"/>
          <w:lang w:val="sq-AL"/>
          <w14:ligatures w14:val="none"/>
        </w:rPr>
        <w:t>”</w:t>
      </w:r>
    </w:p>
    <w:p w14:paraId="301E11D9" w14:textId="77777777" w:rsidR="00A7112A" w:rsidRPr="005B3F01" w:rsidRDefault="00A7112A" w:rsidP="0035255D">
      <w:pPr>
        <w:spacing w:before="100" w:beforeAutospacing="1" w:after="100" w:afterAutospacing="1" w:line="276" w:lineRule="auto"/>
        <w:jc w:val="center"/>
        <w:rPr>
          <w:rFonts w:asciiTheme="majorHAnsi" w:eastAsia="Times New Roman" w:hAnsiTheme="majorHAnsi" w:cstheme="majorHAnsi"/>
          <w:kern w:val="0"/>
          <w:lang w:val="sv-SE"/>
          <w14:ligatures w14:val="none"/>
        </w:rPr>
      </w:pPr>
    </w:p>
    <w:p w14:paraId="0C9F75B8" w14:textId="77777777" w:rsidR="00A7112A" w:rsidRPr="005B3F01" w:rsidRDefault="00A7112A" w:rsidP="0035255D">
      <w:pPr>
        <w:numPr>
          <w:ilvl w:val="0"/>
          <w:numId w:val="7"/>
        </w:numPr>
        <w:spacing w:before="0" w:after="160" w:line="276" w:lineRule="auto"/>
        <w:contextualSpacing/>
        <w:jc w:val="left"/>
        <w:rPr>
          <w:rFonts w:asciiTheme="majorHAnsi" w:eastAsia="Calibri" w:hAnsiTheme="majorHAnsi" w:cstheme="majorHAnsi"/>
          <w:b/>
          <w:color w:val="000000"/>
          <w:kern w:val="0"/>
          <w:lang w:val="sq-AL"/>
          <w14:ligatures w14:val="none"/>
        </w:rPr>
      </w:pPr>
      <w:r w:rsidRPr="005B3F01">
        <w:rPr>
          <w:rFonts w:asciiTheme="majorHAnsi" w:eastAsia="Calibri" w:hAnsiTheme="majorHAnsi" w:cstheme="majorHAnsi"/>
          <w:b/>
          <w:color w:val="000000"/>
          <w:kern w:val="0"/>
          <w:lang w:val="sq-AL"/>
          <w14:ligatures w14:val="none"/>
        </w:rPr>
        <w:t>QËLLIMI I PROJEKT-AKTIT DHE OBJEKTIVAT QË SYNOHEN TË ARRIHEN</w:t>
      </w:r>
    </w:p>
    <w:p w14:paraId="6B859645" w14:textId="77777777" w:rsidR="00B9308F" w:rsidRPr="005B3F01" w:rsidRDefault="00B9308F">
      <w:pPr>
        <w:spacing w:line="276" w:lineRule="auto"/>
        <w:rPr>
          <w:rFonts w:asciiTheme="majorHAnsi" w:hAnsiTheme="majorHAnsi" w:cstheme="majorHAnsi"/>
          <w:lang w:val="sq-AL"/>
        </w:rPr>
      </w:pPr>
    </w:p>
    <w:p w14:paraId="38977B02" w14:textId="266BF4B1" w:rsidR="00B9308F" w:rsidRPr="005B3F01" w:rsidRDefault="00752412">
      <w:pPr>
        <w:spacing w:line="276" w:lineRule="auto"/>
        <w:rPr>
          <w:rFonts w:asciiTheme="majorHAnsi" w:hAnsiTheme="majorHAnsi" w:cstheme="majorHAnsi"/>
          <w:lang w:val="sq-AL"/>
        </w:rPr>
      </w:pPr>
      <w:r w:rsidRPr="005B3F01">
        <w:rPr>
          <w:rFonts w:asciiTheme="majorHAnsi" w:hAnsiTheme="majorHAnsi" w:cstheme="majorHAnsi"/>
          <w:lang w:val="sq-AL"/>
        </w:rPr>
        <w:t xml:space="preserve">Projektligji “Për Byrotë e Kreditit” ka për objekt krijimin, licencimin dhe funksionimin e byrove të kreditit në Republikën e Shqipërisë, si dhe përcaktimin e rregullave për përpunimin e të dhënave në veprimtarinë e raportimit kreditor. Qëllimi i tij është të sigurojë </w:t>
      </w:r>
      <w:proofErr w:type="spellStart"/>
      <w:r w:rsidRPr="005B3F01">
        <w:rPr>
          <w:rFonts w:asciiTheme="majorHAnsi" w:hAnsiTheme="majorHAnsi" w:cstheme="majorHAnsi"/>
          <w:lang w:val="sq-AL"/>
        </w:rPr>
        <w:t>disponueshmërinë</w:t>
      </w:r>
      <w:proofErr w:type="spellEnd"/>
      <w:r w:rsidRPr="005B3F01">
        <w:rPr>
          <w:rFonts w:asciiTheme="majorHAnsi" w:hAnsiTheme="majorHAnsi" w:cstheme="majorHAnsi"/>
          <w:lang w:val="sq-AL"/>
        </w:rPr>
        <w:t xml:space="preserve"> e informacionit të besueshëm kreditor, të garantojë një vlerësim të saktë dhe të rregullt të besueshmërisë kreditore të personave fizikë dhe juridikë, si dhe të kontribuojë në nxitjen e </w:t>
      </w:r>
      <w:proofErr w:type="spellStart"/>
      <w:r w:rsidRPr="005B3F01">
        <w:rPr>
          <w:rFonts w:asciiTheme="majorHAnsi" w:hAnsiTheme="majorHAnsi" w:cstheme="majorHAnsi"/>
          <w:lang w:val="sq-AL"/>
        </w:rPr>
        <w:t>kredidhënies</w:t>
      </w:r>
      <w:proofErr w:type="spellEnd"/>
      <w:r w:rsidRPr="005B3F01">
        <w:rPr>
          <w:rFonts w:asciiTheme="majorHAnsi" w:hAnsiTheme="majorHAnsi" w:cstheme="majorHAnsi"/>
          <w:lang w:val="sq-AL"/>
        </w:rPr>
        <w:t xml:space="preserve"> dhe </w:t>
      </w:r>
      <w:proofErr w:type="spellStart"/>
      <w:r w:rsidRPr="005B3F01">
        <w:rPr>
          <w:rFonts w:asciiTheme="majorHAnsi" w:hAnsiTheme="majorHAnsi" w:cstheme="majorHAnsi"/>
          <w:lang w:val="sq-AL"/>
        </w:rPr>
        <w:t>kredimarrjes</w:t>
      </w:r>
      <w:proofErr w:type="spellEnd"/>
      <w:r w:rsidRPr="005B3F01">
        <w:rPr>
          <w:rFonts w:asciiTheme="majorHAnsi" w:hAnsiTheme="majorHAnsi" w:cstheme="majorHAnsi"/>
          <w:lang w:val="sq-AL"/>
        </w:rPr>
        <w:t xml:space="preserve"> së ndershme e të përgjegjshme.</w:t>
      </w:r>
    </w:p>
    <w:p w14:paraId="03B13BB7" w14:textId="0739E928" w:rsidR="00ED3A01" w:rsidRPr="005B3F01" w:rsidRDefault="00F23C9B" w:rsidP="0035255D">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t xml:space="preserve">Projektligji synon gjithashtu </w:t>
      </w:r>
      <w:r w:rsidR="0020359D" w:rsidRPr="005B3F01">
        <w:rPr>
          <w:rFonts w:asciiTheme="majorHAnsi" w:hAnsiTheme="majorHAnsi" w:cstheme="majorHAnsi"/>
          <w:sz w:val="22"/>
          <w:szCs w:val="22"/>
          <w:lang w:val="sq-AL"/>
        </w:rPr>
        <w:t xml:space="preserve">të </w:t>
      </w:r>
      <w:r w:rsidRPr="005B3F01">
        <w:rPr>
          <w:rFonts w:asciiTheme="majorHAnsi" w:hAnsiTheme="majorHAnsi" w:cstheme="majorHAnsi"/>
          <w:sz w:val="22"/>
          <w:szCs w:val="22"/>
          <w:lang w:val="sq-AL"/>
        </w:rPr>
        <w:t xml:space="preserve">nxisë zhvillimin e </w:t>
      </w:r>
      <w:r w:rsidR="0020359D" w:rsidRPr="005B3F01">
        <w:rPr>
          <w:rFonts w:asciiTheme="majorHAnsi" w:hAnsiTheme="majorHAnsi" w:cstheme="majorHAnsi"/>
          <w:sz w:val="22"/>
          <w:szCs w:val="22"/>
          <w:lang w:val="sq-AL"/>
        </w:rPr>
        <w:t xml:space="preserve">një </w:t>
      </w:r>
      <w:r w:rsidRPr="005B3F01">
        <w:rPr>
          <w:rFonts w:asciiTheme="majorHAnsi" w:hAnsiTheme="majorHAnsi" w:cstheme="majorHAnsi"/>
          <w:sz w:val="22"/>
          <w:szCs w:val="22"/>
          <w:lang w:val="sq-AL"/>
        </w:rPr>
        <w:t>tregu</w:t>
      </w:r>
      <w:r w:rsidR="0020359D" w:rsidRPr="005B3F01">
        <w:rPr>
          <w:rFonts w:asciiTheme="majorHAnsi" w:hAnsiTheme="majorHAnsi" w:cstheme="majorHAnsi"/>
          <w:sz w:val="22"/>
          <w:szCs w:val="22"/>
          <w:lang w:val="sq-AL"/>
        </w:rPr>
        <w:t xml:space="preserve"> të </w:t>
      </w:r>
      <w:r w:rsidRPr="005B3F01">
        <w:rPr>
          <w:rFonts w:asciiTheme="majorHAnsi" w:hAnsiTheme="majorHAnsi" w:cstheme="majorHAnsi"/>
          <w:sz w:val="22"/>
          <w:szCs w:val="22"/>
          <w:lang w:val="sq-AL"/>
        </w:rPr>
        <w:t>shëndoshë, të qëndrueshëm</w:t>
      </w:r>
      <w:r w:rsidR="0020359D" w:rsidRPr="005B3F01">
        <w:rPr>
          <w:rFonts w:asciiTheme="majorHAnsi" w:hAnsiTheme="majorHAnsi" w:cstheme="majorHAnsi"/>
          <w:sz w:val="22"/>
          <w:szCs w:val="22"/>
          <w:lang w:val="sq-AL"/>
        </w:rPr>
        <w:t xml:space="preserve"> dhe </w:t>
      </w:r>
      <w:r w:rsidRPr="005B3F01">
        <w:rPr>
          <w:rFonts w:asciiTheme="majorHAnsi" w:hAnsiTheme="majorHAnsi" w:cstheme="majorHAnsi"/>
          <w:sz w:val="22"/>
          <w:szCs w:val="22"/>
          <w:lang w:val="sq-AL"/>
        </w:rPr>
        <w:t>gjithëpërfshirës për marrëveshjet e kredisë</w:t>
      </w:r>
      <w:r w:rsidR="0020359D" w:rsidRPr="005B3F01">
        <w:rPr>
          <w:rFonts w:asciiTheme="majorHAnsi" w:hAnsiTheme="majorHAnsi" w:cstheme="majorHAnsi"/>
          <w:sz w:val="22"/>
          <w:szCs w:val="22"/>
          <w:lang w:val="sq-AL"/>
        </w:rPr>
        <w:t xml:space="preserve">, duke </w:t>
      </w:r>
      <w:r w:rsidRPr="005B3F01">
        <w:rPr>
          <w:rFonts w:asciiTheme="majorHAnsi" w:hAnsiTheme="majorHAnsi" w:cstheme="majorHAnsi"/>
          <w:sz w:val="22"/>
          <w:szCs w:val="22"/>
          <w:lang w:val="sq-AL"/>
        </w:rPr>
        <w:t xml:space="preserve">krijuar kushtet e nevojshme për rritjen e </w:t>
      </w:r>
      <w:proofErr w:type="spellStart"/>
      <w:r w:rsidRPr="005B3F01">
        <w:rPr>
          <w:rFonts w:asciiTheme="majorHAnsi" w:hAnsiTheme="majorHAnsi" w:cstheme="majorHAnsi"/>
          <w:sz w:val="22"/>
          <w:szCs w:val="22"/>
          <w:lang w:val="sq-AL"/>
        </w:rPr>
        <w:t>aksesit</w:t>
      </w:r>
      <w:proofErr w:type="spellEnd"/>
      <w:r w:rsidRPr="005B3F01">
        <w:rPr>
          <w:rFonts w:asciiTheme="majorHAnsi" w:hAnsiTheme="majorHAnsi" w:cstheme="majorHAnsi"/>
          <w:sz w:val="22"/>
          <w:szCs w:val="22"/>
          <w:lang w:val="sq-AL"/>
        </w:rPr>
        <w:t xml:space="preserve"> në kredi </w:t>
      </w:r>
      <w:r w:rsidR="0020359D" w:rsidRPr="005B3F01">
        <w:rPr>
          <w:rFonts w:asciiTheme="majorHAnsi" w:hAnsiTheme="majorHAnsi" w:cstheme="majorHAnsi"/>
          <w:sz w:val="22"/>
          <w:szCs w:val="22"/>
          <w:lang w:val="sq-AL"/>
        </w:rPr>
        <w:t xml:space="preserve">dhe </w:t>
      </w:r>
      <w:r w:rsidRPr="005B3F01">
        <w:rPr>
          <w:rFonts w:asciiTheme="majorHAnsi" w:hAnsiTheme="majorHAnsi" w:cstheme="majorHAnsi"/>
          <w:sz w:val="22"/>
          <w:szCs w:val="22"/>
          <w:lang w:val="sq-AL"/>
        </w:rPr>
        <w:t xml:space="preserve">në shërbime financiare për individët dhe bizneset, si dhe </w:t>
      </w:r>
      <w:r w:rsidR="0020359D" w:rsidRPr="005B3F01">
        <w:rPr>
          <w:rFonts w:asciiTheme="majorHAnsi" w:hAnsiTheme="majorHAnsi" w:cstheme="majorHAnsi"/>
          <w:sz w:val="22"/>
          <w:szCs w:val="22"/>
          <w:lang w:val="sq-AL"/>
        </w:rPr>
        <w:t xml:space="preserve">duke </w:t>
      </w:r>
      <w:r w:rsidRPr="005B3F01">
        <w:rPr>
          <w:rFonts w:asciiTheme="majorHAnsi" w:hAnsiTheme="majorHAnsi" w:cstheme="majorHAnsi"/>
          <w:sz w:val="22"/>
          <w:szCs w:val="22"/>
          <w:lang w:val="sq-AL"/>
        </w:rPr>
        <w:t>nxitur përmbushjen</w:t>
      </w:r>
      <w:r w:rsidR="0020359D" w:rsidRPr="005B3F01">
        <w:rPr>
          <w:rFonts w:asciiTheme="majorHAnsi" w:hAnsiTheme="majorHAnsi" w:cstheme="majorHAnsi"/>
          <w:sz w:val="22"/>
          <w:szCs w:val="22"/>
          <w:lang w:val="sq-AL"/>
        </w:rPr>
        <w:t xml:space="preserve"> e </w:t>
      </w:r>
      <w:r w:rsidRPr="005B3F01">
        <w:rPr>
          <w:rFonts w:asciiTheme="majorHAnsi" w:hAnsiTheme="majorHAnsi" w:cstheme="majorHAnsi"/>
          <w:sz w:val="22"/>
          <w:szCs w:val="22"/>
          <w:lang w:val="sq-AL"/>
        </w:rPr>
        <w:t>përgjegjshme të detyrimeve që rrjedhin nga marrëveshjet e kredisë nga të gjitha palët në këto marrëdhënie</w:t>
      </w:r>
      <w:r w:rsidR="0020359D" w:rsidRPr="005B3F01">
        <w:rPr>
          <w:rFonts w:asciiTheme="majorHAnsi" w:hAnsiTheme="majorHAnsi" w:cstheme="majorHAnsi"/>
          <w:sz w:val="22"/>
          <w:szCs w:val="22"/>
          <w:lang w:val="sq-AL"/>
        </w:rPr>
        <w:t>. Në mungesë të një sistemi të standardizuar, institucionet financiare përballen me vështirësi në vlerësimin e besueshmërisë së klientëve, çka shpesh çon në rritje të kostove të kredisë dhe përjashtim të individëve</w:t>
      </w:r>
      <w:r w:rsidR="00A67CE7" w:rsidRPr="005B3F01">
        <w:rPr>
          <w:rFonts w:asciiTheme="majorHAnsi" w:hAnsiTheme="majorHAnsi" w:cstheme="majorHAnsi"/>
          <w:sz w:val="22"/>
          <w:szCs w:val="22"/>
          <w:lang w:val="sq-AL"/>
        </w:rPr>
        <w:t xml:space="preserve"> dhe bizneseve</w:t>
      </w:r>
      <w:r w:rsidR="0020359D" w:rsidRPr="005B3F01">
        <w:rPr>
          <w:rFonts w:asciiTheme="majorHAnsi" w:hAnsiTheme="majorHAnsi" w:cstheme="majorHAnsi"/>
          <w:sz w:val="22"/>
          <w:szCs w:val="22"/>
          <w:lang w:val="sq-AL"/>
        </w:rPr>
        <w:t xml:space="preserve"> nga tregu financiar.</w:t>
      </w:r>
    </w:p>
    <w:p w14:paraId="7C6113A7" w14:textId="77777777" w:rsidR="00ED3A01" w:rsidRPr="005B3F01" w:rsidRDefault="00ED3A01" w:rsidP="00ED3A01">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t>Një aspekt thelbësor i këtij projektligji është kontributi i tij në rritjen e sigurisë dhe integritetit të sistemit financiar. Në këtë kuadër, projektligji synon parandalimin e mashtrimit kreditor dhe të praktikave mashtruese në procesin e dhënies dhe të përdorimit të kredisë, në blerjet me pagesë të shtyrë ose me këste, si dhe në marrëdhënie të tjera financiare ose tregtare që përfshijnë dhënien e financimit apo lindjen e detyrimeve për pagesë me afat, të cilat janë objekt i raportimit kreditor sipas këtij ligji.</w:t>
      </w:r>
    </w:p>
    <w:p w14:paraId="330F07EA" w14:textId="04C11ADB" w:rsidR="00ED3A01" w:rsidRPr="005B3F01" w:rsidRDefault="00ED3A01" w:rsidP="0035255D">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t xml:space="preserve">Njëkohësisht, projektligji rrit transparencën dhe besueshmërinë e informacionit kreditor, duke mbështetur një vlerësim më të saktë të aftësisë </w:t>
      </w:r>
      <w:proofErr w:type="spellStart"/>
      <w:r w:rsidRPr="005B3F01">
        <w:rPr>
          <w:rFonts w:asciiTheme="majorHAnsi" w:hAnsiTheme="majorHAnsi" w:cstheme="majorHAnsi"/>
          <w:sz w:val="22"/>
          <w:szCs w:val="22"/>
          <w:lang w:val="sq-AL"/>
        </w:rPr>
        <w:t>paguese</w:t>
      </w:r>
      <w:proofErr w:type="spellEnd"/>
      <w:r w:rsidRPr="005B3F01">
        <w:rPr>
          <w:rFonts w:asciiTheme="majorHAnsi" w:hAnsiTheme="majorHAnsi" w:cstheme="majorHAnsi"/>
          <w:sz w:val="22"/>
          <w:szCs w:val="22"/>
          <w:lang w:val="sq-AL"/>
        </w:rPr>
        <w:t xml:space="preserve"> të klientëve dhe një vendimmarrje më të informuar nga subjektet raportuese dhe përdoruesit e autorizuar të informacionit kreditor. Gjithashtu, ai garanton mbrojtjen e të drejtave dhe interesave të subjekteve të </w:t>
      </w:r>
      <w:proofErr w:type="spellStart"/>
      <w:r w:rsidRPr="005B3F01">
        <w:rPr>
          <w:rFonts w:asciiTheme="majorHAnsi" w:hAnsiTheme="majorHAnsi" w:cstheme="majorHAnsi"/>
          <w:sz w:val="22"/>
          <w:szCs w:val="22"/>
          <w:lang w:val="sq-AL"/>
        </w:rPr>
        <w:t>të</w:t>
      </w:r>
      <w:proofErr w:type="spellEnd"/>
      <w:r w:rsidRPr="005B3F01">
        <w:rPr>
          <w:rFonts w:asciiTheme="majorHAnsi" w:hAnsiTheme="majorHAnsi" w:cstheme="majorHAnsi"/>
          <w:sz w:val="22"/>
          <w:szCs w:val="22"/>
          <w:lang w:val="sq-AL"/>
        </w:rPr>
        <w:t xml:space="preserve"> dhënave, duke siguruar trajtimin e ligjshëm, të drejtë, të saktë dhe transparent të informacionit kreditor që u përket atyre.</w:t>
      </w:r>
    </w:p>
    <w:p w14:paraId="3499506E" w14:textId="0281E4B4" w:rsidR="0020359D" w:rsidRPr="005B3F01" w:rsidRDefault="00F23C9B" w:rsidP="0035255D">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t xml:space="preserve">Nëpërmjet këtyre objektivave, projektligji synon të forcojë besimin ndërmjet palëve në aktivitetet kredituese, të reduktojë asimetrinë e informacionit kreditor në treg dhe të mbështesë stabilitetin e tregut </w:t>
      </w:r>
      <w:r w:rsidR="0020359D" w:rsidRPr="005B3F01">
        <w:rPr>
          <w:rFonts w:asciiTheme="majorHAnsi" w:hAnsiTheme="majorHAnsi" w:cstheme="majorHAnsi"/>
          <w:sz w:val="22"/>
          <w:szCs w:val="22"/>
          <w:lang w:val="sq-AL"/>
        </w:rPr>
        <w:t xml:space="preserve">të </w:t>
      </w:r>
      <w:r w:rsidRPr="005B3F01">
        <w:rPr>
          <w:rFonts w:asciiTheme="majorHAnsi" w:hAnsiTheme="majorHAnsi" w:cstheme="majorHAnsi"/>
          <w:sz w:val="22"/>
          <w:szCs w:val="22"/>
          <w:lang w:val="sq-AL"/>
        </w:rPr>
        <w:t xml:space="preserve">kredisë. Byrotë e kreditit do </w:t>
      </w:r>
      <w:r w:rsidR="0020359D" w:rsidRPr="005B3F01">
        <w:rPr>
          <w:rFonts w:asciiTheme="majorHAnsi" w:hAnsiTheme="majorHAnsi" w:cstheme="majorHAnsi"/>
          <w:sz w:val="22"/>
          <w:szCs w:val="22"/>
          <w:lang w:val="sq-AL"/>
        </w:rPr>
        <w:t xml:space="preserve">të </w:t>
      </w:r>
      <w:r w:rsidRPr="005B3F01">
        <w:rPr>
          <w:rFonts w:asciiTheme="majorHAnsi" w:hAnsiTheme="majorHAnsi" w:cstheme="majorHAnsi"/>
          <w:sz w:val="22"/>
          <w:szCs w:val="22"/>
          <w:lang w:val="sq-AL"/>
        </w:rPr>
        <w:t xml:space="preserve">kontribuojnë në përmirësimin e cilësisë së vlerësimit </w:t>
      </w:r>
      <w:r w:rsidR="0020359D" w:rsidRPr="005B3F01">
        <w:rPr>
          <w:rFonts w:asciiTheme="majorHAnsi" w:hAnsiTheme="majorHAnsi" w:cstheme="majorHAnsi"/>
          <w:sz w:val="22"/>
          <w:szCs w:val="22"/>
          <w:lang w:val="sq-AL"/>
        </w:rPr>
        <w:t xml:space="preserve">të </w:t>
      </w:r>
      <w:r w:rsidRPr="005B3F01">
        <w:rPr>
          <w:rFonts w:asciiTheme="majorHAnsi" w:hAnsiTheme="majorHAnsi" w:cstheme="majorHAnsi"/>
          <w:sz w:val="22"/>
          <w:szCs w:val="22"/>
          <w:lang w:val="sq-AL"/>
        </w:rPr>
        <w:t xml:space="preserve">rrezikut kreditor, duke bërë </w:t>
      </w:r>
      <w:r w:rsidR="0020359D" w:rsidRPr="005B3F01">
        <w:rPr>
          <w:rFonts w:asciiTheme="majorHAnsi" w:hAnsiTheme="majorHAnsi" w:cstheme="majorHAnsi"/>
          <w:sz w:val="22"/>
          <w:szCs w:val="22"/>
          <w:lang w:val="sq-AL"/>
        </w:rPr>
        <w:t xml:space="preserve">të </w:t>
      </w:r>
      <w:r w:rsidRPr="005B3F01">
        <w:rPr>
          <w:rFonts w:asciiTheme="majorHAnsi" w:hAnsiTheme="majorHAnsi" w:cstheme="majorHAnsi"/>
          <w:sz w:val="22"/>
          <w:szCs w:val="22"/>
          <w:lang w:val="sq-AL"/>
        </w:rPr>
        <w:t xml:space="preserve">mundur që vendimmarrja mbi huadhënien të bazohet në </w:t>
      </w:r>
      <w:r w:rsidR="0020359D" w:rsidRPr="005B3F01">
        <w:rPr>
          <w:rFonts w:asciiTheme="majorHAnsi" w:hAnsiTheme="majorHAnsi" w:cstheme="majorHAnsi"/>
          <w:sz w:val="22"/>
          <w:szCs w:val="22"/>
          <w:lang w:val="sq-AL"/>
        </w:rPr>
        <w:t xml:space="preserve">të </w:t>
      </w:r>
      <w:r w:rsidRPr="005B3F01">
        <w:rPr>
          <w:rFonts w:asciiTheme="majorHAnsi" w:hAnsiTheme="majorHAnsi" w:cstheme="majorHAnsi"/>
          <w:sz w:val="22"/>
          <w:szCs w:val="22"/>
          <w:lang w:val="sq-AL"/>
        </w:rPr>
        <w:t xml:space="preserve">dhëna më </w:t>
      </w:r>
      <w:r w:rsidR="0020359D" w:rsidRPr="005B3F01">
        <w:rPr>
          <w:rFonts w:asciiTheme="majorHAnsi" w:hAnsiTheme="majorHAnsi" w:cstheme="majorHAnsi"/>
          <w:sz w:val="22"/>
          <w:szCs w:val="22"/>
          <w:lang w:val="sq-AL"/>
        </w:rPr>
        <w:t xml:space="preserve">të </w:t>
      </w:r>
      <w:r w:rsidRPr="005B3F01">
        <w:rPr>
          <w:rFonts w:asciiTheme="majorHAnsi" w:hAnsiTheme="majorHAnsi" w:cstheme="majorHAnsi"/>
          <w:sz w:val="22"/>
          <w:szCs w:val="22"/>
          <w:lang w:val="sq-AL"/>
        </w:rPr>
        <w:t xml:space="preserve">sakta dhe më gjithëpërfshirëse. Nëpërmjet </w:t>
      </w:r>
      <w:r w:rsidR="0020359D" w:rsidRPr="005B3F01">
        <w:rPr>
          <w:rFonts w:asciiTheme="majorHAnsi" w:hAnsiTheme="majorHAnsi" w:cstheme="majorHAnsi"/>
          <w:sz w:val="22"/>
          <w:szCs w:val="22"/>
          <w:lang w:val="sq-AL"/>
        </w:rPr>
        <w:t xml:space="preserve">një </w:t>
      </w:r>
      <w:r w:rsidRPr="005B3F01">
        <w:rPr>
          <w:rFonts w:asciiTheme="majorHAnsi" w:hAnsiTheme="majorHAnsi" w:cstheme="majorHAnsi"/>
          <w:sz w:val="22"/>
          <w:szCs w:val="22"/>
          <w:lang w:val="sq-AL"/>
        </w:rPr>
        <w:t>sistemi</w:t>
      </w:r>
      <w:r w:rsidR="0020359D" w:rsidRPr="005B3F01">
        <w:rPr>
          <w:rFonts w:asciiTheme="majorHAnsi" w:hAnsiTheme="majorHAnsi" w:cstheme="majorHAnsi"/>
          <w:sz w:val="22"/>
          <w:szCs w:val="22"/>
          <w:lang w:val="sq-AL"/>
        </w:rPr>
        <w:t xml:space="preserve"> të qartë </w:t>
      </w:r>
      <w:r w:rsidRPr="005B3F01">
        <w:rPr>
          <w:rFonts w:asciiTheme="majorHAnsi" w:hAnsiTheme="majorHAnsi" w:cstheme="majorHAnsi"/>
          <w:sz w:val="22"/>
          <w:szCs w:val="22"/>
          <w:lang w:val="sq-AL"/>
        </w:rPr>
        <w:t>raportimi</w:t>
      </w:r>
      <w:r w:rsidR="0020359D" w:rsidRPr="005B3F01">
        <w:rPr>
          <w:rFonts w:asciiTheme="majorHAnsi" w:hAnsiTheme="majorHAnsi" w:cstheme="majorHAnsi"/>
          <w:sz w:val="22"/>
          <w:szCs w:val="22"/>
          <w:lang w:val="sq-AL"/>
        </w:rPr>
        <w:t xml:space="preserve">, projektligji do të </w:t>
      </w:r>
      <w:r w:rsidRPr="005B3F01">
        <w:rPr>
          <w:rFonts w:asciiTheme="majorHAnsi" w:hAnsiTheme="majorHAnsi" w:cstheme="majorHAnsi"/>
          <w:sz w:val="22"/>
          <w:szCs w:val="22"/>
          <w:lang w:val="sq-AL"/>
        </w:rPr>
        <w:t xml:space="preserve">ndihmojë gjithashtu në rritjen e përgjegjësisë financiare </w:t>
      </w:r>
      <w:r w:rsidR="0020359D" w:rsidRPr="005B3F01">
        <w:rPr>
          <w:rFonts w:asciiTheme="majorHAnsi" w:hAnsiTheme="majorHAnsi" w:cstheme="majorHAnsi"/>
          <w:sz w:val="22"/>
          <w:szCs w:val="22"/>
          <w:lang w:val="sq-AL"/>
        </w:rPr>
        <w:t xml:space="preserve">të </w:t>
      </w:r>
      <w:r w:rsidRPr="005B3F01">
        <w:rPr>
          <w:rFonts w:asciiTheme="majorHAnsi" w:hAnsiTheme="majorHAnsi" w:cstheme="majorHAnsi"/>
          <w:sz w:val="22"/>
          <w:szCs w:val="22"/>
          <w:lang w:val="sq-AL"/>
        </w:rPr>
        <w:t>individëve dhe bizneseve</w:t>
      </w:r>
      <w:r w:rsidR="0020359D" w:rsidRPr="005B3F01">
        <w:rPr>
          <w:rFonts w:asciiTheme="majorHAnsi" w:hAnsiTheme="majorHAnsi" w:cstheme="majorHAnsi"/>
          <w:sz w:val="22"/>
          <w:szCs w:val="22"/>
          <w:lang w:val="sq-AL"/>
        </w:rPr>
        <w:t xml:space="preserve">, duke </w:t>
      </w:r>
      <w:r w:rsidRPr="005B3F01">
        <w:rPr>
          <w:rFonts w:asciiTheme="majorHAnsi" w:hAnsiTheme="majorHAnsi" w:cstheme="majorHAnsi"/>
          <w:sz w:val="22"/>
          <w:szCs w:val="22"/>
          <w:lang w:val="sq-AL"/>
        </w:rPr>
        <w:t xml:space="preserve">i inkurajuar ata të zhvillojnë një histori </w:t>
      </w:r>
      <w:r w:rsidR="0020359D" w:rsidRPr="005B3F01">
        <w:rPr>
          <w:rFonts w:asciiTheme="majorHAnsi" w:hAnsiTheme="majorHAnsi" w:cstheme="majorHAnsi"/>
          <w:sz w:val="22"/>
          <w:szCs w:val="22"/>
          <w:lang w:val="sq-AL"/>
        </w:rPr>
        <w:t xml:space="preserve">të </w:t>
      </w:r>
      <w:r w:rsidRPr="005B3F01">
        <w:rPr>
          <w:rFonts w:asciiTheme="majorHAnsi" w:hAnsiTheme="majorHAnsi" w:cstheme="majorHAnsi"/>
          <w:sz w:val="22"/>
          <w:szCs w:val="22"/>
          <w:lang w:val="sq-AL"/>
        </w:rPr>
        <w:t xml:space="preserve">besueshme krediti dhe të respektojnë detyrimet e tyre </w:t>
      </w:r>
      <w:r w:rsidR="0020359D" w:rsidRPr="005B3F01">
        <w:rPr>
          <w:rFonts w:asciiTheme="majorHAnsi" w:hAnsiTheme="majorHAnsi" w:cstheme="majorHAnsi"/>
          <w:sz w:val="22"/>
          <w:szCs w:val="22"/>
          <w:lang w:val="sq-AL"/>
        </w:rPr>
        <w:t>financiare.</w:t>
      </w:r>
    </w:p>
    <w:p w14:paraId="324BC0A5" w14:textId="77777777" w:rsidR="00052564" w:rsidRPr="005B3F01" w:rsidRDefault="00052564" w:rsidP="00187315">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t xml:space="preserve">Vlen të theksohet se përpunimi i informacionit kreditor, në masën që përfshin përpunimin e të dhënave personale, kryhet në përputhje me parimet dhe kërkesat e përcaktuara në këtë projektligj, si dhe me legjislacionin në fuqi për mbrojtjen e të dhënave personale. Në këtë mënyrë, sigurohet një balancë e drejtë ndërmjet funksionimit efektiv të sistemit të raportimit kreditor dhe mbrojtjes së të drejtave dhe lirive themelore të subjekteve të </w:t>
      </w:r>
      <w:proofErr w:type="spellStart"/>
      <w:r w:rsidRPr="005B3F01">
        <w:rPr>
          <w:rFonts w:asciiTheme="majorHAnsi" w:hAnsiTheme="majorHAnsi" w:cstheme="majorHAnsi"/>
          <w:sz w:val="22"/>
          <w:szCs w:val="22"/>
          <w:lang w:val="sq-AL"/>
        </w:rPr>
        <w:t>të</w:t>
      </w:r>
      <w:proofErr w:type="spellEnd"/>
      <w:r w:rsidRPr="005B3F01">
        <w:rPr>
          <w:rFonts w:asciiTheme="majorHAnsi" w:hAnsiTheme="majorHAnsi" w:cstheme="majorHAnsi"/>
          <w:sz w:val="22"/>
          <w:szCs w:val="22"/>
          <w:lang w:val="sq-AL"/>
        </w:rPr>
        <w:t xml:space="preserve"> dhënave.</w:t>
      </w:r>
    </w:p>
    <w:p w14:paraId="2445790E" w14:textId="77777777" w:rsidR="00664FFB" w:rsidRPr="005B3F01" w:rsidRDefault="00664FFB" w:rsidP="00664FFB">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lastRenderedPageBreak/>
        <w:t xml:space="preserve">Aktualisht, në Republikën e Shqipërisë nuk ekziston një kuadër i posaçëm ligjor që rregullon krijimin, licencimin dhe funksionimin e byrove të kreditit si subjekte private. Banka e Shqipërisë administron Regjistrin e Kredive, në të cilin bankat dhe subjektet e tjera financiare raportojnë informacion kreditor në zbatim të detyrimeve të përcaktuara nga legjislacioni dhe aktet nënligjore në fuqi, për qëllime që lidhen me ushtrimin e funksioneve të saj mbikëqyrëse dhe </w:t>
      </w:r>
      <w:proofErr w:type="spellStart"/>
      <w:r w:rsidRPr="005B3F01">
        <w:rPr>
          <w:rFonts w:asciiTheme="majorHAnsi" w:hAnsiTheme="majorHAnsi" w:cstheme="majorHAnsi"/>
          <w:sz w:val="22"/>
          <w:szCs w:val="22"/>
          <w:lang w:val="sq-AL"/>
        </w:rPr>
        <w:t>rregullatore</w:t>
      </w:r>
      <w:proofErr w:type="spellEnd"/>
      <w:r w:rsidRPr="005B3F01">
        <w:rPr>
          <w:rFonts w:asciiTheme="majorHAnsi" w:hAnsiTheme="majorHAnsi" w:cstheme="majorHAnsi"/>
          <w:sz w:val="22"/>
          <w:szCs w:val="22"/>
          <w:lang w:val="sq-AL"/>
        </w:rPr>
        <w:t xml:space="preserve"> ndaj subjekteve të licencuara dhe të mbikëqyrura prej saj.</w:t>
      </w:r>
    </w:p>
    <w:p w14:paraId="1841C995" w14:textId="77777777" w:rsidR="00664FFB" w:rsidRPr="005B3F01" w:rsidRDefault="00664FFB" w:rsidP="00664FFB">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t xml:space="preserve">Në përputhje me standardet dhe praktikat ndërkombëtare, regjistrat publikë të kredive, të administruar nga bankat qendrore, kanë si funksion kryesor mbështetjen e stabilitetit financiar, monitorimin e ekspozimeve kreditore dhe vlerësimin e riskut </w:t>
      </w:r>
      <w:proofErr w:type="spellStart"/>
      <w:r w:rsidRPr="005B3F01">
        <w:rPr>
          <w:rFonts w:asciiTheme="majorHAnsi" w:hAnsiTheme="majorHAnsi" w:cstheme="majorHAnsi"/>
          <w:sz w:val="22"/>
          <w:szCs w:val="22"/>
          <w:lang w:val="sq-AL"/>
        </w:rPr>
        <w:t>sistemik</w:t>
      </w:r>
      <w:proofErr w:type="spellEnd"/>
      <w:r w:rsidRPr="005B3F01">
        <w:rPr>
          <w:rFonts w:asciiTheme="majorHAnsi" w:hAnsiTheme="majorHAnsi" w:cstheme="majorHAnsi"/>
          <w:sz w:val="22"/>
          <w:szCs w:val="22"/>
          <w:lang w:val="sq-AL"/>
        </w:rPr>
        <w:t xml:space="preserve"> në sektorin financiar. </w:t>
      </w:r>
      <w:proofErr w:type="spellStart"/>
      <w:r w:rsidRPr="005B3F01">
        <w:rPr>
          <w:rFonts w:asciiTheme="majorHAnsi" w:hAnsiTheme="majorHAnsi" w:cstheme="majorHAnsi"/>
          <w:sz w:val="22"/>
          <w:szCs w:val="22"/>
          <w:lang w:val="sq-AL"/>
        </w:rPr>
        <w:t>Aksesi</w:t>
      </w:r>
      <w:proofErr w:type="spellEnd"/>
      <w:r w:rsidRPr="005B3F01">
        <w:rPr>
          <w:rFonts w:asciiTheme="majorHAnsi" w:hAnsiTheme="majorHAnsi" w:cstheme="majorHAnsi"/>
          <w:sz w:val="22"/>
          <w:szCs w:val="22"/>
          <w:lang w:val="sq-AL"/>
        </w:rPr>
        <w:t xml:space="preserve"> i subjekteve raportuese në këta regjistra përbën një funksion dytësor, i cili u shërben atyre si një mekanizëm ndihmës për vlerësimin e riskut kreditor dhe mbështetjen e vendimmarrjes në procesin e kreditimit.</w:t>
      </w:r>
    </w:p>
    <w:p w14:paraId="2C01EA15" w14:textId="1A27019A" w:rsidR="00C56B0E" w:rsidRPr="005B3F01" w:rsidRDefault="00C56B0E" w:rsidP="00664FFB">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t xml:space="preserve">Megjithatë, regjistrat publikë të kredive nuk janë konceptuar për të ofruar shërbime tregtare të raportimit kreditor, përpunim të avancuar të informacionit kreditor, analiza të sjelljes </w:t>
      </w:r>
      <w:proofErr w:type="spellStart"/>
      <w:r w:rsidRPr="005B3F01">
        <w:rPr>
          <w:rFonts w:asciiTheme="majorHAnsi" w:hAnsiTheme="majorHAnsi" w:cstheme="majorHAnsi"/>
          <w:sz w:val="22"/>
          <w:szCs w:val="22"/>
          <w:lang w:val="sq-AL"/>
        </w:rPr>
        <w:t>paguese</w:t>
      </w:r>
      <w:proofErr w:type="spellEnd"/>
      <w:r w:rsidRPr="005B3F01">
        <w:rPr>
          <w:rFonts w:asciiTheme="majorHAnsi" w:hAnsiTheme="majorHAnsi" w:cstheme="majorHAnsi"/>
          <w:sz w:val="22"/>
          <w:szCs w:val="22"/>
          <w:lang w:val="sq-AL"/>
        </w:rPr>
        <w:t xml:space="preserve"> apo zhvillimin e modeleve të vlerësimit kreditor (</w:t>
      </w:r>
      <w:proofErr w:type="spellStart"/>
      <w:r w:rsidRPr="005B3F01">
        <w:rPr>
          <w:rFonts w:asciiTheme="majorHAnsi" w:hAnsiTheme="majorHAnsi" w:cstheme="majorHAnsi"/>
          <w:sz w:val="22"/>
          <w:szCs w:val="22"/>
          <w:lang w:val="sq-AL"/>
        </w:rPr>
        <w:t>credit</w:t>
      </w:r>
      <w:proofErr w:type="spellEnd"/>
      <w:r w:rsidRPr="005B3F01">
        <w:rPr>
          <w:rFonts w:asciiTheme="majorHAnsi" w:hAnsiTheme="majorHAnsi" w:cstheme="majorHAnsi"/>
          <w:sz w:val="22"/>
          <w:szCs w:val="22"/>
          <w:lang w:val="sq-AL"/>
        </w:rPr>
        <w:t xml:space="preserve"> </w:t>
      </w:r>
      <w:proofErr w:type="spellStart"/>
      <w:r w:rsidRPr="005B3F01">
        <w:rPr>
          <w:rFonts w:asciiTheme="majorHAnsi" w:hAnsiTheme="majorHAnsi" w:cstheme="majorHAnsi"/>
          <w:sz w:val="22"/>
          <w:szCs w:val="22"/>
          <w:lang w:val="sq-AL"/>
        </w:rPr>
        <w:t>scoring</w:t>
      </w:r>
      <w:proofErr w:type="spellEnd"/>
      <w:r w:rsidRPr="005B3F01">
        <w:rPr>
          <w:rFonts w:asciiTheme="majorHAnsi" w:hAnsiTheme="majorHAnsi" w:cstheme="majorHAnsi"/>
          <w:sz w:val="22"/>
          <w:szCs w:val="22"/>
          <w:lang w:val="sq-AL"/>
        </w:rPr>
        <w:t xml:space="preserve">). Këto funksione ushtrohen nga byrotë private të kreditit, të cilat, në shumë juridiksione, operojnë paralelisht me regjistrat publikë të kredive dhe luajnë një rol plotësues në treg. Nëpërmjet grumbullimit, përpunimit dhe analizimit të informacionit kreditor nga burime të ndryshme, ato ofrojnë produkte dhe shërbime të specializuara që mbështesin institucionet financiare dhe përdoruesit e tjerë të autorizuar në vlerësimin e aftësisë </w:t>
      </w:r>
      <w:proofErr w:type="spellStart"/>
      <w:r w:rsidRPr="005B3F01">
        <w:rPr>
          <w:rFonts w:asciiTheme="majorHAnsi" w:hAnsiTheme="majorHAnsi" w:cstheme="majorHAnsi"/>
          <w:sz w:val="22"/>
          <w:szCs w:val="22"/>
          <w:lang w:val="sq-AL"/>
        </w:rPr>
        <w:t>paguese</w:t>
      </w:r>
      <w:proofErr w:type="spellEnd"/>
      <w:r w:rsidRPr="005B3F01">
        <w:rPr>
          <w:rFonts w:asciiTheme="majorHAnsi" w:hAnsiTheme="majorHAnsi" w:cstheme="majorHAnsi"/>
          <w:sz w:val="22"/>
          <w:szCs w:val="22"/>
          <w:lang w:val="sq-AL"/>
        </w:rPr>
        <w:t>, administrimin e riskut kreditor dhe procesin e vendimmarrjes për dhënien e financimit.</w:t>
      </w:r>
    </w:p>
    <w:p w14:paraId="55592812" w14:textId="77369525" w:rsidR="00077ACB" w:rsidRPr="005B3F01" w:rsidRDefault="00077ACB" w:rsidP="0035255D">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t xml:space="preserve">Në këtë kontekst, paraqitet e nevojshme miratimi i një kuadri ligjor gjithëpërfshirës për krijimin dhe funksionimin e byrove private të kreditit, i harmonizuar me praktikat dhe modelet më të mira të zhvilluara në vendet e Bashkimit </w:t>
      </w:r>
      <w:r w:rsidR="00B826CA" w:rsidRPr="005B3F01">
        <w:rPr>
          <w:rFonts w:asciiTheme="majorHAnsi" w:hAnsiTheme="majorHAnsi" w:cstheme="majorHAnsi"/>
          <w:sz w:val="22"/>
          <w:szCs w:val="22"/>
          <w:lang w:val="sq-AL"/>
        </w:rPr>
        <w:t>Evropian</w:t>
      </w:r>
      <w:r w:rsidRPr="005B3F01">
        <w:rPr>
          <w:rFonts w:asciiTheme="majorHAnsi" w:hAnsiTheme="majorHAnsi" w:cstheme="majorHAnsi"/>
          <w:sz w:val="22"/>
          <w:szCs w:val="22"/>
          <w:lang w:val="sq-AL"/>
        </w:rPr>
        <w:t>, me qëllim krijimin e një sistemi modern, të besueshëm dhe efikas të raportimit dhe vlerësimit kreditor.</w:t>
      </w:r>
    </w:p>
    <w:p w14:paraId="4EBDFD7E" w14:textId="580B3A87" w:rsidR="00A47AEB" w:rsidRPr="005B3F01" w:rsidRDefault="00A47AEB" w:rsidP="0035255D">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t>Nj</w:t>
      </w:r>
      <w:r w:rsidR="009E1AE8" w:rsidRPr="005B3F01">
        <w:rPr>
          <w:rFonts w:asciiTheme="majorHAnsi" w:hAnsiTheme="majorHAnsi" w:cstheme="majorHAnsi"/>
          <w:sz w:val="22"/>
          <w:szCs w:val="22"/>
          <w:lang w:val="sq-AL"/>
        </w:rPr>
        <w:t>ë</w:t>
      </w:r>
      <w:r w:rsidRPr="005B3F01">
        <w:rPr>
          <w:rFonts w:asciiTheme="majorHAnsi" w:hAnsiTheme="majorHAnsi" w:cstheme="majorHAnsi"/>
          <w:sz w:val="22"/>
          <w:szCs w:val="22"/>
          <w:lang w:val="sq-AL"/>
        </w:rPr>
        <w:t xml:space="preserve"> studim i kryer me mb</w:t>
      </w:r>
      <w:r w:rsidR="009E1AE8" w:rsidRPr="005B3F01">
        <w:rPr>
          <w:rFonts w:asciiTheme="majorHAnsi" w:hAnsiTheme="majorHAnsi" w:cstheme="majorHAnsi"/>
          <w:sz w:val="22"/>
          <w:szCs w:val="22"/>
          <w:lang w:val="sq-AL"/>
        </w:rPr>
        <w:t>ë</w:t>
      </w:r>
      <w:r w:rsidRPr="005B3F01">
        <w:rPr>
          <w:rFonts w:asciiTheme="majorHAnsi" w:hAnsiTheme="majorHAnsi" w:cstheme="majorHAnsi"/>
          <w:sz w:val="22"/>
          <w:szCs w:val="22"/>
          <w:lang w:val="sq-AL"/>
        </w:rPr>
        <w:t>shtetjen e BERZH n</w:t>
      </w:r>
      <w:r w:rsidR="009E1AE8" w:rsidRPr="005B3F01">
        <w:rPr>
          <w:rFonts w:asciiTheme="majorHAnsi" w:hAnsiTheme="majorHAnsi" w:cstheme="majorHAnsi"/>
          <w:sz w:val="22"/>
          <w:szCs w:val="22"/>
          <w:lang w:val="sq-AL"/>
        </w:rPr>
        <w:t>ë</w:t>
      </w:r>
      <w:r w:rsidRPr="005B3F01">
        <w:rPr>
          <w:rFonts w:asciiTheme="majorHAnsi" w:hAnsiTheme="majorHAnsi" w:cstheme="majorHAnsi"/>
          <w:sz w:val="22"/>
          <w:szCs w:val="22"/>
          <w:lang w:val="sq-AL"/>
        </w:rPr>
        <w:t xml:space="preserve"> 2016 </w:t>
      </w:r>
      <w:r w:rsidR="000E7F8C" w:rsidRPr="005B3F01">
        <w:rPr>
          <w:rFonts w:asciiTheme="majorHAnsi" w:hAnsiTheme="majorHAnsi" w:cstheme="majorHAnsi"/>
          <w:sz w:val="22"/>
          <w:szCs w:val="22"/>
          <w:lang w:val="sq-AL"/>
        </w:rPr>
        <w:t>evidentoi nj</w:t>
      </w:r>
      <w:r w:rsidR="009E1AE8" w:rsidRPr="005B3F01">
        <w:rPr>
          <w:rFonts w:asciiTheme="majorHAnsi" w:hAnsiTheme="majorHAnsi" w:cstheme="majorHAnsi"/>
          <w:sz w:val="22"/>
          <w:szCs w:val="22"/>
          <w:lang w:val="sq-AL"/>
        </w:rPr>
        <w:t>ë</w:t>
      </w:r>
      <w:r w:rsidR="000E7F8C" w:rsidRPr="005B3F01">
        <w:rPr>
          <w:rFonts w:asciiTheme="majorHAnsi" w:hAnsiTheme="majorHAnsi" w:cstheme="majorHAnsi"/>
          <w:sz w:val="22"/>
          <w:szCs w:val="22"/>
          <w:lang w:val="sq-AL"/>
        </w:rPr>
        <w:t xml:space="preserve"> k</w:t>
      </w:r>
      <w:r w:rsidR="009E1AE8" w:rsidRPr="005B3F01">
        <w:rPr>
          <w:rFonts w:asciiTheme="majorHAnsi" w:hAnsiTheme="majorHAnsi" w:cstheme="majorHAnsi"/>
          <w:sz w:val="22"/>
          <w:szCs w:val="22"/>
          <w:lang w:val="sq-AL"/>
        </w:rPr>
        <w:t>ë</w:t>
      </w:r>
      <w:r w:rsidR="000E7F8C" w:rsidRPr="005B3F01">
        <w:rPr>
          <w:rFonts w:asciiTheme="majorHAnsi" w:hAnsiTheme="majorHAnsi" w:cstheme="majorHAnsi"/>
          <w:sz w:val="22"/>
          <w:szCs w:val="22"/>
          <w:lang w:val="sq-AL"/>
        </w:rPr>
        <w:t>rkes</w:t>
      </w:r>
      <w:r w:rsidR="009E1AE8" w:rsidRPr="005B3F01">
        <w:rPr>
          <w:rFonts w:asciiTheme="majorHAnsi" w:hAnsiTheme="majorHAnsi" w:cstheme="majorHAnsi"/>
          <w:sz w:val="22"/>
          <w:szCs w:val="22"/>
          <w:lang w:val="sq-AL"/>
        </w:rPr>
        <w:t>ë</w:t>
      </w:r>
      <w:r w:rsidR="000E7F8C" w:rsidRPr="005B3F01">
        <w:rPr>
          <w:rFonts w:asciiTheme="majorHAnsi" w:hAnsiTheme="majorHAnsi" w:cstheme="majorHAnsi"/>
          <w:sz w:val="22"/>
          <w:szCs w:val="22"/>
          <w:lang w:val="sq-AL"/>
        </w:rPr>
        <w:t xml:space="preserve"> t</w:t>
      </w:r>
      <w:r w:rsidR="009E1AE8" w:rsidRPr="005B3F01">
        <w:rPr>
          <w:rFonts w:asciiTheme="majorHAnsi" w:hAnsiTheme="majorHAnsi" w:cstheme="majorHAnsi"/>
          <w:sz w:val="22"/>
          <w:szCs w:val="22"/>
          <w:lang w:val="sq-AL"/>
        </w:rPr>
        <w:t>ë</w:t>
      </w:r>
      <w:r w:rsidR="000E7F8C" w:rsidRPr="005B3F01">
        <w:rPr>
          <w:rFonts w:asciiTheme="majorHAnsi" w:hAnsiTheme="majorHAnsi" w:cstheme="majorHAnsi"/>
          <w:sz w:val="22"/>
          <w:szCs w:val="22"/>
          <w:lang w:val="sq-AL"/>
        </w:rPr>
        <w:t xml:space="preserve"> lart</w:t>
      </w:r>
      <w:r w:rsidR="00E10F38" w:rsidRPr="005B3F01">
        <w:rPr>
          <w:rFonts w:asciiTheme="majorHAnsi" w:hAnsiTheme="majorHAnsi" w:cstheme="majorHAnsi"/>
          <w:sz w:val="22"/>
          <w:szCs w:val="22"/>
          <w:lang w:val="sq-AL"/>
        </w:rPr>
        <w:t>ë</w:t>
      </w:r>
      <w:r w:rsidR="000E7F8C" w:rsidRPr="005B3F01">
        <w:rPr>
          <w:rFonts w:asciiTheme="majorHAnsi" w:hAnsiTheme="majorHAnsi" w:cstheme="majorHAnsi"/>
          <w:sz w:val="22"/>
          <w:szCs w:val="22"/>
          <w:lang w:val="sq-AL"/>
        </w:rPr>
        <w:t xml:space="preserve"> p</w:t>
      </w:r>
      <w:r w:rsidR="00E10F38" w:rsidRPr="005B3F01">
        <w:rPr>
          <w:rFonts w:asciiTheme="majorHAnsi" w:hAnsiTheme="majorHAnsi" w:cstheme="majorHAnsi"/>
          <w:sz w:val="22"/>
          <w:szCs w:val="22"/>
          <w:lang w:val="sq-AL"/>
        </w:rPr>
        <w:t>ë</w:t>
      </w:r>
      <w:r w:rsidR="000E7F8C" w:rsidRPr="005B3F01">
        <w:rPr>
          <w:rFonts w:asciiTheme="majorHAnsi" w:hAnsiTheme="majorHAnsi" w:cstheme="majorHAnsi"/>
          <w:sz w:val="22"/>
          <w:szCs w:val="22"/>
          <w:lang w:val="sq-AL"/>
        </w:rPr>
        <w:t>r p</w:t>
      </w:r>
      <w:r w:rsidR="00E10F38" w:rsidRPr="005B3F01">
        <w:rPr>
          <w:rFonts w:asciiTheme="majorHAnsi" w:hAnsiTheme="majorHAnsi" w:cstheme="majorHAnsi"/>
          <w:sz w:val="22"/>
          <w:szCs w:val="22"/>
          <w:lang w:val="sq-AL"/>
        </w:rPr>
        <w:t>ë</w:t>
      </w:r>
      <w:r w:rsidR="000E7F8C" w:rsidRPr="005B3F01">
        <w:rPr>
          <w:rFonts w:asciiTheme="majorHAnsi" w:hAnsiTheme="majorHAnsi" w:cstheme="majorHAnsi"/>
          <w:sz w:val="22"/>
          <w:szCs w:val="22"/>
          <w:lang w:val="sq-AL"/>
        </w:rPr>
        <w:t>rmir</w:t>
      </w:r>
      <w:r w:rsidR="00E10F38" w:rsidRPr="005B3F01">
        <w:rPr>
          <w:rFonts w:asciiTheme="majorHAnsi" w:hAnsiTheme="majorHAnsi" w:cstheme="majorHAnsi"/>
          <w:sz w:val="22"/>
          <w:szCs w:val="22"/>
          <w:lang w:val="sq-AL"/>
        </w:rPr>
        <w:t>ë</w:t>
      </w:r>
      <w:r w:rsidR="000E7F8C" w:rsidRPr="005B3F01">
        <w:rPr>
          <w:rFonts w:asciiTheme="majorHAnsi" w:hAnsiTheme="majorHAnsi" w:cstheme="majorHAnsi"/>
          <w:sz w:val="22"/>
          <w:szCs w:val="22"/>
          <w:lang w:val="sq-AL"/>
        </w:rPr>
        <w:t xml:space="preserve">simin e </w:t>
      </w:r>
      <w:r w:rsidR="00C04AD3" w:rsidRPr="005B3F01">
        <w:rPr>
          <w:rFonts w:asciiTheme="majorHAnsi" w:hAnsiTheme="majorHAnsi" w:cstheme="majorHAnsi"/>
          <w:sz w:val="22"/>
          <w:szCs w:val="22"/>
          <w:lang w:val="sq-AL"/>
        </w:rPr>
        <w:t>cil</w:t>
      </w:r>
      <w:r w:rsidR="00E10F38" w:rsidRPr="005B3F01">
        <w:rPr>
          <w:rFonts w:asciiTheme="majorHAnsi" w:hAnsiTheme="majorHAnsi" w:cstheme="majorHAnsi"/>
          <w:sz w:val="22"/>
          <w:szCs w:val="22"/>
          <w:lang w:val="sq-AL"/>
        </w:rPr>
        <w:t>ë</w:t>
      </w:r>
      <w:r w:rsidR="00C04AD3" w:rsidRPr="005B3F01">
        <w:rPr>
          <w:rFonts w:asciiTheme="majorHAnsi" w:hAnsiTheme="majorHAnsi" w:cstheme="majorHAnsi"/>
          <w:sz w:val="22"/>
          <w:szCs w:val="22"/>
          <w:lang w:val="sq-AL"/>
        </w:rPr>
        <w:t>sis</w:t>
      </w:r>
      <w:r w:rsidR="00E10F38" w:rsidRPr="005B3F01">
        <w:rPr>
          <w:rFonts w:asciiTheme="majorHAnsi" w:hAnsiTheme="majorHAnsi" w:cstheme="majorHAnsi"/>
          <w:sz w:val="22"/>
          <w:szCs w:val="22"/>
          <w:lang w:val="sq-AL"/>
        </w:rPr>
        <w:t>ë</w:t>
      </w:r>
      <w:r w:rsidR="00C04AD3" w:rsidRPr="005B3F01">
        <w:rPr>
          <w:rFonts w:asciiTheme="majorHAnsi" w:hAnsiTheme="majorHAnsi" w:cstheme="majorHAnsi"/>
          <w:sz w:val="22"/>
          <w:szCs w:val="22"/>
          <w:lang w:val="sq-AL"/>
        </w:rPr>
        <w:t xml:space="preserve"> dhe sasi</w:t>
      </w:r>
      <w:r w:rsidR="009E1AE8" w:rsidRPr="005B3F01">
        <w:rPr>
          <w:rFonts w:asciiTheme="majorHAnsi" w:hAnsiTheme="majorHAnsi" w:cstheme="majorHAnsi"/>
          <w:sz w:val="22"/>
          <w:szCs w:val="22"/>
          <w:lang w:val="sq-AL"/>
        </w:rPr>
        <w:t>së</w:t>
      </w:r>
      <w:r w:rsidR="00C04AD3" w:rsidRPr="005B3F01">
        <w:rPr>
          <w:rFonts w:asciiTheme="majorHAnsi" w:hAnsiTheme="majorHAnsi" w:cstheme="majorHAnsi"/>
          <w:sz w:val="22"/>
          <w:szCs w:val="22"/>
          <w:lang w:val="sq-AL"/>
        </w:rPr>
        <w:t xml:space="preserve"> s</w:t>
      </w:r>
      <w:r w:rsidR="009E1AE8" w:rsidRPr="005B3F01">
        <w:rPr>
          <w:rFonts w:asciiTheme="majorHAnsi" w:hAnsiTheme="majorHAnsi" w:cstheme="majorHAnsi"/>
          <w:sz w:val="22"/>
          <w:szCs w:val="22"/>
          <w:lang w:val="sq-AL"/>
        </w:rPr>
        <w:t>ë</w:t>
      </w:r>
      <w:r w:rsidR="00C04AD3" w:rsidRPr="005B3F01">
        <w:rPr>
          <w:rFonts w:asciiTheme="majorHAnsi" w:hAnsiTheme="majorHAnsi" w:cstheme="majorHAnsi"/>
          <w:sz w:val="22"/>
          <w:szCs w:val="22"/>
          <w:lang w:val="sq-AL"/>
        </w:rPr>
        <w:t xml:space="preserve"> informacionit kreditor t</w:t>
      </w:r>
      <w:r w:rsidR="009E1AE8" w:rsidRPr="005B3F01">
        <w:rPr>
          <w:rFonts w:asciiTheme="majorHAnsi" w:hAnsiTheme="majorHAnsi" w:cstheme="majorHAnsi"/>
          <w:sz w:val="22"/>
          <w:szCs w:val="22"/>
          <w:lang w:val="sq-AL"/>
        </w:rPr>
        <w:t>ë</w:t>
      </w:r>
      <w:r w:rsidR="00C04AD3" w:rsidRPr="005B3F01">
        <w:rPr>
          <w:rFonts w:asciiTheme="majorHAnsi" w:hAnsiTheme="majorHAnsi" w:cstheme="majorHAnsi"/>
          <w:sz w:val="22"/>
          <w:szCs w:val="22"/>
          <w:lang w:val="sq-AL"/>
        </w:rPr>
        <w:t xml:space="preserve"> disponuesh</w:t>
      </w:r>
      <w:r w:rsidR="009E1AE8" w:rsidRPr="005B3F01">
        <w:rPr>
          <w:rFonts w:asciiTheme="majorHAnsi" w:hAnsiTheme="majorHAnsi" w:cstheme="majorHAnsi"/>
          <w:sz w:val="22"/>
          <w:szCs w:val="22"/>
          <w:lang w:val="sq-AL"/>
        </w:rPr>
        <w:t>ë</w:t>
      </w:r>
      <w:r w:rsidR="00C04AD3" w:rsidRPr="005B3F01">
        <w:rPr>
          <w:rFonts w:asciiTheme="majorHAnsi" w:hAnsiTheme="majorHAnsi" w:cstheme="majorHAnsi"/>
          <w:sz w:val="22"/>
          <w:szCs w:val="22"/>
          <w:lang w:val="sq-AL"/>
        </w:rPr>
        <w:t>m, p</w:t>
      </w:r>
      <w:r w:rsidR="009E1AE8" w:rsidRPr="005B3F01">
        <w:rPr>
          <w:rFonts w:asciiTheme="majorHAnsi" w:hAnsiTheme="majorHAnsi" w:cstheme="majorHAnsi"/>
          <w:sz w:val="22"/>
          <w:szCs w:val="22"/>
          <w:lang w:val="sq-AL"/>
        </w:rPr>
        <w:t>ë</w:t>
      </w:r>
      <w:r w:rsidR="00C04AD3" w:rsidRPr="005B3F01">
        <w:rPr>
          <w:rFonts w:asciiTheme="majorHAnsi" w:hAnsiTheme="majorHAnsi" w:cstheme="majorHAnsi"/>
          <w:sz w:val="22"/>
          <w:szCs w:val="22"/>
          <w:lang w:val="sq-AL"/>
        </w:rPr>
        <w:t>rfshir</w:t>
      </w:r>
      <w:r w:rsidR="009E1AE8" w:rsidRPr="005B3F01">
        <w:rPr>
          <w:rFonts w:asciiTheme="majorHAnsi" w:hAnsiTheme="majorHAnsi" w:cstheme="majorHAnsi"/>
          <w:sz w:val="22"/>
          <w:szCs w:val="22"/>
          <w:lang w:val="sq-AL"/>
        </w:rPr>
        <w:t>ë</w:t>
      </w:r>
      <w:r w:rsidR="00C04AD3" w:rsidRPr="005B3F01">
        <w:rPr>
          <w:rFonts w:asciiTheme="majorHAnsi" w:hAnsiTheme="majorHAnsi" w:cstheme="majorHAnsi"/>
          <w:sz w:val="22"/>
          <w:szCs w:val="22"/>
          <w:lang w:val="sq-AL"/>
        </w:rPr>
        <w:t xml:space="preserve"> zgjerimin e mbulimit me t</w:t>
      </w:r>
      <w:r w:rsidR="009E1AE8" w:rsidRPr="005B3F01">
        <w:rPr>
          <w:rFonts w:asciiTheme="majorHAnsi" w:hAnsiTheme="majorHAnsi" w:cstheme="majorHAnsi"/>
          <w:sz w:val="22"/>
          <w:szCs w:val="22"/>
          <w:lang w:val="sq-AL"/>
        </w:rPr>
        <w:t>ë</w:t>
      </w:r>
      <w:r w:rsidR="00C04AD3" w:rsidRPr="005B3F01">
        <w:rPr>
          <w:rFonts w:asciiTheme="majorHAnsi" w:hAnsiTheme="majorHAnsi" w:cstheme="majorHAnsi"/>
          <w:sz w:val="22"/>
          <w:szCs w:val="22"/>
          <w:lang w:val="sq-AL"/>
        </w:rPr>
        <w:t xml:space="preserve"> dh</w:t>
      </w:r>
      <w:r w:rsidR="009E1AE8" w:rsidRPr="005B3F01">
        <w:rPr>
          <w:rFonts w:asciiTheme="majorHAnsi" w:hAnsiTheme="majorHAnsi" w:cstheme="majorHAnsi"/>
          <w:sz w:val="22"/>
          <w:szCs w:val="22"/>
          <w:lang w:val="sq-AL"/>
        </w:rPr>
        <w:t>ë</w:t>
      </w:r>
      <w:r w:rsidR="00C04AD3" w:rsidRPr="005B3F01">
        <w:rPr>
          <w:rFonts w:asciiTheme="majorHAnsi" w:hAnsiTheme="majorHAnsi" w:cstheme="majorHAnsi"/>
          <w:sz w:val="22"/>
          <w:szCs w:val="22"/>
          <w:lang w:val="sq-AL"/>
        </w:rPr>
        <w:t>na nga sektor</w:t>
      </w:r>
      <w:r w:rsidR="009E1AE8" w:rsidRPr="005B3F01">
        <w:rPr>
          <w:rFonts w:asciiTheme="majorHAnsi" w:hAnsiTheme="majorHAnsi" w:cstheme="majorHAnsi"/>
          <w:sz w:val="22"/>
          <w:szCs w:val="22"/>
          <w:lang w:val="sq-AL"/>
        </w:rPr>
        <w:t>ë</w:t>
      </w:r>
      <w:r w:rsidR="00C04AD3" w:rsidRPr="005B3F01">
        <w:rPr>
          <w:rFonts w:asciiTheme="majorHAnsi" w:hAnsiTheme="majorHAnsi" w:cstheme="majorHAnsi"/>
          <w:sz w:val="22"/>
          <w:szCs w:val="22"/>
          <w:lang w:val="sq-AL"/>
        </w:rPr>
        <w:t>t jo-financar</w:t>
      </w:r>
      <w:r w:rsidR="009E1AE8" w:rsidRPr="005B3F01">
        <w:rPr>
          <w:rFonts w:asciiTheme="majorHAnsi" w:hAnsiTheme="majorHAnsi" w:cstheme="majorHAnsi"/>
          <w:sz w:val="22"/>
          <w:szCs w:val="22"/>
          <w:lang w:val="sq-AL"/>
        </w:rPr>
        <w:t>ë</w:t>
      </w:r>
      <w:r w:rsidR="00027D4D" w:rsidRPr="005B3F01">
        <w:rPr>
          <w:rFonts w:asciiTheme="majorHAnsi" w:hAnsiTheme="majorHAnsi" w:cstheme="majorHAnsi"/>
          <w:sz w:val="22"/>
          <w:szCs w:val="22"/>
          <w:lang w:val="sq-AL"/>
        </w:rPr>
        <w:t>, nevoj</w:t>
      </w:r>
      <w:r w:rsidR="009E1AE8" w:rsidRPr="005B3F01">
        <w:rPr>
          <w:rFonts w:asciiTheme="majorHAnsi" w:hAnsiTheme="majorHAnsi" w:cstheme="majorHAnsi"/>
          <w:sz w:val="22"/>
          <w:szCs w:val="22"/>
          <w:lang w:val="sq-AL"/>
        </w:rPr>
        <w:t>ë</w:t>
      </w:r>
      <w:r w:rsidR="00027D4D" w:rsidRPr="005B3F01">
        <w:rPr>
          <w:rFonts w:asciiTheme="majorHAnsi" w:hAnsiTheme="majorHAnsi" w:cstheme="majorHAnsi"/>
          <w:sz w:val="22"/>
          <w:szCs w:val="22"/>
          <w:lang w:val="sq-AL"/>
        </w:rPr>
        <w:t>n p</w:t>
      </w:r>
      <w:r w:rsidR="009E1AE8" w:rsidRPr="005B3F01">
        <w:rPr>
          <w:rFonts w:asciiTheme="majorHAnsi" w:hAnsiTheme="majorHAnsi" w:cstheme="majorHAnsi"/>
          <w:sz w:val="22"/>
          <w:szCs w:val="22"/>
          <w:lang w:val="sq-AL"/>
        </w:rPr>
        <w:t>ë</w:t>
      </w:r>
      <w:r w:rsidR="00027D4D" w:rsidRPr="005B3F01">
        <w:rPr>
          <w:rFonts w:asciiTheme="majorHAnsi" w:hAnsiTheme="majorHAnsi" w:cstheme="majorHAnsi"/>
          <w:sz w:val="22"/>
          <w:szCs w:val="22"/>
          <w:lang w:val="sq-AL"/>
        </w:rPr>
        <w:t xml:space="preserve">r </w:t>
      </w:r>
      <w:r w:rsidR="4ED979D1" w:rsidRPr="005B3F01">
        <w:rPr>
          <w:rFonts w:asciiTheme="majorHAnsi" w:hAnsiTheme="majorHAnsi" w:cstheme="majorHAnsi"/>
          <w:sz w:val="22"/>
          <w:szCs w:val="22"/>
          <w:lang w:val="sq-AL"/>
        </w:rPr>
        <w:t>zhvillimin</w:t>
      </w:r>
      <w:r w:rsidR="00027D4D" w:rsidRPr="005B3F01">
        <w:rPr>
          <w:rFonts w:asciiTheme="majorHAnsi" w:hAnsiTheme="majorHAnsi" w:cstheme="majorHAnsi"/>
          <w:sz w:val="22"/>
          <w:szCs w:val="22"/>
          <w:lang w:val="sq-AL"/>
        </w:rPr>
        <w:t xml:space="preserve"> e renditjeve </w:t>
      </w:r>
      <w:r w:rsidR="1EA86BBF" w:rsidRPr="005B3F01">
        <w:rPr>
          <w:rFonts w:asciiTheme="majorHAnsi" w:hAnsiTheme="majorHAnsi" w:cstheme="majorHAnsi"/>
          <w:sz w:val="22"/>
          <w:szCs w:val="22"/>
          <w:lang w:val="sq-AL"/>
        </w:rPr>
        <w:t>kreditore</w:t>
      </w:r>
      <w:r w:rsidR="00027D4D" w:rsidRPr="005B3F01">
        <w:rPr>
          <w:rFonts w:asciiTheme="majorHAnsi" w:hAnsiTheme="majorHAnsi" w:cstheme="majorHAnsi"/>
          <w:sz w:val="22"/>
          <w:szCs w:val="22"/>
          <w:lang w:val="sq-AL"/>
        </w:rPr>
        <w:t xml:space="preserve"> (</w:t>
      </w:r>
      <w:proofErr w:type="spellStart"/>
      <w:r w:rsidR="00027D4D" w:rsidRPr="005B3F01">
        <w:rPr>
          <w:rFonts w:asciiTheme="majorHAnsi" w:hAnsiTheme="majorHAnsi" w:cstheme="majorHAnsi"/>
          <w:sz w:val="22"/>
          <w:szCs w:val="22"/>
          <w:lang w:val="sq-AL"/>
        </w:rPr>
        <w:t>credit</w:t>
      </w:r>
      <w:proofErr w:type="spellEnd"/>
      <w:r w:rsidR="00027D4D" w:rsidRPr="005B3F01">
        <w:rPr>
          <w:rFonts w:asciiTheme="majorHAnsi" w:hAnsiTheme="majorHAnsi" w:cstheme="majorHAnsi"/>
          <w:sz w:val="22"/>
          <w:szCs w:val="22"/>
          <w:lang w:val="sq-AL"/>
        </w:rPr>
        <w:t xml:space="preserve"> </w:t>
      </w:r>
      <w:proofErr w:type="spellStart"/>
      <w:r w:rsidR="00027D4D" w:rsidRPr="005B3F01">
        <w:rPr>
          <w:rFonts w:asciiTheme="majorHAnsi" w:hAnsiTheme="majorHAnsi" w:cstheme="majorHAnsi"/>
          <w:sz w:val="22"/>
          <w:szCs w:val="22"/>
          <w:lang w:val="sq-AL"/>
        </w:rPr>
        <w:t>rating</w:t>
      </w:r>
      <w:proofErr w:type="spellEnd"/>
      <w:r w:rsidR="00027D4D" w:rsidRPr="005B3F01">
        <w:rPr>
          <w:rFonts w:asciiTheme="majorHAnsi" w:hAnsiTheme="majorHAnsi" w:cstheme="majorHAnsi"/>
          <w:sz w:val="22"/>
          <w:szCs w:val="22"/>
          <w:lang w:val="sq-AL"/>
        </w:rPr>
        <w:t xml:space="preserve">, </w:t>
      </w:r>
      <w:proofErr w:type="spellStart"/>
      <w:r w:rsidR="00027D4D" w:rsidRPr="005B3F01">
        <w:rPr>
          <w:rFonts w:asciiTheme="majorHAnsi" w:hAnsiTheme="majorHAnsi" w:cstheme="majorHAnsi"/>
          <w:sz w:val="22"/>
          <w:szCs w:val="22"/>
          <w:lang w:val="sq-AL"/>
        </w:rPr>
        <w:t>credit</w:t>
      </w:r>
      <w:proofErr w:type="spellEnd"/>
      <w:r w:rsidR="00027D4D" w:rsidRPr="005B3F01">
        <w:rPr>
          <w:rFonts w:asciiTheme="majorHAnsi" w:hAnsiTheme="majorHAnsi" w:cstheme="majorHAnsi"/>
          <w:sz w:val="22"/>
          <w:szCs w:val="22"/>
          <w:lang w:val="sq-AL"/>
        </w:rPr>
        <w:t xml:space="preserve"> </w:t>
      </w:r>
      <w:proofErr w:type="spellStart"/>
      <w:r w:rsidR="00027D4D" w:rsidRPr="005B3F01">
        <w:rPr>
          <w:rFonts w:asciiTheme="majorHAnsi" w:hAnsiTheme="majorHAnsi" w:cstheme="majorHAnsi"/>
          <w:sz w:val="22"/>
          <w:szCs w:val="22"/>
          <w:lang w:val="sq-AL"/>
        </w:rPr>
        <w:t>scor</w:t>
      </w:r>
      <w:r w:rsidR="001C1548" w:rsidRPr="005B3F01">
        <w:rPr>
          <w:rFonts w:asciiTheme="majorHAnsi" w:hAnsiTheme="majorHAnsi" w:cstheme="majorHAnsi"/>
          <w:sz w:val="22"/>
          <w:szCs w:val="22"/>
          <w:lang w:val="sq-AL"/>
        </w:rPr>
        <w:t>ing</w:t>
      </w:r>
      <w:proofErr w:type="spellEnd"/>
      <w:r w:rsidR="00027D4D" w:rsidRPr="005B3F01">
        <w:rPr>
          <w:rFonts w:asciiTheme="majorHAnsi" w:hAnsiTheme="majorHAnsi" w:cstheme="majorHAnsi"/>
          <w:sz w:val="22"/>
          <w:szCs w:val="22"/>
          <w:lang w:val="sq-AL"/>
        </w:rPr>
        <w:t>)</w:t>
      </w:r>
      <w:r w:rsidR="00CE7608" w:rsidRPr="005B3F01">
        <w:rPr>
          <w:rFonts w:asciiTheme="majorHAnsi" w:hAnsiTheme="majorHAnsi" w:cstheme="majorHAnsi"/>
          <w:sz w:val="22"/>
          <w:szCs w:val="22"/>
          <w:lang w:val="sq-AL"/>
        </w:rPr>
        <w:t>, dhe informacione kreditore m</w:t>
      </w:r>
      <w:r w:rsidR="009E1AE8" w:rsidRPr="005B3F01">
        <w:rPr>
          <w:rFonts w:asciiTheme="majorHAnsi" w:hAnsiTheme="majorHAnsi" w:cstheme="majorHAnsi"/>
          <w:sz w:val="22"/>
          <w:szCs w:val="22"/>
          <w:lang w:val="sq-AL"/>
        </w:rPr>
        <w:t>ë</w:t>
      </w:r>
      <w:r w:rsidR="00CE7608" w:rsidRPr="005B3F01">
        <w:rPr>
          <w:rFonts w:asciiTheme="majorHAnsi" w:hAnsiTheme="majorHAnsi" w:cstheme="majorHAnsi"/>
          <w:sz w:val="22"/>
          <w:szCs w:val="22"/>
          <w:lang w:val="sq-AL"/>
        </w:rPr>
        <w:t xml:space="preserve"> t</w:t>
      </w:r>
      <w:r w:rsidR="009E1AE8" w:rsidRPr="005B3F01">
        <w:rPr>
          <w:rFonts w:asciiTheme="majorHAnsi" w:hAnsiTheme="majorHAnsi" w:cstheme="majorHAnsi"/>
          <w:sz w:val="22"/>
          <w:szCs w:val="22"/>
          <w:lang w:val="sq-AL"/>
        </w:rPr>
        <w:t>ë</w:t>
      </w:r>
      <w:r w:rsidR="00CE7608" w:rsidRPr="005B3F01">
        <w:rPr>
          <w:rFonts w:asciiTheme="majorHAnsi" w:hAnsiTheme="majorHAnsi" w:cstheme="majorHAnsi"/>
          <w:sz w:val="22"/>
          <w:szCs w:val="22"/>
          <w:lang w:val="sq-AL"/>
        </w:rPr>
        <w:t xml:space="preserve"> detajuara, si negative ashtu edhe pozitive.</w:t>
      </w:r>
    </w:p>
    <w:p w14:paraId="02CDA99C" w14:textId="52A1F788" w:rsidR="00F27CBB" w:rsidRPr="005B3F01" w:rsidRDefault="00F27CBB" w:rsidP="0035255D">
      <w:pPr>
        <w:pStyle w:val="NormalWeb"/>
        <w:spacing w:line="276" w:lineRule="auto"/>
        <w:jc w:val="both"/>
        <w:rPr>
          <w:rFonts w:asciiTheme="majorHAnsi" w:hAnsiTheme="majorHAnsi" w:cstheme="majorHAnsi"/>
          <w:sz w:val="22"/>
          <w:szCs w:val="22"/>
          <w:lang w:val="sq-AL"/>
        </w:rPr>
      </w:pPr>
      <w:r w:rsidRPr="005B3F01">
        <w:rPr>
          <w:rFonts w:asciiTheme="majorHAnsi" w:hAnsiTheme="majorHAnsi" w:cstheme="majorHAnsi"/>
          <w:sz w:val="22"/>
          <w:szCs w:val="22"/>
          <w:lang w:val="sq-AL"/>
        </w:rPr>
        <w:t xml:space="preserve">Raporti i Bankës Botërore i 2018 “Financimi për rritje të Ndërmarrjeve </w:t>
      </w:r>
      <w:proofErr w:type="spellStart"/>
      <w:r w:rsidRPr="005B3F01">
        <w:rPr>
          <w:rFonts w:asciiTheme="majorHAnsi" w:hAnsiTheme="majorHAnsi" w:cstheme="majorHAnsi"/>
          <w:sz w:val="22"/>
          <w:szCs w:val="22"/>
          <w:lang w:val="sq-AL"/>
        </w:rPr>
        <w:t>Mikro</w:t>
      </w:r>
      <w:proofErr w:type="spellEnd"/>
      <w:r w:rsidRPr="005B3F01">
        <w:rPr>
          <w:rFonts w:asciiTheme="majorHAnsi" w:hAnsiTheme="majorHAnsi" w:cstheme="majorHAnsi"/>
          <w:sz w:val="22"/>
          <w:szCs w:val="22"/>
          <w:lang w:val="sq-AL"/>
        </w:rPr>
        <w:t>, të Vogla dhe të Mesme (NMVM)-”</w:t>
      </w:r>
      <w:r w:rsidRPr="005B3F01">
        <w:rPr>
          <w:rStyle w:val="FootnoteReference"/>
          <w:rFonts w:asciiTheme="majorHAnsi" w:hAnsiTheme="majorHAnsi" w:cstheme="majorHAnsi"/>
          <w:sz w:val="22"/>
          <w:szCs w:val="22"/>
          <w:lang w:val="sq-AL"/>
        </w:rPr>
        <w:footnoteReference w:id="1"/>
      </w:r>
      <w:r w:rsidRPr="005B3F01">
        <w:rPr>
          <w:rFonts w:asciiTheme="majorHAnsi" w:hAnsiTheme="majorHAnsi" w:cstheme="majorHAnsi"/>
          <w:sz w:val="22"/>
          <w:szCs w:val="22"/>
          <w:lang w:val="sq-AL"/>
        </w:rPr>
        <w:t xml:space="preserve"> nënvizoi nevojën e prezencës së byrove të kreditit, dhe theksoi se një ligj specifik do të mundësonte një kuadër gjithëpërfshirës, transparent dhe me siguri ligjore për rregullimin e llojit të dhënave që mund të raportohen, mblidhen dhe analizohen, si dhe detyrimet e institucioneve financiare dhe të drejtat e konsumatorëve. Një grup pune i mbështetur nga Banka Botërore, dhe me pjesëmarrjen e Shoqatës së Bankave, Bankën e Shqipërisë, Ministrinë e Financave dhe Ministrinë e Bujqësisë, përfshiu miratimin e një ligji të ri për Byrotë e Kredisë si një nga masat qe do ndihmonin për rritjen e </w:t>
      </w:r>
      <w:proofErr w:type="spellStart"/>
      <w:r w:rsidRPr="005B3F01">
        <w:rPr>
          <w:rFonts w:asciiTheme="majorHAnsi" w:hAnsiTheme="majorHAnsi" w:cstheme="majorHAnsi"/>
          <w:sz w:val="22"/>
          <w:szCs w:val="22"/>
          <w:lang w:val="sq-AL"/>
        </w:rPr>
        <w:t>aksesit</w:t>
      </w:r>
      <w:proofErr w:type="spellEnd"/>
      <w:r w:rsidRPr="005B3F01">
        <w:rPr>
          <w:rFonts w:asciiTheme="majorHAnsi" w:hAnsiTheme="majorHAnsi" w:cstheme="majorHAnsi"/>
          <w:sz w:val="22"/>
          <w:szCs w:val="22"/>
          <w:lang w:val="sq-AL"/>
        </w:rPr>
        <w:t xml:space="preserve"> në financë në vendin tonë. </w:t>
      </w:r>
    </w:p>
    <w:p w14:paraId="63104A66" w14:textId="77777777" w:rsidR="00A7112A" w:rsidRPr="005B3F01" w:rsidRDefault="00A7112A" w:rsidP="0035255D">
      <w:pPr>
        <w:numPr>
          <w:ilvl w:val="0"/>
          <w:numId w:val="7"/>
        </w:numPr>
        <w:spacing w:before="0" w:after="160" w:line="276" w:lineRule="auto"/>
        <w:contextualSpacing/>
        <w:rPr>
          <w:rFonts w:asciiTheme="majorHAnsi" w:eastAsia="Calibri" w:hAnsiTheme="majorHAnsi" w:cstheme="majorHAnsi"/>
          <w:b/>
          <w:bCs/>
          <w:color w:val="000000"/>
          <w:kern w:val="0"/>
          <w:lang w:val="sq-AL"/>
          <w14:ligatures w14:val="none"/>
        </w:rPr>
      </w:pPr>
      <w:r w:rsidRPr="005B3F01">
        <w:rPr>
          <w:rFonts w:asciiTheme="majorHAnsi" w:eastAsia="Calibri" w:hAnsiTheme="majorHAnsi" w:cstheme="majorHAnsi"/>
          <w:b/>
          <w:bCs/>
          <w:color w:val="000000"/>
          <w:kern w:val="0"/>
          <w:lang w:val="sq-AL"/>
          <w14:ligatures w14:val="none"/>
        </w:rPr>
        <w:t>VLERËSIMI I PROJEKT-AKTIT NE RAPORT ME PROGRAMIN POLITIK TË KËSHILLIT TË MINISTRAVE, ME PROGRAMIN ANALITIK TË AKTEVE DHE DOKUMENTE TË TJERA POLITIKE</w:t>
      </w:r>
    </w:p>
    <w:p w14:paraId="31E6E355" w14:textId="77777777" w:rsidR="00932002" w:rsidRPr="005B3F01" w:rsidRDefault="00932002" w:rsidP="0035255D">
      <w:pPr>
        <w:autoSpaceDE w:val="0"/>
        <w:autoSpaceDN w:val="0"/>
        <w:adjustRightInd w:val="0"/>
        <w:spacing w:before="0" w:after="0" w:line="276" w:lineRule="auto"/>
        <w:rPr>
          <w:rFonts w:asciiTheme="majorHAnsi" w:eastAsia="Calibri" w:hAnsiTheme="majorHAnsi" w:cstheme="majorHAnsi"/>
          <w:color w:val="000000"/>
          <w:kern w:val="0"/>
          <w:lang w:val="sq-AL"/>
          <w14:ligatures w14:val="none"/>
        </w:rPr>
      </w:pPr>
    </w:p>
    <w:p w14:paraId="2E4C1400" w14:textId="53B76CFF" w:rsidR="00A7112A" w:rsidRPr="005B3F01" w:rsidRDefault="00A7112A" w:rsidP="0035255D">
      <w:pPr>
        <w:autoSpaceDE w:val="0"/>
        <w:autoSpaceDN w:val="0"/>
        <w:adjustRightInd w:val="0"/>
        <w:spacing w:before="0" w:after="0" w:line="276" w:lineRule="auto"/>
        <w:rPr>
          <w:rFonts w:asciiTheme="majorHAnsi" w:eastAsia="Calibri" w:hAnsiTheme="majorHAnsi" w:cstheme="majorHAnsi"/>
          <w:color w:val="000000"/>
          <w:kern w:val="0"/>
          <w:lang w:val="sq-AL"/>
          <w14:ligatures w14:val="none"/>
        </w:rPr>
      </w:pPr>
      <w:r w:rsidRPr="00F53620">
        <w:rPr>
          <w:rFonts w:asciiTheme="majorHAnsi" w:eastAsia="Calibri" w:hAnsiTheme="majorHAnsi" w:cstheme="majorHAnsi"/>
          <w:color w:val="000000"/>
          <w:kern w:val="0"/>
          <w:lang w:val="sq-AL"/>
          <w14:ligatures w14:val="none"/>
        </w:rPr>
        <w:t xml:space="preserve">Projektligji nuk është i parashikuar në </w:t>
      </w:r>
      <w:r w:rsidR="00F5542D" w:rsidRPr="00F53620">
        <w:rPr>
          <w:rFonts w:asciiTheme="majorHAnsi" w:eastAsia="Calibri" w:hAnsiTheme="majorHAnsi" w:cstheme="majorHAnsi"/>
          <w:color w:val="000000"/>
          <w:kern w:val="0"/>
          <w:lang w:val="sq-AL"/>
          <w14:ligatures w14:val="none"/>
        </w:rPr>
        <w:t xml:space="preserve">programin e përgjithshëm analitik të </w:t>
      </w:r>
      <w:r w:rsidR="700291C5" w:rsidRPr="00F53620">
        <w:rPr>
          <w:rFonts w:asciiTheme="majorHAnsi" w:eastAsia="Calibri" w:hAnsiTheme="majorHAnsi" w:cstheme="majorHAnsi"/>
          <w:color w:val="000000"/>
          <w:kern w:val="0"/>
          <w:lang w:val="sq-AL"/>
          <w14:ligatures w14:val="none"/>
        </w:rPr>
        <w:t>projekt akteve</w:t>
      </w:r>
      <w:r w:rsidR="00F5542D" w:rsidRPr="00F53620">
        <w:rPr>
          <w:rFonts w:asciiTheme="majorHAnsi" w:eastAsia="Calibri" w:hAnsiTheme="majorHAnsi" w:cstheme="majorHAnsi"/>
          <w:color w:val="000000"/>
          <w:kern w:val="0"/>
          <w:lang w:val="sq-AL"/>
          <w14:ligatures w14:val="none"/>
        </w:rPr>
        <w:t xml:space="preserve"> që do të paraqiten për shqyrtim në Këshillin e Ministrave gjatë vitit 2026</w:t>
      </w:r>
      <w:r w:rsidR="00A15E3A" w:rsidRPr="00F53620">
        <w:rPr>
          <w:rFonts w:asciiTheme="majorHAnsi" w:eastAsia="Calibri" w:hAnsiTheme="majorHAnsi" w:cstheme="majorHAnsi"/>
          <w:color w:val="000000"/>
          <w:kern w:val="0"/>
          <w:lang w:val="sq-AL"/>
          <w14:ligatures w14:val="none"/>
        </w:rPr>
        <w:t>.</w:t>
      </w:r>
    </w:p>
    <w:p w14:paraId="44CA7297" w14:textId="77777777" w:rsidR="00A7112A" w:rsidRPr="005B3F01" w:rsidRDefault="00A7112A" w:rsidP="0035255D">
      <w:pPr>
        <w:autoSpaceDE w:val="0"/>
        <w:autoSpaceDN w:val="0"/>
        <w:adjustRightInd w:val="0"/>
        <w:spacing w:before="0" w:after="0" w:line="276" w:lineRule="auto"/>
        <w:rPr>
          <w:rFonts w:asciiTheme="majorHAnsi" w:eastAsia="Calibri" w:hAnsiTheme="majorHAnsi" w:cstheme="majorHAnsi"/>
          <w:color w:val="000000"/>
          <w:kern w:val="0"/>
          <w:lang w:val="sq-AL"/>
          <w14:ligatures w14:val="none"/>
        </w:rPr>
      </w:pPr>
    </w:p>
    <w:p w14:paraId="259AF495" w14:textId="77777777" w:rsidR="00A7112A" w:rsidRPr="005B3F01" w:rsidRDefault="00A7112A" w:rsidP="0035255D">
      <w:pPr>
        <w:numPr>
          <w:ilvl w:val="0"/>
          <w:numId w:val="7"/>
        </w:numPr>
        <w:spacing w:before="0" w:after="160" w:line="276" w:lineRule="auto"/>
        <w:contextualSpacing/>
        <w:jc w:val="left"/>
        <w:rPr>
          <w:rFonts w:asciiTheme="majorHAnsi" w:eastAsia="Calibri" w:hAnsiTheme="majorHAnsi" w:cstheme="majorHAnsi"/>
          <w:b/>
          <w:color w:val="000000"/>
          <w:kern w:val="0"/>
          <w:lang w:val="sq-AL"/>
          <w14:ligatures w14:val="none"/>
        </w:rPr>
      </w:pPr>
      <w:r w:rsidRPr="005B3F01">
        <w:rPr>
          <w:rFonts w:asciiTheme="majorHAnsi" w:eastAsia="Calibri" w:hAnsiTheme="majorHAnsi" w:cstheme="majorHAnsi"/>
          <w:b/>
          <w:color w:val="000000"/>
          <w:kern w:val="0"/>
          <w:lang w:val="sq-AL"/>
          <w14:ligatures w14:val="none"/>
        </w:rPr>
        <w:t>ARGUMENTIM I PROJEKT-AKTIT LIDHUR ME PËRPARËSITË, PROBLEMATIKAT, EFEKTET E PRITSHME</w:t>
      </w:r>
    </w:p>
    <w:p w14:paraId="606BE4D6" w14:textId="77777777" w:rsidR="00E9088B" w:rsidRPr="005B3F01" w:rsidRDefault="00E9088B" w:rsidP="0035255D">
      <w:pPr>
        <w:spacing w:before="0" w:after="160" w:line="276" w:lineRule="auto"/>
        <w:ind w:left="1080"/>
        <w:contextualSpacing/>
        <w:jc w:val="left"/>
        <w:rPr>
          <w:rFonts w:asciiTheme="majorHAnsi" w:eastAsia="Calibri" w:hAnsiTheme="majorHAnsi" w:cstheme="majorHAnsi"/>
          <w:b/>
          <w:color w:val="000000"/>
          <w:kern w:val="0"/>
          <w:lang w:val="sq-AL"/>
          <w14:ligatures w14:val="none"/>
        </w:rPr>
      </w:pPr>
    </w:p>
    <w:p w14:paraId="6C33D75A" w14:textId="77777777" w:rsidR="00A234A0" w:rsidRPr="005B3F01" w:rsidRDefault="00A234A0" w:rsidP="00A234A0">
      <w:pPr>
        <w:spacing w:line="276" w:lineRule="auto"/>
        <w:rPr>
          <w:rFonts w:asciiTheme="majorHAnsi" w:hAnsiTheme="majorHAnsi" w:cstheme="majorHAnsi"/>
          <w:lang w:val="sq-AL"/>
        </w:rPr>
      </w:pPr>
      <w:r w:rsidRPr="005B3F01">
        <w:rPr>
          <w:rFonts w:asciiTheme="majorHAnsi" w:hAnsiTheme="majorHAnsi" w:cstheme="majorHAnsi"/>
          <w:lang w:val="sq-AL"/>
        </w:rPr>
        <w:t>Aktualisht, në Republikën e Shqipërisë nuk ekziston një kuadër i posaçëm ligjor që rregullon krijimin, licencimin, organizimin dhe funksionimin e byrove private të kreditit. Mungesa e një kuadri të tillë ka krijuar pasiguri juridike për zhvillimin e kësaj veprimtarie dhe ka penguar krijimin e një tregu të organizuar të raportimit kreditor, duke kufizuar grumbullimin, përpunimin dhe shkëmbimin e informacionit kreditor në përputhje me standardet ndërkombëtare dhe praktikat më të mira.</w:t>
      </w:r>
    </w:p>
    <w:p w14:paraId="1BD9835F" w14:textId="77777777" w:rsidR="00A234A0" w:rsidRPr="005B3F01" w:rsidRDefault="00A234A0" w:rsidP="00A234A0">
      <w:pPr>
        <w:spacing w:line="276" w:lineRule="auto"/>
        <w:rPr>
          <w:rFonts w:asciiTheme="majorHAnsi" w:hAnsiTheme="majorHAnsi" w:cstheme="majorHAnsi"/>
          <w:lang w:val="sq-AL"/>
        </w:rPr>
      </w:pPr>
      <w:r w:rsidRPr="005B3F01">
        <w:rPr>
          <w:rFonts w:asciiTheme="majorHAnsi" w:hAnsiTheme="majorHAnsi" w:cstheme="majorHAnsi"/>
          <w:lang w:val="sq-AL"/>
        </w:rPr>
        <w:t xml:space="preserve">Pavarësisht ekzistencës së Regjistrit të Kredive të administruar nga Banka e Shqipërisë, sistemi aktual nuk është konceptuar për të përmbushur funksionet e një byroje private krediti. Si rrjedhojë, institucionet financiare dhe subjektet e tjera </w:t>
      </w:r>
      <w:proofErr w:type="spellStart"/>
      <w:r w:rsidRPr="005B3F01">
        <w:rPr>
          <w:rFonts w:asciiTheme="majorHAnsi" w:hAnsiTheme="majorHAnsi" w:cstheme="majorHAnsi"/>
          <w:lang w:val="sq-AL"/>
        </w:rPr>
        <w:t>kredidhënëse</w:t>
      </w:r>
      <w:proofErr w:type="spellEnd"/>
      <w:r w:rsidRPr="005B3F01">
        <w:rPr>
          <w:rFonts w:asciiTheme="majorHAnsi" w:hAnsiTheme="majorHAnsi" w:cstheme="majorHAnsi"/>
          <w:lang w:val="sq-AL"/>
        </w:rPr>
        <w:t xml:space="preserve"> nuk disponojnë një mekanizëm të specializuar për shkëmbimin e informacionit kreditor dhe ofrimin e produkteve të avancuara të vlerësimit të aftësisë </w:t>
      </w:r>
      <w:proofErr w:type="spellStart"/>
      <w:r w:rsidRPr="005B3F01">
        <w:rPr>
          <w:rFonts w:asciiTheme="majorHAnsi" w:hAnsiTheme="majorHAnsi" w:cstheme="majorHAnsi"/>
          <w:lang w:val="sq-AL"/>
        </w:rPr>
        <w:t>paguese</w:t>
      </w:r>
      <w:proofErr w:type="spellEnd"/>
      <w:r w:rsidRPr="005B3F01">
        <w:rPr>
          <w:rFonts w:asciiTheme="majorHAnsi" w:hAnsiTheme="majorHAnsi" w:cstheme="majorHAnsi"/>
          <w:lang w:val="sq-AL"/>
        </w:rPr>
        <w:t xml:space="preserve"> të klientëve. Kjo situatë kontribuon në asimetrinë e informacionit ndërmjet </w:t>
      </w:r>
      <w:proofErr w:type="spellStart"/>
      <w:r w:rsidRPr="005B3F01">
        <w:rPr>
          <w:rFonts w:asciiTheme="majorHAnsi" w:hAnsiTheme="majorHAnsi" w:cstheme="majorHAnsi"/>
          <w:lang w:val="sq-AL"/>
        </w:rPr>
        <w:t>kredidhënësve</w:t>
      </w:r>
      <w:proofErr w:type="spellEnd"/>
      <w:r w:rsidRPr="005B3F01">
        <w:rPr>
          <w:rFonts w:asciiTheme="majorHAnsi" w:hAnsiTheme="majorHAnsi" w:cstheme="majorHAnsi"/>
          <w:lang w:val="sq-AL"/>
        </w:rPr>
        <w:t xml:space="preserve"> dhe </w:t>
      </w:r>
      <w:proofErr w:type="spellStart"/>
      <w:r w:rsidRPr="005B3F01">
        <w:rPr>
          <w:rFonts w:asciiTheme="majorHAnsi" w:hAnsiTheme="majorHAnsi" w:cstheme="majorHAnsi"/>
          <w:lang w:val="sq-AL"/>
        </w:rPr>
        <w:t>kredimarrësve</w:t>
      </w:r>
      <w:proofErr w:type="spellEnd"/>
      <w:r w:rsidRPr="005B3F01">
        <w:rPr>
          <w:rFonts w:asciiTheme="majorHAnsi" w:hAnsiTheme="majorHAnsi" w:cstheme="majorHAnsi"/>
          <w:lang w:val="sq-AL"/>
        </w:rPr>
        <w:t xml:space="preserve">, rrit kostot e vlerësimit të riskut kreditor dhe mund të kufizojë </w:t>
      </w:r>
      <w:proofErr w:type="spellStart"/>
      <w:r w:rsidRPr="005B3F01">
        <w:rPr>
          <w:rFonts w:asciiTheme="majorHAnsi" w:hAnsiTheme="majorHAnsi" w:cstheme="majorHAnsi"/>
          <w:lang w:val="sq-AL"/>
        </w:rPr>
        <w:t>aksesin</w:t>
      </w:r>
      <w:proofErr w:type="spellEnd"/>
      <w:r w:rsidRPr="005B3F01">
        <w:rPr>
          <w:rFonts w:asciiTheme="majorHAnsi" w:hAnsiTheme="majorHAnsi" w:cstheme="majorHAnsi"/>
          <w:lang w:val="sq-AL"/>
        </w:rPr>
        <w:t xml:space="preserve"> në financim, veçanërisht për individët dhe ndërmarrjet </w:t>
      </w:r>
      <w:proofErr w:type="spellStart"/>
      <w:r w:rsidRPr="005B3F01">
        <w:rPr>
          <w:rFonts w:asciiTheme="majorHAnsi" w:hAnsiTheme="majorHAnsi" w:cstheme="majorHAnsi"/>
          <w:lang w:val="sq-AL"/>
        </w:rPr>
        <w:t>mikro</w:t>
      </w:r>
      <w:proofErr w:type="spellEnd"/>
      <w:r w:rsidRPr="005B3F01">
        <w:rPr>
          <w:rFonts w:asciiTheme="majorHAnsi" w:hAnsiTheme="majorHAnsi" w:cstheme="majorHAnsi"/>
          <w:lang w:val="sq-AL"/>
        </w:rPr>
        <w:t xml:space="preserve">, të vogla dhe të mesme (NMVM) që kanë një histori të mirë </w:t>
      </w:r>
      <w:proofErr w:type="spellStart"/>
      <w:r w:rsidRPr="005B3F01">
        <w:rPr>
          <w:rFonts w:asciiTheme="majorHAnsi" w:hAnsiTheme="majorHAnsi" w:cstheme="majorHAnsi"/>
          <w:lang w:val="sq-AL"/>
        </w:rPr>
        <w:t>paguese</w:t>
      </w:r>
      <w:proofErr w:type="spellEnd"/>
      <w:r w:rsidRPr="005B3F01">
        <w:rPr>
          <w:rFonts w:asciiTheme="majorHAnsi" w:hAnsiTheme="majorHAnsi" w:cstheme="majorHAnsi"/>
          <w:lang w:val="sq-AL"/>
        </w:rPr>
        <w:t>, por nuk arrijnë ta demonstrojnë atë në mënyrë të plotë përmes mekanizmave ekzistues.</w:t>
      </w:r>
    </w:p>
    <w:p w14:paraId="029187BE" w14:textId="77777777" w:rsidR="00A234A0" w:rsidRPr="005B3F01" w:rsidRDefault="00A234A0" w:rsidP="00A234A0">
      <w:pPr>
        <w:spacing w:line="276" w:lineRule="auto"/>
        <w:rPr>
          <w:rFonts w:asciiTheme="majorHAnsi" w:hAnsiTheme="majorHAnsi" w:cstheme="majorHAnsi"/>
          <w:lang w:val="sq-AL"/>
        </w:rPr>
      </w:pPr>
      <w:r w:rsidRPr="005B3F01">
        <w:rPr>
          <w:rFonts w:asciiTheme="majorHAnsi" w:hAnsiTheme="majorHAnsi" w:cstheme="majorHAnsi"/>
          <w:lang w:val="sq-AL"/>
        </w:rPr>
        <w:t xml:space="preserve">Përvoja ndërkombëtare tregon se funksionimi i byrove private të kreditit, mbi bazën e një kuadri të qartë ligjor dhe rregullator, kontribuon në reduktimin e asimetrisë së informacionit, përmirësimin e administrimit të riskut kreditor, rritjen e efikasitetit të procesit të kreditimit dhe zgjerimin e </w:t>
      </w:r>
      <w:proofErr w:type="spellStart"/>
      <w:r w:rsidRPr="005B3F01">
        <w:rPr>
          <w:rFonts w:asciiTheme="majorHAnsi" w:hAnsiTheme="majorHAnsi" w:cstheme="majorHAnsi"/>
          <w:lang w:val="sq-AL"/>
        </w:rPr>
        <w:t>aksesit</w:t>
      </w:r>
      <w:proofErr w:type="spellEnd"/>
      <w:r w:rsidRPr="005B3F01">
        <w:rPr>
          <w:rFonts w:asciiTheme="majorHAnsi" w:hAnsiTheme="majorHAnsi" w:cstheme="majorHAnsi"/>
          <w:lang w:val="sq-AL"/>
        </w:rPr>
        <w:t xml:space="preserve"> në financim. Në shumë juridiksione, kjo është shoqëruar edhe me uljen e kostos së financimit, nxitjen e konkurrencës në tregun financiar dhe përmirësimin e cilësisë së portofolit të kredive. Për këtë arsye, Grupi i Bankës Botërore, Banka Evropiane për Rindërtim dhe Zhvillim (BERZH) dhe institucione të tjera financiare ndërkombëtare kanë rekomanduar krijimin e një kuadri ligjor për funksionimin e byrove të kreditit, si një element të rëndësishëm për zhvillimin e tregut financiar, rritjen e </w:t>
      </w:r>
      <w:proofErr w:type="spellStart"/>
      <w:r w:rsidRPr="005B3F01">
        <w:rPr>
          <w:rFonts w:asciiTheme="majorHAnsi" w:hAnsiTheme="majorHAnsi" w:cstheme="majorHAnsi"/>
          <w:lang w:val="sq-AL"/>
        </w:rPr>
        <w:t>aksesit</w:t>
      </w:r>
      <w:proofErr w:type="spellEnd"/>
      <w:r w:rsidRPr="005B3F01">
        <w:rPr>
          <w:rFonts w:asciiTheme="majorHAnsi" w:hAnsiTheme="majorHAnsi" w:cstheme="majorHAnsi"/>
          <w:lang w:val="sq-AL"/>
        </w:rPr>
        <w:t xml:space="preserve"> në financim dhe forcimin e infrastrukturës financiare të vendit.</w:t>
      </w:r>
    </w:p>
    <w:p w14:paraId="0FB53B9E" w14:textId="77777777" w:rsidR="00752412" w:rsidRPr="005B3F01" w:rsidRDefault="00752412">
      <w:pPr>
        <w:spacing w:line="276" w:lineRule="auto"/>
        <w:rPr>
          <w:rFonts w:asciiTheme="majorHAnsi" w:hAnsiTheme="majorHAnsi" w:cstheme="majorHAnsi"/>
          <w:lang w:val="sq-AL"/>
        </w:rPr>
      </w:pPr>
      <w:r w:rsidRPr="005B3F01">
        <w:rPr>
          <w:rFonts w:asciiTheme="majorHAnsi" w:hAnsiTheme="majorHAnsi" w:cstheme="majorHAnsi"/>
          <w:lang w:val="sq-AL"/>
        </w:rPr>
        <w:t xml:space="preserve">Projektligji “Për Byrotë e Kreditit” krijon një infrastrukturë të qartë dhe të standardizuar për mbledhjen, përpunimin, ruajtjen dhe shpërndarjen e informacionit kreditor, duke përcaktuar burimet e ligjshme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rregullat për përgatitjen e raporteve kreditore, të drejtat e subjekteve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detyrimet e byrove dhe të ofruesve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si dhe rregullat për licencimin dhe mbikëqyrjen e kësaj veprimtarie. Kjo ndërhyrje synon të reduktojë pasigurinë juridike, të rrisë transparencën në tregun e kreditimit dhe të mbështesë një vlerësim më të saktë të besueshmërisë kreditore.</w:t>
      </w:r>
    </w:p>
    <w:p w14:paraId="13DD6240" w14:textId="451598F1" w:rsidR="00DF3E25" w:rsidRPr="005B3F01" w:rsidRDefault="00DF3E25" w:rsidP="0035255D">
      <w:pPr>
        <w:spacing w:before="100" w:beforeAutospacing="1" w:after="100" w:afterAutospacing="1" w:line="276" w:lineRule="auto"/>
        <w:rPr>
          <w:rFonts w:asciiTheme="majorHAnsi" w:eastAsia="Times New Roman" w:hAnsiTheme="majorHAnsi" w:cstheme="majorHAnsi"/>
          <w:kern w:val="0"/>
          <w:lang w:val="sv-SE"/>
          <w14:ligatures w14:val="none"/>
        </w:rPr>
      </w:pPr>
      <w:r w:rsidRPr="005B3F01">
        <w:rPr>
          <w:rFonts w:asciiTheme="majorHAnsi" w:eastAsia="Times New Roman" w:hAnsiTheme="majorHAnsi" w:cstheme="majorHAnsi"/>
          <w:kern w:val="0"/>
          <w:lang w:val="sv-SE"/>
          <w14:ligatures w14:val="none"/>
        </w:rPr>
        <w:t>Efektet kryesore t</w:t>
      </w:r>
      <w:r w:rsidR="008B11EE" w:rsidRPr="005B3F01">
        <w:rPr>
          <w:rFonts w:asciiTheme="majorHAnsi" w:eastAsia="Times New Roman" w:hAnsiTheme="majorHAnsi" w:cstheme="majorHAnsi"/>
          <w:kern w:val="0"/>
          <w:lang w:val="sv-SE"/>
          <w14:ligatures w14:val="none"/>
        </w:rPr>
        <w:t>ë</w:t>
      </w:r>
      <w:r w:rsidRPr="005B3F01">
        <w:rPr>
          <w:rFonts w:asciiTheme="majorHAnsi" w:eastAsia="Times New Roman" w:hAnsiTheme="majorHAnsi" w:cstheme="majorHAnsi"/>
          <w:kern w:val="0"/>
          <w:lang w:val="sv-SE"/>
          <w14:ligatures w14:val="none"/>
        </w:rPr>
        <w:t xml:space="preserve"> projektligjit pritet t</w:t>
      </w:r>
      <w:r w:rsidR="008B11EE" w:rsidRPr="005B3F01">
        <w:rPr>
          <w:rFonts w:asciiTheme="majorHAnsi" w:eastAsia="Times New Roman" w:hAnsiTheme="majorHAnsi" w:cstheme="majorHAnsi"/>
          <w:kern w:val="0"/>
          <w:lang w:val="sv-SE"/>
          <w14:ligatures w14:val="none"/>
        </w:rPr>
        <w:t>ë</w:t>
      </w:r>
      <w:r w:rsidRPr="005B3F01">
        <w:rPr>
          <w:rFonts w:asciiTheme="majorHAnsi" w:eastAsia="Times New Roman" w:hAnsiTheme="majorHAnsi" w:cstheme="majorHAnsi"/>
          <w:kern w:val="0"/>
          <w:lang w:val="sv-SE"/>
          <w14:ligatures w14:val="none"/>
        </w:rPr>
        <w:t xml:space="preserve"> jen</w:t>
      </w:r>
      <w:r w:rsidR="008B11EE" w:rsidRPr="005B3F01">
        <w:rPr>
          <w:rFonts w:asciiTheme="majorHAnsi" w:eastAsia="Times New Roman" w:hAnsiTheme="majorHAnsi" w:cstheme="majorHAnsi"/>
          <w:kern w:val="0"/>
          <w:lang w:val="sv-SE"/>
          <w14:ligatures w14:val="none"/>
        </w:rPr>
        <w:t>ë</w:t>
      </w:r>
      <w:r w:rsidRPr="005B3F01">
        <w:rPr>
          <w:rFonts w:asciiTheme="majorHAnsi" w:eastAsia="Times New Roman" w:hAnsiTheme="majorHAnsi" w:cstheme="majorHAnsi"/>
          <w:kern w:val="0"/>
          <w:lang w:val="sv-SE"/>
          <w14:ligatures w14:val="none"/>
        </w:rPr>
        <w:t xml:space="preserve">: </w:t>
      </w:r>
    </w:p>
    <w:p w14:paraId="0586608A" w14:textId="55157F85" w:rsidR="0037663F" w:rsidRPr="005B3F01" w:rsidRDefault="0037663F" w:rsidP="0035255D">
      <w:pPr>
        <w:pStyle w:val="ListParagraph"/>
        <w:numPr>
          <w:ilvl w:val="0"/>
          <w:numId w:val="15"/>
        </w:numPr>
        <w:spacing w:before="100" w:beforeAutospacing="1" w:after="100" w:afterAutospacing="1" w:line="276" w:lineRule="auto"/>
        <w:rPr>
          <w:rFonts w:asciiTheme="majorHAnsi" w:eastAsia="Times New Roman" w:hAnsiTheme="majorHAnsi" w:cstheme="majorHAnsi"/>
          <w:kern w:val="0"/>
          <w:lang w:val="sv-SE"/>
          <w14:ligatures w14:val="none"/>
        </w:rPr>
      </w:pPr>
      <w:r w:rsidRPr="005B3F01">
        <w:rPr>
          <w:rFonts w:asciiTheme="majorHAnsi" w:eastAsia="Times New Roman" w:hAnsiTheme="majorHAnsi" w:cstheme="majorHAnsi"/>
          <w:b/>
          <w:bCs/>
          <w:kern w:val="0"/>
          <w:lang w:val="sv-SE"/>
          <w14:ligatures w14:val="none"/>
        </w:rPr>
        <w:t>Rritje e Transparencës Financiare:</w:t>
      </w:r>
      <w:r w:rsidRPr="005B3F01">
        <w:rPr>
          <w:rFonts w:asciiTheme="majorHAnsi" w:eastAsia="Times New Roman" w:hAnsiTheme="majorHAnsi" w:cstheme="majorHAnsi"/>
          <w:kern w:val="0"/>
          <w:lang w:val="sv-SE"/>
          <w14:ligatures w14:val="none"/>
        </w:rPr>
        <w:t xml:space="preserve"> Byrotë e kreditit do të sigurojnë një sistem të besueshëm të raportimit kreditor, duke ndihmuar institucionet financiare </w:t>
      </w:r>
      <w:r w:rsidR="00E83DBB" w:rsidRPr="005B3F01">
        <w:rPr>
          <w:rFonts w:asciiTheme="majorHAnsi" w:eastAsia="Times New Roman" w:hAnsiTheme="majorHAnsi" w:cstheme="majorHAnsi"/>
          <w:kern w:val="0"/>
          <w:lang w:val="sv-SE"/>
          <w14:ligatures w14:val="none"/>
        </w:rPr>
        <w:t>dhe subjektet e tjera t</w:t>
      </w:r>
      <w:r w:rsidR="008B11EE" w:rsidRPr="005B3F01">
        <w:rPr>
          <w:rFonts w:asciiTheme="majorHAnsi" w:eastAsia="Times New Roman" w:hAnsiTheme="majorHAnsi" w:cstheme="majorHAnsi"/>
          <w:kern w:val="0"/>
          <w:lang w:val="sv-SE"/>
          <w14:ligatures w14:val="none"/>
        </w:rPr>
        <w:t>ë</w:t>
      </w:r>
      <w:r w:rsidR="00E83DBB" w:rsidRPr="005B3F01">
        <w:rPr>
          <w:rFonts w:asciiTheme="majorHAnsi" w:eastAsia="Times New Roman" w:hAnsiTheme="majorHAnsi" w:cstheme="majorHAnsi"/>
          <w:kern w:val="0"/>
          <w:lang w:val="sv-SE"/>
          <w14:ligatures w14:val="none"/>
        </w:rPr>
        <w:t xml:space="preserve"> ligjit </w:t>
      </w:r>
      <w:r w:rsidRPr="005B3F01">
        <w:rPr>
          <w:rFonts w:asciiTheme="majorHAnsi" w:eastAsia="Times New Roman" w:hAnsiTheme="majorHAnsi" w:cstheme="majorHAnsi"/>
          <w:kern w:val="0"/>
          <w:lang w:val="sv-SE"/>
          <w14:ligatures w14:val="none"/>
        </w:rPr>
        <w:t>në vlerësimin më të saktë të rrezikut kreditor.</w:t>
      </w:r>
    </w:p>
    <w:p w14:paraId="3FDA5791" w14:textId="77777777" w:rsidR="00E83DBB" w:rsidRPr="005B3F01" w:rsidRDefault="00E83DBB" w:rsidP="0035255D">
      <w:pPr>
        <w:pStyle w:val="ListParagraph"/>
        <w:spacing w:before="100" w:beforeAutospacing="1" w:after="100" w:afterAutospacing="1" w:line="276" w:lineRule="auto"/>
        <w:rPr>
          <w:rFonts w:asciiTheme="majorHAnsi" w:eastAsia="Times New Roman" w:hAnsiTheme="majorHAnsi" w:cstheme="majorHAnsi"/>
          <w:kern w:val="0"/>
          <w:lang w:val="sv-SE"/>
          <w14:ligatures w14:val="none"/>
        </w:rPr>
      </w:pPr>
    </w:p>
    <w:p w14:paraId="2C8AC739" w14:textId="6173F9EF" w:rsidR="0081621C" w:rsidRPr="005B3F01" w:rsidRDefault="0081621C" w:rsidP="0035255D">
      <w:pPr>
        <w:pStyle w:val="ListParagraph"/>
        <w:numPr>
          <w:ilvl w:val="0"/>
          <w:numId w:val="15"/>
        </w:numPr>
        <w:spacing w:before="100" w:beforeAutospacing="1" w:after="100" w:afterAutospacing="1" w:line="276" w:lineRule="auto"/>
        <w:rPr>
          <w:rFonts w:asciiTheme="majorHAnsi" w:eastAsia="Times New Roman" w:hAnsiTheme="majorHAnsi" w:cstheme="majorHAnsi"/>
          <w:kern w:val="0"/>
          <w:lang w:val="sv-SE"/>
          <w14:ligatures w14:val="none"/>
        </w:rPr>
      </w:pPr>
      <w:r w:rsidRPr="005B3F01">
        <w:rPr>
          <w:rFonts w:asciiTheme="majorHAnsi" w:eastAsia="Times New Roman" w:hAnsiTheme="majorHAnsi" w:cstheme="majorHAnsi"/>
          <w:b/>
          <w:bCs/>
          <w:kern w:val="0"/>
          <w:lang w:val="sv-SE"/>
          <w14:ligatures w14:val="none"/>
        </w:rPr>
        <w:t>Lehtësim i Aksesit në Kreditim:</w:t>
      </w:r>
      <w:r w:rsidRPr="005B3F01">
        <w:rPr>
          <w:rFonts w:asciiTheme="majorHAnsi" w:eastAsia="Times New Roman" w:hAnsiTheme="majorHAnsi" w:cstheme="majorHAnsi"/>
          <w:kern w:val="0"/>
          <w:lang w:val="sv-SE"/>
          <w14:ligatures w14:val="none"/>
        </w:rPr>
        <w:t xml:space="preserve"> Individët dhe bizneset me histori të mirë financiare do të kenë mundësi më të mëdha për të negociuar norma interesi më të favorshme dhe për të marrë kredi në afate më të shkurtëra.</w:t>
      </w:r>
    </w:p>
    <w:p w14:paraId="39D6E0CA" w14:textId="77777777" w:rsidR="00E83DBB" w:rsidRPr="005B3F01" w:rsidRDefault="00E83DBB" w:rsidP="0035255D">
      <w:pPr>
        <w:pStyle w:val="ListParagraph"/>
        <w:spacing w:line="276" w:lineRule="auto"/>
        <w:rPr>
          <w:rFonts w:asciiTheme="majorHAnsi" w:eastAsia="Times New Roman" w:hAnsiTheme="majorHAnsi" w:cstheme="majorHAnsi"/>
          <w:b/>
          <w:bCs/>
          <w:kern w:val="0"/>
          <w:lang w:val="sv-SE"/>
          <w14:ligatures w14:val="none"/>
        </w:rPr>
      </w:pPr>
    </w:p>
    <w:p w14:paraId="79B88877" w14:textId="41FAE909" w:rsidR="0081621C" w:rsidRPr="005B3F01" w:rsidRDefault="0081621C" w:rsidP="0035255D">
      <w:pPr>
        <w:pStyle w:val="ListParagraph"/>
        <w:numPr>
          <w:ilvl w:val="0"/>
          <w:numId w:val="15"/>
        </w:numPr>
        <w:spacing w:before="100" w:beforeAutospacing="1" w:after="100" w:afterAutospacing="1" w:line="276" w:lineRule="auto"/>
        <w:rPr>
          <w:rFonts w:asciiTheme="majorHAnsi" w:eastAsia="Times New Roman" w:hAnsiTheme="majorHAnsi" w:cstheme="majorHAnsi"/>
          <w:kern w:val="0"/>
          <w:lang w:val="sv-SE"/>
          <w14:ligatures w14:val="none"/>
        </w:rPr>
      </w:pPr>
      <w:r w:rsidRPr="005B3F01">
        <w:rPr>
          <w:rFonts w:asciiTheme="majorHAnsi" w:eastAsia="Times New Roman" w:hAnsiTheme="majorHAnsi" w:cstheme="majorHAnsi"/>
          <w:b/>
          <w:bCs/>
          <w:kern w:val="0"/>
          <w:lang w:val="sv-SE"/>
          <w14:ligatures w14:val="none"/>
        </w:rPr>
        <w:t>Ndikim Pozitiv për NMVM-të:</w:t>
      </w:r>
      <w:r w:rsidRPr="005B3F01">
        <w:rPr>
          <w:rFonts w:asciiTheme="majorHAnsi" w:eastAsia="Times New Roman" w:hAnsiTheme="majorHAnsi" w:cstheme="majorHAnsi"/>
          <w:kern w:val="0"/>
          <w:lang w:val="sv-SE"/>
          <w14:ligatures w14:val="none"/>
        </w:rPr>
        <w:t xml:space="preserve"> Bizneset mikro, të vogla dhe të mesme do të kenë më shumë mundësi për të ndërtuar një histori të mirë krediti dhe për të siguruar financime pa pasur nevojë për të ofruar në çdo rast garanci reale ose personale për ripagimin e kredisë.</w:t>
      </w:r>
    </w:p>
    <w:p w14:paraId="59CA92E9" w14:textId="77777777" w:rsidR="00C57A78" w:rsidRPr="005B3F01" w:rsidRDefault="00C57A78" w:rsidP="0035255D">
      <w:pPr>
        <w:pStyle w:val="ListParagraph"/>
        <w:spacing w:line="276" w:lineRule="auto"/>
        <w:rPr>
          <w:rFonts w:asciiTheme="majorHAnsi" w:eastAsia="Times New Roman" w:hAnsiTheme="majorHAnsi" w:cstheme="majorHAnsi"/>
          <w:b/>
          <w:bCs/>
          <w:kern w:val="0"/>
          <w:lang w:val="sv-SE"/>
          <w14:ligatures w14:val="none"/>
        </w:rPr>
      </w:pPr>
    </w:p>
    <w:p w14:paraId="7DA2B795" w14:textId="40613205" w:rsidR="00C57A78" w:rsidRPr="005B3F01" w:rsidRDefault="0037663F" w:rsidP="00C47F51">
      <w:pPr>
        <w:pStyle w:val="ListParagraph"/>
        <w:numPr>
          <w:ilvl w:val="0"/>
          <w:numId w:val="15"/>
        </w:numPr>
        <w:spacing w:before="100" w:beforeAutospacing="1" w:after="100" w:afterAutospacing="1" w:line="276" w:lineRule="auto"/>
        <w:rPr>
          <w:rFonts w:asciiTheme="majorHAnsi" w:eastAsia="Times New Roman" w:hAnsiTheme="majorHAnsi" w:cstheme="majorHAnsi"/>
          <w:b/>
          <w:bCs/>
          <w:kern w:val="0"/>
          <w:lang w:val="sv-SE"/>
          <w14:ligatures w14:val="none"/>
        </w:rPr>
      </w:pPr>
      <w:r w:rsidRPr="005B3F01">
        <w:rPr>
          <w:rFonts w:asciiTheme="majorHAnsi" w:eastAsia="Times New Roman" w:hAnsiTheme="majorHAnsi" w:cstheme="majorHAnsi"/>
          <w:b/>
          <w:bCs/>
          <w:kern w:val="0"/>
          <w:lang w:val="sv-SE"/>
          <w14:ligatures w14:val="none"/>
        </w:rPr>
        <w:t>Përmirësim i Kulturës së Pagesave:</w:t>
      </w:r>
      <w:r w:rsidRPr="005B3F01">
        <w:rPr>
          <w:rFonts w:asciiTheme="majorHAnsi" w:eastAsia="Times New Roman" w:hAnsiTheme="majorHAnsi" w:cstheme="majorHAnsi"/>
          <w:kern w:val="0"/>
          <w:lang w:val="sv-SE"/>
          <w14:ligatures w14:val="none"/>
        </w:rPr>
        <w:t xml:space="preserve"> </w:t>
      </w:r>
      <w:r w:rsidR="00135241" w:rsidRPr="005B3F01">
        <w:rPr>
          <w:rFonts w:asciiTheme="majorHAnsi" w:eastAsia="Times New Roman" w:hAnsiTheme="majorHAnsi" w:cstheme="majorHAnsi"/>
          <w:kern w:val="0"/>
          <w:lang w:val="sv-SE"/>
          <w14:ligatures w14:val="none"/>
        </w:rPr>
        <w:t>Regjistrimi dhe administrimi i historikut të sjelljes paguese të subjekteve kredimarrëse do të nxisë respektimin e afateve të shlyerjes së detyrimeve financiare, duke reduktuar rastet e mospagimit dhe duke kontribuar në krijimin e një tregu më transparent, të disiplinuar dhe me nivel më të lartë përgjegjshmërie financiare.</w:t>
      </w:r>
    </w:p>
    <w:p w14:paraId="505F39B0" w14:textId="77777777" w:rsidR="00EE53B5" w:rsidRPr="005B3F01" w:rsidRDefault="00EE53B5" w:rsidP="00EE53B5">
      <w:pPr>
        <w:pStyle w:val="ListParagraph"/>
        <w:rPr>
          <w:rFonts w:asciiTheme="majorHAnsi" w:eastAsia="Times New Roman" w:hAnsiTheme="majorHAnsi" w:cstheme="majorHAnsi"/>
          <w:b/>
          <w:bCs/>
          <w:kern w:val="0"/>
          <w:lang w:val="sv-SE"/>
          <w14:ligatures w14:val="none"/>
        </w:rPr>
      </w:pPr>
    </w:p>
    <w:p w14:paraId="76C8487A" w14:textId="2D4CF612" w:rsidR="00C851A0" w:rsidRPr="005B3F01" w:rsidRDefault="000E3C5E" w:rsidP="00C851A0">
      <w:pPr>
        <w:pStyle w:val="ListParagraph"/>
        <w:rPr>
          <w:rFonts w:asciiTheme="majorHAnsi" w:eastAsia="Times New Roman" w:hAnsiTheme="majorHAnsi" w:cstheme="majorHAnsi"/>
          <w:kern w:val="0"/>
          <w:lang w:val="sv-SE"/>
          <w14:ligatures w14:val="none"/>
        </w:rPr>
      </w:pPr>
      <w:r w:rsidRPr="005B3F01">
        <w:rPr>
          <w:rFonts w:asciiTheme="majorHAnsi" w:eastAsia="Times New Roman" w:hAnsiTheme="majorHAnsi" w:cstheme="majorHAnsi"/>
          <w:b/>
          <w:bCs/>
          <w:kern w:val="0"/>
          <w:lang w:val="sv-SE"/>
          <w14:ligatures w14:val="none"/>
        </w:rPr>
        <w:lastRenderedPageBreak/>
        <w:t xml:space="preserve">Shkurtimi i </w:t>
      </w:r>
      <w:r w:rsidR="009F7CDF" w:rsidRPr="005B3F01">
        <w:rPr>
          <w:rFonts w:asciiTheme="majorHAnsi" w:eastAsia="Times New Roman" w:hAnsiTheme="majorHAnsi" w:cstheme="majorHAnsi"/>
          <w:b/>
          <w:bCs/>
          <w:kern w:val="0"/>
          <w:lang w:val="sv-SE"/>
          <w14:ligatures w14:val="none"/>
        </w:rPr>
        <w:t>K</w:t>
      </w:r>
      <w:r w:rsidRPr="005B3F01">
        <w:rPr>
          <w:rFonts w:asciiTheme="majorHAnsi" w:eastAsia="Times New Roman" w:hAnsiTheme="majorHAnsi" w:cstheme="majorHAnsi"/>
          <w:b/>
          <w:bCs/>
          <w:kern w:val="0"/>
          <w:lang w:val="sv-SE"/>
          <w14:ligatures w14:val="none"/>
        </w:rPr>
        <w:t xml:space="preserve">ohës dhe </w:t>
      </w:r>
      <w:r w:rsidR="009F7CDF" w:rsidRPr="005B3F01">
        <w:rPr>
          <w:rFonts w:asciiTheme="majorHAnsi" w:eastAsia="Times New Roman" w:hAnsiTheme="majorHAnsi" w:cstheme="majorHAnsi"/>
          <w:b/>
          <w:bCs/>
          <w:kern w:val="0"/>
          <w:lang w:val="sv-SE"/>
          <w14:ligatures w14:val="none"/>
        </w:rPr>
        <w:t>E</w:t>
      </w:r>
      <w:r w:rsidRPr="005B3F01">
        <w:rPr>
          <w:rFonts w:asciiTheme="majorHAnsi" w:eastAsia="Times New Roman" w:hAnsiTheme="majorHAnsi" w:cstheme="majorHAnsi"/>
          <w:b/>
          <w:bCs/>
          <w:kern w:val="0"/>
          <w:lang w:val="sv-SE"/>
          <w14:ligatures w14:val="none"/>
        </w:rPr>
        <w:t xml:space="preserve">ficienca e </w:t>
      </w:r>
      <w:r w:rsidR="009F7CDF" w:rsidRPr="005B3F01">
        <w:rPr>
          <w:rFonts w:asciiTheme="majorHAnsi" w:eastAsia="Times New Roman" w:hAnsiTheme="majorHAnsi" w:cstheme="majorHAnsi"/>
          <w:b/>
          <w:bCs/>
          <w:kern w:val="0"/>
          <w:lang w:val="sv-SE"/>
          <w14:ligatures w14:val="none"/>
        </w:rPr>
        <w:t>P</w:t>
      </w:r>
      <w:r w:rsidRPr="005B3F01">
        <w:rPr>
          <w:rFonts w:asciiTheme="majorHAnsi" w:eastAsia="Times New Roman" w:hAnsiTheme="majorHAnsi" w:cstheme="majorHAnsi"/>
          <w:b/>
          <w:bCs/>
          <w:kern w:val="0"/>
          <w:lang w:val="sv-SE"/>
          <w14:ligatures w14:val="none"/>
        </w:rPr>
        <w:t xml:space="preserve">rocedurave të </w:t>
      </w:r>
      <w:r w:rsidR="009F7CDF" w:rsidRPr="005B3F01">
        <w:rPr>
          <w:rFonts w:asciiTheme="majorHAnsi" w:eastAsia="Times New Roman" w:hAnsiTheme="majorHAnsi" w:cstheme="majorHAnsi"/>
          <w:b/>
          <w:bCs/>
          <w:kern w:val="0"/>
          <w:lang w:val="sv-SE"/>
          <w14:ligatures w14:val="none"/>
        </w:rPr>
        <w:t>K</w:t>
      </w:r>
      <w:r w:rsidRPr="005B3F01">
        <w:rPr>
          <w:rFonts w:asciiTheme="majorHAnsi" w:eastAsia="Times New Roman" w:hAnsiTheme="majorHAnsi" w:cstheme="majorHAnsi"/>
          <w:b/>
          <w:bCs/>
          <w:kern w:val="0"/>
          <w:lang w:val="sv-SE"/>
          <w14:ligatures w14:val="none"/>
        </w:rPr>
        <w:t>reditimit</w:t>
      </w:r>
      <w:r w:rsidRPr="005B3F01">
        <w:rPr>
          <w:rFonts w:asciiTheme="majorHAnsi" w:eastAsia="Times New Roman" w:hAnsiTheme="majorHAnsi" w:cstheme="majorHAnsi"/>
          <w:kern w:val="0"/>
          <w:lang w:val="sv-SE"/>
          <w14:ligatures w14:val="none"/>
        </w:rPr>
        <w:t>: Ndërsa vlerësimi i aftësisë kredimarrëse nga kredidhënësit shpesh kërkon disa ditë pune dhe angazhim të konsiderueshëm të burimeve njerëzore për analizimin dhe verifikimin e informacionit financiar, byrotë e kreditit mundësojnë përpunimin dhe gjenerimin e raportit kreditor të subjektit të të dhënave brenda një kohe shumë të shkurtër, duke përshpejtuar procesin e vendimmarrjes dhe miratimit të kredive.</w:t>
      </w:r>
    </w:p>
    <w:p w14:paraId="3D37118B" w14:textId="5D004A08" w:rsidR="0037663F" w:rsidRPr="005B3F01" w:rsidRDefault="0037663F" w:rsidP="009F7CDF">
      <w:pPr>
        <w:spacing w:before="100" w:beforeAutospacing="1" w:after="100" w:afterAutospacing="1" w:line="276" w:lineRule="auto"/>
        <w:rPr>
          <w:rFonts w:asciiTheme="majorHAnsi" w:eastAsia="Times New Roman" w:hAnsiTheme="majorHAnsi" w:cstheme="majorHAnsi"/>
          <w:kern w:val="0"/>
          <w:lang w:val="sv-SE"/>
          <w14:ligatures w14:val="none"/>
        </w:rPr>
      </w:pPr>
      <w:r w:rsidRPr="005B3F01">
        <w:rPr>
          <w:rFonts w:asciiTheme="majorHAnsi" w:eastAsia="Times New Roman" w:hAnsiTheme="majorHAnsi" w:cstheme="majorHAnsi"/>
          <w:kern w:val="0"/>
          <w:lang w:val="sv-SE"/>
          <w14:ligatures w14:val="none"/>
        </w:rPr>
        <w:t>Me miratimin e këtij ligji, Shqipëria do të afrohet me standardet më të mira ndërkombëtare në menaxhimin e informacionit kreditor, duke përfituar nga përvoja e vendeve të zhvilluara për një sistem financiar më efikas dhe të qëndrueshëm.</w:t>
      </w:r>
    </w:p>
    <w:p w14:paraId="75F6581F" w14:textId="77777777" w:rsidR="00A7112A" w:rsidRPr="005B3F01" w:rsidRDefault="00A7112A" w:rsidP="0035255D">
      <w:pPr>
        <w:numPr>
          <w:ilvl w:val="0"/>
          <w:numId w:val="7"/>
        </w:numPr>
        <w:spacing w:before="0" w:after="160" w:line="276" w:lineRule="auto"/>
        <w:contextualSpacing/>
        <w:jc w:val="left"/>
        <w:rPr>
          <w:rFonts w:asciiTheme="majorHAnsi" w:eastAsia="Calibri" w:hAnsiTheme="majorHAnsi" w:cstheme="majorHAnsi"/>
          <w:b/>
          <w:color w:val="000000"/>
          <w:kern w:val="0"/>
          <w:lang w:val="sq-AL"/>
          <w14:ligatures w14:val="none"/>
        </w:rPr>
      </w:pPr>
      <w:r w:rsidRPr="005B3F01">
        <w:rPr>
          <w:rFonts w:asciiTheme="majorHAnsi" w:eastAsia="Calibri" w:hAnsiTheme="majorHAnsi" w:cstheme="majorHAnsi"/>
          <w:b/>
          <w:color w:val="000000"/>
          <w:kern w:val="0"/>
          <w:lang w:val="sq-AL"/>
          <w14:ligatures w14:val="none"/>
        </w:rPr>
        <w:t>VLERËSIMI I LIGJSHMËRISË, KUSHTETUESHMËRISË DHE HARMONIZIMI ME LEGJISLACIONIN NË FUQI VENDAS E NDËRKOMBËTAR</w:t>
      </w:r>
    </w:p>
    <w:p w14:paraId="303CC9F1" w14:textId="77777777" w:rsidR="00ED3612" w:rsidRPr="005B3F01" w:rsidRDefault="00ED3612" w:rsidP="0035255D">
      <w:pPr>
        <w:tabs>
          <w:tab w:val="num" w:pos="720"/>
          <w:tab w:val="left" w:pos="1350"/>
        </w:tabs>
        <w:spacing w:before="0" w:after="0" w:line="276" w:lineRule="auto"/>
        <w:rPr>
          <w:rFonts w:asciiTheme="majorHAnsi" w:eastAsia="Calibri" w:hAnsiTheme="majorHAnsi" w:cstheme="majorHAnsi"/>
          <w:kern w:val="0"/>
          <w:lang w:val="sq-AL"/>
          <w14:ligatures w14:val="none"/>
        </w:rPr>
      </w:pPr>
    </w:p>
    <w:p w14:paraId="49FF00F5" w14:textId="77777777" w:rsidR="00752412" w:rsidRPr="005B3F01" w:rsidRDefault="00752412">
      <w:pPr>
        <w:spacing w:before="0" w:after="0" w:line="276" w:lineRule="auto"/>
        <w:rPr>
          <w:rFonts w:asciiTheme="majorHAnsi" w:hAnsiTheme="majorHAnsi" w:cstheme="majorHAnsi"/>
          <w:lang w:val="sq-AL"/>
        </w:rPr>
      </w:pPr>
      <w:r w:rsidRPr="005B3F01">
        <w:rPr>
          <w:rFonts w:asciiTheme="majorHAnsi" w:hAnsiTheme="majorHAnsi" w:cstheme="majorHAnsi"/>
          <w:lang w:val="sq-AL"/>
        </w:rPr>
        <w:t>Projektligji “Për Byrotë e Kreditit” është në përputhje me Kushtetutën e Republikës së Shqipërisë. Ai është hartuar në harmoni me legjislacionin në fuqi për mbrojtjen e të dhënave personale, si dhe me kuadrin ligjor për licencat, autorizimet dhe lejet, në masën që rregullon krijimin, licencimin, funksionimin dhe mbikëqyrjen e veprimtarisë së byrove të kreditit.</w:t>
      </w:r>
    </w:p>
    <w:p w14:paraId="31DD1B3B" w14:textId="77777777" w:rsidR="00A7112A" w:rsidRPr="005B3F01" w:rsidRDefault="00A7112A" w:rsidP="0035255D">
      <w:pPr>
        <w:tabs>
          <w:tab w:val="left" w:pos="1350"/>
        </w:tabs>
        <w:spacing w:before="0" w:after="0" w:line="276" w:lineRule="auto"/>
        <w:ind w:left="720"/>
        <w:contextualSpacing/>
        <w:rPr>
          <w:rFonts w:asciiTheme="majorHAnsi" w:eastAsia="Calibri" w:hAnsiTheme="majorHAnsi" w:cstheme="majorHAnsi"/>
          <w:kern w:val="0"/>
          <w:lang w:val="sq-AL"/>
          <w14:ligatures w14:val="none"/>
        </w:rPr>
      </w:pPr>
    </w:p>
    <w:p w14:paraId="0A6A62E8" w14:textId="77777777" w:rsidR="00A7112A" w:rsidRPr="005B3F01" w:rsidRDefault="00A7112A" w:rsidP="0035255D">
      <w:pPr>
        <w:numPr>
          <w:ilvl w:val="0"/>
          <w:numId w:val="7"/>
        </w:numPr>
        <w:spacing w:before="0" w:after="160" w:line="276" w:lineRule="auto"/>
        <w:contextualSpacing/>
        <w:jc w:val="left"/>
        <w:rPr>
          <w:rFonts w:asciiTheme="majorHAnsi" w:eastAsia="Calibri" w:hAnsiTheme="majorHAnsi" w:cstheme="majorHAnsi"/>
          <w:b/>
          <w:color w:val="000000"/>
          <w:kern w:val="0"/>
          <w:lang w:val="sq-AL"/>
          <w14:ligatures w14:val="none"/>
        </w:rPr>
      </w:pPr>
      <w:r w:rsidRPr="005B3F01">
        <w:rPr>
          <w:rFonts w:asciiTheme="majorHAnsi" w:eastAsia="Calibri" w:hAnsiTheme="majorHAnsi" w:cstheme="majorHAnsi"/>
          <w:b/>
          <w:color w:val="000000"/>
          <w:kern w:val="0"/>
          <w:lang w:val="sq-AL"/>
          <w14:ligatures w14:val="none"/>
        </w:rPr>
        <w:t>VLERËSIMI I SHKALLËS SË PËRAFRIMIT ME ACQUIS COMMUNATUAIRE (PËR PROJEKT-AKTET NORMATIVE)</w:t>
      </w:r>
    </w:p>
    <w:p w14:paraId="34AA3C3B" w14:textId="77777777" w:rsidR="006D352B" w:rsidRPr="005B3F01" w:rsidRDefault="006D352B" w:rsidP="0035255D">
      <w:pPr>
        <w:spacing w:before="0" w:after="0" w:line="276" w:lineRule="auto"/>
        <w:rPr>
          <w:rFonts w:asciiTheme="majorHAnsi" w:eastAsia="Calibri" w:hAnsiTheme="majorHAnsi" w:cstheme="majorHAnsi"/>
          <w:kern w:val="0"/>
          <w:lang w:val="sq-AL"/>
          <w14:ligatures w14:val="none"/>
        </w:rPr>
      </w:pPr>
    </w:p>
    <w:p w14:paraId="2E6101CC" w14:textId="0BC63356" w:rsidR="00A7112A" w:rsidRPr="005B3F01" w:rsidRDefault="00E47F80" w:rsidP="0035255D">
      <w:pPr>
        <w:spacing w:before="0" w:after="0" w:line="276" w:lineRule="auto"/>
        <w:rPr>
          <w:rFonts w:asciiTheme="majorHAnsi" w:eastAsia="Calibri" w:hAnsiTheme="majorHAnsi" w:cstheme="majorHAnsi"/>
          <w:kern w:val="0"/>
          <w:lang w:val="sq-AL"/>
          <w14:ligatures w14:val="none"/>
        </w:rPr>
      </w:pPr>
      <w:r w:rsidRPr="005B3F01">
        <w:rPr>
          <w:rFonts w:asciiTheme="majorHAnsi" w:eastAsia="Times New Roman" w:hAnsiTheme="majorHAnsi" w:cstheme="majorHAnsi"/>
          <w:bCs/>
          <w:kern w:val="0"/>
          <w14:ligatures w14:val="none"/>
        </w:rPr>
        <w:t>Ky projektligj nuk synon përafrim me acquis communautaire.</w:t>
      </w:r>
    </w:p>
    <w:p w14:paraId="5A8ECCB2" w14:textId="77777777" w:rsidR="00A7112A" w:rsidRPr="005B3F01" w:rsidRDefault="00A7112A" w:rsidP="0035255D">
      <w:pPr>
        <w:spacing w:before="0" w:after="0" w:line="276" w:lineRule="auto"/>
        <w:rPr>
          <w:rFonts w:asciiTheme="majorHAnsi" w:eastAsia="Calibri" w:hAnsiTheme="majorHAnsi" w:cstheme="majorHAnsi"/>
          <w:kern w:val="0"/>
          <w:lang w:val="sq-AL"/>
          <w14:ligatures w14:val="none"/>
        </w:rPr>
      </w:pPr>
    </w:p>
    <w:p w14:paraId="10596934" w14:textId="77777777" w:rsidR="00A7112A" w:rsidRPr="005B3F01" w:rsidRDefault="00A7112A" w:rsidP="0035255D">
      <w:pPr>
        <w:numPr>
          <w:ilvl w:val="0"/>
          <w:numId w:val="7"/>
        </w:numPr>
        <w:spacing w:before="0" w:after="160" w:line="276" w:lineRule="auto"/>
        <w:contextualSpacing/>
        <w:jc w:val="left"/>
        <w:rPr>
          <w:rFonts w:asciiTheme="majorHAnsi" w:eastAsia="Calibri" w:hAnsiTheme="majorHAnsi" w:cstheme="majorHAnsi"/>
          <w:b/>
          <w:color w:val="000000"/>
          <w:kern w:val="0"/>
          <w:lang w:val="sq-AL"/>
          <w14:ligatures w14:val="none"/>
        </w:rPr>
      </w:pPr>
      <w:r w:rsidRPr="005B3F01">
        <w:rPr>
          <w:rFonts w:asciiTheme="majorHAnsi" w:eastAsia="Calibri" w:hAnsiTheme="majorHAnsi" w:cstheme="majorHAnsi"/>
          <w:b/>
          <w:color w:val="000000"/>
          <w:kern w:val="0"/>
          <w:lang w:val="sq-AL"/>
          <w14:ligatures w14:val="none"/>
        </w:rPr>
        <w:t>PËRMBLEDHJE SHPJEGUESE E PËRMBAJTJES SË PROJEKT-AKTIT</w:t>
      </w:r>
    </w:p>
    <w:p w14:paraId="6FEDCFA0" w14:textId="77777777" w:rsidR="0036054D" w:rsidRPr="005B3F01" w:rsidRDefault="0036054D" w:rsidP="0035255D">
      <w:pPr>
        <w:spacing w:before="0" w:after="160" w:line="276" w:lineRule="auto"/>
        <w:ind w:left="1080"/>
        <w:contextualSpacing/>
        <w:jc w:val="left"/>
        <w:rPr>
          <w:rFonts w:asciiTheme="majorHAnsi" w:eastAsia="Calibri" w:hAnsiTheme="majorHAnsi" w:cstheme="majorHAnsi"/>
          <w:b/>
          <w:color w:val="000000"/>
          <w:kern w:val="0"/>
          <w:lang w:val="sq-AL"/>
          <w14:ligatures w14:val="none"/>
        </w:rPr>
      </w:pPr>
    </w:p>
    <w:p w14:paraId="175E6B5A" w14:textId="77777777" w:rsidR="00752412" w:rsidRPr="005B3F01" w:rsidRDefault="00752412">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1</w:t>
      </w:r>
      <w:r w:rsidRPr="005B3F01">
        <w:rPr>
          <w:rFonts w:asciiTheme="majorHAnsi" w:hAnsiTheme="majorHAnsi" w:cstheme="majorHAnsi"/>
          <w:lang w:val="sq-AL"/>
        </w:rPr>
        <w:t xml:space="preserve"> përcakton objektin e ligjit, duke rregulluar krijimin, licencimin dhe funksionimin e byrove të kreditit në Republikën e Shqipërisë, si dhe kriteret për përpunimin e të dhënave në veprimtarinë e raportimit kreditor.</w:t>
      </w:r>
    </w:p>
    <w:p w14:paraId="1C492760" w14:textId="77777777" w:rsidR="00752412" w:rsidRPr="005B3F01" w:rsidRDefault="00752412">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2</w:t>
      </w:r>
      <w:r w:rsidRPr="005B3F01">
        <w:rPr>
          <w:rFonts w:asciiTheme="majorHAnsi" w:hAnsiTheme="majorHAnsi" w:cstheme="majorHAnsi"/>
          <w:lang w:val="sq-AL"/>
        </w:rPr>
        <w:t xml:space="preserve"> përcakton qëllimin e ligjit: sigurimin e informacionit kreditor të besueshëm, garantimin e një vlerësimi të saktë e të rregullt të besueshmërisë kreditore dhe nxitjen e </w:t>
      </w:r>
      <w:proofErr w:type="spellStart"/>
      <w:r w:rsidRPr="005B3F01">
        <w:rPr>
          <w:rFonts w:asciiTheme="majorHAnsi" w:hAnsiTheme="majorHAnsi" w:cstheme="majorHAnsi"/>
          <w:lang w:val="sq-AL"/>
        </w:rPr>
        <w:t>kredidhënies</w:t>
      </w:r>
      <w:proofErr w:type="spellEnd"/>
      <w:r w:rsidRPr="005B3F01">
        <w:rPr>
          <w:rFonts w:asciiTheme="majorHAnsi" w:hAnsiTheme="majorHAnsi" w:cstheme="majorHAnsi"/>
          <w:lang w:val="sq-AL"/>
        </w:rPr>
        <w:t xml:space="preserve"> dhe </w:t>
      </w:r>
      <w:proofErr w:type="spellStart"/>
      <w:r w:rsidRPr="005B3F01">
        <w:rPr>
          <w:rFonts w:asciiTheme="majorHAnsi" w:hAnsiTheme="majorHAnsi" w:cstheme="majorHAnsi"/>
          <w:lang w:val="sq-AL"/>
        </w:rPr>
        <w:t>kredimarrjes</w:t>
      </w:r>
      <w:proofErr w:type="spellEnd"/>
      <w:r w:rsidRPr="005B3F01">
        <w:rPr>
          <w:rFonts w:asciiTheme="majorHAnsi" w:hAnsiTheme="majorHAnsi" w:cstheme="majorHAnsi"/>
          <w:lang w:val="sq-AL"/>
        </w:rPr>
        <w:t xml:space="preserve"> së ndershme e të përgjegjshme.</w:t>
      </w:r>
    </w:p>
    <w:p w14:paraId="3D7852E2" w14:textId="77777777" w:rsidR="00752412" w:rsidRPr="005B3F01" w:rsidRDefault="00752412">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3</w:t>
      </w:r>
      <w:r w:rsidRPr="005B3F01">
        <w:rPr>
          <w:rFonts w:asciiTheme="majorHAnsi" w:hAnsiTheme="majorHAnsi" w:cstheme="majorHAnsi"/>
          <w:lang w:val="sq-AL"/>
        </w:rPr>
        <w:t xml:space="preserve"> përcakton fushën e zbatimit të ligjit, duke sqaruar se ai zbatohet për mbledhjen, regjistrimin, shpërndarjen, përdorimin dhe çdo formë tjetër përpunimi të informacionit kreditor nga byrotë e kreditit në kuadër të veprimtarisë së tyre tregtare, ndërsa nuk zbatohet kur shpërndarja e informacionit kryhet në zbatim të një detyrimi që buron nga ligji ose akti nënligjor.</w:t>
      </w:r>
    </w:p>
    <w:p w14:paraId="4C108D1B" w14:textId="77777777" w:rsidR="00752412" w:rsidRPr="005B3F01" w:rsidRDefault="00752412">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4</w:t>
      </w:r>
      <w:r w:rsidRPr="005B3F01">
        <w:rPr>
          <w:rFonts w:asciiTheme="majorHAnsi" w:hAnsiTheme="majorHAnsi" w:cstheme="majorHAnsi"/>
          <w:lang w:val="sq-AL"/>
        </w:rPr>
        <w:t xml:space="preserve"> përmban përkufizimet kryesore të përdorura në ligj, si besueshmëria kreditore, të dhënat e mbyllura dhe të hapura, marrëveshja e kredisë, byroja e kreditit, historiku kreditor, renditja kreditore, raporti kreditor, informacioni kreditor, ofruesi i të dhënave, subjekti i të dhënave, përdoruesi i të dhënave, si dhe referencat ndaj kuadrit për mbrojtjen e të dhënave personale dhe ligjit për licencat, autorizimet dhe lejet.</w:t>
      </w:r>
    </w:p>
    <w:p w14:paraId="320218F4" w14:textId="77777777" w:rsidR="00752412" w:rsidRPr="005B3F01" w:rsidRDefault="00752412">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5</w:t>
      </w:r>
      <w:r w:rsidRPr="005B3F01">
        <w:rPr>
          <w:rFonts w:asciiTheme="majorHAnsi" w:hAnsiTheme="majorHAnsi" w:cstheme="majorHAnsi"/>
          <w:lang w:val="sq-AL"/>
        </w:rPr>
        <w:t xml:space="preserve"> parashikon parimet që udhëheqin veprimtarinë e raportimit kreditor, për aq sa ajo lidhet me përpunimin e të dhënave personale, duke iu referuar parimeve të ligjshmërisë, drejtësisë dhe transparencës, minimizimit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kufizimit sipas qëllimit, saktësisë, kufizimit të ruajtjes, integritetit, </w:t>
      </w:r>
      <w:proofErr w:type="spellStart"/>
      <w:r w:rsidRPr="005B3F01">
        <w:rPr>
          <w:rFonts w:asciiTheme="majorHAnsi" w:hAnsiTheme="majorHAnsi" w:cstheme="majorHAnsi"/>
          <w:lang w:val="sq-AL"/>
        </w:rPr>
        <w:t>konfidencialitetit</w:t>
      </w:r>
      <w:proofErr w:type="spellEnd"/>
      <w:r w:rsidRPr="005B3F01">
        <w:rPr>
          <w:rFonts w:asciiTheme="majorHAnsi" w:hAnsiTheme="majorHAnsi" w:cstheme="majorHAnsi"/>
          <w:lang w:val="sq-AL"/>
        </w:rPr>
        <w:t xml:space="preserve"> dhe përgjegjshmërisë.</w:t>
      </w:r>
    </w:p>
    <w:p w14:paraId="158421CF" w14:textId="77777777" w:rsidR="00752412" w:rsidRPr="005B3F01" w:rsidRDefault="00752412">
      <w:pPr>
        <w:pStyle w:val="Heading3"/>
        <w:spacing w:before="281" w:after="281" w:line="276" w:lineRule="auto"/>
        <w:divId w:val="324092632"/>
        <w:rPr>
          <w:rFonts w:cstheme="majorHAnsi"/>
          <w:lang w:val="sq-AL"/>
        </w:rPr>
      </w:pPr>
      <w:r w:rsidRPr="005B3F01">
        <w:rPr>
          <w:rFonts w:cstheme="majorHAnsi"/>
          <w:lang w:val="sq-AL"/>
        </w:rPr>
        <w:t>Mbledhja e informacionit kreditor</w:t>
      </w:r>
    </w:p>
    <w:p w14:paraId="0911BB86" w14:textId="77777777" w:rsidR="00752412" w:rsidRPr="005B3F01" w:rsidRDefault="00752412">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6</w:t>
      </w:r>
      <w:r w:rsidRPr="005B3F01">
        <w:rPr>
          <w:rFonts w:asciiTheme="majorHAnsi" w:hAnsiTheme="majorHAnsi" w:cstheme="majorHAnsi"/>
          <w:lang w:val="sq-AL"/>
        </w:rPr>
        <w:t xml:space="preserve"> përcakton burimet e informacionit kreditor që mund të përdoren nga byrotë e kreditit, duke përfshirë informacionin e transmetuar nga ofruesit e të dhënave, informacionin e marrë nga të dhënat e mbyllura apo të </w:t>
      </w:r>
      <w:r w:rsidRPr="005B3F01">
        <w:rPr>
          <w:rFonts w:asciiTheme="majorHAnsi" w:hAnsiTheme="majorHAnsi" w:cstheme="majorHAnsi"/>
          <w:lang w:val="sq-AL"/>
        </w:rPr>
        <w:lastRenderedPageBreak/>
        <w:t>hapura, si dhe informacionin e transmetuar drejtpërdrejt nga subjekti i të dhënave. Neni kërkon gjithashtu që transmetimi nga ofruesit të bazohet në një marrëveshje me shkrim që rregullon llojin e të dhënave, kushtet e transmetimit, mënyrën e transferimit, kufizimet e përdorimit dhe masat tekniko-organizative për sigurinë e të dhënave.</w:t>
      </w:r>
    </w:p>
    <w:p w14:paraId="20ED33AC" w14:textId="19A3D01D" w:rsidR="0061550F" w:rsidRPr="005B3F01" w:rsidRDefault="0061550F">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7</w:t>
      </w:r>
      <w:r w:rsidRPr="005B3F01">
        <w:rPr>
          <w:rFonts w:asciiTheme="majorHAnsi" w:hAnsiTheme="majorHAnsi" w:cstheme="majorHAnsi"/>
          <w:lang w:val="sq-AL"/>
        </w:rPr>
        <w:t xml:space="preserve"> liston kategoritë e ofruesve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si bankat, institucionet e pagesave, institucionet e parasë elektronike, ofruesit e tjerë të shërbimeve të pagesave, institucionet financiare jo-banka, shoqëritë e kursim-kreditit dhe unionet e tyre, shoqëritë e sigurimit, Banka e Shqipërisë, organet tatimore, njësitë e qeverisjes vendore dhe persona të tjerë juridikë që furnizojnë mallra ose shërbime nga të cilat lindin detyrime për persona fizikë dhe juridikë. Neni parashikon gjithashtu që, për qëllime të krijimit të bazës fillestare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të Byrosë së Kreditit, Banka e Shqipërisë, me kërkesë të Byrosë së Kreditit dhe në bazë të marrëveshjes së lidhur ndërmjet tyre, i vë në dispozicion Byrosë së Kreditit informacionin kreditor të administruar në Regjistrin e Kredive deri në datën e licencimit të Byrosë së Kreditit, në masën dhe sipas kushteve, kritereve dhe procedurave të përcaktuara në ligj dhe legjislacionin për mbrojtjen e të dhënave personale.</w:t>
      </w:r>
    </w:p>
    <w:p w14:paraId="0E642E2E" w14:textId="77777777" w:rsidR="00752412" w:rsidRPr="005B3F01" w:rsidRDefault="00752412">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8</w:t>
      </w:r>
      <w:r w:rsidRPr="005B3F01">
        <w:rPr>
          <w:rFonts w:asciiTheme="majorHAnsi" w:hAnsiTheme="majorHAnsi" w:cstheme="majorHAnsi"/>
          <w:lang w:val="sq-AL"/>
        </w:rPr>
        <w:t xml:space="preserve"> rregullon mënyrën e transmetimit të informacionit kreditor pranë byrosë së kreditit, duke parashikuar që ai të dorëzohet ose në formë të shkruar, ose në rrugë elektronike në mënyrë të sigurt.</w:t>
      </w:r>
    </w:p>
    <w:p w14:paraId="52E3E91D" w14:textId="1C9D7282" w:rsidR="0081621C" w:rsidRPr="005B3F01" w:rsidRDefault="0081621C">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9</w:t>
      </w:r>
      <w:r w:rsidRPr="005B3F01">
        <w:rPr>
          <w:rFonts w:asciiTheme="majorHAnsi" w:hAnsiTheme="majorHAnsi" w:cstheme="majorHAnsi"/>
          <w:lang w:val="sq-AL"/>
        </w:rPr>
        <w:t xml:space="preserve"> përcakton përmbajtjen e mundshme të historikut kreditor për personat fizikë. Bazuar në parimin e minimizimit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historiku kreditor mund të përfshijë, pa u kufizuar vetëm në to, kategoritë e të dhënave të përcaktuara në këtë nen dhe çdo kategori tjetër të dhënash vetëm në masën që lejohet dhe është e nevojshme sipas parashikimeve të ligjit, duke përfshirë ndër të tjera të dhënat identifikuese, të dhënat mbi kërkesat dhe marrëveshjet e kredisë, detyrimet e prapambetura, përfundimin e marrëveshjeve, kundërshtimet, renditjen kreditore, vendime gjyqësore dhe informacione të tjera të nevojshme për vlerësimin e aftësisë </w:t>
      </w:r>
      <w:proofErr w:type="spellStart"/>
      <w:r w:rsidRPr="005B3F01">
        <w:rPr>
          <w:rFonts w:asciiTheme="majorHAnsi" w:hAnsiTheme="majorHAnsi" w:cstheme="majorHAnsi"/>
          <w:lang w:val="sq-AL"/>
        </w:rPr>
        <w:t>kredimarrëse</w:t>
      </w:r>
      <w:proofErr w:type="spellEnd"/>
      <w:r w:rsidRPr="005B3F01">
        <w:rPr>
          <w:rFonts w:asciiTheme="majorHAnsi" w:hAnsiTheme="majorHAnsi" w:cstheme="majorHAnsi"/>
          <w:lang w:val="sq-AL"/>
        </w:rPr>
        <w:t>.</w:t>
      </w:r>
    </w:p>
    <w:p w14:paraId="78596DBB" w14:textId="33F2941E" w:rsidR="00154632" w:rsidRPr="005B3F01" w:rsidRDefault="00154632">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10</w:t>
      </w:r>
      <w:r w:rsidRPr="005B3F01">
        <w:rPr>
          <w:rFonts w:asciiTheme="majorHAnsi" w:hAnsiTheme="majorHAnsi" w:cstheme="majorHAnsi"/>
          <w:lang w:val="sq-AL"/>
        </w:rPr>
        <w:t xml:space="preserve"> përcakton përmbajtjen e mundshme të historikut kreditor për personat juridikë. Historiku kreditor mund të përfshijë, pa u kufizuar vetëm në to, kategoritë e të dhënave të përcaktuara në këtë nen dhe, për sa këto të dhëna lidhen me përpunimin e të dhënave personale, çdo kategori tjetër të dhënash vetëm në masën që lejohet dhe është e nevojshme sipas parashikimeve të ligjit, duke përfshirë të dhëna identifikuese të subjektit, elementët e marrëveshjeve të kredisë, gjendjen e pagesave, kundërshtimet, renditjen kreditore, procedurat e falimentimit, </w:t>
      </w:r>
      <w:proofErr w:type="spellStart"/>
      <w:r w:rsidRPr="005B3F01">
        <w:rPr>
          <w:rFonts w:asciiTheme="majorHAnsi" w:hAnsiTheme="majorHAnsi" w:cstheme="majorHAnsi"/>
          <w:lang w:val="sq-AL"/>
        </w:rPr>
        <w:t>performancën</w:t>
      </w:r>
      <w:proofErr w:type="spellEnd"/>
      <w:r w:rsidRPr="005B3F01">
        <w:rPr>
          <w:rFonts w:asciiTheme="majorHAnsi" w:hAnsiTheme="majorHAnsi" w:cstheme="majorHAnsi"/>
          <w:lang w:val="sq-AL"/>
        </w:rPr>
        <w:t xml:space="preserve"> financiare, vendimet gjyqësore dhe informacione të tjera të ligjshme të lidhura me aftësinë për përmbushjen e detyrimeve.</w:t>
      </w:r>
    </w:p>
    <w:p w14:paraId="3BEA94DE" w14:textId="04B5B316" w:rsidR="00752412" w:rsidRPr="005B3F01" w:rsidRDefault="00752412">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11</w:t>
      </w:r>
      <w:r w:rsidRPr="005B3F01">
        <w:rPr>
          <w:rFonts w:asciiTheme="majorHAnsi" w:hAnsiTheme="majorHAnsi" w:cstheme="majorHAnsi"/>
          <w:lang w:val="sq-AL"/>
        </w:rPr>
        <w:t xml:space="preserve"> sanksionon trajtimin e barabartë dhe jo</w:t>
      </w:r>
      <w:r w:rsidR="00041B2B" w:rsidRPr="005B3F01">
        <w:rPr>
          <w:rFonts w:asciiTheme="majorHAnsi" w:hAnsiTheme="majorHAnsi" w:cstheme="majorHAnsi"/>
          <w:lang w:val="sq-AL"/>
        </w:rPr>
        <w:t>-</w:t>
      </w:r>
      <w:r w:rsidRPr="005B3F01">
        <w:rPr>
          <w:rFonts w:asciiTheme="majorHAnsi" w:hAnsiTheme="majorHAnsi" w:cstheme="majorHAnsi"/>
          <w:lang w:val="sq-AL"/>
        </w:rPr>
        <w:t xml:space="preserve">diskriminues të subjekteve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duke kërkuar që mbledhja, ruajtja, përpunimi, vlerësimi dhe shpërndarja e informacionit kreditor të kryhen mbi baza objektive, proporcionale dhe në përputhje me legjislacionin për mbrojtjen e të dhënave personale.</w:t>
      </w:r>
    </w:p>
    <w:p w14:paraId="1597FBB7" w14:textId="009D15BF" w:rsidR="0081621C" w:rsidRPr="005B3F01" w:rsidRDefault="0081621C">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12</w:t>
      </w:r>
      <w:r w:rsidRPr="005B3F01">
        <w:rPr>
          <w:rFonts w:asciiTheme="majorHAnsi" w:hAnsiTheme="majorHAnsi" w:cstheme="majorHAnsi"/>
          <w:lang w:val="sq-AL"/>
        </w:rPr>
        <w:t xml:space="preserve"> rregullon mënyrën e përgatitjes së raportit kreditor, duke parashikuar që byrotë e kreditit përpunojnë të dhënat e mbledhura dhe japin informacion në formën e raporteve kreditore, të cilat përmbajnë të gjithë ose një pjesë të informacionit të historikut kreditor sipas kërkesës. </w:t>
      </w:r>
    </w:p>
    <w:p w14:paraId="4B2445D4" w14:textId="23A9AB1F" w:rsidR="0081621C" w:rsidRPr="005B3F01" w:rsidRDefault="0081621C">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13</w:t>
      </w:r>
      <w:r w:rsidRPr="005B3F01">
        <w:rPr>
          <w:rFonts w:asciiTheme="majorHAnsi" w:hAnsiTheme="majorHAnsi" w:cstheme="majorHAnsi"/>
          <w:lang w:val="sq-AL"/>
        </w:rPr>
        <w:t xml:space="preserve"> përcakton kushtet në të cilat përdoruesi i të dhënave ka të drejtë të kërkojë dhe të marrë informacion kreditor nga byroja e kreditit, duke përfshirë rastet kur ekziston një marrëveshje kredie, kur palët janë në negociata për lidhjen e saj, ose kur subjekti i të dhënave ka rënë dakord që besueshmëria e tij kreditore të merret në konsideratë. Për të transmetuar informacion kreditor si dhe për të marrë një raport kreditor, përdoruesit e të dhënave duhet të lidhin marrëveshje me byronë e kreditit.</w:t>
      </w:r>
    </w:p>
    <w:p w14:paraId="3B76ED67" w14:textId="3F169004" w:rsidR="0081621C" w:rsidRPr="005B3F01" w:rsidRDefault="0081621C">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14</w:t>
      </w:r>
      <w:r w:rsidRPr="005B3F01">
        <w:rPr>
          <w:rFonts w:asciiTheme="majorHAnsi" w:hAnsiTheme="majorHAnsi" w:cstheme="majorHAnsi"/>
          <w:lang w:val="sq-AL"/>
        </w:rPr>
        <w:t xml:space="preserve"> parashikon rastet e refuzimit të paraqitjes së raportit kreditor kur nuk plotësohen parakushtet ligjore ose kur ka rrethana të arsyeshme për të dyshuar se informacioni do të përdoret nga persona të paautorizuar ose për qëllime të ndryshme nga ato të parashikuara në ligj.</w:t>
      </w:r>
    </w:p>
    <w:p w14:paraId="55A67053" w14:textId="00CC56DB" w:rsidR="007634DA" w:rsidRPr="005B3F01" w:rsidRDefault="007634DA">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lastRenderedPageBreak/>
        <w:t>Neni 15</w:t>
      </w:r>
      <w:r w:rsidRPr="005B3F01">
        <w:rPr>
          <w:rFonts w:asciiTheme="majorHAnsi" w:hAnsiTheme="majorHAnsi" w:cstheme="majorHAnsi"/>
          <w:lang w:val="sq-AL"/>
        </w:rPr>
        <w:t xml:space="preserve"> rregullon renditjen kreditore (</w:t>
      </w:r>
      <w:proofErr w:type="spellStart"/>
      <w:r w:rsidRPr="005B3F01">
        <w:rPr>
          <w:rFonts w:asciiTheme="majorHAnsi" w:hAnsiTheme="majorHAnsi" w:cstheme="majorHAnsi"/>
          <w:lang w:val="sq-AL"/>
        </w:rPr>
        <w:t>credit</w:t>
      </w:r>
      <w:proofErr w:type="spellEnd"/>
      <w:r w:rsidRPr="005B3F01">
        <w:rPr>
          <w:rFonts w:asciiTheme="majorHAnsi" w:hAnsiTheme="majorHAnsi" w:cstheme="majorHAnsi"/>
          <w:lang w:val="sq-AL"/>
        </w:rPr>
        <w:t xml:space="preserve"> </w:t>
      </w:r>
      <w:proofErr w:type="spellStart"/>
      <w:r w:rsidRPr="005B3F01">
        <w:rPr>
          <w:rFonts w:asciiTheme="majorHAnsi" w:hAnsiTheme="majorHAnsi" w:cstheme="majorHAnsi"/>
          <w:lang w:val="sq-AL"/>
        </w:rPr>
        <w:t>scoring</w:t>
      </w:r>
      <w:proofErr w:type="spellEnd"/>
      <w:r w:rsidRPr="005B3F01">
        <w:rPr>
          <w:rFonts w:asciiTheme="majorHAnsi" w:hAnsiTheme="majorHAnsi" w:cstheme="majorHAnsi"/>
          <w:lang w:val="sq-AL"/>
        </w:rPr>
        <w:t xml:space="preserve">), duke parashikuar se ajo mund të përfshihet në raportin kreditor me kërkesë të përdoruesit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Gjithashtu sanksionohet detyrimi që modelet statistikore, matematikore ose algoritmike të përdorura për renditjen kreditore të bazohen në kritere objektive, proporcionale, të </w:t>
      </w:r>
      <w:proofErr w:type="spellStart"/>
      <w:r w:rsidRPr="005B3F01">
        <w:rPr>
          <w:rFonts w:asciiTheme="majorHAnsi" w:hAnsiTheme="majorHAnsi" w:cstheme="majorHAnsi"/>
          <w:lang w:val="sq-AL"/>
        </w:rPr>
        <w:t>verifikueshme</w:t>
      </w:r>
      <w:proofErr w:type="spellEnd"/>
      <w:r w:rsidRPr="005B3F01">
        <w:rPr>
          <w:rFonts w:asciiTheme="majorHAnsi" w:hAnsiTheme="majorHAnsi" w:cstheme="majorHAnsi"/>
          <w:lang w:val="sq-AL"/>
        </w:rPr>
        <w:t xml:space="preserve"> dhe jo diskriminuese, si dhe respektimi i standardeve teknike në përputhje me praktikat e ndjekura në vendet e Bashkimit Evropian. Gjithashtu, neni parashikon kërkesa për transparencë mbi metodologjitë dhe faktorët kryesorë të renditjes kreditore.</w:t>
      </w:r>
    </w:p>
    <w:p w14:paraId="001735D9" w14:textId="3A2CC74E"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16</w:t>
      </w:r>
      <w:r w:rsidRPr="005B3F01">
        <w:rPr>
          <w:rFonts w:asciiTheme="majorHAnsi" w:hAnsiTheme="majorHAnsi" w:cstheme="majorHAnsi"/>
          <w:lang w:val="sq-AL"/>
        </w:rPr>
        <w:t xml:space="preserve"> përcakton mënyrën e marrjes së raportit kreditor, duke parashikuar që ai mund të dorëzohet në formë të shkruar ose në rrugë elektronike në mënyrë të sigurt, brenda afatit të përcaktuar në marrëveshjen ndërmjet byrosë së kreditit dhe përdoruesit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w:t>
      </w:r>
    </w:p>
    <w:p w14:paraId="07D9F50B" w14:textId="62E6DA92"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17</w:t>
      </w:r>
      <w:r w:rsidRPr="005B3F01">
        <w:rPr>
          <w:rFonts w:asciiTheme="majorHAnsi" w:hAnsiTheme="majorHAnsi" w:cstheme="majorHAnsi"/>
          <w:lang w:val="sq-AL"/>
        </w:rPr>
        <w:t xml:space="preserve"> përcakton përgjegjësitë e ofruesve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të cilët janë përgjegjës për paraqitjen e informacionit të plotë dhe të saktë, për mosdorëzimin e të dhënave që dihen ose dyshohen si të pasakta, si dhe për kryerjen e korrigjimeve dhe përditësimeve të nevojshme. Neni rregullon gjithashtu procedurën që ndiqet kur subjekti i të dhënave kundërshton saktësinë ose plotësinë e informacionit.</w:t>
      </w:r>
    </w:p>
    <w:p w14:paraId="7BB6FCBF" w14:textId="4D5BF32C"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18</w:t>
      </w:r>
      <w:r w:rsidRPr="005B3F01">
        <w:rPr>
          <w:rFonts w:asciiTheme="majorHAnsi" w:hAnsiTheme="majorHAnsi" w:cstheme="majorHAnsi"/>
          <w:lang w:val="sq-AL"/>
        </w:rPr>
        <w:t xml:space="preserve"> përcakton përgjegjësitë e byrove të kreditit, duke i bërë ato përgjegjëse për përputhshmërinë e informacionit të përfshirë në bazën e tyre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me informacionin e dhënë nga ofruesit e të dhënave. Neni parashikon gjithashtu kufijtë e përgjegjësisë së byrosë për vërtetësinë e informacionit të marrë nga ofruesit ose nga të dhënat e hapura dhe të mbyllura, si dhe për pasojat e vendimeve të përdoruesve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w:t>
      </w:r>
    </w:p>
    <w:p w14:paraId="57BB8118" w14:textId="5B8CBA8C"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19</w:t>
      </w:r>
      <w:r w:rsidRPr="005B3F01">
        <w:rPr>
          <w:rFonts w:asciiTheme="majorHAnsi" w:hAnsiTheme="majorHAnsi" w:cstheme="majorHAnsi"/>
          <w:lang w:val="sq-AL"/>
        </w:rPr>
        <w:t xml:space="preserve"> kërkon që byrotë e kreditit të mbajnë një regjistër elektronik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gjitha kërkesave për marrjen e raporteve kreditore të depozituara nga përdoruesit e të dhënave, i cili ruhet për një periudhë pesëvjeçare.</w:t>
      </w:r>
    </w:p>
    <w:p w14:paraId="45625781" w14:textId="40DD655A"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20</w:t>
      </w:r>
      <w:r w:rsidRPr="005B3F01">
        <w:rPr>
          <w:rFonts w:asciiTheme="majorHAnsi" w:hAnsiTheme="majorHAnsi" w:cstheme="majorHAnsi"/>
          <w:lang w:val="sq-AL"/>
        </w:rPr>
        <w:t xml:space="preserve"> rregullon përpunimin e të dhënave nga palët e treta dhe kufizimin e transmetimit të informacionit kreditor, duke lejuar angazhimin e palëve të treta nga byroja e kreditit për shërbime teknike, operative ose mbështetëse, pa cenuar përgjegjësinë e vetë byrosë për ligjshmërinë dhe sigurinë e përpunimit. Neni ndalon gjithashtu transmetimin ose zbulimin e informacionit kreditor palëve të treta, përveç rasteve të lejuara shprehimisht nga ligji.</w:t>
      </w:r>
    </w:p>
    <w:p w14:paraId="77D062F0" w14:textId="0885F508"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21</w:t>
      </w:r>
      <w:r w:rsidRPr="005B3F01">
        <w:rPr>
          <w:rFonts w:asciiTheme="majorHAnsi" w:hAnsiTheme="majorHAnsi" w:cstheme="majorHAnsi"/>
          <w:lang w:val="sq-AL"/>
        </w:rPr>
        <w:t xml:space="preserve"> përcakton afatet e ruajtjes së të dhënave, duke parashikuar ruajtjen e të dhënave pozitive deri në tre vjet nga data e përfundimit të marrëdhënies së kredisë ose kontratës përkatëse dhe ruajtjen e të dhënave negative deri në pesë vjet nga data e përmbushjes ose shuarjes së detyrimit. Neni parashikon edhe rastet kur afatet e ruajtjes mund të shkurtohen dhe të dhënat të fshihen përpara përfundimit të tyre. Gjithashtu, me fshirjen e të dhënave, Byroja e kreditit njofton ofruesin përkatës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dhe, kur është rasti, vetë subjektin e të dhënave, brenda 30 (tridhjetë) ditëve nga veprimi i fshirjes.</w:t>
      </w:r>
    </w:p>
    <w:p w14:paraId="53B0BC01" w14:textId="1615E463"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22</w:t>
      </w:r>
      <w:r w:rsidRPr="005B3F01">
        <w:rPr>
          <w:rFonts w:asciiTheme="majorHAnsi" w:hAnsiTheme="majorHAnsi" w:cstheme="majorHAnsi"/>
          <w:lang w:val="sq-AL"/>
        </w:rPr>
        <w:t xml:space="preserve"> rregullon transferimin e informacionit pas përfundimit të aktivitetit të një byroje krediti, duke parashikuar që informacioni i ruajtur të fshihet në mënyrë të përhershme ose të transferohet në një byro tjetër krediti në përputhje me legjislacionin për mbrojtjen e të dhënave personale.</w:t>
      </w:r>
    </w:p>
    <w:p w14:paraId="715F80C6" w14:textId="60E77172"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23</w:t>
      </w:r>
      <w:r w:rsidRPr="005B3F01">
        <w:rPr>
          <w:rFonts w:asciiTheme="majorHAnsi" w:hAnsiTheme="majorHAnsi" w:cstheme="majorHAnsi"/>
          <w:lang w:val="sq-AL"/>
        </w:rPr>
        <w:t xml:space="preserve"> sanksionon kufizimin e qëllimit, duke kërkuar që të gjitha subjektet që kanë </w:t>
      </w:r>
      <w:proofErr w:type="spellStart"/>
      <w:r w:rsidRPr="005B3F01">
        <w:rPr>
          <w:rFonts w:asciiTheme="majorHAnsi" w:hAnsiTheme="majorHAnsi" w:cstheme="majorHAnsi"/>
          <w:lang w:val="sq-AL"/>
        </w:rPr>
        <w:t>akses</w:t>
      </w:r>
      <w:proofErr w:type="spellEnd"/>
      <w:r w:rsidRPr="005B3F01">
        <w:rPr>
          <w:rFonts w:asciiTheme="majorHAnsi" w:hAnsiTheme="majorHAnsi" w:cstheme="majorHAnsi"/>
          <w:lang w:val="sq-AL"/>
        </w:rPr>
        <w:t xml:space="preserve"> në informacionin dhe raportet kreditore t’i përdorin ato ekskluzivisht për qëllimet për të cilat janë marrë dhe në përputhje me kushtet e përcaktuara në ligj.</w:t>
      </w:r>
    </w:p>
    <w:p w14:paraId="4A5EC8D8" w14:textId="29F80732"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24</w:t>
      </w:r>
      <w:r w:rsidRPr="005B3F01">
        <w:rPr>
          <w:rFonts w:asciiTheme="majorHAnsi" w:hAnsiTheme="majorHAnsi" w:cstheme="majorHAnsi"/>
          <w:lang w:val="sq-AL"/>
        </w:rPr>
        <w:t xml:space="preserve"> përforcon mbrojtjen e të dhënave, duke kërkuar që byrotë e kreditit dhe përdoruesit e të dhënave të ndërmarrin masa administrative, teknike dhe organizative për të garantuar </w:t>
      </w:r>
      <w:proofErr w:type="spellStart"/>
      <w:r w:rsidRPr="005B3F01">
        <w:rPr>
          <w:rFonts w:asciiTheme="majorHAnsi" w:hAnsiTheme="majorHAnsi" w:cstheme="majorHAnsi"/>
          <w:lang w:val="sq-AL"/>
        </w:rPr>
        <w:t>disponueshmërinë</w:t>
      </w:r>
      <w:proofErr w:type="spellEnd"/>
      <w:r w:rsidRPr="005B3F01">
        <w:rPr>
          <w:rFonts w:asciiTheme="majorHAnsi" w:hAnsiTheme="majorHAnsi" w:cstheme="majorHAnsi"/>
          <w:lang w:val="sq-AL"/>
        </w:rPr>
        <w:t xml:space="preserve">, integritetin dhe </w:t>
      </w:r>
      <w:proofErr w:type="spellStart"/>
      <w:r w:rsidRPr="005B3F01">
        <w:rPr>
          <w:rFonts w:asciiTheme="majorHAnsi" w:hAnsiTheme="majorHAnsi" w:cstheme="majorHAnsi"/>
          <w:lang w:val="sq-AL"/>
        </w:rPr>
        <w:t>konfidencialitetin</w:t>
      </w:r>
      <w:proofErr w:type="spellEnd"/>
      <w:r w:rsidRPr="005B3F01">
        <w:rPr>
          <w:rFonts w:asciiTheme="majorHAnsi" w:hAnsiTheme="majorHAnsi" w:cstheme="majorHAnsi"/>
          <w:lang w:val="sq-AL"/>
        </w:rPr>
        <w:t xml:space="preserve"> e të dhënave, në përputhje me legjislacionin për mbrojtjen e të dhënave personale.</w:t>
      </w:r>
    </w:p>
    <w:p w14:paraId="1DA63D74" w14:textId="2B38C868"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lastRenderedPageBreak/>
        <w:t>Neni 25</w:t>
      </w:r>
      <w:r w:rsidRPr="005B3F01">
        <w:rPr>
          <w:rFonts w:asciiTheme="majorHAnsi" w:hAnsiTheme="majorHAnsi" w:cstheme="majorHAnsi"/>
          <w:lang w:val="sq-AL"/>
        </w:rPr>
        <w:t xml:space="preserve"> garanton ruajtjen e sekretit profesional dhe </w:t>
      </w:r>
      <w:proofErr w:type="spellStart"/>
      <w:r w:rsidRPr="005B3F01">
        <w:rPr>
          <w:rFonts w:asciiTheme="majorHAnsi" w:hAnsiTheme="majorHAnsi" w:cstheme="majorHAnsi"/>
          <w:lang w:val="sq-AL"/>
        </w:rPr>
        <w:t>konfidencialitetit</w:t>
      </w:r>
      <w:proofErr w:type="spellEnd"/>
      <w:r w:rsidRPr="005B3F01">
        <w:rPr>
          <w:rFonts w:asciiTheme="majorHAnsi" w:hAnsiTheme="majorHAnsi" w:cstheme="majorHAnsi"/>
          <w:lang w:val="sq-AL"/>
        </w:rPr>
        <w:t xml:space="preserve">, duke përcaktuar se informacioni kreditor që lidhet me subjektet e të dhënave është informacion </w:t>
      </w:r>
      <w:proofErr w:type="spellStart"/>
      <w:r w:rsidRPr="005B3F01">
        <w:rPr>
          <w:rFonts w:asciiTheme="majorHAnsi" w:hAnsiTheme="majorHAnsi" w:cstheme="majorHAnsi"/>
          <w:lang w:val="sq-AL"/>
        </w:rPr>
        <w:t>konfidencial</w:t>
      </w:r>
      <w:proofErr w:type="spellEnd"/>
      <w:r w:rsidRPr="005B3F01">
        <w:rPr>
          <w:rFonts w:asciiTheme="majorHAnsi" w:hAnsiTheme="majorHAnsi" w:cstheme="majorHAnsi"/>
          <w:lang w:val="sq-AL"/>
        </w:rPr>
        <w:t xml:space="preserve">. Byroja e kreditit, ofruesit e të dhënave, përdoruesit e të dhënave, si dhe çdo person që ka </w:t>
      </w:r>
      <w:proofErr w:type="spellStart"/>
      <w:r w:rsidRPr="005B3F01">
        <w:rPr>
          <w:rFonts w:asciiTheme="majorHAnsi" w:hAnsiTheme="majorHAnsi" w:cstheme="majorHAnsi"/>
          <w:lang w:val="sq-AL"/>
        </w:rPr>
        <w:t>akses</w:t>
      </w:r>
      <w:proofErr w:type="spellEnd"/>
      <w:r w:rsidRPr="005B3F01">
        <w:rPr>
          <w:rFonts w:asciiTheme="majorHAnsi" w:hAnsiTheme="majorHAnsi" w:cstheme="majorHAnsi"/>
          <w:lang w:val="sq-AL"/>
        </w:rPr>
        <w:t xml:space="preserve"> në këtë informacion në ushtrim të funksioneve të tij, janë të detyruar të ruajnë </w:t>
      </w:r>
      <w:proofErr w:type="spellStart"/>
      <w:r w:rsidRPr="005B3F01">
        <w:rPr>
          <w:rFonts w:asciiTheme="majorHAnsi" w:hAnsiTheme="majorHAnsi" w:cstheme="majorHAnsi"/>
          <w:lang w:val="sq-AL"/>
        </w:rPr>
        <w:t>konfidencialitetin</w:t>
      </w:r>
      <w:proofErr w:type="spellEnd"/>
      <w:r w:rsidRPr="005B3F01">
        <w:rPr>
          <w:rFonts w:asciiTheme="majorHAnsi" w:hAnsiTheme="majorHAnsi" w:cstheme="majorHAnsi"/>
          <w:lang w:val="sq-AL"/>
        </w:rPr>
        <w:t xml:space="preserve"> e tij dhe nuk mund ta përdorin ose zbulojnë atë, përveç rasteve të parashikuara shprehimisht nga ligji ose legjislacioni në fuqi. Gjithashtu, çdo person që gjatë ushtrimit të detyrave ose funksioneve të lidhura me veprimtarinë e raportimit të kreditit, merr dijeni për informacione ose fakte që lidhen me subjektet e të dhënave, është i detyruar të ruajë sekretin profesional dhe nuk mund t’ia zbulojë ato asnjë pale të tretë, përveç rasteve të autorizuara shprehimisht nga legjislacioni në fuqi.</w:t>
      </w:r>
    </w:p>
    <w:p w14:paraId="31CD73B7" w14:textId="3C6CFCF2" w:rsidR="00813A63" w:rsidRPr="002352C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26</w:t>
      </w:r>
      <w:r w:rsidRPr="005B3F01">
        <w:rPr>
          <w:rFonts w:asciiTheme="majorHAnsi" w:hAnsiTheme="majorHAnsi" w:cstheme="majorHAnsi"/>
          <w:lang w:val="sq-AL"/>
        </w:rPr>
        <w:t xml:space="preserve"> rregullon detyrimin për informim mbi përpunimin e informacionit kreditor, duke kërkuar që ofruesi i të dhënave të informojë subjektin e të dhënave në mënyrë të qartë, të kuptueshme dhe transparente për </w:t>
      </w:r>
      <w:r w:rsidRPr="002352C1">
        <w:rPr>
          <w:rFonts w:asciiTheme="majorHAnsi" w:hAnsiTheme="majorHAnsi" w:cstheme="majorHAnsi"/>
          <w:lang w:val="sq-AL"/>
        </w:rPr>
        <w:t xml:space="preserve">përpunimin e të dhënave të tij personale për qëllime të raportimit kreditor dhe vlerësimit të aftësisë </w:t>
      </w:r>
      <w:proofErr w:type="spellStart"/>
      <w:r w:rsidRPr="002352C1">
        <w:rPr>
          <w:rFonts w:asciiTheme="majorHAnsi" w:hAnsiTheme="majorHAnsi" w:cstheme="majorHAnsi"/>
          <w:lang w:val="sq-AL"/>
        </w:rPr>
        <w:t>paguese</w:t>
      </w:r>
      <w:proofErr w:type="spellEnd"/>
      <w:r w:rsidRPr="002352C1">
        <w:rPr>
          <w:rFonts w:asciiTheme="majorHAnsi" w:hAnsiTheme="majorHAnsi" w:cstheme="majorHAnsi"/>
          <w:lang w:val="sq-AL"/>
        </w:rPr>
        <w:t>.</w:t>
      </w:r>
    </w:p>
    <w:p w14:paraId="57D33B6E" w14:textId="3C30AE79" w:rsidR="00813A63" w:rsidRPr="005B3F01" w:rsidRDefault="00813A63">
      <w:pPr>
        <w:spacing w:before="240" w:after="240" w:line="276" w:lineRule="auto"/>
        <w:divId w:val="324092632"/>
        <w:rPr>
          <w:rFonts w:asciiTheme="majorHAnsi" w:hAnsiTheme="majorHAnsi" w:cstheme="majorHAnsi"/>
          <w:lang w:val="sq-AL"/>
        </w:rPr>
      </w:pPr>
      <w:r w:rsidRPr="002352C1">
        <w:rPr>
          <w:rFonts w:asciiTheme="majorHAnsi" w:hAnsiTheme="majorHAnsi" w:cstheme="majorHAnsi"/>
          <w:b/>
          <w:bCs/>
          <w:lang w:val="sq-AL"/>
        </w:rPr>
        <w:t>Neni 27</w:t>
      </w:r>
      <w:r w:rsidRPr="002352C1">
        <w:rPr>
          <w:rFonts w:asciiTheme="majorHAnsi" w:hAnsiTheme="majorHAnsi" w:cstheme="majorHAnsi"/>
          <w:lang w:val="sq-AL"/>
        </w:rPr>
        <w:t xml:space="preserve"> përcakton të drejtën e subjektit të </w:t>
      </w:r>
      <w:proofErr w:type="spellStart"/>
      <w:r w:rsidRPr="002352C1">
        <w:rPr>
          <w:rFonts w:asciiTheme="majorHAnsi" w:hAnsiTheme="majorHAnsi" w:cstheme="majorHAnsi"/>
          <w:lang w:val="sq-AL"/>
        </w:rPr>
        <w:t>të</w:t>
      </w:r>
      <w:proofErr w:type="spellEnd"/>
      <w:r w:rsidRPr="002352C1">
        <w:rPr>
          <w:rFonts w:asciiTheme="majorHAnsi" w:hAnsiTheme="majorHAnsi" w:cstheme="majorHAnsi"/>
          <w:lang w:val="sq-AL"/>
        </w:rPr>
        <w:t xml:space="preserve"> dhënave për t’u njohur me informacionin kreditor që përmban historiku i tij, duke i dhënë të drejtën të marrë raportin kreditor, burimet e informacionit, identitetin e ofruesve të </w:t>
      </w:r>
      <w:proofErr w:type="spellStart"/>
      <w:r w:rsidRPr="002352C1">
        <w:rPr>
          <w:rFonts w:asciiTheme="majorHAnsi" w:hAnsiTheme="majorHAnsi" w:cstheme="majorHAnsi"/>
          <w:lang w:val="sq-AL"/>
        </w:rPr>
        <w:t>të</w:t>
      </w:r>
      <w:proofErr w:type="spellEnd"/>
      <w:r w:rsidRPr="002352C1">
        <w:rPr>
          <w:rFonts w:asciiTheme="majorHAnsi" w:hAnsiTheme="majorHAnsi" w:cstheme="majorHAnsi"/>
          <w:lang w:val="sq-AL"/>
        </w:rPr>
        <w:t xml:space="preserve"> dhënave dhe identitetin e përdoruesve që kanë marrë një raport mbi të. Neni parashikon afatin pesëditor për dhënien e informacionit dhe rregullon rastet kur ai ofrohet pa pagesë.</w:t>
      </w:r>
    </w:p>
    <w:p w14:paraId="0E797ED6" w14:textId="32A23AA4"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28</w:t>
      </w:r>
      <w:r w:rsidRPr="005B3F01">
        <w:rPr>
          <w:rFonts w:asciiTheme="majorHAnsi" w:hAnsiTheme="majorHAnsi" w:cstheme="majorHAnsi"/>
          <w:lang w:val="sq-AL"/>
        </w:rPr>
        <w:t xml:space="preserve"> rregullon të drejtën për të kundërshtuar saktësinë ose plotësinë e informacionit kreditor, procedurën e ankesës me shkrim pranë byrosë së kreditit, shënimin e menjëhershëm të informacionit të kundërshtuar në dosjen përkatëse dhe verifikimin e mëtejshëm nga ofruesit e të dhënave. Neni përcakton afatet dhe pasojat e korrigjimit, fshirjes ose rivendosjes së informacionit.</w:t>
      </w:r>
    </w:p>
    <w:p w14:paraId="62FDC74C" w14:textId="14B06186"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29</w:t>
      </w:r>
      <w:r w:rsidRPr="005B3F01">
        <w:rPr>
          <w:rFonts w:asciiTheme="majorHAnsi" w:hAnsiTheme="majorHAnsi" w:cstheme="majorHAnsi"/>
          <w:lang w:val="sq-AL"/>
        </w:rPr>
        <w:t xml:space="preserve"> parashikon të drejtën për kufizimin e përpunimit të </w:t>
      </w:r>
      <w:proofErr w:type="spellStart"/>
      <w:r w:rsidRPr="005B3F01">
        <w:rPr>
          <w:rFonts w:asciiTheme="majorHAnsi" w:hAnsiTheme="majorHAnsi" w:cstheme="majorHAnsi"/>
          <w:lang w:val="sq-AL"/>
        </w:rPr>
        <w:t>të</w:t>
      </w:r>
      <w:proofErr w:type="spellEnd"/>
      <w:r w:rsidRPr="005B3F01">
        <w:rPr>
          <w:rFonts w:asciiTheme="majorHAnsi" w:hAnsiTheme="majorHAnsi" w:cstheme="majorHAnsi"/>
          <w:lang w:val="sq-AL"/>
        </w:rPr>
        <w:t xml:space="preserve"> dhënave personale, sipas legjislacionit për mbrojtjen e të dhënave personale, dhe rregullon kushtet në të cilat byroja e kreditit ose përdoruesi i të dhënave duhet të pushojë përpunimin, përveç rasteve kur ekzistojnë arsye të ligjshme bindëse ose kur përpunimi është i nevojshëm për pretendime ligjore.</w:t>
      </w:r>
    </w:p>
    <w:p w14:paraId="3D03B0ED" w14:textId="4D9A1125"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30</w:t>
      </w:r>
      <w:r w:rsidRPr="005B3F01">
        <w:rPr>
          <w:rFonts w:asciiTheme="majorHAnsi" w:hAnsiTheme="majorHAnsi" w:cstheme="majorHAnsi"/>
          <w:lang w:val="sq-AL"/>
        </w:rPr>
        <w:t xml:space="preserve"> përcakton subjektet që mund të themelojnë një byro krediti, formën juridike të shoqërisë, kufizimet mbi pjesëmarrjen dhe kontrollin nga bankat dhe institucionet financiare jo-banka, si dhe kërkesën që byrotë e kreditit të regjistrohen në Qendrën Kombëtare të Biznesit si shoqëri aksionare dhe të pajisen me licencë për të ushtruar veprimtarinë e tyre.</w:t>
      </w:r>
    </w:p>
    <w:p w14:paraId="1162E8E7" w14:textId="2A908C83"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31</w:t>
      </w:r>
      <w:r w:rsidRPr="005B3F01">
        <w:rPr>
          <w:rFonts w:asciiTheme="majorHAnsi" w:hAnsiTheme="majorHAnsi" w:cstheme="majorHAnsi"/>
          <w:lang w:val="sq-AL"/>
        </w:rPr>
        <w:t xml:space="preserve"> rregullon procedurën e licencimit të byrove të kreditit pranë Qendrës Kombëtare të Biznesit, duke përcaktuar dokumentacionin që duhet të shoqërojë kërkesën për licencim, kriteret që duhet të plotësojnë subjektet </w:t>
      </w:r>
      <w:proofErr w:type="spellStart"/>
      <w:r w:rsidRPr="005B3F01">
        <w:rPr>
          <w:rFonts w:asciiTheme="majorHAnsi" w:hAnsiTheme="majorHAnsi" w:cstheme="majorHAnsi"/>
          <w:lang w:val="sq-AL"/>
        </w:rPr>
        <w:t>aplikante</w:t>
      </w:r>
      <w:proofErr w:type="spellEnd"/>
      <w:r w:rsidRPr="005B3F01">
        <w:rPr>
          <w:rFonts w:asciiTheme="majorHAnsi" w:hAnsiTheme="majorHAnsi" w:cstheme="majorHAnsi"/>
          <w:lang w:val="sq-AL"/>
        </w:rPr>
        <w:t xml:space="preserve"> dhe mënyrën e shqyrtimit të kërkesës. Neni parashikon se licenca jepet për afat të pacaktuar.</w:t>
      </w:r>
    </w:p>
    <w:p w14:paraId="389C57D2" w14:textId="066B4FCA"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32</w:t>
      </w:r>
      <w:r w:rsidRPr="005B3F01">
        <w:rPr>
          <w:rFonts w:asciiTheme="majorHAnsi" w:hAnsiTheme="majorHAnsi" w:cstheme="majorHAnsi"/>
          <w:lang w:val="sq-AL"/>
        </w:rPr>
        <w:t xml:space="preserve"> vendos kufizime për transferimin e aksioneve dhe ndryshimin e kontrollit, duke ndaluar transferimin e paketës kontrolluese të aksioneve të një byroje krediti para kalimit të pesë viteve nga data e dhënies së licencës dhe duke lejuar ndryshimin e kontrollit vetëm në favor të subjekteve që përmbushin kërkesat e ligjit.</w:t>
      </w:r>
    </w:p>
    <w:p w14:paraId="0406D6DB" w14:textId="5DE0B5D3"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33</w:t>
      </w:r>
      <w:r w:rsidRPr="005B3F01">
        <w:rPr>
          <w:rFonts w:asciiTheme="majorHAnsi" w:hAnsiTheme="majorHAnsi" w:cstheme="majorHAnsi"/>
          <w:lang w:val="sq-AL"/>
        </w:rPr>
        <w:t xml:space="preserve"> përcakton se mbikëqyrja e veprimtarisë së byrove të kreditit, për aq sa lidhet me të dhënat personale, kryhet nga </w:t>
      </w:r>
      <w:proofErr w:type="spellStart"/>
      <w:r w:rsidRPr="005B3F01">
        <w:rPr>
          <w:rFonts w:asciiTheme="majorHAnsi" w:hAnsiTheme="majorHAnsi" w:cstheme="majorHAnsi"/>
          <w:lang w:val="sq-AL"/>
        </w:rPr>
        <w:t>Komisioneri</w:t>
      </w:r>
      <w:proofErr w:type="spellEnd"/>
      <w:r w:rsidRPr="005B3F01">
        <w:rPr>
          <w:rFonts w:asciiTheme="majorHAnsi" w:hAnsiTheme="majorHAnsi" w:cstheme="majorHAnsi"/>
          <w:lang w:val="sq-AL"/>
        </w:rPr>
        <w:t xml:space="preserve"> në zbatim të legjislacionit për mbrojtjen e të dhënave personale.</w:t>
      </w:r>
    </w:p>
    <w:p w14:paraId="7D0BF091" w14:textId="10AC3766" w:rsidR="00813A63" w:rsidRPr="005B3F01" w:rsidRDefault="00813A63">
      <w:pPr>
        <w:spacing w:before="240" w:after="240" w:line="276" w:lineRule="auto"/>
        <w:divId w:val="324092632"/>
        <w:rPr>
          <w:rFonts w:asciiTheme="majorHAnsi" w:hAnsiTheme="majorHAnsi" w:cstheme="majorHAnsi"/>
          <w:lang w:val="sq-AL"/>
        </w:rPr>
      </w:pPr>
      <w:r w:rsidRPr="005B3F01">
        <w:rPr>
          <w:rFonts w:asciiTheme="majorHAnsi" w:hAnsiTheme="majorHAnsi" w:cstheme="majorHAnsi"/>
          <w:b/>
          <w:bCs/>
          <w:lang w:val="sq-AL"/>
        </w:rPr>
        <w:t>Neni 34</w:t>
      </w:r>
      <w:r w:rsidRPr="005B3F01">
        <w:rPr>
          <w:rFonts w:asciiTheme="majorHAnsi" w:hAnsiTheme="majorHAnsi" w:cstheme="majorHAnsi"/>
          <w:lang w:val="sq-AL"/>
        </w:rPr>
        <w:t xml:space="preserve"> parashikon hyrjen në fuqi të ligjit 15 ditë pas botimit në Fletoren Zyrtare.</w:t>
      </w:r>
    </w:p>
    <w:p w14:paraId="5125AA7C" w14:textId="7486CFD5" w:rsidR="00A7112A" w:rsidRPr="005B3F01" w:rsidRDefault="00A7112A" w:rsidP="32A1E7EF">
      <w:pPr>
        <w:spacing w:before="0" w:after="160" w:line="276" w:lineRule="auto"/>
        <w:rPr>
          <w:rFonts w:asciiTheme="majorHAnsi" w:eastAsia="Calibri" w:hAnsiTheme="majorHAnsi" w:cstheme="majorHAnsi"/>
          <w:color w:val="000000"/>
          <w:kern w:val="0"/>
          <w:lang w:val="sq-AL"/>
          <w14:ligatures w14:val="none"/>
        </w:rPr>
      </w:pPr>
    </w:p>
    <w:p w14:paraId="3965F79E" w14:textId="77777777" w:rsidR="002C6CF2" w:rsidRPr="005B3F01" w:rsidRDefault="002C6CF2" w:rsidP="0035255D">
      <w:pPr>
        <w:spacing w:before="0" w:after="160" w:line="276" w:lineRule="auto"/>
        <w:ind w:left="720"/>
        <w:rPr>
          <w:rFonts w:asciiTheme="majorHAnsi" w:eastAsia="Calibri" w:hAnsiTheme="majorHAnsi" w:cstheme="majorHAnsi"/>
          <w:b/>
          <w:bCs/>
          <w:color w:val="000000"/>
          <w:kern w:val="0"/>
          <w:lang w:val="sq-AL"/>
          <w14:ligatures w14:val="none"/>
        </w:rPr>
      </w:pPr>
    </w:p>
    <w:p w14:paraId="00C20587" w14:textId="77777777" w:rsidR="00A7112A" w:rsidRPr="005B3F01" w:rsidRDefault="00A7112A" w:rsidP="0035255D">
      <w:pPr>
        <w:numPr>
          <w:ilvl w:val="0"/>
          <w:numId w:val="7"/>
        </w:numPr>
        <w:spacing w:before="0" w:after="160" w:line="276" w:lineRule="auto"/>
        <w:contextualSpacing/>
        <w:jc w:val="left"/>
        <w:rPr>
          <w:rFonts w:asciiTheme="majorHAnsi" w:eastAsia="Calibri" w:hAnsiTheme="majorHAnsi" w:cstheme="majorHAnsi"/>
          <w:b/>
          <w:kern w:val="0"/>
          <w:lang w:val="sq-AL"/>
          <w14:ligatures w14:val="none"/>
        </w:rPr>
      </w:pPr>
      <w:r w:rsidRPr="005B3F01">
        <w:rPr>
          <w:rFonts w:asciiTheme="majorHAnsi" w:eastAsia="Calibri" w:hAnsiTheme="majorHAnsi" w:cstheme="majorHAnsi"/>
          <w:b/>
          <w:kern w:val="0"/>
          <w:lang w:val="sq-AL"/>
          <w14:ligatures w14:val="none"/>
        </w:rPr>
        <w:t>INSTITUCIONET DHE ORGANET QË NGARKOHEN ME ZBATIMIN E AKTIT</w:t>
      </w:r>
    </w:p>
    <w:p w14:paraId="65248908" w14:textId="77777777" w:rsidR="00043898" w:rsidRPr="005B3F01" w:rsidRDefault="00043898" w:rsidP="0035255D">
      <w:pPr>
        <w:spacing w:before="0" w:after="160" w:line="276" w:lineRule="auto"/>
        <w:ind w:left="1080"/>
        <w:contextualSpacing/>
        <w:jc w:val="left"/>
        <w:rPr>
          <w:rFonts w:asciiTheme="majorHAnsi" w:eastAsia="Calibri" w:hAnsiTheme="majorHAnsi" w:cstheme="majorHAnsi"/>
          <w:b/>
          <w:kern w:val="0"/>
          <w:lang w:val="sq-AL"/>
          <w14:ligatures w14:val="none"/>
        </w:rPr>
      </w:pPr>
    </w:p>
    <w:p w14:paraId="0D07E268" w14:textId="19122DFF" w:rsidR="0081621C" w:rsidRPr="005B3F01" w:rsidRDefault="0081621C">
      <w:pPr>
        <w:spacing w:before="0" w:after="160" w:line="276" w:lineRule="auto"/>
        <w:rPr>
          <w:rFonts w:asciiTheme="majorHAnsi" w:hAnsiTheme="majorHAnsi" w:cstheme="majorHAnsi"/>
          <w:lang w:val="sq-AL"/>
        </w:rPr>
      </w:pPr>
      <w:r w:rsidRPr="005B3F01">
        <w:rPr>
          <w:rFonts w:asciiTheme="majorHAnsi" w:hAnsiTheme="majorHAnsi" w:cstheme="majorHAnsi"/>
          <w:color w:val="000000"/>
          <w:lang w:val="sq-AL"/>
        </w:rPr>
        <w:lastRenderedPageBreak/>
        <w:t xml:space="preserve">Institucionet dhe organet që ngarkohen me zbatimin e këtij ligji janë, sipas rastit, byrotë e kreditit, ofruesit e të dhënave, përdoruesit e të dhënave, Qendra Kombëtare e Biznesit për aspektet e licencimit, si dhe </w:t>
      </w:r>
      <w:proofErr w:type="spellStart"/>
      <w:r w:rsidRPr="005B3F01">
        <w:rPr>
          <w:rFonts w:asciiTheme="majorHAnsi" w:hAnsiTheme="majorHAnsi" w:cstheme="majorHAnsi"/>
          <w:color w:val="000000"/>
          <w:lang w:val="sq-AL"/>
        </w:rPr>
        <w:t>Komisioneri</w:t>
      </w:r>
      <w:proofErr w:type="spellEnd"/>
      <w:r w:rsidRPr="005B3F01">
        <w:rPr>
          <w:rFonts w:asciiTheme="majorHAnsi" w:hAnsiTheme="majorHAnsi" w:cstheme="majorHAnsi"/>
          <w:color w:val="000000"/>
          <w:lang w:val="sq-AL"/>
        </w:rPr>
        <w:t xml:space="preserve"> për të Drejtën e Informimit dhe Mbrojtjen e të Dhënave Personale për mbikëqyrjen e veprimtarisë që lidhet me të dhënave personale.</w:t>
      </w:r>
    </w:p>
    <w:p w14:paraId="0A27DDA9" w14:textId="77777777" w:rsidR="00043898" w:rsidRPr="005B3F01" w:rsidRDefault="00043898" w:rsidP="0035255D">
      <w:pPr>
        <w:widowControl w:val="0"/>
        <w:tabs>
          <w:tab w:val="left" w:pos="900"/>
        </w:tabs>
        <w:autoSpaceDE w:val="0"/>
        <w:autoSpaceDN w:val="0"/>
        <w:adjustRightInd w:val="0"/>
        <w:spacing w:before="0" w:after="160" w:line="276" w:lineRule="auto"/>
        <w:rPr>
          <w:rFonts w:asciiTheme="majorHAnsi" w:eastAsia="Calibri" w:hAnsiTheme="majorHAnsi" w:cstheme="majorHAnsi"/>
          <w:color w:val="000000"/>
          <w:kern w:val="0"/>
          <w:lang w:val="sq-AL"/>
          <w14:ligatures w14:val="none"/>
        </w:rPr>
      </w:pPr>
    </w:p>
    <w:p w14:paraId="4F14C69E" w14:textId="77777777" w:rsidR="00A7112A" w:rsidRPr="005B3F01" w:rsidRDefault="00A7112A" w:rsidP="0035255D">
      <w:pPr>
        <w:numPr>
          <w:ilvl w:val="0"/>
          <w:numId w:val="7"/>
        </w:numPr>
        <w:spacing w:before="0" w:after="0" w:line="276" w:lineRule="auto"/>
        <w:jc w:val="left"/>
        <w:rPr>
          <w:rFonts w:asciiTheme="majorHAnsi" w:eastAsia="Calibri" w:hAnsiTheme="majorHAnsi" w:cstheme="majorHAnsi"/>
          <w:b/>
          <w:kern w:val="0"/>
          <w:lang w:val="sq-AL"/>
          <w14:ligatures w14:val="none"/>
        </w:rPr>
      </w:pPr>
      <w:r w:rsidRPr="005B3F01">
        <w:rPr>
          <w:rFonts w:asciiTheme="majorHAnsi" w:eastAsia="Calibri" w:hAnsiTheme="majorHAnsi" w:cstheme="majorHAnsi"/>
          <w:b/>
          <w:kern w:val="0"/>
          <w:lang w:val="sq-AL"/>
          <w14:ligatures w14:val="none"/>
        </w:rPr>
        <w:t>MINISTRITË, INSTITUCIONET DHE PERSONAT DHE QË KANË KONTRIBUAR NË HARTIMIN E PROJEKT-AKTIT</w:t>
      </w:r>
    </w:p>
    <w:p w14:paraId="6B147862" w14:textId="77777777" w:rsidR="00A7112A" w:rsidRPr="005B3F01" w:rsidRDefault="00A7112A" w:rsidP="0035255D">
      <w:pPr>
        <w:spacing w:before="0" w:after="0" w:line="276" w:lineRule="auto"/>
        <w:ind w:left="1080"/>
        <w:rPr>
          <w:rFonts w:asciiTheme="majorHAnsi" w:eastAsia="Calibri" w:hAnsiTheme="majorHAnsi" w:cstheme="majorHAnsi"/>
          <w:b/>
          <w:kern w:val="0"/>
          <w:lang w:val="sq-AL"/>
          <w14:ligatures w14:val="none"/>
        </w:rPr>
      </w:pPr>
    </w:p>
    <w:p w14:paraId="509FB63D" w14:textId="77777777" w:rsidR="00752412" w:rsidRPr="005B3F01" w:rsidRDefault="00752412">
      <w:pPr>
        <w:spacing w:before="0" w:after="0" w:line="276" w:lineRule="auto"/>
        <w:rPr>
          <w:rFonts w:asciiTheme="majorHAnsi" w:hAnsiTheme="majorHAnsi" w:cstheme="majorHAnsi"/>
          <w:lang w:val="sq-AL"/>
        </w:rPr>
      </w:pPr>
      <w:r w:rsidRPr="005B3F01">
        <w:rPr>
          <w:rFonts w:asciiTheme="majorHAnsi" w:hAnsiTheme="majorHAnsi" w:cstheme="majorHAnsi"/>
          <w:lang w:val="sq-AL"/>
        </w:rPr>
        <w:t xml:space="preserve">Në hartimin e projektligjit “Për Byrotë e Kreditit” kanë kontribuar institucionet publike dhe palët e interesuara që veprojnë në fushën e kreditimit, raportimit kreditor dhe mbrojtjes së të dhënave personale, përfshirë Bankën e Shqipërisë, </w:t>
      </w:r>
      <w:proofErr w:type="spellStart"/>
      <w:r w:rsidRPr="005B3F01">
        <w:rPr>
          <w:rFonts w:asciiTheme="majorHAnsi" w:hAnsiTheme="majorHAnsi" w:cstheme="majorHAnsi"/>
          <w:lang w:val="sq-AL"/>
        </w:rPr>
        <w:t>Komisionerin</w:t>
      </w:r>
      <w:proofErr w:type="spellEnd"/>
      <w:r w:rsidRPr="005B3F01">
        <w:rPr>
          <w:rFonts w:asciiTheme="majorHAnsi" w:hAnsiTheme="majorHAnsi" w:cstheme="majorHAnsi"/>
          <w:lang w:val="sq-AL"/>
        </w:rPr>
        <w:t xml:space="preserve"> për të Drejtën e Informimit dhe Mbrojtjen e të Dhënave Personale, si dhe përfaqësues të sektorit financiar.</w:t>
      </w:r>
    </w:p>
    <w:p w14:paraId="590F7F73" w14:textId="77777777" w:rsidR="00A7112A" w:rsidRPr="005B3F01" w:rsidRDefault="00A7112A" w:rsidP="0035255D">
      <w:pPr>
        <w:spacing w:before="0" w:after="0" w:line="276" w:lineRule="auto"/>
        <w:rPr>
          <w:rFonts w:asciiTheme="majorHAnsi" w:eastAsia="Calibri" w:hAnsiTheme="majorHAnsi" w:cstheme="majorHAnsi"/>
          <w:kern w:val="0"/>
          <w:lang w:val="sq-AL"/>
          <w14:ligatures w14:val="none"/>
        </w:rPr>
      </w:pPr>
    </w:p>
    <w:p w14:paraId="42993EE9" w14:textId="77777777" w:rsidR="00A7112A" w:rsidRPr="005B3F01" w:rsidRDefault="00A7112A" w:rsidP="0035255D">
      <w:pPr>
        <w:numPr>
          <w:ilvl w:val="0"/>
          <w:numId w:val="7"/>
        </w:numPr>
        <w:spacing w:before="0" w:after="0" w:line="276" w:lineRule="auto"/>
        <w:jc w:val="left"/>
        <w:rPr>
          <w:rFonts w:asciiTheme="majorHAnsi" w:eastAsia="Calibri" w:hAnsiTheme="majorHAnsi" w:cstheme="majorHAnsi"/>
          <w:b/>
          <w:kern w:val="0"/>
          <w:lang w:val="sq-AL"/>
          <w14:ligatures w14:val="none"/>
        </w:rPr>
      </w:pPr>
      <w:r w:rsidRPr="005B3F01">
        <w:rPr>
          <w:rFonts w:asciiTheme="majorHAnsi" w:eastAsia="Calibri" w:hAnsiTheme="majorHAnsi" w:cstheme="majorHAnsi"/>
          <w:b/>
          <w:kern w:val="0"/>
          <w:lang w:val="sq-AL"/>
          <w14:ligatures w14:val="none"/>
        </w:rPr>
        <w:t>RAPORTI I VLERËSIMIT TË TË ARDHURAVE DHE SHPENZIMEVE BUXHETORE</w:t>
      </w:r>
    </w:p>
    <w:p w14:paraId="0C0F4C36" w14:textId="77777777" w:rsidR="00A7112A" w:rsidRPr="005B3F01" w:rsidRDefault="00A7112A" w:rsidP="0035255D">
      <w:pPr>
        <w:spacing w:before="0" w:after="0" w:line="276" w:lineRule="auto"/>
        <w:ind w:left="360"/>
        <w:jc w:val="left"/>
        <w:rPr>
          <w:rFonts w:asciiTheme="majorHAnsi" w:eastAsia="Calibri" w:hAnsiTheme="majorHAnsi" w:cstheme="majorHAnsi"/>
          <w:kern w:val="0"/>
          <w:lang w:val="sq-AL"/>
          <w14:ligatures w14:val="none"/>
        </w:rPr>
      </w:pPr>
    </w:p>
    <w:p w14:paraId="41EB65BF" w14:textId="14E5E5AF" w:rsidR="00A7112A" w:rsidRPr="005B3F01" w:rsidRDefault="00A7112A" w:rsidP="0035255D">
      <w:pPr>
        <w:spacing w:before="0" w:after="0" w:line="276" w:lineRule="auto"/>
        <w:rPr>
          <w:rFonts w:asciiTheme="majorHAnsi" w:eastAsia="Calibri" w:hAnsiTheme="majorHAnsi" w:cstheme="majorHAnsi"/>
          <w:kern w:val="0"/>
          <w:lang w:val="sq-AL"/>
          <w14:ligatures w14:val="none"/>
        </w:rPr>
      </w:pPr>
      <w:r w:rsidRPr="005B3F01">
        <w:rPr>
          <w:rFonts w:asciiTheme="majorHAnsi" w:eastAsia="Calibri" w:hAnsiTheme="majorHAnsi" w:cstheme="majorHAnsi"/>
          <w:kern w:val="0"/>
          <w:lang w:val="sq-AL"/>
          <w14:ligatures w14:val="none"/>
        </w:rPr>
        <w:t>Projektligji nuk ka implikime financiare shtesë në buxhetit e shtetit.</w:t>
      </w:r>
    </w:p>
    <w:sectPr w:rsidR="00A7112A" w:rsidRPr="005B3F01" w:rsidSect="00EA5066">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F39BA" w14:textId="77777777" w:rsidR="001604F0" w:rsidRDefault="001604F0" w:rsidP="000930AC">
      <w:pPr>
        <w:spacing w:before="0" w:after="0"/>
      </w:pPr>
      <w:r>
        <w:separator/>
      </w:r>
    </w:p>
  </w:endnote>
  <w:endnote w:type="continuationSeparator" w:id="0">
    <w:p w14:paraId="3E147D7F" w14:textId="77777777" w:rsidR="001604F0" w:rsidRDefault="001604F0" w:rsidP="000930A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51C6" w14:textId="35A14EC4" w:rsidR="0020059D" w:rsidRDefault="002005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803423"/>
      <w:docPartObj>
        <w:docPartGallery w:val="Page Numbers (Bottom of Page)"/>
        <w:docPartUnique/>
      </w:docPartObj>
    </w:sdtPr>
    <w:sdtEndPr>
      <w:rPr>
        <w:noProof/>
      </w:rPr>
    </w:sdtEndPr>
    <w:sdtContent>
      <w:p w14:paraId="25CF48D4" w14:textId="7C3D99D7" w:rsidR="00315920" w:rsidRDefault="003159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3C964D" w14:textId="4A2B14CF" w:rsidR="0020059D" w:rsidRDefault="002005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9A72C" w14:textId="70EBC18E" w:rsidR="0020059D" w:rsidRDefault="00200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187AF" w14:textId="77777777" w:rsidR="001604F0" w:rsidRDefault="001604F0" w:rsidP="000930AC">
      <w:pPr>
        <w:spacing w:before="0" w:after="0"/>
      </w:pPr>
      <w:r>
        <w:separator/>
      </w:r>
    </w:p>
  </w:footnote>
  <w:footnote w:type="continuationSeparator" w:id="0">
    <w:p w14:paraId="09FD8238" w14:textId="77777777" w:rsidR="001604F0" w:rsidRDefault="001604F0" w:rsidP="000930AC">
      <w:pPr>
        <w:spacing w:before="0" w:after="0"/>
      </w:pPr>
      <w:r>
        <w:continuationSeparator/>
      </w:r>
    </w:p>
  </w:footnote>
  <w:footnote w:id="1">
    <w:p w14:paraId="26F0793A" w14:textId="77777777" w:rsidR="00F27CBB" w:rsidRPr="00AE7B0D" w:rsidRDefault="00F27CBB">
      <w:pPr>
        <w:pStyle w:val="FootnoteText"/>
        <w:rPr>
          <w:lang w:val="en-US"/>
        </w:rPr>
      </w:pPr>
      <w:r>
        <w:rPr>
          <w:rStyle w:val="FootnoteReference"/>
        </w:rPr>
        <w:footnoteRef/>
      </w:r>
      <w:r>
        <w:t xml:space="preserve"> </w:t>
      </w:r>
      <w:hyperlink r:id="rId1" w:history="1">
        <w:r w:rsidRPr="00AE7B0D">
          <w:rPr>
            <w:rStyle w:val="Hyperlink"/>
          </w:rPr>
          <w:t>Albania, MSMEs Finance for Growth Assessment</w:t>
        </w:r>
      </w:hyperlink>
      <w:r>
        <w:t>, 2018, World Bank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EBE7" w14:textId="77777777" w:rsidR="00315920" w:rsidRDefault="003159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9BFF" w14:textId="77777777" w:rsidR="00315920" w:rsidRDefault="003159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4914" w14:textId="77777777" w:rsidR="00315920" w:rsidRDefault="00315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E74"/>
    <w:multiLevelType w:val="hybridMultilevel"/>
    <w:tmpl w:val="66EAA1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9DC3DB4"/>
    <w:multiLevelType w:val="hybridMultilevel"/>
    <w:tmpl w:val="98741772"/>
    <w:lvl w:ilvl="0" w:tplc="1D661F20">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A75ED"/>
    <w:multiLevelType w:val="hybridMultilevel"/>
    <w:tmpl w:val="BC662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BE94E08"/>
    <w:multiLevelType w:val="hybridMultilevel"/>
    <w:tmpl w:val="A6301386"/>
    <w:lvl w:ilvl="0" w:tplc="41827B2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CA02180"/>
    <w:multiLevelType w:val="multilevel"/>
    <w:tmpl w:val="CBDA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664518"/>
    <w:multiLevelType w:val="multilevel"/>
    <w:tmpl w:val="D046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6C334F"/>
    <w:multiLevelType w:val="hybridMultilevel"/>
    <w:tmpl w:val="B324E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0C91817"/>
    <w:multiLevelType w:val="hybridMultilevel"/>
    <w:tmpl w:val="1DCEC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5F20DF6"/>
    <w:multiLevelType w:val="hybridMultilevel"/>
    <w:tmpl w:val="78D4D2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B3577FF"/>
    <w:multiLevelType w:val="multilevel"/>
    <w:tmpl w:val="7EE6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F11641"/>
    <w:multiLevelType w:val="hybridMultilevel"/>
    <w:tmpl w:val="DC3A23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4CF1115C"/>
    <w:multiLevelType w:val="multilevel"/>
    <w:tmpl w:val="305E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955C3"/>
    <w:multiLevelType w:val="multilevel"/>
    <w:tmpl w:val="E5BC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8063BE"/>
    <w:multiLevelType w:val="multilevel"/>
    <w:tmpl w:val="75A4A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C5189D"/>
    <w:multiLevelType w:val="multilevel"/>
    <w:tmpl w:val="E11E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242809">
    <w:abstractNumId w:val="4"/>
  </w:num>
  <w:num w:numId="2" w16cid:durableId="374155946">
    <w:abstractNumId w:val="9"/>
  </w:num>
  <w:num w:numId="3" w16cid:durableId="1921482304">
    <w:abstractNumId w:val="14"/>
  </w:num>
  <w:num w:numId="4" w16cid:durableId="376053723">
    <w:abstractNumId w:val="5"/>
  </w:num>
  <w:num w:numId="5" w16cid:durableId="1784350291">
    <w:abstractNumId w:val="12"/>
  </w:num>
  <w:num w:numId="6" w16cid:durableId="1943106823">
    <w:abstractNumId w:val="11"/>
  </w:num>
  <w:num w:numId="7" w16cid:durableId="13320243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3075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851278">
    <w:abstractNumId w:val="6"/>
  </w:num>
  <w:num w:numId="10" w16cid:durableId="456411179">
    <w:abstractNumId w:val="0"/>
  </w:num>
  <w:num w:numId="11" w16cid:durableId="1169830578">
    <w:abstractNumId w:val="10"/>
  </w:num>
  <w:num w:numId="12" w16cid:durableId="278150174">
    <w:abstractNumId w:val="2"/>
  </w:num>
  <w:num w:numId="13" w16cid:durableId="16986510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1656040">
    <w:abstractNumId w:val="13"/>
  </w:num>
  <w:num w:numId="15" w16cid:durableId="358554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0F"/>
    <w:rsid w:val="000179F8"/>
    <w:rsid w:val="000217E6"/>
    <w:rsid w:val="000277D5"/>
    <w:rsid w:val="00027C2C"/>
    <w:rsid w:val="00027D4D"/>
    <w:rsid w:val="000400AA"/>
    <w:rsid w:val="0004111A"/>
    <w:rsid w:val="00041B11"/>
    <w:rsid w:val="00041B2B"/>
    <w:rsid w:val="00043898"/>
    <w:rsid w:val="00046067"/>
    <w:rsid w:val="00046A25"/>
    <w:rsid w:val="00052564"/>
    <w:rsid w:val="00053D28"/>
    <w:rsid w:val="0005740A"/>
    <w:rsid w:val="000614E7"/>
    <w:rsid w:val="000703F4"/>
    <w:rsid w:val="00076F69"/>
    <w:rsid w:val="00077ACB"/>
    <w:rsid w:val="00087276"/>
    <w:rsid w:val="000904A1"/>
    <w:rsid w:val="00090A8B"/>
    <w:rsid w:val="000930AC"/>
    <w:rsid w:val="00094800"/>
    <w:rsid w:val="000A1B6F"/>
    <w:rsid w:val="000A26EF"/>
    <w:rsid w:val="000A3F32"/>
    <w:rsid w:val="000C0FD2"/>
    <w:rsid w:val="000C3FAF"/>
    <w:rsid w:val="000D551E"/>
    <w:rsid w:val="000E171D"/>
    <w:rsid w:val="000E3C5E"/>
    <w:rsid w:val="000E5519"/>
    <w:rsid w:val="000E7F8C"/>
    <w:rsid w:val="000F109E"/>
    <w:rsid w:val="000F7F18"/>
    <w:rsid w:val="0011050A"/>
    <w:rsid w:val="001154F3"/>
    <w:rsid w:val="00117BC7"/>
    <w:rsid w:val="001252F9"/>
    <w:rsid w:val="00125E83"/>
    <w:rsid w:val="0013175F"/>
    <w:rsid w:val="00134158"/>
    <w:rsid w:val="00135241"/>
    <w:rsid w:val="00154632"/>
    <w:rsid w:val="001604F0"/>
    <w:rsid w:val="00173D33"/>
    <w:rsid w:val="00181050"/>
    <w:rsid w:val="00185BC5"/>
    <w:rsid w:val="00187315"/>
    <w:rsid w:val="00187C6A"/>
    <w:rsid w:val="001902DB"/>
    <w:rsid w:val="00191F8B"/>
    <w:rsid w:val="00193151"/>
    <w:rsid w:val="0019396A"/>
    <w:rsid w:val="00197779"/>
    <w:rsid w:val="001A6F44"/>
    <w:rsid w:val="001B6A34"/>
    <w:rsid w:val="001C03DE"/>
    <w:rsid w:val="001C1548"/>
    <w:rsid w:val="001C6B73"/>
    <w:rsid w:val="001D068D"/>
    <w:rsid w:val="001D1378"/>
    <w:rsid w:val="001D4081"/>
    <w:rsid w:val="001E21D8"/>
    <w:rsid w:val="001F1491"/>
    <w:rsid w:val="001F3CA3"/>
    <w:rsid w:val="0020059D"/>
    <w:rsid w:val="00202F44"/>
    <w:rsid w:val="0020359D"/>
    <w:rsid w:val="00204CCA"/>
    <w:rsid w:val="002073F2"/>
    <w:rsid w:val="002119EF"/>
    <w:rsid w:val="0021579B"/>
    <w:rsid w:val="00215BE9"/>
    <w:rsid w:val="00222D55"/>
    <w:rsid w:val="002252C6"/>
    <w:rsid w:val="00230CEE"/>
    <w:rsid w:val="00230D3D"/>
    <w:rsid w:val="00234304"/>
    <w:rsid w:val="002352C1"/>
    <w:rsid w:val="00235EA0"/>
    <w:rsid w:val="00240B7E"/>
    <w:rsid w:val="0024132C"/>
    <w:rsid w:val="00247012"/>
    <w:rsid w:val="002607EE"/>
    <w:rsid w:val="00272099"/>
    <w:rsid w:val="002733B4"/>
    <w:rsid w:val="002760E6"/>
    <w:rsid w:val="002776B1"/>
    <w:rsid w:val="00280B12"/>
    <w:rsid w:val="00281E78"/>
    <w:rsid w:val="0028722A"/>
    <w:rsid w:val="002A3F4D"/>
    <w:rsid w:val="002A4533"/>
    <w:rsid w:val="002B24B7"/>
    <w:rsid w:val="002B46D3"/>
    <w:rsid w:val="002C6CF2"/>
    <w:rsid w:val="002D0E13"/>
    <w:rsid w:val="002D4837"/>
    <w:rsid w:val="002E7E86"/>
    <w:rsid w:val="002F3B1C"/>
    <w:rsid w:val="003130DA"/>
    <w:rsid w:val="00313151"/>
    <w:rsid w:val="00315205"/>
    <w:rsid w:val="00315920"/>
    <w:rsid w:val="0031654F"/>
    <w:rsid w:val="00323B16"/>
    <w:rsid w:val="003267B0"/>
    <w:rsid w:val="00327EC5"/>
    <w:rsid w:val="003320E4"/>
    <w:rsid w:val="003331EB"/>
    <w:rsid w:val="00333A42"/>
    <w:rsid w:val="003357B2"/>
    <w:rsid w:val="00343E14"/>
    <w:rsid w:val="0035255D"/>
    <w:rsid w:val="0036054D"/>
    <w:rsid w:val="003621E9"/>
    <w:rsid w:val="003676E1"/>
    <w:rsid w:val="00370386"/>
    <w:rsid w:val="0037102A"/>
    <w:rsid w:val="0037663F"/>
    <w:rsid w:val="00377356"/>
    <w:rsid w:val="003963CF"/>
    <w:rsid w:val="003C0620"/>
    <w:rsid w:val="003C2D49"/>
    <w:rsid w:val="003D3A29"/>
    <w:rsid w:val="003D41A7"/>
    <w:rsid w:val="003D489A"/>
    <w:rsid w:val="003D6E27"/>
    <w:rsid w:val="003D7F9E"/>
    <w:rsid w:val="003E5B27"/>
    <w:rsid w:val="003F09C7"/>
    <w:rsid w:val="003F41F4"/>
    <w:rsid w:val="00401311"/>
    <w:rsid w:val="004022F5"/>
    <w:rsid w:val="004039EE"/>
    <w:rsid w:val="00405F8A"/>
    <w:rsid w:val="00420EB0"/>
    <w:rsid w:val="004262C0"/>
    <w:rsid w:val="00432DA4"/>
    <w:rsid w:val="00435046"/>
    <w:rsid w:val="00441037"/>
    <w:rsid w:val="00441A7A"/>
    <w:rsid w:val="004466E8"/>
    <w:rsid w:val="00446FC4"/>
    <w:rsid w:val="00454EF7"/>
    <w:rsid w:val="00480A5F"/>
    <w:rsid w:val="00480E4B"/>
    <w:rsid w:val="00481897"/>
    <w:rsid w:val="00483FF9"/>
    <w:rsid w:val="00486B52"/>
    <w:rsid w:val="00490153"/>
    <w:rsid w:val="004902A1"/>
    <w:rsid w:val="004979BF"/>
    <w:rsid w:val="00497C43"/>
    <w:rsid w:val="004A452C"/>
    <w:rsid w:val="004C3F97"/>
    <w:rsid w:val="004E31D5"/>
    <w:rsid w:val="004E421B"/>
    <w:rsid w:val="004E42FA"/>
    <w:rsid w:val="004E7EF6"/>
    <w:rsid w:val="004F5A89"/>
    <w:rsid w:val="00502533"/>
    <w:rsid w:val="005036EF"/>
    <w:rsid w:val="00517588"/>
    <w:rsid w:val="0052307F"/>
    <w:rsid w:val="0052531A"/>
    <w:rsid w:val="00535DA9"/>
    <w:rsid w:val="00536627"/>
    <w:rsid w:val="00546847"/>
    <w:rsid w:val="00551A2A"/>
    <w:rsid w:val="0055264E"/>
    <w:rsid w:val="00560AC6"/>
    <w:rsid w:val="00565A77"/>
    <w:rsid w:val="00573713"/>
    <w:rsid w:val="0057739A"/>
    <w:rsid w:val="005856B5"/>
    <w:rsid w:val="00595F74"/>
    <w:rsid w:val="0059656C"/>
    <w:rsid w:val="0059797F"/>
    <w:rsid w:val="005A32BA"/>
    <w:rsid w:val="005B32CB"/>
    <w:rsid w:val="005B3F01"/>
    <w:rsid w:val="005B68E9"/>
    <w:rsid w:val="005C3F28"/>
    <w:rsid w:val="005D1095"/>
    <w:rsid w:val="005E7BFE"/>
    <w:rsid w:val="005F119A"/>
    <w:rsid w:val="005F1EC0"/>
    <w:rsid w:val="005F4C11"/>
    <w:rsid w:val="005F7532"/>
    <w:rsid w:val="0060699C"/>
    <w:rsid w:val="006105E9"/>
    <w:rsid w:val="0061550F"/>
    <w:rsid w:val="00616922"/>
    <w:rsid w:val="006357A7"/>
    <w:rsid w:val="0064053C"/>
    <w:rsid w:val="006405DF"/>
    <w:rsid w:val="006445CB"/>
    <w:rsid w:val="00647684"/>
    <w:rsid w:val="00653293"/>
    <w:rsid w:val="0066222F"/>
    <w:rsid w:val="00664FFB"/>
    <w:rsid w:val="0067103B"/>
    <w:rsid w:val="00671F1C"/>
    <w:rsid w:val="00673195"/>
    <w:rsid w:val="006750D5"/>
    <w:rsid w:val="0068228A"/>
    <w:rsid w:val="006829C2"/>
    <w:rsid w:val="0069085F"/>
    <w:rsid w:val="00691537"/>
    <w:rsid w:val="00693862"/>
    <w:rsid w:val="006A0972"/>
    <w:rsid w:val="006A13B2"/>
    <w:rsid w:val="006A3384"/>
    <w:rsid w:val="006B75D4"/>
    <w:rsid w:val="006C0E58"/>
    <w:rsid w:val="006C1524"/>
    <w:rsid w:val="006C191F"/>
    <w:rsid w:val="006C7348"/>
    <w:rsid w:val="006D352B"/>
    <w:rsid w:val="006D3EA0"/>
    <w:rsid w:val="006D45E2"/>
    <w:rsid w:val="006E0491"/>
    <w:rsid w:val="006E6719"/>
    <w:rsid w:val="006E701A"/>
    <w:rsid w:val="006F0E2E"/>
    <w:rsid w:val="006F17A1"/>
    <w:rsid w:val="006F1E8A"/>
    <w:rsid w:val="00713769"/>
    <w:rsid w:val="00726D63"/>
    <w:rsid w:val="00731B64"/>
    <w:rsid w:val="007379B4"/>
    <w:rsid w:val="00745053"/>
    <w:rsid w:val="00746DC7"/>
    <w:rsid w:val="00747A9E"/>
    <w:rsid w:val="00747D92"/>
    <w:rsid w:val="00750D3A"/>
    <w:rsid w:val="00752045"/>
    <w:rsid w:val="00752412"/>
    <w:rsid w:val="007634DA"/>
    <w:rsid w:val="0077535A"/>
    <w:rsid w:val="00780CC2"/>
    <w:rsid w:val="0078591D"/>
    <w:rsid w:val="007865E5"/>
    <w:rsid w:val="00786C3C"/>
    <w:rsid w:val="00794683"/>
    <w:rsid w:val="007954A4"/>
    <w:rsid w:val="007968EF"/>
    <w:rsid w:val="007A51A9"/>
    <w:rsid w:val="007A6759"/>
    <w:rsid w:val="007A7C15"/>
    <w:rsid w:val="007B3ACA"/>
    <w:rsid w:val="007C21BF"/>
    <w:rsid w:val="007C4E27"/>
    <w:rsid w:val="007D2168"/>
    <w:rsid w:val="007D67D1"/>
    <w:rsid w:val="007E2E5D"/>
    <w:rsid w:val="007E3318"/>
    <w:rsid w:val="007E75CF"/>
    <w:rsid w:val="007F1ADA"/>
    <w:rsid w:val="007F22C9"/>
    <w:rsid w:val="007F34E8"/>
    <w:rsid w:val="007F748A"/>
    <w:rsid w:val="0080090A"/>
    <w:rsid w:val="00802BB2"/>
    <w:rsid w:val="00813140"/>
    <w:rsid w:val="00813A63"/>
    <w:rsid w:val="00815F4F"/>
    <w:rsid w:val="0081621C"/>
    <w:rsid w:val="00821BB9"/>
    <w:rsid w:val="008220AB"/>
    <w:rsid w:val="008315D5"/>
    <w:rsid w:val="008414B8"/>
    <w:rsid w:val="008423A1"/>
    <w:rsid w:val="00845FDF"/>
    <w:rsid w:val="00863D4E"/>
    <w:rsid w:val="00865CF2"/>
    <w:rsid w:val="008711EA"/>
    <w:rsid w:val="00880410"/>
    <w:rsid w:val="008821FB"/>
    <w:rsid w:val="008927AD"/>
    <w:rsid w:val="0089617F"/>
    <w:rsid w:val="0089751C"/>
    <w:rsid w:val="008A26B4"/>
    <w:rsid w:val="008A63C2"/>
    <w:rsid w:val="008B0B97"/>
    <w:rsid w:val="008B11EE"/>
    <w:rsid w:val="008B5FCB"/>
    <w:rsid w:val="008C4AA9"/>
    <w:rsid w:val="008D0191"/>
    <w:rsid w:val="008E43D1"/>
    <w:rsid w:val="008F527C"/>
    <w:rsid w:val="00901746"/>
    <w:rsid w:val="009139A8"/>
    <w:rsid w:val="00913C90"/>
    <w:rsid w:val="00916C05"/>
    <w:rsid w:val="009206BB"/>
    <w:rsid w:val="00927A69"/>
    <w:rsid w:val="00931D44"/>
    <w:rsid w:val="00932002"/>
    <w:rsid w:val="00932F80"/>
    <w:rsid w:val="0093372F"/>
    <w:rsid w:val="009337F2"/>
    <w:rsid w:val="00943064"/>
    <w:rsid w:val="00945405"/>
    <w:rsid w:val="0095396A"/>
    <w:rsid w:val="00954BDC"/>
    <w:rsid w:val="00954DC3"/>
    <w:rsid w:val="009570DE"/>
    <w:rsid w:val="00964EC4"/>
    <w:rsid w:val="00977A3D"/>
    <w:rsid w:val="00980BC9"/>
    <w:rsid w:val="00990ADC"/>
    <w:rsid w:val="00994939"/>
    <w:rsid w:val="009957C5"/>
    <w:rsid w:val="009973D5"/>
    <w:rsid w:val="009A3F3A"/>
    <w:rsid w:val="009A4696"/>
    <w:rsid w:val="009A5C84"/>
    <w:rsid w:val="009B1852"/>
    <w:rsid w:val="009B6014"/>
    <w:rsid w:val="009C0300"/>
    <w:rsid w:val="009C1322"/>
    <w:rsid w:val="009C134C"/>
    <w:rsid w:val="009C1D36"/>
    <w:rsid w:val="009C1FF9"/>
    <w:rsid w:val="009D38A2"/>
    <w:rsid w:val="009D3BB5"/>
    <w:rsid w:val="009E1197"/>
    <w:rsid w:val="009E1AE8"/>
    <w:rsid w:val="009F0635"/>
    <w:rsid w:val="009F27F5"/>
    <w:rsid w:val="009F7CDF"/>
    <w:rsid w:val="00A02AC7"/>
    <w:rsid w:val="00A033E9"/>
    <w:rsid w:val="00A05B60"/>
    <w:rsid w:val="00A13535"/>
    <w:rsid w:val="00A1518A"/>
    <w:rsid w:val="00A15E3A"/>
    <w:rsid w:val="00A17725"/>
    <w:rsid w:val="00A22E1E"/>
    <w:rsid w:val="00A234A0"/>
    <w:rsid w:val="00A3032F"/>
    <w:rsid w:val="00A32F5B"/>
    <w:rsid w:val="00A32FBD"/>
    <w:rsid w:val="00A44C4D"/>
    <w:rsid w:val="00A47AEB"/>
    <w:rsid w:val="00A52A3F"/>
    <w:rsid w:val="00A62A48"/>
    <w:rsid w:val="00A63CB2"/>
    <w:rsid w:val="00A67CE7"/>
    <w:rsid w:val="00A7112A"/>
    <w:rsid w:val="00A80FC2"/>
    <w:rsid w:val="00A813DD"/>
    <w:rsid w:val="00A8368B"/>
    <w:rsid w:val="00AA11E5"/>
    <w:rsid w:val="00AA140F"/>
    <w:rsid w:val="00AA29AD"/>
    <w:rsid w:val="00AA2E25"/>
    <w:rsid w:val="00AA3ADA"/>
    <w:rsid w:val="00AB2577"/>
    <w:rsid w:val="00AB3086"/>
    <w:rsid w:val="00AD42EB"/>
    <w:rsid w:val="00AE183B"/>
    <w:rsid w:val="00AE31DB"/>
    <w:rsid w:val="00AE5FCA"/>
    <w:rsid w:val="00AE7B0D"/>
    <w:rsid w:val="00AE7DB8"/>
    <w:rsid w:val="00AF5478"/>
    <w:rsid w:val="00B01FA8"/>
    <w:rsid w:val="00B022B6"/>
    <w:rsid w:val="00B07C0D"/>
    <w:rsid w:val="00B12D7B"/>
    <w:rsid w:val="00B16792"/>
    <w:rsid w:val="00B24484"/>
    <w:rsid w:val="00B253C9"/>
    <w:rsid w:val="00B3011B"/>
    <w:rsid w:val="00B36C18"/>
    <w:rsid w:val="00B43A43"/>
    <w:rsid w:val="00B45316"/>
    <w:rsid w:val="00B457EA"/>
    <w:rsid w:val="00B46E36"/>
    <w:rsid w:val="00B50392"/>
    <w:rsid w:val="00B525B0"/>
    <w:rsid w:val="00B677AF"/>
    <w:rsid w:val="00B713B0"/>
    <w:rsid w:val="00B77D09"/>
    <w:rsid w:val="00B82051"/>
    <w:rsid w:val="00B826CA"/>
    <w:rsid w:val="00B82B7E"/>
    <w:rsid w:val="00B846E7"/>
    <w:rsid w:val="00B86011"/>
    <w:rsid w:val="00B86BEB"/>
    <w:rsid w:val="00B9308F"/>
    <w:rsid w:val="00BB4390"/>
    <w:rsid w:val="00BE039D"/>
    <w:rsid w:val="00BE136F"/>
    <w:rsid w:val="00BE63FA"/>
    <w:rsid w:val="00BF663F"/>
    <w:rsid w:val="00C04AD3"/>
    <w:rsid w:val="00C0613E"/>
    <w:rsid w:val="00C11C4E"/>
    <w:rsid w:val="00C12036"/>
    <w:rsid w:val="00C2369F"/>
    <w:rsid w:val="00C304F9"/>
    <w:rsid w:val="00C3665E"/>
    <w:rsid w:val="00C366B9"/>
    <w:rsid w:val="00C41032"/>
    <w:rsid w:val="00C5561C"/>
    <w:rsid w:val="00C56B0E"/>
    <w:rsid w:val="00C57A78"/>
    <w:rsid w:val="00C615F4"/>
    <w:rsid w:val="00C635A8"/>
    <w:rsid w:val="00C70946"/>
    <w:rsid w:val="00C7184E"/>
    <w:rsid w:val="00C76054"/>
    <w:rsid w:val="00C765E8"/>
    <w:rsid w:val="00C851A0"/>
    <w:rsid w:val="00C8697E"/>
    <w:rsid w:val="00C86F6B"/>
    <w:rsid w:val="00C94157"/>
    <w:rsid w:val="00C968A7"/>
    <w:rsid w:val="00CA07E1"/>
    <w:rsid w:val="00CA26B9"/>
    <w:rsid w:val="00CA28EC"/>
    <w:rsid w:val="00CA3791"/>
    <w:rsid w:val="00CB5474"/>
    <w:rsid w:val="00CB7F90"/>
    <w:rsid w:val="00CC06EA"/>
    <w:rsid w:val="00CC4E57"/>
    <w:rsid w:val="00CD04B7"/>
    <w:rsid w:val="00CD305D"/>
    <w:rsid w:val="00CD6263"/>
    <w:rsid w:val="00CD70D2"/>
    <w:rsid w:val="00CE3AD3"/>
    <w:rsid w:val="00CE7608"/>
    <w:rsid w:val="00CF3EFC"/>
    <w:rsid w:val="00D00D73"/>
    <w:rsid w:val="00D134B8"/>
    <w:rsid w:val="00D17B2F"/>
    <w:rsid w:val="00D5011D"/>
    <w:rsid w:val="00D504F9"/>
    <w:rsid w:val="00D50A44"/>
    <w:rsid w:val="00D5325C"/>
    <w:rsid w:val="00D5676C"/>
    <w:rsid w:val="00D601D6"/>
    <w:rsid w:val="00D620D1"/>
    <w:rsid w:val="00D63711"/>
    <w:rsid w:val="00D655E6"/>
    <w:rsid w:val="00D710DE"/>
    <w:rsid w:val="00D74B63"/>
    <w:rsid w:val="00D74F07"/>
    <w:rsid w:val="00D7653C"/>
    <w:rsid w:val="00D81F0C"/>
    <w:rsid w:val="00D92AD4"/>
    <w:rsid w:val="00DA071E"/>
    <w:rsid w:val="00DA4ACA"/>
    <w:rsid w:val="00DA4E42"/>
    <w:rsid w:val="00DC1FFE"/>
    <w:rsid w:val="00DC2329"/>
    <w:rsid w:val="00DC340C"/>
    <w:rsid w:val="00DC6B27"/>
    <w:rsid w:val="00DD0811"/>
    <w:rsid w:val="00DD4A23"/>
    <w:rsid w:val="00DE0389"/>
    <w:rsid w:val="00DE24C9"/>
    <w:rsid w:val="00DF37AC"/>
    <w:rsid w:val="00DF3E25"/>
    <w:rsid w:val="00E10F38"/>
    <w:rsid w:val="00E12123"/>
    <w:rsid w:val="00E160B2"/>
    <w:rsid w:val="00E23215"/>
    <w:rsid w:val="00E34139"/>
    <w:rsid w:val="00E47F80"/>
    <w:rsid w:val="00E605B2"/>
    <w:rsid w:val="00E61F74"/>
    <w:rsid w:val="00E66908"/>
    <w:rsid w:val="00E67424"/>
    <w:rsid w:val="00E7284C"/>
    <w:rsid w:val="00E7546C"/>
    <w:rsid w:val="00E76010"/>
    <w:rsid w:val="00E81277"/>
    <w:rsid w:val="00E83DBB"/>
    <w:rsid w:val="00E9088B"/>
    <w:rsid w:val="00E94EF0"/>
    <w:rsid w:val="00EA26C2"/>
    <w:rsid w:val="00EA5066"/>
    <w:rsid w:val="00EB39DB"/>
    <w:rsid w:val="00EB5747"/>
    <w:rsid w:val="00EC307F"/>
    <w:rsid w:val="00EC6339"/>
    <w:rsid w:val="00ED3612"/>
    <w:rsid w:val="00ED3A01"/>
    <w:rsid w:val="00ED4394"/>
    <w:rsid w:val="00ED6EEC"/>
    <w:rsid w:val="00EE53B5"/>
    <w:rsid w:val="00EF157E"/>
    <w:rsid w:val="00EF32CE"/>
    <w:rsid w:val="00EF57B6"/>
    <w:rsid w:val="00F06D3D"/>
    <w:rsid w:val="00F15B9E"/>
    <w:rsid w:val="00F21CCF"/>
    <w:rsid w:val="00F22858"/>
    <w:rsid w:val="00F23C9B"/>
    <w:rsid w:val="00F24D8E"/>
    <w:rsid w:val="00F27CBB"/>
    <w:rsid w:val="00F37CB4"/>
    <w:rsid w:val="00F468DA"/>
    <w:rsid w:val="00F53620"/>
    <w:rsid w:val="00F5542D"/>
    <w:rsid w:val="00F6111A"/>
    <w:rsid w:val="00F62A21"/>
    <w:rsid w:val="00F65525"/>
    <w:rsid w:val="00F72354"/>
    <w:rsid w:val="00F72509"/>
    <w:rsid w:val="00F80372"/>
    <w:rsid w:val="00F81B78"/>
    <w:rsid w:val="00F8305F"/>
    <w:rsid w:val="00F845C3"/>
    <w:rsid w:val="00F8485B"/>
    <w:rsid w:val="00F853F3"/>
    <w:rsid w:val="00F86CF6"/>
    <w:rsid w:val="00F90B04"/>
    <w:rsid w:val="00FA471A"/>
    <w:rsid w:val="00FA7578"/>
    <w:rsid w:val="00FA7E2E"/>
    <w:rsid w:val="00FB42FB"/>
    <w:rsid w:val="00FB7277"/>
    <w:rsid w:val="00FC4011"/>
    <w:rsid w:val="00FD1C2C"/>
    <w:rsid w:val="00FD27B7"/>
    <w:rsid w:val="00FD2CE6"/>
    <w:rsid w:val="00FD5998"/>
    <w:rsid w:val="00FD5F4E"/>
    <w:rsid w:val="00FD7566"/>
    <w:rsid w:val="00FE6A07"/>
    <w:rsid w:val="00FF2580"/>
    <w:rsid w:val="017C34D1"/>
    <w:rsid w:val="07471F3C"/>
    <w:rsid w:val="0AFDE395"/>
    <w:rsid w:val="1EA86BBF"/>
    <w:rsid w:val="24661C3F"/>
    <w:rsid w:val="284666FA"/>
    <w:rsid w:val="28577F57"/>
    <w:rsid w:val="32A1E7EF"/>
    <w:rsid w:val="36ADC317"/>
    <w:rsid w:val="3D9F61E6"/>
    <w:rsid w:val="41EFC5EE"/>
    <w:rsid w:val="42285474"/>
    <w:rsid w:val="45D3BF2A"/>
    <w:rsid w:val="4ED979D1"/>
    <w:rsid w:val="57843B13"/>
    <w:rsid w:val="581E8137"/>
    <w:rsid w:val="5C0DA828"/>
    <w:rsid w:val="60DB8A11"/>
    <w:rsid w:val="700291C5"/>
    <w:rsid w:val="75ABB51B"/>
    <w:rsid w:val="75F2DBB1"/>
    <w:rsid w:val="795DA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C1574"/>
  <w15:chartTrackingRefBased/>
  <w15:docId w15:val="{A6907BDB-E1AA-470F-A494-A35A808E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CC2"/>
    <w:pPr>
      <w:spacing w:before="120" w:after="120" w:line="240" w:lineRule="auto"/>
      <w:jc w:val="both"/>
    </w:pPr>
    <w:rPr>
      <w:rFonts w:ascii="Times New Roman" w:hAnsi="Times New Roman"/>
      <w:lang w:val="en-GB"/>
    </w:rPr>
  </w:style>
  <w:style w:type="paragraph" w:styleId="Heading1">
    <w:name w:val="heading 1"/>
    <w:basedOn w:val="Normal"/>
    <w:next w:val="Normal"/>
    <w:link w:val="Heading1Char"/>
    <w:uiPriority w:val="9"/>
    <w:qFormat/>
    <w:rsid w:val="00726D6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726D6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26D6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26D6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26D6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26D6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26D6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26D6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26D6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D6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726D6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726D6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26D6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26D6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26D6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26D6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26D6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26D6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26D63"/>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26D6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26D6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26D63"/>
    <w:rPr>
      <w:rFonts w:asciiTheme="majorHAnsi" w:eastAsiaTheme="majorEastAsia" w:hAnsiTheme="majorHAnsi" w:cstheme="majorBidi"/>
      <w:i/>
      <w:iCs/>
      <w:spacing w:val="13"/>
      <w:sz w:val="24"/>
      <w:szCs w:val="24"/>
    </w:rPr>
  </w:style>
  <w:style w:type="character" w:styleId="Strong">
    <w:name w:val="Strong"/>
    <w:uiPriority w:val="22"/>
    <w:qFormat/>
    <w:rsid w:val="00726D63"/>
    <w:rPr>
      <w:b/>
      <w:bCs/>
    </w:rPr>
  </w:style>
  <w:style w:type="character" w:styleId="Emphasis">
    <w:name w:val="Emphasis"/>
    <w:uiPriority w:val="20"/>
    <w:qFormat/>
    <w:rsid w:val="00726D63"/>
    <w:rPr>
      <w:b/>
      <w:bCs/>
      <w:i/>
      <w:iCs/>
      <w:spacing w:val="10"/>
      <w:bdr w:val="none" w:sz="0" w:space="0" w:color="auto"/>
      <w:shd w:val="clear" w:color="auto" w:fill="auto"/>
    </w:rPr>
  </w:style>
  <w:style w:type="paragraph" w:styleId="NoSpacing">
    <w:name w:val="No Spacing"/>
    <w:basedOn w:val="Normal"/>
    <w:uiPriority w:val="1"/>
    <w:qFormat/>
    <w:rsid w:val="00726D63"/>
    <w:pPr>
      <w:spacing w:after="0"/>
    </w:pPr>
  </w:style>
  <w:style w:type="paragraph" w:styleId="ListParagraph">
    <w:name w:val="List Paragraph"/>
    <w:basedOn w:val="Normal"/>
    <w:uiPriority w:val="34"/>
    <w:qFormat/>
    <w:rsid w:val="00726D63"/>
    <w:pPr>
      <w:ind w:left="720"/>
      <w:contextualSpacing/>
    </w:pPr>
  </w:style>
  <w:style w:type="paragraph" w:styleId="Quote">
    <w:name w:val="Quote"/>
    <w:basedOn w:val="Normal"/>
    <w:next w:val="Normal"/>
    <w:link w:val="QuoteChar"/>
    <w:uiPriority w:val="29"/>
    <w:qFormat/>
    <w:rsid w:val="00726D63"/>
    <w:pPr>
      <w:spacing w:before="200" w:after="0"/>
      <w:ind w:left="360" w:right="360"/>
    </w:pPr>
    <w:rPr>
      <w:i/>
      <w:iCs/>
    </w:rPr>
  </w:style>
  <w:style w:type="character" w:customStyle="1" w:styleId="QuoteChar">
    <w:name w:val="Quote Char"/>
    <w:basedOn w:val="DefaultParagraphFont"/>
    <w:link w:val="Quote"/>
    <w:uiPriority w:val="29"/>
    <w:rsid w:val="00726D63"/>
    <w:rPr>
      <w:i/>
      <w:iCs/>
    </w:rPr>
  </w:style>
  <w:style w:type="paragraph" w:styleId="IntenseQuote">
    <w:name w:val="Intense Quote"/>
    <w:basedOn w:val="Normal"/>
    <w:next w:val="Normal"/>
    <w:link w:val="IntenseQuoteChar"/>
    <w:uiPriority w:val="30"/>
    <w:qFormat/>
    <w:rsid w:val="00726D63"/>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726D63"/>
    <w:rPr>
      <w:b/>
      <w:bCs/>
      <w:i/>
      <w:iCs/>
    </w:rPr>
  </w:style>
  <w:style w:type="character" w:styleId="SubtleEmphasis">
    <w:name w:val="Subtle Emphasis"/>
    <w:uiPriority w:val="19"/>
    <w:qFormat/>
    <w:rsid w:val="00726D63"/>
    <w:rPr>
      <w:i/>
      <w:iCs/>
    </w:rPr>
  </w:style>
  <w:style w:type="character" w:styleId="IntenseEmphasis">
    <w:name w:val="Intense Emphasis"/>
    <w:uiPriority w:val="21"/>
    <w:qFormat/>
    <w:rsid w:val="00726D63"/>
    <w:rPr>
      <w:b/>
      <w:bCs/>
    </w:rPr>
  </w:style>
  <w:style w:type="character" w:styleId="SubtleReference">
    <w:name w:val="Subtle Reference"/>
    <w:uiPriority w:val="31"/>
    <w:qFormat/>
    <w:rsid w:val="00726D63"/>
    <w:rPr>
      <w:smallCaps/>
    </w:rPr>
  </w:style>
  <w:style w:type="character" w:styleId="IntenseReference">
    <w:name w:val="Intense Reference"/>
    <w:uiPriority w:val="32"/>
    <w:qFormat/>
    <w:rsid w:val="00726D63"/>
    <w:rPr>
      <w:smallCaps/>
      <w:spacing w:val="5"/>
      <w:u w:val="single"/>
    </w:rPr>
  </w:style>
  <w:style w:type="character" w:styleId="BookTitle">
    <w:name w:val="Book Title"/>
    <w:uiPriority w:val="33"/>
    <w:qFormat/>
    <w:rsid w:val="00726D63"/>
    <w:rPr>
      <w:i/>
      <w:iCs/>
      <w:smallCaps/>
      <w:spacing w:val="5"/>
    </w:rPr>
  </w:style>
  <w:style w:type="paragraph" w:styleId="TOCHeading">
    <w:name w:val="TOC Heading"/>
    <w:basedOn w:val="Heading1"/>
    <w:next w:val="Normal"/>
    <w:uiPriority w:val="39"/>
    <w:semiHidden/>
    <w:unhideWhenUsed/>
    <w:qFormat/>
    <w:rsid w:val="00726D63"/>
    <w:pPr>
      <w:outlineLvl w:val="9"/>
    </w:pPr>
    <w:rPr>
      <w:lang w:bidi="en-US"/>
    </w:rPr>
  </w:style>
  <w:style w:type="paragraph" w:styleId="NormalWeb">
    <w:name w:val="Normal (Web)"/>
    <w:basedOn w:val="Normal"/>
    <w:uiPriority w:val="99"/>
    <w:unhideWhenUsed/>
    <w:rsid w:val="0037663F"/>
    <w:pPr>
      <w:spacing w:before="100" w:beforeAutospacing="1" w:after="100" w:afterAutospacing="1"/>
      <w:jc w:val="left"/>
    </w:pPr>
    <w:rPr>
      <w:rFonts w:eastAsia="Times New Roman" w:cs="Times New Roman"/>
      <w:kern w:val="0"/>
      <w:sz w:val="24"/>
      <w:szCs w:val="24"/>
      <w:lang w:val="en-US"/>
      <w14:ligatures w14:val="none"/>
    </w:rPr>
  </w:style>
  <w:style w:type="paragraph" w:styleId="Revision">
    <w:name w:val="Revision"/>
    <w:hidden/>
    <w:uiPriority w:val="99"/>
    <w:semiHidden/>
    <w:rsid w:val="009B1852"/>
    <w:pPr>
      <w:spacing w:after="0" w:line="240" w:lineRule="auto"/>
    </w:pPr>
    <w:rPr>
      <w:rFonts w:ascii="Times New Roman" w:hAnsi="Times New Roman"/>
      <w:lang w:val="en-GB"/>
    </w:rPr>
  </w:style>
  <w:style w:type="paragraph" w:styleId="FootnoteText">
    <w:name w:val="footnote text"/>
    <w:basedOn w:val="Normal"/>
    <w:link w:val="FootnoteTextChar"/>
    <w:uiPriority w:val="99"/>
    <w:semiHidden/>
    <w:unhideWhenUsed/>
    <w:rsid w:val="000930AC"/>
    <w:pPr>
      <w:spacing w:before="0" w:after="0"/>
    </w:pPr>
    <w:rPr>
      <w:sz w:val="20"/>
      <w:szCs w:val="20"/>
    </w:rPr>
  </w:style>
  <w:style w:type="character" w:customStyle="1" w:styleId="FootnoteTextChar">
    <w:name w:val="Footnote Text Char"/>
    <w:basedOn w:val="DefaultParagraphFont"/>
    <w:link w:val="FootnoteText"/>
    <w:uiPriority w:val="99"/>
    <w:semiHidden/>
    <w:rsid w:val="000930AC"/>
    <w:rPr>
      <w:rFonts w:ascii="Times New Roman" w:hAnsi="Times New Roman"/>
      <w:sz w:val="20"/>
      <w:szCs w:val="20"/>
      <w:lang w:val="en-GB"/>
    </w:rPr>
  </w:style>
  <w:style w:type="character" w:styleId="FootnoteReference">
    <w:name w:val="footnote reference"/>
    <w:basedOn w:val="DefaultParagraphFont"/>
    <w:uiPriority w:val="99"/>
    <w:semiHidden/>
    <w:unhideWhenUsed/>
    <w:rsid w:val="000930AC"/>
    <w:rPr>
      <w:vertAlign w:val="superscript"/>
    </w:rPr>
  </w:style>
  <w:style w:type="character" w:styleId="Hyperlink">
    <w:name w:val="Hyperlink"/>
    <w:basedOn w:val="DefaultParagraphFont"/>
    <w:uiPriority w:val="99"/>
    <w:unhideWhenUsed/>
    <w:rsid w:val="00AE7B0D"/>
    <w:rPr>
      <w:color w:val="0000FF" w:themeColor="hyperlink"/>
      <w:u w:val="single"/>
    </w:rPr>
  </w:style>
  <w:style w:type="character" w:styleId="UnresolvedMention">
    <w:name w:val="Unresolved Mention"/>
    <w:basedOn w:val="DefaultParagraphFont"/>
    <w:uiPriority w:val="99"/>
    <w:semiHidden/>
    <w:unhideWhenUsed/>
    <w:rsid w:val="00AE7B0D"/>
    <w:rPr>
      <w:color w:val="605E5C"/>
      <w:shd w:val="clear" w:color="auto" w:fill="E1DFDD"/>
    </w:rPr>
  </w:style>
  <w:style w:type="paragraph" w:styleId="Header">
    <w:name w:val="header"/>
    <w:basedOn w:val="Normal"/>
    <w:link w:val="HeaderChar"/>
    <w:uiPriority w:val="99"/>
    <w:unhideWhenUsed/>
    <w:rsid w:val="0020059D"/>
    <w:pPr>
      <w:tabs>
        <w:tab w:val="center" w:pos="4680"/>
        <w:tab w:val="right" w:pos="9360"/>
      </w:tabs>
      <w:spacing w:before="0" w:after="0"/>
    </w:pPr>
  </w:style>
  <w:style w:type="character" w:customStyle="1" w:styleId="HeaderChar">
    <w:name w:val="Header Char"/>
    <w:basedOn w:val="DefaultParagraphFont"/>
    <w:link w:val="Header"/>
    <w:uiPriority w:val="99"/>
    <w:rsid w:val="0020059D"/>
    <w:rPr>
      <w:rFonts w:ascii="Times New Roman" w:hAnsi="Times New Roman"/>
      <w:lang w:val="en-GB"/>
    </w:rPr>
  </w:style>
  <w:style w:type="paragraph" w:styleId="Footer">
    <w:name w:val="footer"/>
    <w:basedOn w:val="Normal"/>
    <w:link w:val="FooterChar"/>
    <w:uiPriority w:val="99"/>
    <w:unhideWhenUsed/>
    <w:rsid w:val="0020059D"/>
    <w:pPr>
      <w:tabs>
        <w:tab w:val="center" w:pos="4680"/>
        <w:tab w:val="right" w:pos="9360"/>
      </w:tabs>
      <w:spacing w:before="0" w:after="0"/>
    </w:pPr>
  </w:style>
  <w:style w:type="character" w:customStyle="1" w:styleId="FooterChar">
    <w:name w:val="Footer Char"/>
    <w:basedOn w:val="DefaultParagraphFont"/>
    <w:link w:val="Footer"/>
    <w:uiPriority w:val="99"/>
    <w:rsid w:val="0020059D"/>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2437">
      <w:bodyDiv w:val="1"/>
      <w:marLeft w:val="0"/>
      <w:marRight w:val="0"/>
      <w:marTop w:val="0"/>
      <w:marBottom w:val="0"/>
      <w:divBdr>
        <w:top w:val="none" w:sz="0" w:space="0" w:color="auto"/>
        <w:left w:val="none" w:sz="0" w:space="0" w:color="auto"/>
        <w:bottom w:val="none" w:sz="0" w:space="0" w:color="auto"/>
        <w:right w:val="none" w:sz="0" w:space="0" w:color="auto"/>
      </w:divBdr>
    </w:div>
    <w:div w:id="241835410">
      <w:bodyDiv w:val="1"/>
      <w:marLeft w:val="0"/>
      <w:marRight w:val="0"/>
      <w:marTop w:val="0"/>
      <w:marBottom w:val="0"/>
      <w:divBdr>
        <w:top w:val="none" w:sz="0" w:space="0" w:color="auto"/>
        <w:left w:val="none" w:sz="0" w:space="0" w:color="auto"/>
        <w:bottom w:val="none" w:sz="0" w:space="0" w:color="auto"/>
        <w:right w:val="none" w:sz="0" w:space="0" w:color="auto"/>
      </w:divBdr>
    </w:div>
    <w:div w:id="324092632">
      <w:marLeft w:val="0"/>
      <w:marRight w:val="0"/>
      <w:marTop w:val="0"/>
      <w:marBottom w:val="0"/>
      <w:divBdr>
        <w:top w:val="none" w:sz="0" w:space="0" w:color="auto"/>
        <w:left w:val="none" w:sz="0" w:space="0" w:color="auto"/>
        <w:bottom w:val="none" w:sz="0" w:space="0" w:color="auto"/>
        <w:right w:val="none" w:sz="0" w:space="0" w:color="auto"/>
      </w:divBdr>
    </w:div>
    <w:div w:id="1952083327">
      <w:bodyDiv w:val="1"/>
      <w:marLeft w:val="0"/>
      <w:marRight w:val="0"/>
      <w:marTop w:val="0"/>
      <w:marBottom w:val="0"/>
      <w:divBdr>
        <w:top w:val="none" w:sz="0" w:space="0" w:color="auto"/>
        <w:left w:val="none" w:sz="0" w:space="0" w:color="auto"/>
        <w:bottom w:val="none" w:sz="0" w:space="0" w:color="auto"/>
        <w:right w:val="none" w:sz="0" w:space="0" w:color="auto"/>
      </w:divBdr>
    </w:div>
    <w:div w:id="1981154726">
      <w:bodyDiv w:val="1"/>
      <w:marLeft w:val="0"/>
      <w:marRight w:val="0"/>
      <w:marTop w:val="0"/>
      <w:marBottom w:val="0"/>
      <w:divBdr>
        <w:top w:val="none" w:sz="0" w:space="0" w:color="auto"/>
        <w:left w:val="none" w:sz="0" w:space="0" w:color="auto"/>
        <w:bottom w:val="none" w:sz="0" w:space="0" w:color="auto"/>
        <w:right w:val="none" w:sz="0" w:space="0" w:color="auto"/>
      </w:divBdr>
    </w:div>
    <w:div w:id="2146465987">
      <w:bodyDiv w:val="1"/>
      <w:marLeft w:val="0"/>
      <w:marRight w:val="0"/>
      <w:marTop w:val="0"/>
      <w:marBottom w:val="0"/>
      <w:divBdr>
        <w:top w:val="none" w:sz="0" w:space="0" w:color="auto"/>
        <w:left w:val="none" w:sz="0" w:space="0" w:color="auto"/>
        <w:bottom w:val="none" w:sz="0" w:space="0" w:color="auto"/>
        <w:right w:val="none" w:sz="0" w:space="0" w:color="auto"/>
      </w:divBdr>
      <w:divsChild>
        <w:div w:id="225921968">
          <w:marLeft w:val="0"/>
          <w:marRight w:val="0"/>
          <w:marTop w:val="0"/>
          <w:marBottom w:val="0"/>
          <w:divBdr>
            <w:top w:val="none" w:sz="0" w:space="0" w:color="auto"/>
            <w:left w:val="none" w:sz="0" w:space="0" w:color="auto"/>
            <w:bottom w:val="none" w:sz="0" w:space="0" w:color="auto"/>
            <w:right w:val="none" w:sz="0" w:space="0" w:color="auto"/>
          </w:divBdr>
          <w:divsChild>
            <w:div w:id="1588927987">
              <w:marLeft w:val="0"/>
              <w:marRight w:val="0"/>
              <w:marTop w:val="0"/>
              <w:marBottom w:val="0"/>
              <w:divBdr>
                <w:top w:val="none" w:sz="0" w:space="0" w:color="auto"/>
                <w:left w:val="none" w:sz="0" w:space="0" w:color="auto"/>
                <w:bottom w:val="none" w:sz="0" w:space="0" w:color="auto"/>
                <w:right w:val="none" w:sz="0" w:space="0" w:color="auto"/>
              </w:divBdr>
              <w:divsChild>
                <w:div w:id="1625966262">
                  <w:marLeft w:val="0"/>
                  <w:marRight w:val="0"/>
                  <w:marTop w:val="0"/>
                  <w:marBottom w:val="0"/>
                  <w:divBdr>
                    <w:top w:val="none" w:sz="0" w:space="0" w:color="auto"/>
                    <w:left w:val="none" w:sz="0" w:space="0" w:color="auto"/>
                    <w:bottom w:val="none" w:sz="0" w:space="0" w:color="auto"/>
                    <w:right w:val="none" w:sz="0" w:space="0" w:color="auto"/>
                  </w:divBdr>
                  <w:divsChild>
                    <w:div w:id="14916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03604">
          <w:marLeft w:val="0"/>
          <w:marRight w:val="0"/>
          <w:marTop w:val="0"/>
          <w:marBottom w:val="0"/>
          <w:divBdr>
            <w:top w:val="none" w:sz="0" w:space="0" w:color="auto"/>
            <w:left w:val="none" w:sz="0" w:space="0" w:color="auto"/>
            <w:bottom w:val="none" w:sz="0" w:space="0" w:color="auto"/>
            <w:right w:val="none" w:sz="0" w:space="0" w:color="auto"/>
          </w:divBdr>
          <w:divsChild>
            <w:div w:id="1690137788">
              <w:marLeft w:val="0"/>
              <w:marRight w:val="0"/>
              <w:marTop w:val="0"/>
              <w:marBottom w:val="0"/>
              <w:divBdr>
                <w:top w:val="none" w:sz="0" w:space="0" w:color="auto"/>
                <w:left w:val="none" w:sz="0" w:space="0" w:color="auto"/>
                <w:bottom w:val="none" w:sz="0" w:space="0" w:color="auto"/>
                <w:right w:val="none" w:sz="0" w:space="0" w:color="auto"/>
              </w:divBdr>
              <w:divsChild>
                <w:div w:id="1506821401">
                  <w:marLeft w:val="0"/>
                  <w:marRight w:val="0"/>
                  <w:marTop w:val="0"/>
                  <w:marBottom w:val="0"/>
                  <w:divBdr>
                    <w:top w:val="none" w:sz="0" w:space="0" w:color="auto"/>
                    <w:left w:val="none" w:sz="0" w:space="0" w:color="auto"/>
                    <w:bottom w:val="none" w:sz="0" w:space="0" w:color="auto"/>
                    <w:right w:val="none" w:sz="0" w:space="0" w:color="auto"/>
                  </w:divBdr>
                  <w:divsChild>
                    <w:div w:id="12204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hdl.handle.net/10986/30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ranovic &amp; Nikolic">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81"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B4DA9D9-F088-4816-A025-A17ECB9512D5}">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CFC43FF2-1745-4FA4-BF68-410BC88D98BF}">
  <we:reference id="40b16dfe-5837-4c32-bc63-1eca60e7b822" version="1.0.0.3" store="EXCatalog" storeType="EXCatalog"/>
  <we:alternateReferences>
    <we:reference id="WA200007558" version="1.0.0.3"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C0C60-71D7-41A2-9C16-6C1D9B50FC08}">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4036</Words>
  <Characters>23006</Characters>
  <Application>Microsoft Office Word</Application>
  <DocSecurity>0</DocSecurity>
  <Lines>191</Lines>
  <Paragraphs>53</Paragraphs>
  <ScaleCrop>false</ScaleCrop>
  <Company/>
  <LinksUpToDate>false</LinksUpToDate>
  <CharactersWithSpaces>26989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 Çaushi</dc:creator>
  <cp:keywords/>
  <dc:description/>
  <cp:lastModifiedBy>User</cp:lastModifiedBy>
  <cp:revision>3</cp:revision>
  <dcterms:created xsi:type="dcterms:W3CDTF">2026-06-30T16:12:00Z</dcterms:created>
  <dcterms:modified xsi:type="dcterms:W3CDTF">2026-08-07T13:01:00Z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2025-09-18T12:18:24Z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99f4bf96-8f54-4a0b-88b6-734b938be263</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y fmtid="{D5CDD505-2E9C-101B-9397-08002B2CF9AE}" pid="10" name="hydoce19798989816616d">
    <vt:lpwstr>019f18a3-4b62-7f9b-8476-b6a1c8554cbb</vt:lpwstr>
  </property>
</Properties>
</file>