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41C25" w14:textId="77777777" w:rsidR="008C7A9C" w:rsidRPr="00A94DB4" w:rsidRDefault="008C7A9C" w:rsidP="00A5352C">
      <w:pPr>
        <w:spacing w:after="0"/>
        <w:jc w:val="center"/>
        <w:rPr>
          <w:rFonts w:ascii="Times New Roman" w:hAnsi="Times New Roman" w:cs="Times New Roman"/>
          <w:b/>
          <w:bCs/>
          <w:sz w:val="24"/>
          <w:szCs w:val="24"/>
        </w:rPr>
      </w:pPr>
      <w:r w:rsidRPr="00A94DB4">
        <w:rPr>
          <w:rFonts w:ascii="Times New Roman" w:hAnsi="Times New Roman" w:cs="Times New Roman"/>
          <w:b/>
          <w:bCs/>
          <w:sz w:val="24"/>
          <w:szCs w:val="24"/>
        </w:rPr>
        <w:t>RELACION</w:t>
      </w:r>
    </w:p>
    <w:p w14:paraId="455874A8" w14:textId="77777777" w:rsidR="008C7A9C" w:rsidRPr="00A94DB4" w:rsidRDefault="008C7A9C" w:rsidP="00A5352C">
      <w:pPr>
        <w:spacing w:after="0"/>
        <w:jc w:val="center"/>
        <w:rPr>
          <w:rFonts w:ascii="Times New Roman" w:hAnsi="Times New Roman" w:cs="Times New Roman"/>
          <w:b/>
          <w:bCs/>
          <w:sz w:val="24"/>
          <w:szCs w:val="24"/>
        </w:rPr>
      </w:pPr>
    </w:p>
    <w:p w14:paraId="6D803A3A" w14:textId="77777777" w:rsidR="008C7A9C" w:rsidRPr="00A94DB4" w:rsidRDefault="008C7A9C" w:rsidP="00A5352C">
      <w:pPr>
        <w:spacing w:after="0"/>
        <w:jc w:val="center"/>
        <w:rPr>
          <w:rFonts w:ascii="Times New Roman" w:hAnsi="Times New Roman" w:cs="Times New Roman"/>
          <w:b/>
          <w:bCs/>
          <w:sz w:val="24"/>
          <w:szCs w:val="24"/>
        </w:rPr>
      </w:pPr>
      <w:r w:rsidRPr="00A94DB4">
        <w:rPr>
          <w:rFonts w:ascii="Times New Roman" w:hAnsi="Times New Roman" w:cs="Times New Roman"/>
          <w:b/>
          <w:bCs/>
          <w:sz w:val="24"/>
          <w:szCs w:val="24"/>
        </w:rPr>
        <w:t xml:space="preserve">PËR </w:t>
      </w:r>
    </w:p>
    <w:p w14:paraId="6B46C42B" w14:textId="77777777" w:rsidR="008C7A9C" w:rsidRPr="00A94DB4" w:rsidRDefault="008C7A9C" w:rsidP="00A5352C">
      <w:pPr>
        <w:spacing w:after="0"/>
        <w:jc w:val="center"/>
        <w:rPr>
          <w:rFonts w:ascii="Times New Roman" w:hAnsi="Times New Roman" w:cs="Times New Roman"/>
          <w:b/>
          <w:bCs/>
          <w:sz w:val="24"/>
          <w:szCs w:val="24"/>
        </w:rPr>
      </w:pPr>
    </w:p>
    <w:p w14:paraId="14E0A4A1" w14:textId="77777777" w:rsidR="008C7A9C" w:rsidRPr="00A94DB4" w:rsidRDefault="008C7A9C" w:rsidP="00A5352C">
      <w:pPr>
        <w:spacing w:after="0"/>
        <w:jc w:val="center"/>
        <w:rPr>
          <w:rFonts w:ascii="Times New Roman" w:hAnsi="Times New Roman" w:cs="Times New Roman"/>
          <w:b/>
          <w:bCs/>
          <w:sz w:val="24"/>
          <w:szCs w:val="24"/>
        </w:rPr>
      </w:pPr>
      <w:r w:rsidRPr="00A94DB4">
        <w:rPr>
          <w:rFonts w:ascii="Times New Roman" w:hAnsi="Times New Roman" w:cs="Times New Roman"/>
          <w:b/>
          <w:bCs/>
          <w:sz w:val="24"/>
          <w:szCs w:val="24"/>
        </w:rPr>
        <w:t xml:space="preserve">PROJEKTLIGJIN </w:t>
      </w:r>
    </w:p>
    <w:p w14:paraId="09186379" w14:textId="77777777" w:rsidR="0006442C" w:rsidRPr="00A94DB4" w:rsidRDefault="0006442C" w:rsidP="00A5352C">
      <w:pPr>
        <w:spacing w:after="0"/>
        <w:jc w:val="center"/>
        <w:rPr>
          <w:rFonts w:ascii="Times New Roman" w:hAnsi="Times New Roman" w:cs="Times New Roman"/>
          <w:b/>
          <w:bCs/>
          <w:sz w:val="24"/>
          <w:szCs w:val="24"/>
        </w:rPr>
      </w:pPr>
    </w:p>
    <w:p w14:paraId="0A87B75F" w14:textId="1279C51A" w:rsidR="008C7A9C" w:rsidRPr="00A94DB4" w:rsidRDefault="00E90F93" w:rsidP="00DA5E1D">
      <w:pPr>
        <w:pStyle w:val="Heading10"/>
        <w:keepNext/>
        <w:keepLines/>
        <w:shd w:val="clear" w:color="auto" w:fill="auto"/>
        <w:spacing w:after="260" w:line="276" w:lineRule="auto"/>
        <w:ind w:firstLine="0"/>
        <w:jc w:val="center"/>
        <w:rPr>
          <w:rFonts w:ascii="Times New Roman" w:hAnsi="Times New Roman" w:cs="Times New Roman"/>
          <w:sz w:val="24"/>
          <w:szCs w:val="24"/>
          <w:lang w:val="sq-AL"/>
        </w:rPr>
      </w:pPr>
      <w:r w:rsidRPr="00A94DB4">
        <w:rPr>
          <w:rFonts w:ascii="Times New Roman" w:eastAsia="Times New Roman" w:hAnsi="Times New Roman" w:cs="Times New Roman"/>
          <w:sz w:val="24"/>
          <w:lang w:val="sq-AL"/>
        </w:rPr>
        <w:t>“PËR PROKURIMET NË FUSHËN E MBROJTJES DHE TË SIGURISË”</w:t>
      </w:r>
    </w:p>
    <w:p w14:paraId="13926F43" w14:textId="77777777" w:rsidR="008C7A9C" w:rsidRPr="00A94DB4" w:rsidRDefault="008C7A9C" w:rsidP="00A5352C">
      <w:pPr>
        <w:spacing w:after="0"/>
        <w:jc w:val="center"/>
        <w:rPr>
          <w:rFonts w:ascii="Times New Roman" w:eastAsia="Calibri" w:hAnsi="Times New Roman" w:cs="Times New Roman"/>
          <w:b/>
          <w:bCs/>
          <w:sz w:val="24"/>
          <w:szCs w:val="24"/>
        </w:rPr>
      </w:pPr>
    </w:p>
    <w:p w14:paraId="73C31635" w14:textId="77777777" w:rsidR="008C7A9C" w:rsidRPr="00A94DB4" w:rsidRDefault="008C7A9C" w:rsidP="00A5352C">
      <w:pPr>
        <w:pStyle w:val="ListParagraph"/>
        <w:numPr>
          <w:ilvl w:val="0"/>
          <w:numId w:val="1"/>
        </w:numPr>
        <w:spacing w:after="0"/>
        <w:ind w:left="450" w:hanging="450"/>
        <w:jc w:val="both"/>
        <w:rPr>
          <w:rFonts w:ascii="Times New Roman" w:hAnsi="Times New Roman" w:cs="Times New Roman"/>
          <w:b/>
          <w:bCs/>
          <w:sz w:val="24"/>
          <w:szCs w:val="24"/>
        </w:rPr>
      </w:pPr>
      <w:r w:rsidRPr="00A94DB4">
        <w:rPr>
          <w:rFonts w:ascii="Times New Roman" w:hAnsi="Times New Roman" w:cs="Times New Roman"/>
          <w:b/>
          <w:bCs/>
          <w:sz w:val="24"/>
          <w:szCs w:val="24"/>
        </w:rPr>
        <w:t>QËLLIMI I PROJEKTAKTIT DHE OBJEKTIVAT QË SYNOHEN TË ARRIHEN</w:t>
      </w:r>
    </w:p>
    <w:p w14:paraId="1E37EA4A" w14:textId="77777777" w:rsidR="008C7A9C" w:rsidRPr="00A94DB4" w:rsidRDefault="008C7A9C" w:rsidP="00A5352C">
      <w:pPr>
        <w:pStyle w:val="ListParagraph"/>
        <w:spacing w:after="0"/>
        <w:ind w:left="360" w:hanging="360"/>
        <w:jc w:val="both"/>
        <w:rPr>
          <w:rFonts w:ascii="Times New Roman" w:hAnsi="Times New Roman" w:cs="Times New Roman"/>
          <w:bCs/>
          <w:sz w:val="24"/>
          <w:szCs w:val="24"/>
        </w:rPr>
      </w:pPr>
    </w:p>
    <w:p w14:paraId="20A48CB2" w14:textId="6C829523" w:rsidR="00477DC6" w:rsidRPr="00A94DB4" w:rsidRDefault="000727E9" w:rsidP="00A5352C">
      <w:pPr>
        <w:widowControl w:val="0"/>
        <w:autoSpaceDE w:val="0"/>
        <w:autoSpaceDN w:val="0"/>
        <w:adjustRightInd w:val="0"/>
        <w:spacing w:after="0"/>
        <w:jc w:val="both"/>
        <w:rPr>
          <w:rFonts w:ascii="Times New Roman" w:eastAsia="Times New Roman" w:hAnsi="Times New Roman" w:cs="Times New Roman"/>
          <w:sz w:val="24"/>
        </w:rPr>
      </w:pPr>
      <w:r w:rsidRPr="00A94DB4">
        <w:rPr>
          <w:rFonts w:ascii="Times New Roman" w:eastAsia="Times New Roman" w:hAnsi="Times New Roman" w:cs="Times New Roman"/>
          <w:sz w:val="24"/>
        </w:rPr>
        <w:t>Ky projektligj synon miratimin e një kuadri të ri ligjor për prokurimet në fushën e mbrojtjes dhe të sigurisë, duke zëvendësuar ligjin nr. 36/2020 “Për prokurimet në fushën e mbrojtjes dhe të sigurisë”. Nisma ligjore u konceptua fillimisht si projektligj për disa ndryshime dhe shtesa në ligjin në fuqi dhe, në këtë formë, iu nënshtrua procesit të bashkërendimit me ministritë e linjës dhe institucionet përgjegjëse. Në vijim të komenteve të shërbimeve të Komisionit Evropian dhe të raportit të Programit SIGMA “Mbështetje për Përmirësimin e Qeverisjes dhe Menaxhimit” (</w:t>
      </w:r>
      <w:proofErr w:type="spellStart"/>
      <w:r w:rsidRPr="00A94DB4">
        <w:rPr>
          <w:rFonts w:ascii="Times New Roman" w:eastAsia="Times New Roman" w:hAnsi="Times New Roman" w:cs="Times New Roman"/>
          <w:i/>
          <w:iCs/>
          <w:sz w:val="24"/>
        </w:rPr>
        <w:t>Support</w:t>
      </w:r>
      <w:proofErr w:type="spellEnd"/>
      <w:r w:rsidRPr="00A94DB4">
        <w:rPr>
          <w:rFonts w:ascii="Times New Roman" w:eastAsia="Times New Roman" w:hAnsi="Times New Roman" w:cs="Times New Roman"/>
          <w:i/>
          <w:iCs/>
          <w:sz w:val="24"/>
        </w:rPr>
        <w:t xml:space="preserve"> </w:t>
      </w:r>
      <w:proofErr w:type="spellStart"/>
      <w:r w:rsidRPr="00A94DB4">
        <w:rPr>
          <w:rFonts w:ascii="Times New Roman" w:eastAsia="Times New Roman" w:hAnsi="Times New Roman" w:cs="Times New Roman"/>
          <w:i/>
          <w:iCs/>
          <w:sz w:val="24"/>
        </w:rPr>
        <w:t>for</w:t>
      </w:r>
      <w:proofErr w:type="spellEnd"/>
      <w:r w:rsidRPr="00A94DB4">
        <w:rPr>
          <w:rFonts w:ascii="Times New Roman" w:eastAsia="Times New Roman" w:hAnsi="Times New Roman" w:cs="Times New Roman"/>
          <w:i/>
          <w:iCs/>
          <w:sz w:val="24"/>
        </w:rPr>
        <w:t xml:space="preserve"> </w:t>
      </w:r>
      <w:proofErr w:type="spellStart"/>
      <w:r w:rsidRPr="00A94DB4">
        <w:rPr>
          <w:rFonts w:ascii="Times New Roman" w:eastAsia="Times New Roman" w:hAnsi="Times New Roman" w:cs="Times New Roman"/>
          <w:i/>
          <w:iCs/>
          <w:sz w:val="24"/>
        </w:rPr>
        <w:t>Improvement</w:t>
      </w:r>
      <w:proofErr w:type="spellEnd"/>
      <w:r w:rsidRPr="00A94DB4">
        <w:rPr>
          <w:rFonts w:ascii="Times New Roman" w:eastAsia="Times New Roman" w:hAnsi="Times New Roman" w:cs="Times New Roman"/>
          <w:i/>
          <w:iCs/>
          <w:sz w:val="24"/>
        </w:rPr>
        <w:t xml:space="preserve"> in </w:t>
      </w:r>
      <w:proofErr w:type="spellStart"/>
      <w:r w:rsidRPr="00A94DB4">
        <w:rPr>
          <w:rFonts w:ascii="Times New Roman" w:eastAsia="Times New Roman" w:hAnsi="Times New Roman" w:cs="Times New Roman"/>
          <w:i/>
          <w:iCs/>
          <w:sz w:val="24"/>
        </w:rPr>
        <w:t>Governance</w:t>
      </w:r>
      <w:proofErr w:type="spellEnd"/>
      <w:r w:rsidRPr="00A94DB4">
        <w:rPr>
          <w:rFonts w:ascii="Times New Roman" w:eastAsia="Times New Roman" w:hAnsi="Times New Roman" w:cs="Times New Roman"/>
          <w:i/>
          <w:iCs/>
          <w:sz w:val="24"/>
        </w:rPr>
        <w:t xml:space="preserve"> </w:t>
      </w:r>
      <w:proofErr w:type="spellStart"/>
      <w:r w:rsidRPr="00A94DB4">
        <w:rPr>
          <w:rFonts w:ascii="Times New Roman" w:eastAsia="Times New Roman" w:hAnsi="Times New Roman" w:cs="Times New Roman"/>
          <w:i/>
          <w:iCs/>
          <w:sz w:val="24"/>
        </w:rPr>
        <w:t>and</w:t>
      </w:r>
      <w:proofErr w:type="spellEnd"/>
      <w:r w:rsidRPr="00A94DB4">
        <w:rPr>
          <w:rFonts w:ascii="Times New Roman" w:eastAsia="Times New Roman" w:hAnsi="Times New Roman" w:cs="Times New Roman"/>
          <w:i/>
          <w:iCs/>
          <w:sz w:val="24"/>
        </w:rPr>
        <w:t xml:space="preserve"> </w:t>
      </w:r>
      <w:proofErr w:type="spellStart"/>
      <w:r w:rsidRPr="00A94DB4">
        <w:rPr>
          <w:rFonts w:ascii="Times New Roman" w:eastAsia="Times New Roman" w:hAnsi="Times New Roman" w:cs="Times New Roman"/>
          <w:i/>
          <w:iCs/>
          <w:sz w:val="24"/>
        </w:rPr>
        <w:t>Management</w:t>
      </w:r>
      <w:proofErr w:type="spellEnd"/>
      <w:r w:rsidRPr="00A94DB4">
        <w:rPr>
          <w:rFonts w:ascii="Times New Roman" w:eastAsia="Times New Roman" w:hAnsi="Times New Roman" w:cs="Times New Roman"/>
          <w:sz w:val="24"/>
        </w:rPr>
        <w:t xml:space="preserve">), nismë e përbashkët e Bashkimit Evropian dhe Organizatës për Bashkëpunim dhe Zhvillim Ekonomik (OECD) mbi vlerësimin e përputhshmërisë së kuadrit shqiptar me Direktivën 2009/81/KE, të ndryshuar, u evidentua nevoja për ndërhyrje të konsiderueshme në ligjin aktual. Duke qenë se këto ndërhyrje prekin më shumë se 50 për qind të përmbajtjes së tij, nisma u </w:t>
      </w:r>
      <w:proofErr w:type="spellStart"/>
      <w:r w:rsidRPr="00A94DB4">
        <w:rPr>
          <w:rFonts w:ascii="Times New Roman" w:eastAsia="Times New Roman" w:hAnsi="Times New Roman" w:cs="Times New Roman"/>
          <w:sz w:val="24"/>
        </w:rPr>
        <w:t>rikonceptua</w:t>
      </w:r>
      <w:proofErr w:type="spellEnd"/>
      <w:r w:rsidRPr="00A94DB4">
        <w:rPr>
          <w:rFonts w:ascii="Times New Roman" w:eastAsia="Times New Roman" w:hAnsi="Times New Roman" w:cs="Times New Roman"/>
          <w:sz w:val="24"/>
        </w:rPr>
        <w:t xml:space="preserve"> dhe u hartua në formën e një projektligji të ri.</w:t>
      </w:r>
    </w:p>
    <w:p w14:paraId="362BF76B" w14:textId="77777777" w:rsidR="000727E9" w:rsidRPr="00A94DB4" w:rsidRDefault="000727E9" w:rsidP="00A5352C">
      <w:pPr>
        <w:widowControl w:val="0"/>
        <w:autoSpaceDE w:val="0"/>
        <w:autoSpaceDN w:val="0"/>
        <w:adjustRightInd w:val="0"/>
        <w:spacing w:after="0"/>
        <w:jc w:val="both"/>
        <w:rPr>
          <w:rFonts w:ascii="Times New Roman" w:eastAsia="Times New Roman" w:hAnsi="Times New Roman" w:cs="Times New Roman"/>
          <w:sz w:val="24"/>
          <w:szCs w:val="24"/>
        </w:rPr>
      </w:pPr>
    </w:p>
    <w:p w14:paraId="5C5548CD" w14:textId="3234A7BE" w:rsidR="00477DC6" w:rsidRPr="00A94DB4" w:rsidRDefault="00477DC6" w:rsidP="00A5352C">
      <w:pPr>
        <w:widowControl w:val="0"/>
        <w:autoSpaceDE w:val="0"/>
        <w:autoSpaceDN w:val="0"/>
        <w:adjustRightInd w:val="0"/>
        <w:spacing w:after="0"/>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rPr>
        <w:t xml:space="preserve">Projektligji ruan dhe konsolidon zgjidhjet e ligjit aktual dhe ndryshimet e përgatitura më parë që mbeten të përshtatshme, ndërsa integron kërkesat e reja që rrjedhin nga komentet e Komisionit Evropian dhe gjetjet e raportit të SIGMA-s. Nëpërmjet tij synohet rregullimi më i plotë dhe koherent i fushës së zbatimit dhe përjashtimeve, përkufizimeve, autoriteteve dhe enteve </w:t>
      </w:r>
      <w:proofErr w:type="spellStart"/>
      <w:r w:rsidRPr="00A94DB4">
        <w:rPr>
          <w:rFonts w:ascii="Times New Roman" w:eastAsia="Times New Roman" w:hAnsi="Times New Roman" w:cs="Times New Roman"/>
          <w:sz w:val="24"/>
        </w:rPr>
        <w:t>kontraktore</w:t>
      </w:r>
      <w:proofErr w:type="spellEnd"/>
      <w:r w:rsidRPr="00A94DB4">
        <w:rPr>
          <w:rFonts w:ascii="Times New Roman" w:eastAsia="Times New Roman" w:hAnsi="Times New Roman" w:cs="Times New Roman"/>
          <w:sz w:val="24"/>
        </w:rPr>
        <w:t xml:space="preserve">, procedurave të prokurimit, rregullave të publikimit dhe afateve, kritereve të kualifikimit dhe të përcaktimit të ofertës fituese, kushteve të zbatimit të kontratës, </w:t>
      </w:r>
      <w:proofErr w:type="spellStart"/>
      <w:r w:rsidRPr="00A94DB4">
        <w:rPr>
          <w:rFonts w:ascii="Times New Roman" w:eastAsia="Times New Roman" w:hAnsi="Times New Roman" w:cs="Times New Roman"/>
          <w:sz w:val="24"/>
        </w:rPr>
        <w:t>nënkontraktimit</w:t>
      </w:r>
      <w:proofErr w:type="spellEnd"/>
      <w:r w:rsidRPr="00A94DB4">
        <w:rPr>
          <w:rFonts w:ascii="Times New Roman" w:eastAsia="Times New Roman" w:hAnsi="Times New Roman" w:cs="Times New Roman"/>
          <w:sz w:val="24"/>
        </w:rPr>
        <w:t>, ankimit administrativ, hetimit administrativ dhe detyrimeve statistikore.</w:t>
      </w:r>
    </w:p>
    <w:p w14:paraId="4ED6CE04" w14:textId="77777777" w:rsidR="00477DC6" w:rsidRPr="00A94DB4" w:rsidRDefault="00477DC6" w:rsidP="00A5352C">
      <w:pPr>
        <w:widowControl w:val="0"/>
        <w:autoSpaceDE w:val="0"/>
        <w:autoSpaceDN w:val="0"/>
        <w:adjustRightInd w:val="0"/>
        <w:spacing w:after="0"/>
        <w:jc w:val="both"/>
        <w:rPr>
          <w:rFonts w:ascii="Times New Roman" w:eastAsia="Times New Roman" w:hAnsi="Times New Roman" w:cs="Times New Roman"/>
          <w:sz w:val="24"/>
          <w:szCs w:val="24"/>
        </w:rPr>
      </w:pPr>
    </w:p>
    <w:p w14:paraId="6344AAB2" w14:textId="3EAA9D80" w:rsidR="00477DC6" w:rsidRPr="00A94DB4" w:rsidRDefault="00477DC6" w:rsidP="00A5352C">
      <w:pPr>
        <w:widowControl w:val="0"/>
        <w:autoSpaceDE w:val="0"/>
        <w:autoSpaceDN w:val="0"/>
        <w:adjustRightInd w:val="0"/>
        <w:spacing w:after="0"/>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rPr>
        <w:t xml:space="preserve">Objektiva të veçantë të projektligjit janë harmonizimi i terminologjisë dhe i kërkesave për sigurinë e informacionit të klasifikuar me ligjin nr. 10/2023 “Për informacionin e klasifikuar”; forcimi i garancive për sigurinë e furnizimit; përfshirja e instrumenteve dhe mekanizmave të munguar ose të rregulluar pjesërisht, përfshirë ankandin elektronik dhe njoftimin vullnetar për transparencë paraprake. Këto ndërhyrje synojnë të forcojnë zbatimin e kuadrit ligjor, si dhe të rrisin transparencën, konkurrencën, </w:t>
      </w:r>
      <w:proofErr w:type="spellStart"/>
      <w:r w:rsidRPr="00A94DB4">
        <w:rPr>
          <w:rFonts w:ascii="Times New Roman" w:eastAsia="Times New Roman" w:hAnsi="Times New Roman" w:cs="Times New Roman"/>
          <w:sz w:val="24"/>
        </w:rPr>
        <w:t>eficiencën</w:t>
      </w:r>
      <w:proofErr w:type="spellEnd"/>
      <w:r w:rsidRPr="00A94DB4">
        <w:rPr>
          <w:rFonts w:ascii="Times New Roman" w:eastAsia="Times New Roman" w:hAnsi="Times New Roman" w:cs="Times New Roman"/>
          <w:sz w:val="24"/>
        </w:rPr>
        <w:t xml:space="preserve"> dhe integritetin e sistemit.</w:t>
      </w:r>
    </w:p>
    <w:p w14:paraId="110B3E8C" w14:textId="77777777" w:rsidR="00B751A9" w:rsidRPr="00A94DB4" w:rsidRDefault="00B751A9" w:rsidP="00A5352C">
      <w:pPr>
        <w:pStyle w:val="ListParagraph"/>
        <w:spacing w:after="0"/>
        <w:ind w:left="0"/>
        <w:jc w:val="both"/>
        <w:rPr>
          <w:rFonts w:ascii="Times New Roman" w:hAnsi="Times New Roman" w:cs="Times New Roman"/>
          <w:bCs/>
          <w:sz w:val="24"/>
          <w:szCs w:val="24"/>
        </w:rPr>
      </w:pPr>
    </w:p>
    <w:p w14:paraId="776B3B60" w14:textId="77777777" w:rsidR="008C7A9C" w:rsidRPr="00A94DB4" w:rsidRDefault="008C7A9C" w:rsidP="00A5352C">
      <w:pPr>
        <w:pStyle w:val="ListParagraph"/>
        <w:numPr>
          <w:ilvl w:val="0"/>
          <w:numId w:val="1"/>
        </w:numPr>
        <w:spacing w:after="0"/>
        <w:ind w:left="450" w:hanging="450"/>
        <w:jc w:val="both"/>
        <w:rPr>
          <w:rFonts w:ascii="Times New Roman" w:hAnsi="Times New Roman" w:cs="Times New Roman"/>
          <w:b/>
          <w:bCs/>
          <w:sz w:val="24"/>
          <w:szCs w:val="24"/>
        </w:rPr>
      </w:pPr>
      <w:r w:rsidRPr="00A94DB4">
        <w:rPr>
          <w:rFonts w:ascii="Times New Roman" w:hAnsi="Times New Roman" w:cs="Times New Roman"/>
          <w:b/>
          <w:bCs/>
          <w:sz w:val="24"/>
          <w:szCs w:val="24"/>
        </w:rPr>
        <w:t>VLERËSIMI I PROJEKTAKTIT NË RAPORT ME PROGRAMIN POLITIK TË KËSHILLIT TË MINISTRAVE, ME PROGRAMIN ANALITIK TË AKTEVE DHE DOKUMENTAVE TË TJERA POLITIKE</w:t>
      </w:r>
    </w:p>
    <w:p w14:paraId="67D1CCC1" w14:textId="77777777" w:rsidR="008C7A9C" w:rsidRPr="00A94DB4" w:rsidRDefault="008C7A9C" w:rsidP="00A5352C">
      <w:pPr>
        <w:pStyle w:val="ListParagraph"/>
        <w:spacing w:after="0"/>
        <w:ind w:left="360" w:hanging="360"/>
        <w:rPr>
          <w:rFonts w:ascii="Times New Roman" w:hAnsi="Times New Roman" w:cs="Times New Roman"/>
          <w:bCs/>
          <w:sz w:val="24"/>
          <w:szCs w:val="24"/>
        </w:rPr>
      </w:pPr>
    </w:p>
    <w:p w14:paraId="66F7021F" w14:textId="01D1CFC0" w:rsidR="005A3F57" w:rsidRPr="00A94DB4" w:rsidRDefault="005A3F57" w:rsidP="00472567">
      <w:pPr>
        <w:spacing w:after="120"/>
        <w:jc w:val="both"/>
        <w:outlineLvl w:val="0"/>
        <w:rPr>
          <w:rFonts w:ascii="Times New Roman" w:hAnsi="Times New Roman" w:cs="Times New Roman"/>
          <w:sz w:val="24"/>
          <w:szCs w:val="24"/>
        </w:rPr>
      </w:pPr>
      <w:r w:rsidRPr="00A94DB4">
        <w:rPr>
          <w:rFonts w:ascii="Times New Roman" w:eastAsia="Times New Roman" w:hAnsi="Times New Roman" w:cs="Times New Roman"/>
          <w:sz w:val="24"/>
        </w:rPr>
        <w:t xml:space="preserve">Projektligji </w:t>
      </w:r>
      <w:r w:rsidRPr="00A94DB4">
        <w:rPr>
          <w:rFonts w:ascii="Times New Roman" w:eastAsia="Times New Roman" w:hAnsi="Times New Roman" w:cs="Times New Roman"/>
          <w:i/>
          <w:sz w:val="24"/>
        </w:rPr>
        <w:t>“Për prokurimet në fushën e mbrojtjes dhe të sigurisë”</w:t>
      </w:r>
      <w:r w:rsidRPr="00A94DB4">
        <w:rPr>
          <w:rFonts w:ascii="Times New Roman" w:eastAsia="Times New Roman" w:hAnsi="Times New Roman" w:cs="Times New Roman"/>
          <w:sz w:val="24"/>
        </w:rPr>
        <w:t xml:space="preserve"> përbën vijimin dhe konsolidimin e nismës ligjore të nisur si projektligj </w:t>
      </w:r>
      <w:r w:rsidRPr="00A94DB4">
        <w:rPr>
          <w:rFonts w:ascii="Times New Roman" w:eastAsia="Times New Roman" w:hAnsi="Times New Roman" w:cs="Times New Roman"/>
          <w:i/>
          <w:sz w:val="24"/>
        </w:rPr>
        <w:t>“Për disa ndryshime dhe shtesa në ligjin nr. 36/2020 ‘Për prokurimet në fushën e mbrojtjes dhe të sigurisë’”</w:t>
      </w:r>
      <w:r w:rsidRPr="00A94DB4">
        <w:rPr>
          <w:rFonts w:ascii="Times New Roman" w:eastAsia="Times New Roman" w:hAnsi="Times New Roman" w:cs="Times New Roman"/>
          <w:sz w:val="24"/>
        </w:rPr>
        <w:t xml:space="preserve">, </w:t>
      </w:r>
      <w:r w:rsidR="00DC401F" w:rsidRPr="00A94DB4">
        <w:rPr>
          <w:rFonts w:ascii="Times New Roman" w:eastAsia="Times New Roman" w:hAnsi="Times New Roman" w:cs="Times New Roman"/>
          <w:sz w:val="24"/>
        </w:rPr>
        <w:t>nuk</w:t>
      </w:r>
      <w:r w:rsidRPr="00A94DB4">
        <w:rPr>
          <w:rFonts w:ascii="Times New Roman" w:eastAsia="Times New Roman" w:hAnsi="Times New Roman" w:cs="Times New Roman"/>
          <w:sz w:val="24"/>
        </w:rPr>
        <w:t xml:space="preserve"> </w:t>
      </w:r>
      <w:r w:rsidR="00A97288" w:rsidRPr="00A94DB4">
        <w:rPr>
          <w:rFonts w:ascii="Times New Roman" w:eastAsia="Times New Roman" w:hAnsi="Times New Roman" w:cs="Times New Roman"/>
          <w:sz w:val="24"/>
        </w:rPr>
        <w:t>është</w:t>
      </w:r>
      <w:r w:rsidRPr="00A94DB4">
        <w:rPr>
          <w:rFonts w:ascii="Times New Roman" w:eastAsia="Times New Roman" w:hAnsi="Times New Roman" w:cs="Times New Roman"/>
          <w:sz w:val="24"/>
        </w:rPr>
        <w:t xml:space="preserve"> parashikuar në </w:t>
      </w:r>
      <w:r w:rsidRPr="00A94DB4">
        <w:rPr>
          <w:rFonts w:ascii="Times New Roman" w:eastAsia="Times New Roman" w:hAnsi="Times New Roman" w:cs="Times New Roman"/>
          <w:sz w:val="24"/>
        </w:rPr>
        <w:lastRenderedPageBreak/>
        <w:t xml:space="preserve">Programin e Përgjithshëm Analitik të </w:t>
      </w:r>
      <w:proofErr w:type="spellStart"/>
      <w:r w:rsidRPr="00A94DB4">
        <w:rPr>
          <w:rFonts w:ascii="Times New Roman" w:eastAsia="Times New Roman" w:hAnsi="Times New Roman" w:cs="Times New Roman"/>
          <w:sz w:val="24"/>
        </w:rPr>
        <w:t>Projektakteve</w:t>
      </w:r>
      <w:proofErr w:type="spellEnd"/>
      <w:r w:rsidRPr="00A94DB4">
        <w:rPr>
          <w:rFonts w:ascii="Times New Roman" w:eastAsia="Times New Roman" w:hAnsi="Times New Roman" w:cs="Times New Roman"/>
          <w:sz w:val="24"/>
        </w:rPr>
        <w:t xml:space="preserve"> që do të paraqite</w:t>
      </w:r>
      <w:r w:rsidR="00DC401F" w:rsidRPr="00A94DB4">
        <w:rPr>
          <w:rFonts w:ascii="Times New Roman" w:eastAsia="Times New Roman" w:hAnsi="Times New Roman" w:cs="Times New Roman"/>
          <w:sz w:val="24"/>
        </w:rPr>
        <w:t>n</w:t>
      </w:r>
      <w:r w:rsidRPr="00A94DB4">
        <w:rPr>
          <w:rFonts w:ascii="Times New Roman" w:eastAsia="Times New Roman" w:hAnsi="Times New Roman" w:cs="Times New Roman"/>
          <w:sz w:val="24"/>
        </w:rPr>
        <w:t xml:space="preserve"> për shqyrtim në Këshi</w:t>
      </w:r>
      <w:r w:rsidR="00722EFC" w:rsidRPr="00A94DB4">
        <w:rPr>
          <w:rFonts w:ascii="Times New Roman" w:eastAsia="Times New Roman" w:hAnsi="Times New Roman" w:cs="Times New Roman"/>
          <w:sz w:val="24"/>
        </w:rPr>
        <w:t>llin e Ministrave për vitin 2026</w:t>
      </w:r>
      <w:r w:rsidRPr="00A94DB4">
        <w:rPr>
          <w:rFonts w:ascii="Times New Roman" w:eastAsia="Times New Roman" w:hAnsi="Times New Roman" w:cs="Times New Roman"/>
          <w:sz w:val="24"/>
        </w:rPr>
        <w:t xml:space="preserve">, për Ministrinë e Mbrojtjes. </w:t>
      </w:r>
    </w:p>
    <w:p w14:paraId="67238DCD" w14:textId="39CAB58F" w:rsidR="00DC401F" w:rsidRPr="00A94DB4" w:rsidRDefault="00DC401F" w:rsidP="00472567">
      <w:pPr>
        <w:spacing w:after="0"/>
        <w:jc w:val="both"/>
        <w:rPr>
          <w:rFonts w:ascii="Times New Roman" w:hAnsi="Times New Roman" w:cs="Times New Roman"/>
          <w:bCs/>
          <w:sz w:val="24"/>
          <w:szCs w:val="24"/>
        </w:rPr>
      </w:pPr>
      <w:r w:rsidRPr="00A94DB4">
        <w:rPr>
          <w:rFonts w:ascii="Times New Roman" w:hAnsi="Times New Roman" w:cs="Times New Roman"/>
          <w:bCs/>
          <w:sz w:val="24"/>
          <w:szCs w:val="24"/>
        </w:rPr>
        <w:t xml:space="preserve">Ky projektligj </w:t>
      </w:r>
      <w:r w:rsidR="00472567" w:rsidRPr="00A94DB4">
        <w:rPr>
          <w:rFonts w:ascii="Times New Roman" w:hAnsi="Times New Roman" w:cs="Times New Roman"/>
          <w:bCs/>
          <w:sz w:val="24"/>
          <w:szCs w:val="24"/>
        </w:rPr>
        <w:t xml:space="preserve">është parashikuar në Planin Kombëtar për Integrimin Evropian 2024–2026, miratuar me vendimin nr. 16, datë 11.1.2024, të Këshillit të Ministrave, si nismë për rishikimin e ligjit nr. 36/2020 “Për prokurimet në fushën e mbrojtjes dhe të sigurisë”, me </w:t>
      </w:r>
      <w:r w:rsidR="007032ED" w:rsidRPr="00A94DB4">
        <w:rPr>
          <w:rFonts w:ascii="Times New Roman" w:hAnsi="Times New Roman" w:cs="Times New Roman"/>
          <w:bCs/>
          <w:sz w:val="24"/>
          <w:szCs w:val="24"/>
        </w:rPr>
        <w:t>synim përafrimin e plotë</w:t>
      </w:r>
      <w:r w:rsidR="00472567" w:rsidRPr="00A94DB4">
        <w:rPr>
          <w:rFonts w:ascii="Times New Roman" w:hAnsi="Times New Roman" w:cs="Times New Roman"/>
          <w:bCs/>
          <w:sz w:val="24"/>
          <w:szCs w:val="24"/>
        </w:rPr>
        <w:t xml:space="preserve"> me Direktivën 2009/81/KE.</w:t>
      </w:r>
    </w:p>
    <w:p w14:paraId="69F57CAE" w14:textId="77777777" w:rsidR="00472567" w:rsidRPr="00A94DB4" w:rsidRDefault="00472567" w:rsidP="00A5352C">
      <w:pPr>
        <w:spacing w:after="0"/>
        <w:rPr>
          <w:rFonts w:ascii="Times New Roman" w:hAnsi="Times New Roman" w:cs="Times New Roman"/>
          <w:bCs/>
          <w:sz w:val="24"/>
          <w:szCs w:val="24"/>
        </w:rPr>
      </w:pPr>
    </w:p>
    <w:p w14:paraId="75B7B7BE" w14:textId="72187528" w:rsidR="008C7A9C" w:rsidRPr="00A94DB4" w:rsidRDefault="008C7A9C" w:rsidP="00A5352C">
      <w:pPr>
        <w:pStyle w:val="ListParagraph"/>
        <w:numPr>
          <w:ilvl w:val="0"/>
          <w:numId w:val="1"/>
        </w:numPr>
        <w:spacing w:after="0"/>
        <w:ind w:left="360" w:hanging="360"/>
        <w:rPr>
          <w:rFonts w:ascii="Times New Roman" w:hAnsi="Times New Roman" w:cs="Times New Roman"/>
          <w:b/>
          <w:bCs/>
          <w:sz w:val="24"/>
          <w:szCs w:val="24"/>
        </w:rPr>
      </w:pPr>
      <w:r w:rsidRPr="00A94DB4">
        <w:rPr>
          <w:rFonts w:ascii="Times New Roman" w:hAnsi="Times New Roman" w:cs="Times New Roman"/>
          <w:b/>
          <w:bCs/>
          <w:sz w:val="24"/>
          <w:szCs w:val="24"/>
        </w:rPr>
        <w:t xml:space="preserve"> ARGUMENTIMI I PROJEKTAKTIT LIDHUR ME PËRPARËSITË, PROBLEMATIKAT, EFEKTET E PRITSHME</w:t>
      </w:r>
    </w:p>
    <w:p w14:paraId="2410E192" w14:textId="3C69628E" w:rsidR="008C7A9C" w:rsidRPr="00A94DB4" w:rsidRDefault="008C7A9C" w:rsidP="00A5352C">
      <w:pPr>
        <w:pStyle w:val="ListParagraph"/>
        <w:spacing w:after="0"/>
        <w:ind w:left="360" w:hanging="360"/>
        <w:jc w:val="both"/>
        <w:rPr>
          <w:rFonts w:ascii="Times New Roman" w:hAnsi="Times New Roman" w:cs="Times New Roman"/>
          <w:bCs/>
          <w:sz w:val="24"/>
          <w:szCs w:val="24"/>
        </w:rPr>
      </w:pPr>
    </w:p>
    <w:p w14:paraId="31F6BCDA" w14:textId="1AFCE156" w:rsidR="006A6666" w:rsidRPr="00A94DB4" w:rsidRDefault="006A6666" w:rsidP="00A5352C">
      <w:pPr>
        <w:pStyle w:val="ListParagraph"/>
        <w:spacing w:after="0"/>
        <w:ind w:left="0"/>
        <w:jc w:val="both"/>
        <w:rPr>
          <w:rFonts w:ascii="Times New Roman" w:hAnsi="Times New Roman" w:cs="Times New Roman"/>
          <w:bCs/>
          <w:sz w:val="24"/>
          <w:szCs w:val="24"/>
        </w:rPr>
      </w:pPr>
      <w:r w:rsidRPr="00A94DB4">
        <w:rPr>
          <w:rFonts w:ascii="Times New Roman" w:eastAsia="Times New Roman" w:hAnsi="Times New Roman" w:cs="Times New Roman"/>
          <w:sz w:val="24"/>
        </w:rPr>
        <w:t xml:space="preserve">Projektligji mbështetet në propozimet dhe </w:t>
      </w:r>
      <w:r w:rsidR="00E4627A" w:rsidRPr="00A94DB4">
        <w:rPr>
          <w:rFonts w:ascii="Times New Roman" w:eastAsia="Times New Roman" w:hAnsi="Times New Roman" w:cs="Times New Roman"/>
          <w:sz w:val="24"/>
        </w:rPr>
        <w:t>sugjerimet</w:t>
      </w:r>
      <w:r w:rsidRPr="00A94DB4">
        <w:rPr>
          <w:rFonts w:ascii="Times New Roman" w:eastAsia="Times New Roman" w:hAnsi="Times New Roman" w:cs="Times New Roman"/>
          <w:sz w:val="24"/>
        </w:rPr>
        <w:t xml:space="preserve"> e Agjencisë së Prokurimit Publik, Komisionit të Prokurimit Publik, Byrosë Kombëtare të Hetimit, Autoritetit Kombëtar për Sigurinë e Informacionit të Klasifikuar dhe strukturave përgjegjëse në Ministrinë e Mbrojtjes, si dhe në rezultatet e bashkërendimit ndërinstitucional. Në përmbajtjen e tij janë marrë në konsideratë edhe komentet e shërbimeve të Komisionit Evropian dhe raporti i SIGMA-s, i cili ka vlerësuar dispozitë për dispozitë përputhshmërinë e ligjit nr. 36/2020, të aktit nënligjor zbatues dhe të </w:t>
      </w:r>
      <w:proofErr w:type="spellStart"/>
      <w:r w:rsidRPr="00A94DB4">
        <w:rPr>
          <w:rFonts w:ascii="Times New Roman" w:eastAsia="Times New Roman" w:hAnsi="Times New Roman" w:cs="Times New Roman"/>
          <w:sz w:val="24"/>
        </w:rPr>
        <w:t>projektndryshimeve</w:t>
      </w:r>
      <w:proofErr w:type="spellEnd"/>
      <w:r w:rsidRPr="00A94DB4">
        <w:rPr>
          <w:rFonts w:ascii="Times New Roman" w:eastAsia="Times New Roman" w:hAnsi="Times New Roman" w:cs="Times New Roman"/>
          <w:sz w:val="24"/>
        </w:rPr>
        <w:t xml:space="preserve"> të përgatitura më parë</w:t>
      </w:r>
      <w:r w:rsidR="00D12E18" w:rsidRPr="00A94DB4">
        <w:rPr>
          <w:rFonts w:ascii="Times New Roman" w:eastAsia="Times New Roman" w:hAnsi="Times New Roman" w:cs="Times New Roman"/>
          <w:sz w:val="24"/>
        </w:rPr>
        <w:t xml:space="preserve"> në raport</w:t>
      </w:r>
      <w:r w:rsidRPr="00A94DB4">
        <w:rPr>
          <w:rFonts w:ascii="Times New Roman" w:eastAsia="Times New Roman" w:hAnsi="Times New Roman" w:cs="Times New Roman"/>
          <w:sz w:val="24"/>
        </w:rPr>
        <w:t xml:space="preserve"> me Direktivën 2009/81/KE</w:t>
      </w:r>
      <w:r w:rsidR="00D12E18" w:rsidRPr="00A94DB4">
        <w:rPr>
          <w:rFonts w:ascii="Times New Roman" w:eastAsia="Times New Roman" w:hAnsi="Times New Roman" w:cs="Times New Roman"/>
          <w:sz w:val="24"/>
        </w:rPr>
        <w:t>, të ndryshuar</w:t>
      </w:r>
      <w:r w:rsidRPr="00A94DB4">
        <w:rPr>
          <w:rFonts w:ascii="Times New Roman" w:eastAsia="Times New Roman" w:hAnsi="Times New Roman" w:cs="Times New Roman"/>
          <w:sz w:val="24"/>
        </w:rPr>
        <w:t>.</w:t>
      </w:r>
    </w:p>
    <w:p w14:paraId="47B8286D" w14:textId="7EF3A8AC" w:rsidR="006A6666" w:rsidRPr="00A94DB4" w:rsidRDefault="006A6666" w:rsidP="00A5352C">
      <w:pPr>
        <w:pStyle w:val="ListParagraph"/>
        <w:spacing w:after="0"/>
        <w:ind w:left="0"/>
        <w:jc w:val="both"/>
        <w:rPr>
          <w:rFonts w:ascii="Times New Roman" w:hAnsi="Times New Roman" w:cs="Times New Roman"/>
          <w:bCs/>
          <w:sz w:val="24"/>
          <w:szCs w:val="24"/>
        </w:rPr>
      </w:pPr>
    </w:p>
    <w:p w14:paraId="649ACED6" w14:textId="313B8BFD" w:rsidR="006A6666" w:rsidRPr="00A94DB4" w:rsidRDefault="006A6666" w:rsidP="00A5352C">
      <w:pPr>
        <w:pStyle w:val="ListParagraph"/>
        <w:spacing w:after="0"/>
        <w:ind w:left="0"/>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rPr>
        <w:t xml:space="preserve">Problematikat që synohen të adresohen përfshijnë harmonizimin e përkufizimeve dhe të terminologjisë së sigurisë së informacionit të klasifikuar me ligjin nr. 10/2023 “Për informacionin e klasifikuar”; saktësimin e fushës së zbatimit, kontratave të përziera, përjashtimeve dhe kontratave të rezervuara; përcaktimin e autoriteteve dhe enteve </w:t>
      </w:r>
      <w:proofErr w:type="spellStart"/>
      <w:r w:rsidRPr="00A94DB4">
        <w:rPr>
          <w:rFonts w:ascii="Times New Roman" w:eastAsia="Times New Roman" w:hAnsi="Times New Roman" w:cs="Times New Roman"/>
          <w:sz w:val="24"/>
        </w:rPr>
        <w:t>kontraktore</w:t>
      </w:r>
      <w:proofErr w:type="spellEnd"/>
      <w:r w:rsidRPr="00A94DB4">
        <w:rPr>
          <w:rFonts w:ascii="Times New Roman" w:eastAsia="Times New Roman" w:hAnsi="Times New Roman" w:cs="Times New Roman"/>
          <w:sz w:val="24"/>
        </w:rPr>
        <w:t xml:space="preserve"> dhe rregullimin e prokurimit të përqendruar; rishikimin e kufijve monetarë, mënyrës së përllogaritjes së vlerës, specifikimeve teknike, afateve për kërkesat për pjesëmarrje dhe ofertat, të drejtës dhe afateve të ankimit</w:t>
      </w:r>
      <w:r w:rsidR="000E2A12" w:rsidRPr="00A94DB4">
        <w:rPr>
          <w:rFonts w:ascii="Times New Roman" w:eastAsia="Times New Roman" w:hAnsi="Times New Roman" w:cs="Times New Roman"/>
          <w:sz w:val="24"/>
        </w:rPr>
        <w:t>, etj</w:t>
      </w:r>
      <w:r w:rsidRPr="00A94DB4">
        <w:rPr>
          <w:rFonts w:ascii="Times New Roman" w:eastAsia="Times New Roman" w:hAnsi="Times New Roman" w:cs="Times New Roman"/>
          <w:sz w:val="24"/>
        </w:rPr>
        <w:t>.</w:t>
      </w:r>
    </w:p>
    <w:p w14:paraId="3CB203A9" w14:textId="14434B94" w:rsidR="006A6666" w:rsidRPr="00A94DB4" w:rsidRDefault="006A6666" w:rsidP="00A5352C">
      <w:pPr>
        <w:pStyle w:val="ListParagraph"/>
        <w:spacing w:after="0"/>
        <w:ind w:left="0"/>
        <w:jc w:val="both"/>
        <w:rPr>
          <w:rFonts w:ascii="Times New Roman" w:eastAsia="Times New Roman" w:hAnsi="Times New Roman" w:cs="Times New Roman"/>
          <w:sz w:val="24"/>
          <w:szCs w:val="24"/>
        </w:rPr>
      </w:pPr>
    </w:p>
    <w:p w14:paraId="74B736CB" w14:textId="4966E51E" w:rsidR="006A6666" w:rsidRPr="00A94DB4" w:rsidRDefault="006A6666" w:rsidP="00A5352C">
      <w:pPr>
        <w:pStyle w:val="ListParagraph"/>
        <w:spacing w:after="0"/>
        <w:ind w:left="0"/>
        <w:jc w:val="both"/>
        <w:rPr>
          <w:rFonts w:ascii="Times New Roman" w:hAnsi="Times New Roman" w:cs="Times New Roman"/>
          <w:bCs/>
          <w:sz w:val="24"/>
          <w:szCs w:val="24"/>
        </w:rPr>
      </w:pPr>
      <w:r w:rsidRPr="00A94DB4">
        <w:rPr>
          <w:rFonts w:ascii="Times New Roman" w:eastAsia="Times New Roman" w:hAnsi="Times New Roman" w:cs="Times New Roman"/>
          <w:sz w:val="24"/>
        </w:rPr>
        <w:t xml:space="preserve">Raporti i SIGMA-s e karakterizoi kuadrin shqiptar si të modeluar </w:t>
      </w:r>
      <w:proofErr w:type="spellStart"/>
      <w:r w:rsidRPr="00A94DB4">
        <w:rPr>
          <w:rFonts w:ascii="Times New Roman" w:eastAsia="Times New Roman" w:hAnsi="Times New Roman" w:cs="Times New Roman"/>
          <w:sz w:val="24"/>
        </w:rPr>
        <w:t>strukturisht</w:t>
      </w:r>
      <w:proofErr w:type="spellEnd"/>
      <w:r w:rsidRPr="00A94DB4">
        <w:rPr>
          <w:rFonts w:ascii="Times New Roman" w:eastAsia="Times New Roman" w:hAnsi="Times New Roman" w:cs="Times New Roman"/>
          <w:sz w:val="24"/>
        </w:rPr>
        <w:t xml:space="preserve"> sipas Direktivës 2009/81/KE</w:t>
      </w:r>
      <w:r w:rsidR="00F8551C" w:rsidRPr="00A94DB4">
        <w:rPr>
          <w:rFonts w:ascii="Times New Roman" w:eastAsia="Times New Roman" w:hAnsi="Times New Roman" w:cs="Times New Roman"/>
          <w:sz w:val="24"/>
        </w:rPr>
        <w:t>, të ndryshuar</w:t>
      </w:r>
      <w:r w:rsidRPr="00A94DB4">
        <w:rPr>
          <w:rFonts w:ascii="Times New Roman" w:eastAsia="Times New Roman" w:hAnsi="Times New Roman" w:cs="Times New Roman"/>
          <w:sz w:val="24"/>
        </w:rPr>
        <w:t xml:space="preserve">, por vetëm pjesërisht të përafruar, duke grupuar çështjet kryesore në fushëveprimin dhe përjashtimet, </w:t>
      </w:r>
      <w:proofErr w:type="spellStart"/>
      <w:r w:rsidRPr="00A94DB4">
        <w:rPr>
          <w:rFonts w:ascii="Times New Roman" w:eastAsia="Times New Roman" w:hAnsi="Times New Roman" w:cs="Times New Roman"/>
          <w:sz w:val="24"/>
        </w:rPr>
        <w:t>transpozimin</w:t>
      </w:r>
      <w:proofErr w:type="spellEnd"/>
      <w:r w:rsidRPr="00A94DB4">
        <w:rPr>
          <w:rFonts w:ascii="Times New Roman" w:eastAsia="Times New Roman" w:hAnsi="Times New Roman" w:cs="Times New Roman"/>
          <w:sz w:val="24"/>
        </w:rPr>
        <w:t xml:space="preserve"> procedural të paplotë, instrumentet e </w:t>
      </w:r>
      <w:proofErr w:type="spellStart"/>
      <w:r w:rsidRPr="00A94DB4">
        <w:rPr>
          <w:rFonts w:ascii="Times New Roman" w:eastAsia="Times New Roman" w:hAnsi="Times New Roman" w:cs="Times New Roman"/>
          <w:sz w:val="24"/>
        </w:rPr>
        <w:t>patranspozuara</w:t>
      </w:r>
      <w:proofErr w:type="spellEnd"/>
      <w:r w:rsidRPr="00A94DB4">
        <w:rPr>
          <w:rFonts w:ascii="Times New Roman" w:eastAsia="Times New Roman" w:hAnsi="Times New Roman" w:cs="Times New Roman"/>
          <w:sz w:val="24"/>
        </w:rPr>
        <w:t xml:space="preserve"> dhe sistemin e shqyrtimit e të mjeteve juridike. Në këtë kuadër, projektligji rregullon në mënyrë më të plotë standardet e menaxhimit të cilësisë dhe të mjedisit, sqarimin dhe plotësimin e dokumentacionit, kriteret e dhënies së kontratës, ofertat </w:t>
      </w:r>
      <w:proofErr w:type="spellStart"/>
      <w:r w:rsidRPr="00A94DB4">
        <w:rPr>
          <w:rFonts w:ascii="Times New Roman" w:eastAsia="Times New Roman" w:hAnsi="Times New Roman" w:cs="Times New Roman"/>
          <w:sz w:val="24"/>
        </w:rPr>
        <w:t>anomalisht</w:t>
      </w:r>
      <w:proofErr w:type="spellEnd"/>
      <w:r w:rsidRPr="00A94DB4">
        <w:rPr>
          <w:rFonts w:ascii="Times New Roman" w:eastAsia="Times New Roman" w:hAnsi="Times New Roman" w:cs="Times New Roman"/>
          <w:sz w:val="24"/>
        </w:rPr>
        <w:t xml:space="preserve"> të ulëta, kushtet e zbatimit të kontratës, detyrimet për taksat, mbrojtjen e mjedisit, punësimin dhe kushtet e punës, </w:t>
      </w:r>
      <w:proofErr w:type="spellStart"/>
      <w:r w:rsidRPr="00A94DB4">
        <w:rPr>
          <w:rFonts w:ascii="Times New Roman" w:eastAsia="Times New Roman" w:hAnsi="Times New Roman" w:cs="Times New Roman"/>
          <w:sz w:val="24"/>
        </w:rPr>
        <w:t>nënkontraktimin</w:t>
      </w:r>
      <w:proofErr w:type="spellEnd"/>
      <w:r w:rsidRPr="00A94DB4">
        <w:rPr>
          <w:rFonts w:ascii="Times New Roman" w:eastAsia="Times New Roman" w:hAnsi="Times New Roman" w:cs="Times New Roman"/>
          <w:sz w:val="24"/>
        </w:rPr>
        <w:t>, ankandin elektronik, njoftimin vullnetar për transparencë parapra</w:t>
      </w:r>
      <w:r w:rsidR="000E2A12" w:rsidRPr="00A94DB4">
        <w:rPr>
          <w:rFonts w:ascii="Times New Roman" w:eastAsia="Times New Roman" w:hAnsi="Times New Roman" w:cs="Times New Roman"/>
          <w:sz w:val="24"/>
        </w:rPr>
        <w:t xml:space="preserve">ke, pavlefshmërinë e kontratave, </w:t>
      </w:r>
      <w:r w:rsidR="00F51E95" w:rsidRPr="00A94DB4">
        <w:rPr>
          <w:rFonts w:ascii="Times New Roman" w:eastAsia="Times New Roman" w:hAnsi="Times New Roman" w:cs="Times New Roman"/>
          <w:sz w:val="24"/>
        </w:rPr>
        <w:t>si dhe instrumentet e tjera të parashikuara nga projektligji</w:t>
      </w:r>
      <w:r w:rsidRPr="00A94DB4">
        <w:rPr>
          <w:rFonts w:ascii="Times New Roman" w:eastAsia="Times New Roman" w:hAnsi="Times New Roman" w:cs="Times New Roman"/>
          <w:sz w:val="24"/>
        </w:rPr>
        <w:t>.</w:t>
      </w:r>
    </w:p>
    <w:p w14:paraId="5626869C" w14:textId="0AFA0448" w:rsidR="00477DC6" w:rsidRPr="00A94DB4" w:rsidRDefault="00477DC6" w:rsidP="00A5352C">
      <w:pPr>
        <w:spacing w:after="0"/>
        <w:ind w:right="-180"/>
        <w:jc w:val="both"/>
        <w:rPr>
          <w:rFonts w:ascii="Times New Roman" w:hAnsi="Times New Roman" w:cs="Times New Roman"/>
          <w:sz w:val="24"/>
          <w:szCs w:val="24"/>
        </w:rPr>
      </w:pPr>
    </w:p>
    <w:p w14:paraId="5098BC69" w14:textId="154DE533" w:rsidR="005A3F57" w:rsidRPr="00A94DB4" w:rsidRDefault="00A06CE9" w:rsidP="00A5352C">
      <w:pPr>
        <w:pStyle w:val="ListParagraph"/>
        <w:spacing w:after="0"/>
        <w:ind w:left="0"/>
        <w:jc w:val="both"/>
        <w:rPr>
          <w:rFonts w:ascii="Times New Roman" w:hAnsi="Times New Roman" w:cs="Times New Roman"/>
          <w:bCs/>
          <w:sz w:val="24"/>
          <w:szCs w:val="24"/>
        </w:rPr>
      </w:pPr>
      <w:r w:rsidRPr="00A94DB4">
        <w:rPr>
          <w:rFonts w:ascii="Times New Roman" w:eastAsia="Times New Roman" w:hAnsi="Times New Roman" w:cs="Times New Roman"/>
          <w:sz w:val="24"/>
        </w:rPr>
        <w:t xml:space="preserve">Duke qenë se ndërhyrjet e nevojshme tejkalojnë 50 për qind të përmbajtjes së ligjit nr. 36/2020, është vlerësuar se teknika e ndryshimit dhe plotësimit nuk siguronte më </w:t>
      </w:r>
      <w:r w:rsidR="00A97288" w:rsidRPr="00A94DB4">
        <w:rPr>
          <w:rFonts w:ascii="Times New Roman" w:eastAsia="Times New Roman" w:hAnsi="Times New Roman" w:cs="Times New Roman"/>
          <w:sz w:val="24"/>
        </w:rPr>
        <w:t>qartësi dhe koherencë normative,</w:t>
      </w:r>
      <w:r w:rsidRPr="00A94DB4">
        <w:rPr>
          <w:rFonts w:ascii="Times New Roman" w:eastAsia="Times New Roman" w:hAnsi="Times New Roman" w:cs="Times New Roman"/>
          <w:sz w:val="24"/>
        </w:rPr>
        <w:t xml:space="preserve"> për këtë arsye është hartuar një ligj i ri që shfuqizon ligjin aktual, duke ruajtur zgjidhjet dhe kontributet e </w:t>
      </w:r>
      <w:proofErr w:type="spellStart"/>
      <w:r w:rsidRPr="00A94DB4">
        <w:rPr>
          <w:rFonts w:ascii="Times New Roman" w:eastAsia="Times New Roman" w:hAnsi="Times New Roman" w:cs="Times New Roman"/>
          <w:sz w:val="24"/>
        </w:rPr>
        <w:t>konsoliduara</w:t>
      </w:r>
      <w:proofErr w:type="spellEnd"/>
      <w:r w:rsidRPr="00A94DB4">
        <w:rPr>
          <w:rFonts w:ascii="Times New Roman" w:eastAsia="Times New Roman" w:hAnsi="Times New Roman" w:cs="Times New Roman"/>
          <w:sz w:val="24"/>
        </w:rPr>
        <w:t xml:space="preserve"> në draftin e parë. Miratimi i tij pritet të rrisë sigurinë juridike, transparencën dhe konkurrencën, të përmirësojë planifikimin dhe zhvillimin e procedurave, të forcojë mbrojtjen e informacionit të klasifikuar dhe sigurinë e furnizimit, të bëjë më efektiv sistemin e ankimit dhe të ulë paqartësitë gjatë zbatimit.</w:t>
      </w:r>
    </w:p>
    <w:p w14:paraId="0F9F41BD" w14:textId="77777777" w:rsidR="008C7A9C" w:rsidRPr="00A94DB4" w:rsidRDefault="008C7A9C" w:rsidP="00A5352C">
      <w:pPr>
        <w:spacing w:after="0"/>
        <w:jc w:val="both"/>
        <w:rPr>
          <w:rFonts w:ascii="Times New Roman" w:hAnsi="Times New Roman" w:cs="Times New Roman"/>
          <w:bCs/>
          <w:sz w:val="24"/>
          <w:szCs w:val="24"/>
        </w:rPr>
      </w:pPr>
    </w:p>
    <w:p w14:paraId="6BA9A143" w14:textId="77777777" w:rsidR="008C7A9C" w:rsidRPr="00A94DB4" w:rsidRDefault="00B44E1E" w:rsidP="00A5352C">
      <w:pPr>
        <w:pStyle w:val="ListParagraph"/>
        <w:numPr>
          <w:ilvl w:val="0"/>
          <w:numId w:val="1"/>
        </w:numPr>
        <w:spacing w:after="0"/>
        <w:ind w:left="360" w:hanging="360"/>
        <w:rPr>
          <w:rFonts w:ascii="Times New Roman" w:hAnsi="Times New Roman" w:cs="Times New Roman"/>
          <w:b/>
          <w:bCs/>
          <w:sz w:val="24"/>
          <w:szCs w:val="24"/>
        </w:rPr>
      </w:pPr>
      <w:r w:rsidRPr="00A94DB4">
        <w:rPr>
          <w:rFonts w:ascii="Times New Roman" w:hAnsi="Times New Roman" w:cs="Times New Roman"/>
          <w:b/>
          <w:bCs/>
          <w:sz w:val="24"/>
          <w:szCs w:val="24"/>
        </w:rPr>
        <w:t xml:space="preserve"> VLERËSIMI</w:t>
      </w:r>
      <w:r w:rsidR="008C7A9C" w:rsidRPr="00A94DB4">
        <w:rPr>
          <w:rFonts w:ascii="Times New Roman" w:hAnsi="Times New Roman" w:cs="Times New Roman"/>
          <w:b/>
          <w:bCs/>
          <w:sz w:val="24"/>
          <w:szCs w:val="24"/>
        </w:rPr>
        <w:t xml:space="preserve"> I LIGJSHMËRISË, KUSHTETUESHMËRISË DHE HARMONIZIMI ME LEGJISLACIONIN NË FUQI VENDAS E NDËRKOMBËTAR</w:t>
      </w:r>
    </w:p>
    <w:p w14:paraId="659C6A9E" w14:textId="77777777" w:rsidR="008C7A9C" w:rsidRPr="00A94DB4" w:rsidRDefault="008C7A9C" w:rsidP="00A5352C">
      <w:pPr>
        <w:pStyle w:val="ListParagraph"/>
        <w:tabs>
          <w:tab w:val="left" w:pos="360"/>
          <w:tab w:val="left" w:pos="540"/>
        </w:tabs>
        <w:spacing w:after="0"/>
        <w:ind w:left="360"/>
        <w:rPr>
          <w:rFonts w:ascii="Times New Roman" w:hAnsi="Times New Roman" w:cs="Times New Roman"/>
          <w:b/>
          <w:bCs/>
          <w:sz w:val="24"/>
          <w:szCs w:val="24"/>
        </w:rPr>
      </w:pPr>
    </w:p>
    <w:p w14:paraId="75345B4A" w14:textId="0A47FC8C" w:rsidR="00094857" w:rsidRPr="00A94DB4" w:rsidRDefault="00497600" w:rsidP="00A5352C">
      <w:pPr>
        <w:pStyle w:val="ListParagraph"/>
        <w:spacing w:after="0"/>
        <w:ind w:left="0"/>
        <w:jc w:val="both"/>
        <w:rPr>
          <w:rFonts w:ascii="Times New Roman" w:hAnsi="Times New Roman" w:cs="Times New Roman"/>
          <w:sz w:val="24"/>
          <w:szCs w:val="24"/>
        </w:rPr>
      </w:pPr>
      <w:r w:rsidRPr="00A94DB4">
        <w:rPr>
          <w:rFonts w:ascii="Times New Roman" w:eastAsia="Times New Roman" w:hAnsi="Times New Roman" w:cs="Times New Roman"/>
          <w:sz w:val="24"/>
        </w:rPr>
        <w:t>Ky projektligj mbështetet në nenet 78 dhe 83, pika 1, të Kushtetutës dhe është në harmoni me rendin juridik të brendshëm</w:t>
      </w:r>
      <w:r w:rsidR="005D4F2F" w:rsidRPr="00A94DB4">
        <w:rPr>
          <w:rFonts w:ascii="Times New Roman" w:eastAsia="Times New Roman" w:hAnsi="Times New Roman" w:cs="Times New Roman"/>
          <w:sz w:val="24"/>
        </w:rPr>
        <w:t xml:space="preserve"> dhe atë </w:t>
      </w:r>
      <w:proofErr w:type="spellStart"/>
      <w:r w:rsidR="005D4F2F" w:rsidRPr="00A94DB4">
        <w:rPr>
          <w:rFonts w:ascii="Times New Roman" w:eastAsia="Times New Roman" w:hAnsi="Times New Roman" w:cs="Times New Roman"/>
          <w:sz w:val="24"/>
        </w:rPr>
        <w:t>komunitar</w:t>
      </w:r>
      <w:proofErr w:type="spellEnd"/>
      <w:r w:rsidRPr="00A94DB4">
        <w:rPr>
          <w:rFonts w:ascii="Times New Roman" w:eastAsia="Times New Roman" w:hAnsi="Times New Roman" w:cs="Times New Roman"/>
          <w:sz w:val="24"/>
        </w:rPr>
        <w:t xml:space="preserve">. Dispozitat e tij janë konceptuar në koherencë me ligjin nr. 162/2020 “Për prokurimin publik”, ligjin nr. 10/2023 “Për informacionin e klasifikuar”, Kodin e Procedurave Administrative dhe legjislacionin sektorial që rregullon veprimtarinë e autoriteteve dhe enteve </w:t>
      </w:r>
      <w:proofErr w:type="spellStart"/>
      <w:r w:rsidRPr="00A94DB4">
        <w:rPr>
          <w:rFonts w:ascii="Times New Roman" w:eastAsia="Times New Roman" w:hAnsi="Times New Roman" w:cs="Times New Roman"/>
          <w:sz w:val="24"/>
        </w:rPr>
        <w:t>kontraktore</w:t>
      </w:r>
      <w:proofErr w:type="spellEnd"/>
      <w:r w:rsidRPr="00A94DB4">
        <w:rPr>
          <w:rFonts w:ascii="Times New Roman" w:eastAsia="Times New Roman" w:hAnsi="Times New Roman" w:cs="Times New Roman"/>
          <w:sz w:val="24"/>
        </w:rPr>
        <w:t xml:space="preserve"> në fushën e mbrojtjes dhe të sigurisë. Projektligji respekton detyrimet që rrjedhin nga marrëveshjet ndërkombëtare të Republikës së Shqipërisë dhe rregullon shprehimisht raportin e tyre me procedurat kombëtare të prokurimit. Zgjedhja e miratimit të një</w:t>
      </w:r>
      <w:r w:rsidR="00A97288" w:rsidRPr="00A94DB4">
        <w:rPr>
          <w:rFonts w:ascii="Times New Roman" w:eastAsia="Times New Roman" w:hAnsi="Times New Roman" w:cs="Times New Roman"/>
          <w:sz w:val="24"/>
        </w:rPr>
        <w:t xml:space="preserve"> ligji të ri </w:t>
      </w:r>
      <w:r w:rsidRPr="00A94DB4">
        <w:rPr>
          <w:rFonts w:ascii="Times New Roman" w:eastAsia="Times New Roman" w:hAnsi="Times New Roman" w:cs="Times New Roman"/>
          <w:sz w:val="24"/>
        </w:rPr>
        <w:t xml:space="preserve">dhe </w:t>
      </w:r>
      <w:r w:rsidR="00E27FC3" w:rsidRPr="00A94DB4">
        <w:rPr>
          <w:rFonts w:ascii="Times New Roman" w:eastAsia="Times New Roman" w:hAnsi="Times New Roman" w:cs="Times New Roman"/>
          <w:sz w:val="24"/>
        </w:rPr>
        <w:t xml:space="preserve">e </w:t>
      </w:r>
      <w:r w:rsidRPr="00A94DB4">
        <w:rPr>
          <w:rFonts w:ascii="Times New Roman" w:eastAsia="Times New Roman" w:hAnsi="Times New Roman" w:cs="Times New Roman"/>
          <w:sz w:val="24"/>
        </w:rPr>
        <w:t>shfuqizimi</w:t>
      </w:r>
      <w:r w:rsidR="00E27FC3" w:rsidRPr="00A94DB4">
        <w:rPr>
          <w:rFonts w:ascii="Times New Roman" w:eastAsia="Times New Roman" w:hAnsi="Times New Roman" w:cs="Times New Roman"/>
          <w:sz w:val="24"/>
        </w:rPr>
        <w:t>t</w:t>
      </w:r>
      <w:r w:rsidRPr="00A94DB4">
        <w:rPr>
          <w:rFonts w:ascii="Times New Roman" w:eastAsia="Times New Roman" w:hAnsi="Times New Roman" w:cs="Times New Roman"/>
          <w:sz w:val="24"/>
        </w:rPr>
        <w:t xml:space="preserve"> </w:t>
      </w:r>
      <w:r w:rsidR="00E27FC3" w:rsidRPr="00A94DB4">
        <w:rPr>
          <w:rFonts w:ascii="Times New Roman" w:eastAsia="Times New Roman" w:hAnsi="Times New Roman" w:cs="Times New Roman"/>
          <w:sz w:val="24"/>
        </w:rPr>
        <w:t>t</w:t>
      </w:r>
      <w:r w:rsidRPr="00A94DB4">
        <w:rPr>
          <w:rFonts w:ascii="Times New Roman" w:eastAsia="Times New Roman" w:hAnsi="Times New Roman" w:cs="Times New Roman"/>
          <w:sz w:val="24"/>
        </w:rPr>
        <w:t xml:space="preserve"> ligjit nr. 36/2020, siguron vazhdimësinë e procedurave të nisura dhe shmang mbivendosjet normative.</w:t>
      </w:r>
    </w:p>
    <w:p w14:paraId="3F58CE16" w14:textId="77777777" w:rsidR="008C7A9C" w:rsidRPr="00A94DB4" w:rsidRDefault="008C7A9C" w:rsidP="00A5352C">
      <w:pPr>
        <w:spacing w:after="0"/>
        <w:jc w:val="both"/>
        <w:rPr>
          <w:rFonts w:ascii="Times New Roman" w:hAnsi="Times New Roman" w:cs="Times New Roman"/>
          <w:bCs/>
          <w:sz w:val="24"/>
          <w:szCs w:val="24"/>
        </w:rPr>
      </w:pPr>
    </w:p>
    <w:p w14:paraId="4CE6F4F0" w14:textId="77777777" w:rsidR="008C7A9C" w:rsidRPr="00A94DB4" w:rsidRDefault="008C7A9C" w:rsidP="00A5352C">
      <w:pPr>
        <w:pStyle w:val="ListParagraph"/>
        <w:numPr>
          <w:ilvl w:val="0"/>
          <w:numId w:val="1"/>
        </w:numPr>
        <w:spacing w:after="0"/>
        <w:ind w:left="360" w:hanging="360"/>
        <w:jc w:val="both"/>
        <w:rPr>
          <w:rFonts w:ascii="Times New Roman" w:hAnsi="Times New Roman" w:cs="Times New Roman"/>
          <w:b/>
          <w:bCs/>
          <w:sz w:val="24"/>
          <w:szCs w:val="24"/>
        </w:rPr>
      </w:pPr>
      <w:r w:rsidRPr="00A94DB4">
        <w:rPr>
          <w:rFonts w:ascii="Times New Roman" w:hAnsi="Times New Roman" w:cs="Times New Roman"/>
          <w:b/>
          <w:bCs/>
          <w:sz w:val="24"/>
          <w:szCs w:val="24"/>
        </w:rPr>
        <w:t xml:space="preserve">VLERËSIMI I SHKALLËS SË PËRAFRIMIT ME </w:t>
      </w:r>
      <w:r w:rsidRPr="00A94DB4">
        <w:rPr>
          <w:rFonts w:ascii="Times New Roman" w:hAnsi="Times New Roman" w:cs="Times New Roman"/>
          <w:b/>
          <w:bCs/>
          <w:i/>
          <w:sz w:val="24"/>
          <w:szCs w:val="24"/>
        </w:rPr>
        <w:t>ACQUIS COMMUNITAIRE</w:t>
      </w:r>
      <w:r w:rsidRPr="00A94DB4">
        <w:rPr>
          <w:rFonts w:ascii="Times New Roman" w:hAnsi="Times New Roman" w:cs="Times New Roman"/>
          <w:b/>
          <w:bCs/>
          <w:sz w:val="24"/>
          <w:szCs w:val="24"/>
        </w:rPr>
        <w:t xml:space="preserve"> (PËR PROJEKTAKTET NORMATIVE)</w:t>
      </w:r>
    </w:p>
    <w:p w14:paraId="534F77F3" w14:textId="77777777" w:rsidR="008C7A9C" w:rsidRPr="00A94DB4" w:rsidRDefault="008C7A9C" w:rsidP="00A5352C">
      <w:pPr>
        <w:pStyle w:val="ListParagraph"/>
        <w:spacing w:after="0"/>
        <w:ind w:left="0"/>
        <w:rPr>
          <w:rFonts w:ascii="Times New Roman" w:hAnsi="Times New Roman" w:cs="Times New Roman"/>
          <w:b/>
          <w:bCs/>
          <w:sz w:val="24"/>
          <w:szCs w:val="24"/>
        </w:rPr>
      </w:pPr>
    </w:p>
    <w:p w14:paraId="3EFCB586" w14:textId="3B326138" w:rsidR="00902228" w:rsidRPr="00A94DB4" w:rsidRDefault="00491E97" w:rsidP="00A5352C">
      <w:pPr>
        <w:pStyle w:val="ListParagraph"/>
        <w:spacing w:after="0"/>
        <w:ind w:left="0"/>
        <w:jc w:val="both"/>
        <w:rPr>
          <w:rFonts w:ascii="Times New Roman" w:eastAsia="Times New Roman" w:hAnsi="Times New Roman" w:cs="Times New Roman"/>
          <w:sz w:val="24"/>
        </w:rPr>
      </w:pPr>
      <w:r w:rsidRPr="00A94DB4">
        <w:rPr>
          <w:rFonts w:ascii="Times New Roman" w:eastAsia="Times New Roman" w:hAnsi="Times New Roman" w:cs="Times New Roman"/>
          <w:sz w:val="24"/>
        </w:rPr>
        <w:t xml:space="preserve">Projektligji synon përafrimin e mëtejshëm të legjislacionit shqiptar me </w:t>
      </w:r>
      <w:proofErr w:type="spellStart"/>
      <w:r w:rsidRPr="00A94DB4">
        <w:rPr>
          <w:rFonts w:ascii="Times New Roman" w:eastAsia="Times New Roman" w:hAnsi="Times New Roman" w:cs="Times New Roman"/>
          <w:sz w:val="24"/>
        </w:rPr>
        <w:t>acquis</w:t>
      </w:r>
      <w:proofErr w:type="spellEnd"/>
      <w:r w:rsidRPr="00A94DB4">
        <w:rPr>
          <w:rFonts w:ascii="Times New Roman" w:eastAsia="Times New Roman" w:hAnsi="Times New Roman" w:cs="Times New Roman"/>
          <w:sz w:val="24"/>
        </w:rPr>
        <w:t xml:space="preserve"> të Bashkimit Evropian, konkretisht me Direktivën 2009/81/KE të Parlamentit Evropian dhe të Këshillit, datë 13 korrik 2009, ‘Mbi koordinimin e procedurave për dhënien e disa kontratave për punë, furnizime dhe shërbime nga autoritetet </w:t>
      </w:r>
      <w:proofErr w:type="spellStart"/>
      <w:r w:rsidRPr="00A94DB4">
        <w:rPr>
          <w:rFonts w:ascii="Times New Roman" w:eastAsia="Times New Roman" w:hAnsi="Times New Roman" w:cs="Times New Roman"/>
          <w:sz w:val="24"/>
        </w:rPr>
        <w:t>kontraktore</w:t>
      </w:r>
      <w:proofErr w:type="spellEnd"/>
      <w:r w:rsidRPr="00A94DB4">
        <w:rPr>
          <w:rFonts w:ascii="Times New Roman" w:eastAsia="Times New Roman" w:hAnsi="Times New Roman" w:cs="Times New Roman"/>
          <w:sz w:val="24"/>
        </w:rPr>
        <w:t xml:space="preserve"> apo entet në fushat e mbrojtjes dhe të sigurisë dhe që ndryshon direktivat 2004/17/KE dhe 2004/18/KE’, të ndryshuar. Shkalla e përgjithshme e përafrimit vlerësohet e pjesshme, ndërsa dispozitat e veçanta të projektligjit paraqesin nivele të ndryshme përafrimi, sipas përmbajtjes dhe fushës së tyre të rregullimit.</w:t>
      </w:r>
    </w:p>
    <w:p w14:paraId="394674B5" w14:textId="77777777" w:rsidR="00491E97" w:rsidRPr="00A94DB4" w:rsidRDefault="00491E97" w:rsidP="00A5352C">
      <w:pPr>
        <w:pStyle w:val="ListParagraph"/>
        <w:spacing w:after="0"/>
        <w:ind w:left="0"/>
        <w:jc w:val="both"/>
        <w:rPr>
          <w:rFonts w:ascii="Times New Roman" w:hAnsi="Times New Roman" w:cs="Times New Roman"/>
          <w:bCs/>
          <w:sz w:val="24"/>
          <w:szCs w:val="24"/>
        </w:rPr>
      </w:pPr>
    </w:p>
    <w:p w14:paraId="538D34A5" w14:textId="77777777" w:rsidR="008C7A9C" w:rsidRPr="00A94DB4" w:rsidRDefault="008C7A9C" w:rsidP="00A5352C">
      <w:pPr>
        <w:pStyle w:val="ListParagraph"/>
        <w:numPr>
          <w:ilvl w:val="0"/>
          <w:numId w:val="1"/>
        </w:numPr>
        <w:spacing w:after="0"/>
        <w:ind w:left="709" w:hanging="709"/>
        <w:jc w:val="both"/>
        <w:rPr>
          <w:rFonts w:ascii="Times New Roman" w:hAnsi="Times New Roman" w:cs="Times New Roman"/>
          <w:b/>
          <w:bCs/>
          <w:sz w:val="24"/>
          <w:szCs w:val="24"/>
        </w:rPr>
      </w:pPr>
      <w:r w:rsidRPr="00A94DB4">
        <w:rPr>
          <w:rFonts w:ascii="Times New Roman" w:hAnsi="Times New Roman" w:cs="Times New Roman"/>
          <w:b/>
          <w:bCs/>
          <w:sz w:val="24"/>
          <w:szCs w:val="24"/>
        </w:rPr>
        <w:t>PËRMBLEDHJE SHPJEGUESE E PËRMBAJTJES SË PROJEKTAKTIT</w:t>
      </w:r>
    </w:p>
    <w:p w14:paraId="6B2979CD" w14:textId="77777777" w:rsidR="008C7A9C" w:rsidRPr="00A94DB4" w:rsidRDefault="008C7A9C" w:rsidP="00A5352C">
      <w:pPr>
        <w:pStyle w:val="ListParagraph"/>
        <w:spacing w:after="0"/>
        <w:ind w:left="360" w:hanging="360"/>
        <w:jc w:val="both"/>
        <w:rPr>
          <w:rFonts w:ascii="Times New Roman" w:hAnsi="Times New Roman" w:cs="Times New Roman"/>
          <w:sz w:val="24"/>
          <w:szCs w:val="24"/>
        </w:rPr>
      </w:pPr>
    </w:p>
    <w:p w14:paraId="6414F97B" w14:textId="13B3C205" w:rsidR="005A352E" w:rsidRPr="00A94DB4" w:rsidRDefault="005A352E" w:rsidP="0078049C">
      <w:pPr>
        <w:shd w:val="clear" w:color="auto" w:fill="FFFFFF"/>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‘Për prokurimet në fushën e mbrojtjes dhe të sigurisë’ përbëhet nga </w:t>
      </w:r>
      <w:r w:rsidRPr="00A94DB4">
        <w:rPr>
          <w:rFonts w:ascii="Times New Roman" w:hAnsi="Times New Roman" w:cs="Times New Roman"/>
          <w:b/>
          <w:bCs/>
          <w:sz w:val="24"/>
          <w:szCs w:val="24"/>
        </w:rPr>
        <w:t>80 nene</w:t>
      </w:r>
      <w:r w:rsidRPr="00A94DB4">
        <w:rPr>
          <w:rFonts w:ascii="Times New Roman" w:hAnsi="Times New Roman" w:cs="Times New Roman"/>
          <w:sz w:val="24"/>
          <w:szCs w:val="24"/>
        </w:rPr>
        <w:t xml:space="preserve">, të organizuara në </w:t>
      </w:r>
      <w:r w:rsidRPr="00A94DB4">
        <w:rPr>
          <w:rFonts w:ascii="Times New Roman" w:hAnsi="Times New Roman" w:cs="Times New Roman"/>
          <w:b/>
          <w:bCs/>
          <w:sz w:val="24"/>
          <w:szCs w:val="24"/>
        </w:rPr>
        <w:t>12 krerë</w:t>
      </w:r>
      <w:r w:rsidRPr="00A94DB4">
        <w:rPr>
          <w:rFonts w:ascii="Times New Roman" w:hAnsi="Times New Roman" w:cs="Times New Roman"/>
          <w:sz w:val="24"/>
          <w:szCs w:val="24"/>
        </w:rPr>
        <w:t>, dhe synon të rregullojë në mënyrë të plotë dhe të integruar regjimin juridik të prokurimeve në fushën e mbrojtjes dhe të sigurisë.</w:t>
      </w:r>
    </w:p>
    <w:p w14:paraId="1DDE7CA1"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1</w:t>
      </w:r>
      <w:r w:rsidRPr="00A94DB4">
        <w:rPr>
          <w:rFonts w:ascii="Times New Roman" w:eastAsia="Times New Roman" w:hAnsi="Times New Roman" w:cs="Times New Roman"/>
          <w:sz w:val="24"/>
          <w:szCs w:val="24"/>
        </w:rPr>
        <w:t xml:space="preserve"> përcakton objektin dhe qëllimin e ligjit. Në pikën 1 përcaktohen kategoritë e kontratave në fushën e mbrojtjes dhe të sigurisë që i nënshtrohen këtij ligji. Këto kategori përfshijnë kontratat për furnizimin me pajisje ushtarake dhe pajisje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xml:space="preserve">, së bashku me pjesët dhe njësitë përbërëse të tyre, kontratat për punë, mallra dhe shërbime që lidhen drejtpërdrejt me këto pajisje gjatë çdo elementi të ciklit të tyre jetësor, si dhe kontratat për punë dhe shërbime për qëllime specifike ushtarake ose për punë dhe shërbime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Pika 2 përcakton qëllimin e ligjit, që është vendosja e rregullave për prokurimet në fushën e mbrojtjes dhe të sigurisë të institucioneve shtetërore dhe të institucioneve të mbrojtjes e të sigurisë në Republikën e Shqipërisë. </w:t>
      </w:r>
    </w:p>
    <w:p w14:paraId="7B5FF025"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ligjin nr. 36/2020, objekti dhe qëllimi i ligjit ruhen në thelb, ndërsa bëhen dy ndryshime në përcaktimin e kategorive të kontratave. Së pari, në shkronjën “b”, termi “pajisje të klasifikuara” zëvendësohet me termin “pajisje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xml:space="preserve">”, në përputhje me terminologjinë e përdorur në projektligj për pajisjet e destinuara për qëllime sigurie, të cilat përfshijnë, kërkojnë </w:t>
      </w:r>
      <w:r w:rsidRPr="00A94DB4">
        <w:rPr>
          <w:rFonts w:ascii="Times New Roman" w:eastAsia="Times New Roman" w:hAnsi="Times New Roman" w:cs="Times New Roman"/>
          <w:sz w:val="24"/>
          <w:szCs w:val="24"/>
        </w:rPr>
        <w:lastRenderedPageBreak/>
        <w:t xml:space="preserve">ose përmbajnë informacion të klasifikuar. Së dyti, riformulohet shkronja “ç”. Ligji në fuqi përfshin në këtë kategori punët, pajisjet dhe shërbimet ushtarake që, për arsye sigurie, përfshijnë, kërkojnë ose përmbajnë informacion të klasifikuar dhe trajtohen si të klasifikuara. Projektligji i ri dallon dy kategori të veçanta: punët dhe shërbimet për qëllime specifike ushtarake, nga njëra anë, dhe punët dhe shërbimet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nga ana tjetër. Ky riformulim qartëson fushën materiale të zbatimit dhe shmang kushtëzimin e punëve dhe shërbimeve për qëllime specifike ushtarake vetëm me praninë e informacionit të klasifikuar. Pika 2, që përcakton qëllimin e ligjit, ruhet pa ndryshime thelbësore nga ligji në fuqi. </w:t>
      </w:r>
    </w:p>
    <w:p w14:paraId="2A8CBC78"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Neni 1 është përafruar plotësisht me nenin 2 të Direktivës 2009/81/KE, i cili përcakton kategoritë e kontratave në fushën e mbrojtjes dhe të sigurisë që përfshihen në fushën e zbatimit të saj. </w:t>
      </w:r>
    </w:p>
    <w:p w14:paraId="74271956"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2</w:t>
      </w:r>
      <w:r w:rsidRPr="00A94DB4">
        <w:rPr>
          <w:rFonts w:ascii="Times New Roman" w:eastAsia="Times New Roman" w:hAnsi="Times New Roman" w:cs="Times New Roman"/>
          <w:sz w:val="24"/>
          <w:szCs w:val="24"/>
        </w:rPr>
        <w:t xml:space="preserve"> përcakton fushën e zbatimit të ligjit, duke vendosur rregullin se dispozitat e tij zbatohen për të gjitha procedurat e prokurimit në fushën e mbrojtjes dhe të sigurisë, përveç rasteve që përjashtohen shprehimisht sipas nenit 5 të projektligjit. Dispozita duhet të lexohet në lidhje me nenin 1, i cili përcakton kategoritë e kontratave që përfshihen në objektin e ligjit, dhe me nenin 5, i cili përcakton në mënyrë të kufizuar rastet kur ligji nuk zbatohet. </w:t>
      </w:r>
    </w:p>
    <w:p w14:paraId="1B03FEF7"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ligjin nr. 36/2020, formulimi i nenit ruhet i pandryshuar. Megjithatë, shtrirja konkrete e fushës së zbatimit ndryshon si rezultat i riformulimit të objektit të ligjit në nenin 1 dhe ristrukturimit të përjashtimeve të parashikuara në nenin 5 të projektligjit. Për rrjedhojë, fusha e zbatimit përcaktohet nga natyra dhe objekti i kontratës dhe kufizohet vetëm në rastet </w:t>
      </w:r>
      <w:proofErr w:type="spellStart"/>
      <w:r w:rsidRPr="00A94DB4">
        <w:rPr>
          <w:rFonts w:ascii="Times New Roman" w:eastAsia="Times New Roman" w:hAnsi="Times New Roman" w:cs="Times New Roman"/>
          <w:sz w:val="24"/>
          <w:szCs w:val="24"/>
        </w:rPr>
        <w:t>përjashtimore</w:t>
      </w:r>
      <w:proofErr w:type="spellEnd"/>
      <w:r w:rsidRPr="00A94DB4">
        <w:rPr>
          <w:rFonts w:ascii="Times New Roman" w:eastAsia="Times New Roman" w:hAnsi="Times New Roman" w:cs="Times New Roman"/>
          <w:sz w:val="24"/>
          <w:szCs w:val="24"/>
        </w:rPr>
        <w:t xml:space="preserve"> të parashikuara shprehimisht nga ligji. </w:t>
      </w:r>
    </w:p>
    <w:p w14:paraId="035913FD"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3</w:t>
      </w:r>
      <w:r w:rsidRPr="00A94DB4">
        <w:rPr>
          <w:rFonts w:ascii="Times New Roman" w:eastAsia="Times New Roman" w:hAnsi="Times New Roman" w:cs="Times New Roman"/>
          <w:sz w:val="24"/>
          <w:szCs w:val="24"/>
        </w:rPr>
        <w:t xml:space="preserve"> përcakton parimet që duhet të respektohen gjatë zhvillimit të procedurave të prokurimit në fushën e mbrojtjes dhe të sigurisë.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duhet të veprojnë në mënyrë transparente dhe t’i trajtojnë operatorët ekonomikë në mënyrë të barabartë dhe </w:t>
      </w:r>
      <w:proofErr w:type="spellStart"/>
      <w:r w:rsidRPr="00A94DB4">
        <w:rPr>
          <w:rFonts w:ascii="Times New Roman" w:eastAsia="Times New Roman" w:hAnsi="Times New Roman" w:cs="Times New Roman"/>
          <w:sz w:val="24"/>
          <w:szCs w:val="24"/>
        </w:rPr>
        <w:t>jodiskriminuese</w:t>
      </w:r>
      <w:proofErr w:type="spellEnd"/>
      <w:r w:rsidRPr="00A94DB4">
        <w:rPr>
          <w:rFonts w:ascii="Times New Roman" w:eastAsia="Times New Roman" w:hAnsi="Times New Roman" w:cs="Times New Roman"/>
          <w:sz w:val="24"/>
          <w:szCs w:val="24"/>
        </w:rPr>
        <w:t xml:space="preserve">. Dispozita parashikon gjithashtu rritjen e </w:t>
      </w:r>
      <w:proofErr w:type="spellStart"/>
      <w:r w:rsidRPr="00A94DB4">
        <w:rPr>
          <w:rFonts w:ascii="Times New Roman" w:eastAsia="Times New Roman" w:hAnsi="Times New Roman" w:cs="Times New Roman"/>
          <w:sz w:val="24"/>
          <w:szCs w:val="24"/>
        </w:rPr>
        <w:t>eficiencës</w:t>
      </w:r>
      <w:proofErr w:type="spellEnd"/>
      <w:r w:rsidRPr="00A94DB4">
        <w:rPr>
          <w:rFonts w:ascii="Times New Roman" w:eastAsia="Times New Roman" w:hAnsi="Times New Roman" w:cs="Times New Roman"/>
          <w:sz w:val="24"/>
          <w:szCs w:val="24"/>
        </w:rPr>
        <w:t xml:space="preserve"> dhe të efikasitetit të procedurave, </w:t>
      </w:r>
      <w:proofErr w:type="spellStart"/>
      <w:r w:rsidRPr="00A94DB4">
        <w:rPr>
          <w:rFonts w:ascii="Times New Roman" w:eastAsia="Times New Roman" w:hAnsi="Times New Roman" w:cs="Times New Roman"/>
          <w:sz w:val="24"/>
          <w:szCs w:val="24"/>
        </w:rPr>
        <w:t>mirëpërdorimin</w:t>
      </w:r>
      <w:proofErr w:type="spellEnd"/>
      <w:r w:rsidRPr="00A94DB4">
        <w:rPr>
          <w:rFonts w:ascii="Times New Roman" w:eastAsia="Times New Roman" w:hAnsi="Times New Roman" w:cs="Times New Roman"/>
          <w:sz w:val="24"/>
          <w:szCs w:val="24"/>
        </w:rPr>
        <w:t xml:space="preserve"> e fondeve publike dhe uljen e shpenzimeve procedurale, nxitjen e pjesëmarrjes së operatorëve ekonomikë dhe të konkurrencës ndërmjet tyre, si dhe garantimin e integritetit, besimit publik dhe transparencës në procedurat e prokurimit.</w:t>
      </w:r>
    </w:p>
    <w:p w14:paraId="0B60849D"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nenin 3 të ligjit nr. 36/2020, përmbajtja e parimeve ruhet e pandryshuar. Ndryshimi qëndron në zgjerimin e fushës subjektive të dispozitës, pasi detyrimi për respektimin e këtyre parimeve, përveç autoriteteve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shtrihet shprehimisht edhe ndaj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të cilat përfshihen në fushën e zbatimit të projektligjit. </w:t>
      </w:r>
    </w:p>
    <w:p w14:paraId="10CC3B40"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sa i përket përafrimit me legjislacionin e Bashkimit Evropian, neni 3 është përafruar plotësisht me nenin 4 të Direktivës 2009/81/KE, i cili kërkon që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t’i trajtojnë operatorët ekonomikë në mënyrë të barabartë dhe </w:t>
      </w:r>
      <w:proofErr w:type="spellStart"/>
      <w:r w:rsidRPr="00A94DB4">
        <w:rPr>
          <w:rFonts w:ascii="Times New Roman" w:eastAsia="Times New Roman" w:hAnsi="Times New Roman" w:cs="Times New Roman"/>
          <w:sz w:val="24"/>
          <w:szCs w:val="24"/>
        </w:rPr>
        <w:t>jodiskriminuese</w:t>
      </w:r>
      <w:proofErr w:type="spellEnd"/>
      <w:r w:rsidRPr="00A94DB4">
        <w:rPr>
          <w:rFonts w:ascii="Times New Roman" w:eastAsia="Times New Roman" w:hAnsi="Times New Roman" w:cs="Times New Roman"/>
          <w:sz w:val="24"/>
          <w:szCs w:val="24"/>
        </w:rPr>
        <w:t xml:space="preserve"> dhe të veprojnë në mënyrë transparente. Parimet e tjera të parashikuara në nenin 3 përbëjnë standarde plotësuese të legjislacionit kombëtar.</w:t>
      </w:r>
    </w:p>
    <w:p w14:paraId="0609D348" w14:textId="77777777" w:rsidR="001A3939" w:rsidRPr="00A94DB4" w:rsidRDefault="001A3939" w:rsidP="001A3939">
      <w:pPr>
        <w:jc w:val="both"/>
        <w:rPr>
          <w:rFonts w:ascii="Times New Roman" w:eastAsia="Times New Roman" w:hAnsi="Times New Roman" w:cs="Times New Roman"/>
          <w:sz w:val="24"/>
          <w:szCs w:val="24"/>
        </w:rPr>
      </w:pPr>
    </w:p>
    <w:p w14:paraId="41FB1A24"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4</w:t>
      </w:r>
      <w:r w:rsidRPr="00A94DB4">
        <w:rPr>
          <w:rFonts w:ascii="Times New Roman" w:eastAsia="Times New Roman" w:hAnsi="Times New Roman" w:cs="Times New Roman"/>
          <w:sz w:val="24"/>
          <w:szCs w:val="24"/>
        </w:rPr>
        <w:t xml:space="preserve"> përcakton kuptimin e termave të përdorur në projektligj dhe përmban gjithsej 36 përkufizime. Dispozita përkufizon subjektet që zbatojnë ligjin, llojet e kontratave dhe të </w:t>
      </w:r>
      <w:r w:rsidRPr="00A94DB4">
        <w:rPr>
          <w:rFonts w:ascii="Times New Roman" w:eastAsia="Times New Roman" w:hAnsi="Times New Roman" w:cs="Times New Roman"/>
          <w:sz w:val="24"/>
          <w:szCs w:val="24"/>
        </w:rPr>
        <w:lastRenderedPageBreak/>
        <w:t>procedurave të prokurimit, operatorët ekonomikë, konceptet që lidhen me informacionin e klasifikuar, si dhe termat teknikë të nevojshëm për zbatimin e njëtrajtshëm të ligjit.</w:t>
      </w:r>
    </w:p>
    <w:p w14:paraId="5926BEA1"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nenin 4 të ligjit nr. 36/2020, i cili përmban 30 përkufizime, projektligji e zgjeron dhe e harmonizon terminologjinë e përdorur. Shtohen përkufizimet për “ankandin elektronik”, “blerjet civile”,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“Fjalorin e Përbashkët të Prokurimit”, “organin qendror blerës”, “pajisjet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xml:space="preserve">, punët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xml:space="preserve"> dhe shërbimet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si dhe “procedurën e thjeshtuar të prokurimit”. Përkufizimi i prokurimit për punë, mallra dhe shërbime plotësohet për të përfshirë edhe procedurën e thjeshtuar të prokurimit. </w:t>
      </w:r>
    </w:p>
    <w:p w14:paraId="3E6C0160"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Përkufizimi i “autoritetit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riformulohet në mënyrë të plotë. Ndryshe nga ligji në fuqi, i cili e përkufizon autoritetin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vetëm si institucion shtetëror që kryen procedura prokurimi në fushën e mbrojtjes dhe të sigurisë, projektligji përfshin institucionet kushtetuese, institucionet e tjera qendrore, institucionet e pavarura, njësitë e vetëqeverisjes vendore, organet me personalitet juridik të krijuara për përmbushjen e interesit të përgjithshëm me karakter joekonomik ose </w:t>
      </w:r>
      <w:proofErr w:type="spellStart"/>
      <w:r w:rsidRPr="00A94DB4">
        <w:rPr>
          <w:rFonts w:ascii="Times New Roman" w:eastAsia="Times New Roman" w:hAnsi="Times New Roman" w:cs="Times New Roman"/>
          <w:sz w:val="24"/>
          <w:szCs w:val="24"/>
        </w:rPr>
        <w:t>jotregtar</w:t>
      </w:r>
      <w:proofErr w:type="spellEnd"/>
      <w:r w:rsidRPr="00A94DB4">
        <w:rPr>
          <w:rFonts w:ascii="Times New Roman" w:eastAsia="Times New Roman" w:hAnsi="Times New Roman" w:cs="Times New Roman"/>
          <w:sz w:val="24"/>
          <w:szCs w:val="24"/>
        </w:rPr>
        <w:t xml:space="preserve">, si dhe organizatat e formuara prej tyre. Krahas autoriteteve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përkufizohen veçmas edhe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që veprojnë në sektorët utilitarë. </w:t>
      </w:r>
    </w:p>
    <w:p w14:paraId="507DA660"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Termat “Certifikata e Sigurisë Industriale” dhe “Certifikata e Sigurisë së Personelit” harmonizohen me terminologjinë e legjislacionit në fuqi për informacionin e klasifikuar. Riformulohet përkufizimi i informacionit të klasifikuar, ndërsa përkufizimi i kontratës së punëve plotësohet duke përfshirë format e realizimit të saj dhe kuptimin e konceptit “punë” si rezultat i punimeve të ndërtimit ose të inxhinierisë civile që përmbush në vetvete një funksion ekonomik ose teknik. </w:t>
      </w:r>
    </w:p>
    <w:p w14:paraId="7F649D4B"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Përkufizimi i “krizës” riformulohet duke u lidhur me ekzistencën ose pashmangshmërinë e një ngjarjeje të dëmshme, e cila tejkalon qartësisht përmasat e ngjarjeve të zakonshme dhe cenon jetën, shëndetin, pasurinë ose furnizimin e popullsisë me nevojat e domosdoshme. Konfliktet e armatosura dhe luftërat vijojnë të konsiderohen kriza për qëllimet e ligjit. Njëkohësisht, hiqet përkufizimi “situatë ekstreme e sigurisë kombëtare”, i parashikuar në ligjin nr. 36/2020, pasi projektligji nuk e njeh më këtë situatë si shkak të përgjithshëm për përjashtimin e prokurimeve nga fusha e zbatimit të ligjit.</w:t>
      </w:r>
    </w:p>
    <w:p w14:paraId="51F34014"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sa i përket përafrimit me legjislacionin e Bashkimit Evropian, pjesa e nenit 4 që përcakton termat e harmonizuar është përafruar plotësisht me nenin 1 të Direktivës 2009/81/KE. Përafrimi përfshin, ndër të tjera, përkufizimet për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Fjalorin e Përbashkët të Prokurimit, kontratat e punëve, furnizimeve dhe shërbimeve, ankandin elektronik, blerjet civile, informacionin e klasifikuar, krizën, organin qendror blerës, pajisjet ushtarake, pajisjet, punët dhe shërbimet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ciklin jetësor dhe kërkimin e zhvillimin. Përkufizimet që lidhen me organizimin dhe zbatimin e brendshëm të prokurimit, përfshirë certifikatat e sigurisë, procedurën e thjeshtuar dhe rregullat e prokurimit, përbëjnë rregullime plotësuese kombëtare.</w:t>
      </w:r>
    </w:p>
    <w:p w14:paraId="7BEE2697"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5</w:t>
      </w:r>
      <w:r w:rsidRPr="00A94DB4">
        <w:rPr>
          <w:rFonts w:ascii="Times New Roman" w:eastAsia="Times New Roman" w:hAnsi="Times New Roman" w:cs="Times New Roman"/>
          <w:sz w:val="24"/>
          <w:szCs w:val="24"/>
        </w:rPr>
        <w:t xml:space="preserve"> përcakton në mënyrë shteruese rastet e veçanta kur kontratat përjashtohen nga fusha e zbatimit të ligjit. Përjashtimet përfshijnë kontratat që do ta detyronin shtetin të zbulonte informacion në kundërshtim me interesat thelbësore të sigurisë, prokurimet në funksion të veprimtarisë </w:t>
      </w:r>
      <w:proofErr w:type="spellStart"/>
      <w:r w:rsidRPr="00A94DB4">
        <w:rPr>
          <w:rFonts w:ascii="Times New Roman" w:eastAsia="Times New Roman" w:hAnsi="Times New Roman" w:cs="Times New Roman"/>
          <w:sz w:val="24"/>
          <w:szCs w:val="24"/>
        </w:rPr>
        <w:t>informativo</w:t>
      </w:r>
      <w:proofErr w:type="spellEnd"/>
      <w:r w:rsidRPr="00A94DB4">
        <w:rPr>
          <w:rFonts w:ascii="Times New Roman" w:eastAsia="Times New Roman" w:hAnsi="Times New Roman" w:cs="Times New Roman"/>
          <w:sz w:val="24"/>
          <w:szCs w:val="24"/>
        </w:rPr>
        <w:t xml:space="preserve">-operative, programet e përbashkëta të kërkimit ose zhvillimit të një produkti të ri, kontratat e lidhura gjatë dislokimit të Forcave të Armatosura jashtë territorit të Bashkimit Evropian, kontratat që lidhen me pasuritë e paluajtshme, kontratat ndërmjet dy </w:t>
      </w:r>
      <w:r w:rsidRPr="00A94DB4">
        <w:rPr>
          <w:rFonts w:ascii="Times New Roman" w:eastAsia="Times New Roman" w:hAnsi="Times New Roman" w:cs="Times New Roman"/>
          <w:sz w:val="24"/>
          <w:szCs w:val="24"/>
        </w:rPr>
        <w:lastRenderedPageBreak/>
        <w:t>qeverive, shërbimet e arbitrazhit dhe pajtimit, shërbimet financiare, kontratat e punësimit dhe disa shërbime të kërkimit dhe zhvillimit. </w:t>
      </w:r>
    </w:p>
    <w:p w14:paraId="7A4B5B33"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Në raport me nenin 5 të ligjit nr. 36/2020, dispozita ristrukturohet dhe kufizon përjashtimet vetëm në rastet e parashikuara shprehimisht. Përjashtimi që lidhet me interesat e sigurisë së shtetit plotësohet duke iu referuar “interesave thelbësore të sigurisë” dhe duke përfshirë informacionin për kapacitetet, armatimin, teknologjinë, pajisjet dhe infrastrukturën ushtarake dhe të strukturave të sigurisë. Përjashtimi për programet e bashkëpunimit ndërshtetëror lidhet shprehimisht me një program të zhvilluar bashkërisht nga Republika e Shqipërisë dhe të paktën një shtet anëtar i Bashkimit Evropian, me qëllim kërkimin ose zhvillimin e një produkti të ri. Parashikohet gjithashtu detyrimi për njoftimin e Komisionit Evropian për pjesën e shpenzimeve të kërkimit dhe zhvillimit, ndarjen e kostove dhe pjesën e synuar të blerjeve, detyrim që zbatohet pas anëtarësimit të Republikës së Shqipërisë në Bashkimin Evropian. </w:t>
      </w:r>
    </w:p>
    <w:p w14:paraId="37F6A68B"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kontratat e lidhura gjatë dislokimit të Forcave të Armatosura, kriteri territorial ndryshon nga dislokimi jashtë territorit të Republikës së Shqipërisë në dislokimin jashtë territorit të Bashkimit Evropian, ndërsa kontrata duhet të lidhet me operatorë ekonomikë të vendosur në zonën e operacionit. Në kontratat ndërmjet dy qeverive, termi “pajisje të klasifikuara” zëvendësohet me “pajisje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xml:space="preserve">”, ndërsa formulimi përkatës harmonizohet me punët dhe shërbimet për qëllime specifike ushtarake dhe me punët e shërbimet </w:t>
      </w:r>
      <w:proofErr w:type="spellStart"/>
      <w:r w:rsidRPr="00A94DB4">
        <w:rPr>
          <w:rFonts w:ascii="Times New Roman" w:eastAsia="Times New Roman" w:hAnsi="Times New Roman" w:cs="Times New Roman"/>
          <w:sz w:val="24"/>
          <w:szCs w:val="24"/>
        </w:rPr>
        <w:t>sensitive</w:t>
      </w:r>
      <w:proofErr w:type="spellEnd"/>
      <w:r w:rsidRPr="00A94DB4">
        <w:rPr>
          <w:rFonts w:ascii="Times New Roman" w:eastAsia="Times New Roman" w:hAnsi="Times New Roman" w:cs="Times New Roman"/>
          <w:sz w:val="24"/>
          <w:szCs w:val="24"/>
        </w:rPr>
        <w:t xml:space="preserve">. Përjashtimi për shërbimet financiare riformulohet, duke përjashtuar nga përjashtimi të gjitha shërbimet e sigurimit dhe jo vetëm sigurimin e mallit. Riformulohet edhe përjashtimi për kërkimin dhe zhvillimin, duke saktësuar se ligji zbatohet kur përfitimet i takojnë ekskluzivisht autoritetit ose entit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për ushtrimin e veprimtarisë së tij dhe shërbimi paguhet plotësisht prej tij. </w:t>
      </w:r>
    </w:p>
    <w:p w14:paraId="0C5FF572"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Ndryshe nga ligji nr. 36/2020, hiqen përjashtimi i përgjithshëm për prokurimet e kryera nëpërmjet agjencive të NATO-s ose organizatave ndërkombëtare, përjashtimi për të gjitha prokurimet në rast krizash ose situatash ekstreme të sigurisë kombëtare, si dhe përjashtimi për blerjen e pajisjeve dhe mjeteve ushtarake, armëve, municioneve dhe materialeve luftarake. Kontratat që rregullohen nga rregulla të posaçme procedurale të organizatave ndërkombëtare trajtohen veçmas në nenin 8 të projektligjit, ndërsa pajisjet ushtarake përbëjnë pjesë të objektit kryesor të ligjit dhe nuk mund të përjashtohen në mënyrë të përgjithshme nga zbatimi i tij. </w:t>
      </w:r>
    </w:p>
    <w:p w14:paraId="5857CCD0"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Projektligji parashikon gjithashtu se aktet ligjore ose nënligjore të nxjerra për zbatimin e rasteve </w:t>
      </w:r>
      <w:proofErr w:type="spellStart"/>
      <w:r w:rsidRPr="00A94DB4">
        <w:rPr>
          <w:rFonts w:ascii="Times New Roman" w:eastAsia="Times New Roman" w:hAnsi="Times New Roman" w:cs="Times New Roman"/>
          <w:sz w:val="24"/>
          <w:szCs w:val="24"/>
        </w:rPr>
        <w:t>përjashtimore</w:t>
      </w:r>
      <w:proofErr w:type="spellEnd"/>
      <w:r w:rsidRPr="00A94DB4">
        <w:rPr>
          <w:rFonts w:ascii="Times New Roman" w:eastAsia="Times New Roman" w:hAnsi="Times New Roman" w:cs="Times New Roman"/>
          <w:sz w:val="24"/>
          <w:szCs w:val="24"/>
        </w:rPr>
        <w:t xml:space="preserve"> nuk mund të shtojnë përjashtime të tjera ose të zgjerojnë përjashtimet ekzistuese. Në pikën 3 vendoset ndalimi që përjashtimet dhe rregullat procedurale ndërkombëtare të përdoren për shmangien e ligjit, si dhe parimi që ato duhet të interpretohen dhe të zbatohen në mënyrë kufizuese. Këto garanci nuk parashikohen shprehimisht në nenin 5 të ligjit në fuqi. </w:t>
      </w:r>
    </w:p>
    <w:p w14:paraId="3B591C75"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sa i përket përafrimit me legjislacionin e Bashkimit Evropian, rastet </w:t>
      </w:r>
      <w:proofErr w:type="spellStart"/>
      <w:r w:rsidRPr="00A94DB4">
        <w:rPr>
          <w:rFonts w:ascii="Times New Roman" w:eastAsia="Times New Roman" w:hAnsi="Times New Roman" w:cs="Times New Roman"/>
          <w:sz w:val="24"/>
          <w:szCs w:val="24"/>
        </w:rPr>
        <w:t>përjashtimore</w:t>
      </w:r>
      <w:proofErr w:type="spellEnd"/>
      <w:r w:rsidRPr="00A94DB4">
        <w:rPr>
          <w:rFonts w:ascii="Times New Roman" w:eastAsia="Times New Roman" w:hAnsi="Times New Roman" w:cs="Times New Roman"/>
          <w:sz w:val="24"/>
          <w:szCs w:val="24"/>
        </w:rPr>
        <w:t xml:space="preserve"> të nenit 5 janë përafruar plotësisht me nenin 13 të Direktivës 2009/81/KE, i cili përmban listën e përjashtimeve specifike. Ndalimi i përdorimit të përjashtimeve për shmangien e ligjit dhe interpretimi i tyre kufizues përafrohen plotësisht me nenin 11 të Direktivës 2009/81/KE. Kontratat që rregullohen nga rregulla të posaçme ndërkombëtare, të parashikuara në nenin 12 të Direktivës, janë reflektuar në nenin 8 dhe jo në nenin 5 të projektligjit.</w:t>
      </w:r>
    </w:p>
    <w:p w14:paraId="64A586A0"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lastRenderedPageBreak/>
        <w:t>Neni 6</w:t>
      </w:r>
      <w:r w:rsidRPr="00A94DB4">
        <w:rPr>
          <w:rFonts w:ascii="Times New Roman" w:eastAsia="Times New Roman" w:hAnsi="Times New Roman" w:cs="Times New Roman"/>
          <w:sz w:val="24"/>
          <w:szCs w:val="24"/>
        </w:rPr>
        <w:t xml:space="preserve"> rregullon kontratat e rezervuara, duke u njohur autoriteteve dhe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të drejtën për t’ua rezervuar pjesëmarrjen në procedurën e prokurimit operatorëve ekonomikë, qëllimi kryesor i të cilëve është integrimi social dhe profesional i personave me aftësi të kufizuara.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mund të kërkojë gjithashtu që kontrata të zbatohet në kuadër të programeve të punësimit, me kusht që shumica e punonjësve të jenë persona me aftësi të kufizuara, të cilët, për shkak të natyrës ose të gjendjes së rëndë fizike, nuk mund të punojnë në kushte normale pune.</w:t>
      </w:r>
    </w:p>
    <w:p w14:paraId="3D2A84F6"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nenin 6 të ligjit nr. 36/2020, ruhet mundësia e rezervimit të pjesëmarrjes në procedurë dhe e zbatimit të kontratës në kuadër të programeve të punësimit. Ndryshimi i parë qëndron në shtrirjen e kësaj të drejte edhe ndaj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Ndryshimi i dytë dhe thelbësor është shtimi i detyrimit që karakteri i rezervuar i procedurës të përcaktohet shprehimisht në njoftimin e kontratës dhe të pasqyrohet edhe në dokumentet e tenderit. Ky detyrim garanton transparencën e procedurës dhe u mundëson operatorëve ekonomikë të njohin që në fillim kufizimin e pjesëmarrjes. Ligji në fuqi nuk e parashikon shprehimisht këtë kërkesë për publikim. </w:t>
      </w:r>
    </w:p>
    <w:p w14:paraId="233BAD3B"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Për sa i përket përafrimit me legjislacionin e Bashkimit Evropian, neni 6 është përafruar plotësisht me nenin 14 të Direktivës 2009/81/KE. Dispozita e Direktivës lejon rezervimin e pjesëmarrjes ose zbatimin e kontratave në kuadër të programeve të mbrojtura të punësimit dhe kërkon që ky rezervim të bëhet i njohur në njoftimin e kontratës. Shtimi i pikës 2 plotëson pikërisht elementin që mungonte në ligjin nr. 36/2020 dhe realizon përafrimin e plotë me Direktivën.</w:t>
      </w:r>
    </w:p>
    <w:p w14:paraId="43717E6F"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7</w:t>
      </w:r>
      <w:r w:rsidRPr="00A94DB4">
        <w:rPr>
          <w:rFonts w:ascii="Times New Roman" w:eastAsia="Times New Roman" w:hAnsi="Times New Roman" w:cs="Times New Roman"/>
          <w:sz w:val="24"/>
          <w:szCs w:val="24"/>
        </w:rPr>
        <w:t xml:space="preserve"> rregullon kontratat e përziera, pra kontratat që përmbajnë njëkohësisht elemente që i nënshtrohen regjimeve të ndryshme juridike të prokurimit. Kur objekti i kontratës përfshin punë, mallra ose shërbime që rregullohen pjesërisht nga ky ligj dhe pjesërisht nga ligji për prokurimin publik, kontrata prokurohet sipas dispozitave të këtij ligji, me kusht që lidhja e një kontrate të vetme të mbështetet në arsye objektive. </w:t>
      </w:r>
    </w:p>
    <w:p w14:paraId="740C4588"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Kur objekti përbëhet pjesërisht nga punë, mallra ose shërbime që rregullohen nga ky ligj, ndërsa pjesa tjetër nuk i nënshtrohet as këtij ligji dhe as ligjit për prokurimin publik, kontrata e përzier nuk i nënshtrohet këtij ligji, me kusht që dhënia e saj si një kontratë e vetme të justifikohet nga arsye objektive. Në çdo rast, bashkimi i elementeve të ndryshme në një kontratë të vetme nuk mund të përdoret për të shmangur zbatimin e këtij ligji ose të ligjit për prokurimin publik. </w:t>
      </w:r>
    </w:p>
    <w:p w14:paraId="15D4711D"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nenin 7 të ligjit nr. 36/2020, rregullimi ruhet në thelb, por ndryshon formulimi i kushtit për zbatimin e ligjit në rastin e parë. Ligji në fuqi kërkon që, për arsye objektive, të jetë i pamundur prokurimi në kontrata të ndara, ndërsa projektligji kërkon që prokurimi në një kontratë të vetme të bazohet në arsye objektive. Formulimi i ri nuk e kufizon bashkimin e objekteve vetëm në rastet e pamundësisë absolute për ndarjen e tyre, por kërkon që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të ketë një justifikim objektiv për lidhjen e një kontrate të vetme. Pikat 2 dhe 3 ruhen pa ndryshime thelbësore. </w:t>
      </w:r>
    </w:p>
    <w:p w14:paraId="12041F02"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Ky riformulim garanton që zgjedhja ndërmjet një kontrate të vetme dhe kontratave të ndara të lidhet me natyrën, funksionin dhe ndërvarësinë objektive të elementeve të kontratës dhe jo me synimin për t’iu shmangur regjimit juridik që do të ishte i zbatueshëm për secilën pjesë të saj.</w:t>
      </w:r>
    </w:p>
    <w:p w14:paraId="43264F6A"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lastRenderedPageBreak/>
        <w:t>Për sa i përket përafrimit me legjislacionin e Bashkimit Evropian, neni 7 është përafruar plotësisht me nenin 3 të Direktivës 2009/81/KE. Direktiva parashikon zbatimin e regjimit të prokurimit në fushën e mbrojtjes dhe të sigurisë kur kontrata përmban edhe elemente që i nënshtrohen regjimit të përgjithshëm të prokurimit, me kusht që lidhja e një kontrate të vetme të justifikohet nga arsye objektive. Ajo parashikon gjithashtu se vendimi për dhënien e një kontrate të vetme nuk mund të merret për të shmangur zbatimin e rregullave përkatëse të prokurimit. </w:t>
      </w:r>
    </w:p>
    <w:p w14:paraId="2FC17E7C"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8</w:t>
      </w:r>
      <w:r w:rsidRPr="00A94DB4">
        <w:rPr>
          <w:rFonts w:ascii="Times New Roman" w:eastAsia="Times New Roman" w:hAnsi="Times New Roman" w:cs="Times New Roman"/>
          <w:sz w:val="24"/>
          <w:szCs w:val="24"/>
        </w:rPr>
        <w:t xml:space="preserve"> rregullon zbatimin e ligjit në raport me rregullat e posaçme procedurale që burojnë nga marrëveshjet dhe organizatat ndërkombëtare. Dispozita përcakton tri kategori kontratash për të cilat ligji nuk zbatohet ose për të cilat kanë përparësi rregullat e posaçme procedurale ndërkombëtare. </w:t>
      </w:r>
    </w:p>
    <w:p w14:paraId="2D1E20E2"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Së pari, ligji nuk zbatohet për kontratat që rregullohen nga rregulla të posaçme procedurale të parashikuara në një marrëveshje ose rregullim tjetër ndërkombëtar të lidhur ndërmjet Republikës së Shqipërisë dhe një shteti anëtar të Bashkimit Evropian, si dhe një ose më shumë vendeve të treta. Së dyti, kur kontrata rregullohet nga rregulla të posaçme procedurale që burojnë nga një marrëveshje ndërkombëtare për vendosjen e trupave dhe këto rregulla bien në kundërshtim me ligjin, zbatohen rregullat e marrëveshjes përkatëse. Së treti, ligji nuk zbatohet për kontratat që u nënshtrohen rregullave të posaçme procedurale të një organizate ndërkombëtare që kryen blerje për nevojat e saj, ose për kontratat që duhet të jepen në përputhje me rregullat e kësaj organizate.</w:t>
      </w:r>
    </w:p>
    <w:p w14:paraId="77E03CAA"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Në raport me nenin 8 të ligjit nr. 36/2020, dispozita ndryshon në mënyrë thelbësore. Ligji në fuqi përmban vetëm një rregull të përgjithshëm, sipas të cilit, kur ligji bie ndesh me një detyrim të marrë përsipër nëpërmjet një marrëveshjeje me shtete të tjera ose me një organizatë ndërkombëtare, zbatohen dispozitat e marrëveshjes. Ky formulim nuk përcakton natyrën procedurale të rregullave që duhet të zbatohen dhe as kategoritë konkrete të kontratave që përjashtohen nga ligji.</w:t>
      </w:r>
    </w:p>
    <w:p w14:paraId="7084394B"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Projektligji e zëvendëson këtë rregull të përgjithshëm me një rregullim të posaçëm dhe shterues. Përjashtimi nuk mbështetet vetëm në ekzistencën e një detyrimi ndërkombëtar, por kërkon që kontrata të rregullohet nga rregulla të posaçme procedurale të përcaktuara në marrëveshjen, rregullimin ose organizatën ndërkombëtare përkatëse. Në këtë mënyrë, jo çdo marrëveshje ndërkombëtare sjell automatikisht moszbatimin e ligjit, por vetëm ajo që vendos një regjim procedural të veçantë për dhënien e kontratës.</w:t>
      </w:r>
    </w:p>
    <w:p w14:paraId="1B96F60C"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Për sa i përket përafrimit me legjislacionin e Bashkimit Evropian, neni 8 është përafruar plotësisht me nenin 12 të Direktivës 2009/81/KE. Neni 12 i Direktivës përjashton kontratat që rregullohen nga rregulla të posaçme procedurale të përcaktuara nga marrëveshjet ndërkombëtare me vende të treta, marrëveshjet për vendosjen e trupave dhe rregullat e posaçme procedurale të organizatave ndërkombëtare. Këto tri kategori janë reflektuar përkatësisht në pikat 1, 2 dhe 3 të nenit 8 të projektligjit.</w:t>
      </w:r>
    </w:p>
    <w:p w14:paraId="0969F152"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9</w:t>
      </w:r>
      <w:r w:rsidRPr="00A94DB4">
        <w:rPr>
          <w:rFonts w:ascii="Times New Roman" w:eastAsia="Times New Roman" w:hAnsi="Times New Roman" w:cs="Times New Roman"/>
          <w:sz w:val="24"/>
          <w:szCs w:val="24"/>
        </w:rPr>
        <w:t xml:space="preserve"> rregullon ruajtjen e </w:t>
      </w:r>
      <w:proofErr w:type="spellStart"/>
      <w:r w:rsidRPr="00A94DB4">
        <w:rPr>
          <w:rFonts w:ascii="Times New Roman" w:eastAsia="Times New Roman" w:hAnsi="Times New Roman" w:cs="Times New Roman"/>
          <w:sz w:val="24"/>
          <w:szCs w:val="24"/>
        </w:rPr>
        <w:t>konfidencialitetit</w:t>
      </w:r>
      <w:proofErr w:type="spellEnd"/>
      <w:r w:rsidRPr="00A94DB4">
        <w:rPr>
          <w:rFonts w:ascii="Times New Roman" w:eastAsia="Times New Roman" w:hAnsi="Times New Roman" w:cs="Times New Roman"/>
          <w:sz w:val="24"/>
          <w:szCs w:val="24"/>
        </w:rPr>
        <w:t xml:space="preserve"> gjatë procedurës së prokurimit.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nuk duhet të bëjë publik informacionin që i është përcjellë nga operatorët ekonomikë dhe që është përcaktuar prej tyre si </w:t>
      </w:r>
      <w:proofErr w:type="spellStart"/>
      <w:r w:rsidRPr="00A94DB4">
        <w:rPr>
          <w:rFonts w:ascii="Times New Roman" w:eastAsia="Times New Roman" w:hAnsi="Times New Roman" w:cs="Times New Roman"/>
          <w:sz w:val="24"/>
          <w:szCs w:val="24"/>
        </w:rPr>
        <w:t>konfidencial</w:t>
      </w:r>
      <w:proofErr w:type="spellEnd"/>
      <w:r w:rsidRPr="00A94DB4">
        <w:rPr>
          <w:rFonts w:ascii="Times New Roman" w:eastAsia="Times New Roman" w:hAnsi="Times New Roman" w:cs="Times New Roman"/>
          <w:sz w:val="24"/>
          <w:szCs w:val="24"/>
        </w:rPr>
        <w:t xml:space="preserve">. Në këtë kategori përfshihen veçanërisht aspektet teknike, sekretet tregtare dhe informacionet </w:t>
      </w:r>
      <w:proofErr w:type="spellStart"/>
      <w:r w:rsidRPr="00A94DB4">
        <w:rPr>
          <w:rFonts w:ascii="Times New Roman" w:eastAsia="Times New Roman" w:hAnsi="Times New Roman" w:cs="Times New Roman"/>
          <w:sz w:val="24"/>
          <w:szCs w:val="24"/>
        </w:rPr>
        <w:t>konfidenciale</w:t>
      </w:r>
      <w:proofErr w:type="spellEnd"/>
      <w:r w:rsidRPr="00A94DB4">
        <w:rPr>
          <w:rFonts w:ascii="Times New Roman" w:eastAsia="Times New Roman" w:hAnsi="Times New Roman" w:cs="Times New Roman"/>
          <w:sz w:val="24"/>
          <w:szCs w:val="24"/>
        </w:rPr>
        <w:t xml:space="preserve"> të ofertave. </w:t>
      </w:r>
    </w:p>
    <w:p w14:paraId="405B8ACA"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lastRenderedPageBreak/>
        <w:t xml:space="preserve">Detyrimi për ruajtjen e </w:t>
      </w:r>
      <w:proofErr w:type="spellStart"/>
      <w:r w:rsidRPr="00A94DB4">
        <w:rPr>
          <w:rFonts w:ascii="Times New Roman" w:eastAsia="Times New Roman" w:hAnsi="Times New Roman" w:cs="Times New Roman"/>
          <w:sz w:val="24"/>
          <w:szCs w:val="24"/>
        </w:rPr>
        <w:t>konfidencialitetit</w:t>
      </w:r>
      <w:proofErr w:type="spellEnd"/>
      <w:r w:rsidRPr="00A94DB4">
        <w:rPr>
          <w:rFonts w:ascii="Times New Roman" w:eastAsia="Times New Roman" w:hAnsi="Times New Roman" w:cs="Times New Roman"/>
          <w:sz w:val="24"/>
          <w:szCs w:val="24"/>
        </w:rPr>
        <w:t xml:space="preserve"> zbatohet pa cenuar detyrimet ligjore për publikimin e kontratave të dhëna dhe për informimin e kandidatëve dhe ofertuesve, të parashikuara në nenet 32 dhe 37 të projektligjit. Ai ushtrohet gjithashtu në përputhje me legjislacionin në fuqi, veçanërisht me legjislacionin për të drejtën e informimit, dhe duke respektuar të drejtat e fituara me kontratë. Në këtë mënyrë, dispozita vendos një ekuilibër ndërmjet mbrojtjes së informacionit </w:t>
      </w:r>
      <w:proofErr w:type="spellStart"/>
      <w:r w:rsidRPr="00A94DB4">
        <w:rPr>
          <w:rFonts w:ascii="Times New Roman" w:eastAsia="Times New Roman" w:hAnsi="Times New Roman" w:cs="Times New Roman"/>
          <w:sz w:val="24"/>
          <w:szCs w:val="24"/>
        </w:rPr>
        <w:t>konfidencial</w:t>
      </w:r>
      <w:proofErr w:type="spellEnd"/>
      <w:r w:rsidRPr="00A94DB4">
        <w:rPr>
          <w:rFonts w:ascii="Times New Roman" w:eastAsia="Times New Roman" w:hAnsi="Times New Roman" w:cs="Times New Roman"/>
          <w:sz w:val="24"/>
          <w:szCs w:val="24"/>
        </w:rPr>
        <w:t xml:space="preserve"> të operatorëve ekonomikë dhe kërkesave për transparencë e </w:t>
      </w:r>
      <w:proofErr w:type="spellStart"/>
      <w:r w:rsidRPr="00A94DB4">
        <w:rPr>
          <w:rFonts w:ascii="Times New Roman" w:eastAsia="Times New Roman" w:hAnsi="Times New Roman" w:cs="Times New Roman"/>
          <w:sz w:val="24"/>
          <w:szCs w:val="24"/>
        </w:rPr>
        <w:t>akses</w:t>
      </w:r>
      <w:proofErr w:type="spellEnd"/>
      <w:r w:rsidRPr="00A94DB4">
        <w:rPr>
          <w:rFonts w:ascii="Times New Roman" w:eastAsia="Times New Roman" w:hAnsi="Times New Roman" w:cs="Times New Roman"/>
          <w:sz w:val="24"/>
          <w:szCs w:val="24"/>
        </w:rPr>
        <w:t xml:space="preserve"> në informacion. </w:t>
      </w:r>
    </w:p>
    <w:p w14:paraId="12E84379"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nenin 9 të ligjit nr. 36/2020, ruhet detyrimi bazë për </w:t>
      </w:r>
      <w:proofErr w:type="spellStart"/>
      <w:r w:rsidRPr="00A94DB4">
        <w:rPr>
          <w:rFonts w:ascii="Times New Roman" w:eastAsia="Times New Roman" w:hAnsi="Times New Roman" w:cs="Times New Roman"/>
          <w:sz w:val="24"/>
          <w:szCs w:val="24"/>
        </w:rPr>
        <w:t>mosbërjen</w:t>
      </w:r>
      <w:proofErr w:type="spellEnd"/>
      <w:r w:rsidRPr="00A94DB4">
        <w:rPr>
          <w:rFonts w:ascii="Times New Roman" w:eastAsia="Times New Roman" w:hAnsi="Times New Roman" w:cs="Times New Roman"/>
          <w:sz w:val="24"/>
          <w:szCs w:val="24"/>
        </w:rPr>
        <w:t xml:space="preserve"> publike të informacionit të përcaktuar si </w:t>
      </w:r>
      <w:proofErr w:type="spellStart"/>
      <w:r w:rsidRPr="00A94DB4">
        <w:rPr>
          <w:rFonts w:ascii="Times New Roman" w:eastAsia="Times New Roman" w:hAnsi="Times New Roman" w:cs="Times New Roman"/>
          <w:sz w:val="24"/>
          <w:szCs w:val="24"/>
        </w:rPr>
        <w:t>konfidencial</w:t>
      </w:r>
      <w:proofErr w:type="spellEnd"/>
      <w:r w:rsidRPr="00A94DB4">
        <w:rPr>
          <w:rFonts w:ascii="Times New Roman" w:eastAsia="Times New Roman" w:hAnsi="Times New Roman" w:cs="Times New Roman"/>
          <w:sz w:val="24"/>
          <w:szCs w:val="24"/>
        </w:rPr>
        <w:t xml:space="preserve"> nga operatorët ekonomikë, si dhe kategoritë kryesore të këtij informacioni. Projektligji e shtrin shprehimisht detyrimin edhe ndaj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dhe shton referimin konkret te nenet 32 dhe 37, te legjislacioni për të drejtën e informimit dhe te të drejtat e fituara me kontratë. Ndërkohë, nuk ruhet formulimi i ligjit në fuqi që e shtrin këtë detyrim edhe ndaj “çdo institucioni tjetër” që administron dokumentacionin gjatë procedurës. </w:t>
      </w:r>
    </w:p>
    <w:p w14:paraId="7371357F"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sa i përket përafrimit me legjislacionin e Bashkimit Evropian, neni 9 është përafruar plotësisht me nenin 6 të Direktivës 2009/81/KE. Direktiva kërkon që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të mos zbulojnë informacionin e përcaktuar si </w:t>
      </w:r>
      <w:proofErr w:type="spellStart"/>
      <w:r w:rsidRPr="00A94DB4">
        <w:rPr>
          <w:rFonts w:ascii="Times New Roman" w:eastAsia="Times New Roman" w:hAnsi="Times New Roman" w:cs="Times New Roman"/>
          <w:sz w:val="24"/>
          <w:szCs w:val="24"/>
        </w:rPr>
        <w:t>konfidencial</w:t>
      </w:r>
      <w:proofErr w:type="spellEnd"/>
      <w:r w:rsidRPr="00A94DB4">
        <w:rPr>
          <w:rFonts w:ascii="Times New Roman" w:eastAsia="Times New Roman" w:hAnsi="Times New Roman" w:cs="Times New Roman"/>
          <w:sz w:val="24"/>
          <w:szCs w:val="24"/>
        </w:rPr>
        <w:t xml:space="preserve"> nga operatorët ekonomikë, duke respektuar njëkohësisht detyrimet për publikim, legjislacionin kombëtar për </w:t>
      </w:r>
      <w:proofErr w:type="spellStart"/>
      <w:r w:rsidRPr="00A94DB4">
        <w:rPr>
          <w:rFonts w:ascii="Times New Roman" w:eastAsia="Times New Roman" w:hAnsi="Times New Roman" w:cs="Times New Roman"/>
          <w:sz w:val="24"/>
          <w:szCs w:val="24"/>
        </w:rPr>
        <w:t>aksesin</w:t>
      </w:r>
      <w:proofErr w:type="spellEnd"/>
      <w:r w:rsidRPr="00A94DB4">
        <w:rPr>
          <w:rFonts w:ascii="Times New Roman" w:eastAsia="Times New Roman" w:hAnsi="Times New Roman" w:cs="Times New Roman"/>
          <w:sz w:val="24"/>
          <w:szCs w:val="24"/>
        </w:rPr>
        <w:t xml:space="preserve"> në informacion dhe të drejtat e fituara me kontratë. Këto elemente janë reflektuar shprehimisht në formulimin e ri të nenit 9.</w:t>
      </w:r>
    </w:p>
    <w:p w14:paraId="591E4059"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10</w:t>
      </w:r>
      <w:r w:rsidRPr="00A94DB4">
        <w:rPr>
          <w:rFonts w:ascii="Times New Roman" w:eastAsia="Times New Roman" w:hAnsi="Times New Roman" w:cs="Times New Roman"/>
          <w:sz w:val="24"/>
          <w:szCs w:val="24"/>
        </w:rPr>
        <w:t xml:space="preserve"> rregullon masat për mbrojtjen dhe sigurinë e informacionit të klasifikuar gjatë zhvillimit të procedurës së prokurimit dhe zbatimit të kontratës.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mund të vendosë kërkesa shtesë ndaj operatorëve ekonomikë dhe duhet të kërkojë që këto kërkesa të respektohen edhe nga </w:t>
      </w:r>
      <w:proofErr w:type="spellStart"/>
      <w:r w:rsidRPr="00A94DB4">
        <w:rPr>
          <w:rFonts w:ascii="Times New Roman" w:eastAsia="Times New Roman" w:hAnsi="Times New Roman" w:cs="Times New Roman"/>
          <w:sz w:val="24"/>
          <w:szCs w:val="24"/>
        </w:rPr>
        <w:t>nënkontraktorët</w:t>
      </w:r>
      <w:proofErr w:type="spellEnd"/>
      <w:r w:rsidRPr="00A94DB4">
        <w:rPr>
          <w:rFonts w:ascii="Times New Roman" w:eastAsia="Times New Roman" w:hAnsi="Times New Roman" w:cs="Times New Roman"/>
          <w:sz w:val="24"/>
          <w:szCs w:val="24"/>
        </w:rPr>
        <w:t xml:space="preserve"> e tyre. Kur kontrata përfshin, kërkon ose përmban informacion të klasifikuar, masat dhe kriteret e sigurisë duhet të përcaktohen në dokumentacionin e tenderit, përfshirë njoftimin e kontratës, specifikimet teknike, dokumentet përshkruese dhe dokumentet mbështetëse. </w:t>
      </w:r>
    </w:p>
    <w:p w14:paraId="78976FDE"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Oferta duhet të përmbajë angazhimin e ofertuesit dhe të </w:t>
      </w:r>
      <w:proofErr w:type="spellStart"/>
      <w:r w:rsidRPr="00A94DB4">
        <w:rPr>
          <w:rFonts w:ascii="Times New Roman" w:eastAsia="Times New Roman" w:hAnsi="Times New Roman" w:cs="Times New Roman"/>
          <w:sz w:val="24"/>
          <w:szCs w:val="24"/>
        </w:rPr>
        <w:t>nënkontraktorëve</w:t>
      </w:r>
      <w:proofErr w:type="spellEnd"/>
      <w:r w:rsidRPr="00A94DB4">
        <w:rPr>
          <w:rFonts w:ascii="Times New Roman" w:eastAsia="Times New Roman" w:hAnsi="Times New Roman" w:cs="Times New Roman"/>
          <w:sz w:val="24"/>
          <w:szCs w:val="24"/>
        </w:rPr>
        <w:t xml:space="preserve"> për ruajtjen e informacionit të klasifikuar gjatë gjithë kohëzgjatjes së kontratës dhe pas përfundimit të saj, angazhimin për përmbushjen e këtyre detyrimeve nga </w:t>
      </w:r>
      <w:proofErr w:type="spellStart"/>
      <w:r w:rsidRPr="00A94DB4">
        <w:rPr>
          <w:rFonts w:ascii="Times New Roman" w:eastAsia="Times New Roman" w:hAnsi="Times New Roman" w:cs="Times New Roman"/>
          <w:sz w:val="24"/>
          <w:szCs w:val="24"/>
        </w:rPr>
        <w:t>nënkontraktorët</w:t>
      </w:r>
      <w:proofErr w:type="spellEnd"/>
      <w:r w:rsidRPr="00A94DB4">
        <w:rPr>
          <w:rFonts w:ascii="Times New Roman" w:eastAsia="Times New Roman" w:hAnsi="Times New Roman" w:cs="Times New Roman"/>
          <w:sz w:val="24"/>
          <w:szCs w:val="24"/>
        </w:rPr>
        <w:t xml:space="preserve"> e rinj, të dhëna të mjaftueshme për vlerësimin e kapaciteteve të </w:t>
      </w:r>
      <w:proofErr w:type="spellStart"/>
      <w:r w:rsidRPr="00A94DB4">
        <w:rPr>
          <w:rFonts w:ascii="Times New Roman" w:eastAsia="Times New Roman" w:hAnsi="Times New Roman" w:cs="Times New Roman"/>
          <w:sz w:val="24"/>
          <w:szCs w:val="24"/>
        </w:rPr>
        <w:t>nënkontraktorëve</w:t>
      </w:r>
      <w:proofErr w:type="spellEnd"/>
      <w:r w:rsidRPr="00A94DB4">
        <w:rPr>
          <w:rFonts w:ascii="Times New Roman" w:eastAsia="Times New Roman" w:hAnsi="Times New Roman" w:cs="Times New Roman"/>
          <w:sz w:val="24"/>
          <w:szCs w:val="24"/>
        </w:rPr>
        <w:t xml:space="preserve"> të propozuar, si dhe detyrimin për të dhënë informacion për çdo </w:t>
      </w:r>
      <w:proofErr w:type="spellStart"/>
      <w:r w:rsidRPr="00A94DB4">
        <w:rPr>
          <w:rFonts w:ascii="Times New Roman" w:eastAsia="Times New Roman" w:hAnsi="Times New Roman" w:cs="Times New Roman"/>
          <w:sz w:val="24"/>
          <w:szCs w:val="24"/>
        </w:rPr>
        <w:t>nënkontraktor</w:t>
      </w:r>
      <w:proofErr w:type="spellEnd"/>
      <w:r w:rsidRPr="00A94DB4">
        <w:rPr>
          <w:rFonts w:ascii="Times New Roman" w:eastAsia="Times New Roman" w:hAnsi="Times New Roman" w:cs="Times New Roman"/>
          <w:sz w:val="24"/>
          <w:szCs w:val="24"/>
        </w:rPr>
        <w:t xml:space="preserve"> të ri përpara lidhjes së nënkontratës.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kryen verifikimet përkatëse nëpërmjet institucioneve shtetërore përgjegjëse për sigurinë e informacionit të klasifikuar dhe merr vendimin përkatës kur ofertuesi ose </w:t>
      </w:r>
      <w:proofErr w:type="spellStart"/>
      <w:r w:rsidRPr="00A94DB4">
        <w:rPr>
          <w:rFonts w:ascii="Times New Roman" w:eastAsia="Times New Roman" w:hAnsi="Times New Roman" w:cs="Times New Roman"/>
          <w:sz w:val="24"/>
          <w:szCs w:val="24"/>
        </w:rPr>
        <w:t>nënkontraktori</w:t>
      </w:r>
      <w:proofErr w:type="spellEnd"/>
      <w:r w:rsidRPr="00A94DB4">
        <w:rPr>
          <w:rFonts w:ascii="Times New Roman" w:eastAsia="Times New Roman" w:hAnsi="Times New Roman" w:cs="Times New Roman"/>
          <w:sz w:val="24"/>
          <w:szCs w:val="24"/>
        </w:rPr>
        <w:t xml:space="preserve"> nuk përmbush kërkesat e sigurisë. </w:t>
      </w:r>
    </w:p>
    <w:p w14:paraId="64AB9A2C"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Dispozita parashikon gjithashtu që rregullat, procedurat dhe kërkesat e hollësishme për mbrojtjen e informacionit të klasifikuar gjatë prokurimit dhe zbatimit të kontratës të përcaktohen me vendim të Këshillit të Ministrave.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w:t>
      </w:r>
      <w:proofErr w:type="spellStart"/>
      <w:r w:rsidRPr="00A94DB4">
        <w:rPr>
          <w:rFonts w:ascii="Times New Roman" w:eastAsia="Times New Roman" w:hAnsi="Times New Roman" w:cs="Times New Roman"/>
          <w:sz w:val="24"/>
          <w:szCs w:val="24"/>
        </w:rPr>
        <w:t>kontraktori</w:t>
      </w:r>
      <w:proofErr w:type="spellEnd"/>
      <w:r w:rsidRPr="00A94DB4">
        <w:rPr>
          <w:rFonts w:ascii="Times New Roman" w:eastAsia="Times New Roman" w:hAnsi="Times New Roman" w:cs="Times New Roman"/>
          <w:sz w:val="24"/>
          <w:szCs w:val="24"/>
        </w:rPr>
        <w:t xml:space="preserve"> dhe </w:t>
      </w:r>
      <w:proofErr w:type="spellStart"/>
      <w:r w:rsidRPr="00A94DB4">
        <w:rPr>
          <w:rFonts w:ascii="Times New Roman" w:eastAsia="Times New Roman" w:hAnsi="Times New Roman" w:cs="Times New Roman"/>
          <w:sz w:val="24"/>
          <w:szCs w:val="24"/>
        </w:rPr>
        <w:t>nënkontraktori</w:t>
      </w:r>
      <w:proofErr w:type="spellEnd"/>
      <w:r w:rsidRPr="00A94DB4">
        <w:rPr>
          <w:rFonts w:ascii="Times New Roman" w:eastAsia="Times New Roman" w:hAnsi="Times New Roman" w:cs="Times New Roman"/>
          <w:sz w:val="24"/>
          <w:szCs w:val="24"/>
        </w:rPr>
        <w:t xml:space="preserve"> detyrohen të zbatojnë edhe kërkesat e legjislacionit në fuqi për informacionin e klasifikuar, kur objekti i kontratës përfshin, kërkon ose përmban një informacion të tillë. </w:t>
      </w:r>
    </w:p>
    <w:p w14:paraId="26467403"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lastRenderedPageBreak/>
        <w:t xml:space="preserve">Në raport me nenin 10 të ligjit nr. 36/2020, projektligji ruan në thelb rregullimin ekzistues për dokumentacionin e tenderit, përmbajtjen e ofertës, verifikimin e ofertuesve dhe </w:t>
      </w:r>
      <w:proofErr w:type="spellStart"/>
      <w:r w:rsidRPr="00A94DB4">
        <w:rPr>
          <w:rFonts w:ascii="Times New Roman" w:eastAsia="Times New Roman" w:hAnsi="Times New Roman" w:cs="Times New Roman"/>
          <w:sz w:val="24"/>
          <w:szCs w:val="24"/>
        </w:rPr>
        <w:t>nënkontraktorëve</w:t>
      </w:r>
      <w:proofErr w:type="spellEnd"/>
      <w:r w:rsidRPr="00A94DB4">
        <w:rPr>
          <w:rFonts w:ascii="Times New Roman" w:eastAsia="Times New Roman" w:hAnsi="Times New Roman" w:cs="Times New Roman"/>
          <w:sz w:val="24"/>
          <w:szCs w:val="24"/>
        </w:rPr>
        <w:t xml:space="preserve">, nxjerrjen e akteve nënligjore dhe detyrimin për respektimin e legjislacionit për informacionin e klasifikuar. Pikat 1–6 të ligjit në fuqi pasqyrohen, me përshtatjet terminologjike dhe shtrirjen ndaj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në pikat 2–7 të projektligjit. </w:t>
      </w:r>
    </w:p>
    <w:p w14:paraId="77DD4B63"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Ndryshimi kryesor është shtimi i pikës 1, e cila i njeh shprehimisht autoritetit ose entit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të drejtën për të vendosur kërkesa shtesë për mbrojtjen e informacionit të klasifikuar gjatë procedurës dhe zbatimit të kontratës, si dhe detyrimin për të kërkuar respektimin e tyre edhe nga </w:t>
      </w:r>
      <w:proofErr w:type="spellStart"/>
      <w:r w:rsidRPr="00A94DB4">
        <w:rPr>
          <w:rFonts w:ascii="Times New Roman" w:eastAsia="Times New Roman" w:hAnsi="Times New Roman" w:cs="Times New Roman"/>
          <w:sz w:val="24"/>
          <w:szCs w:val="24"/>
        </w:rPr>
        <w:t>nënkontraktorët</w:t>
      </w:r>
      <w:proofErr w:type="spellEnd"/>
      <w:r w:rsidRPr="00A94DB4">
        <w:rPr>
          <w:rFonts w:ascii="Times New Roman" w:eastAsia="Times New Roman" w:hAnsi="Times New Roman" w:cs="Times New Roman"/>
          <w:sz w:val="24"/>
          <w:szCs w:val="24"/>
        </w:rPr>
        <w:t xml:space="preserve">. Në të gjithë nenin, fusha subjektive zgjerohet nga autoritetet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te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Gjithashtu, titulli dhe terminologjia e dispozitës përshtaten duke përdorur formulimin “siguria e informacionit të klasifikuar” në vend të “sigurimit të informacionit të klasifikuar”.</w:t>
      </w:r>
    </w:p>
    <w:p w14:paraId="7FA20CEC"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sa i përket përafrimit me legjislacionin e Bashkimit Evropian, pika 1 e nenit 10 është përafruar plotësisht me nenin 7 të Direktivës 2009/81/KE, i cili lejon vendosjen e kërkesave për mbrojtjen e informacionit të klasifikuar dhe kërkimin e respektimit të tyre edhe nga </w:t>
      </w:r>
      <w:proofErr w:type="spellStart"/>
      <w:r w:rsidRPr="00A94DB4">
        <w:rPr>
          <w:rFonts w:ascii="Times New Roman" w:eastAsia="Times New Roman" w:hAnsi="Times New Roman" w:cs="Times New Roman"/>
          <w:sz w:val="24"/>
          <w:szCs w:val="24"/>
        </w:rPr>
        <w:t>nënkontraktorët</w:t>
      </w:r>
      <w:proofErr w:type="spellEnd"/>
      <w:r w:rsidRPr="00A94DB4">
        <w:rPr>
          <w:rFonts w:ascii="Times New Roman" w:eastAsia="Times New Roman" w:hAnsi="Times New Roman" w:cs="Times New Roman"/>
          <w:sz w:val="24"/>
          <w:szCs w:val="24"/>
        </w:rPr>
        <w:t>. </w:t>
      </w:r>
    </w:p>
    <w:p w14:paraId="06D6B299"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Pikat 2–7 të nenit 10 janë përafruar plotësisht, për pjesën që rregullojnë, me nenin 22 të Direktivës 2009/81/KE, lidhur me përcaktimin e masave të sigurisë në dokumentacionin e kontratës, angazhimet e ofertuesve dhe </w:t>
      </w:r>
      <w:proofErr w:type="spellStart"/>
      <w:r w:rsidRPr="00A94DB4">
        <w:rPr>
          <w:rFonts w:ascii="Times New Roman" w:eastAsia="Times New Roman" w:hAnsi="Times New Roman" w:cs="Times New Roman"/>
          <w:sz w:val="24"/>
          <w:szCs w:val="24"/>
        </w:rPr>
        <w:t>nënkontraktorëve</w:t>
      </w:r>
      <w:proofErr w:type="spellEnd"/>
      <w:r w:rsidRPr="00A94DB4">
        <w:rPr>
          <w:rFonts w:ascii="Times New Roman" w:eastAsia="Times New Roman" w:hAnsi="Times New Roman" w:cs="Times New Roman"/>
          <w:sz w:val="24"/>
          <w:szCs w:val="24"/>
        </w:rPr>
        <w:t xml:space="preserve"> dhe të dhënat që duhet të paraqiten për verifikimin e kapaciteteve të tyre. Elementi i nenit 22 të Direktivës që lidhet me njohjen e autorizimeve dhe certifikatave ekuivalente të sigurisë plotësohet nga dispozitat e nenit 41 të projektligjit.</w:t>
      </w:r>
    </w:p>
    <w:p w14:paraId="758E4A9B"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11</w:t>
      </w:r>
      <w:r w:rsidRPr="00A94DB4">
        <w:rPr>
          <w:rFonts w:ascii="Times New Roman" w:eastAsia="Times New Roman" w:hAnsi="Times New Roman" w:cs="Times New Roman"/>
          <w:sz w:val="24"/>
          <w:szCs w:val="24"/>
        </w:rPr>
        <w:t xml:space="preserve"> përcakton rregullat për pjesëmarrjen e operatorëve ekonomikë në procedurat e prokurimit. Kandidatët dhe ofertuesit që ofrojnë punë, mallra ose shërbime mund të jenë persona fizikë ose juridikë. Operatorët që, sipas legjislacionit të shtetit anëtar të origjinës, kanë të drejtë të ofrojnë shërbimin përkatës, nuk mund të refuzohen vetëm për shkak se legjislacioni shqiptar do të kërkonte organizimin e tyre si persona fizikë ose juridikë.</w:t>
      </w:r>
    </w:p>
    <w:p w14:paraId="6ED110E5"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kontratat e shërbimeve ose të punëve, si dhe për kontratat e furnizimit që përfshijnë shërbime shtesë, ndërtim ose montim,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mund t’u kërkojë personave juridikë të paraqesin emrat dhe kualifikimet profesionale të personelit përgjegjës për zbatimin e kontratës. Dispozita u njeh gjithashtu grupeve të operatorëve ekonomikë të drejtën për të paraqitur ofertë ose për t’u paraqitur si një kandidat i vetëm, pa qenë të detyruar të marrin një formë të veçantë ligjore vetëm për paraqitjen e ofertës ose të kërkesës për pjesëmarrje. </w:t>
      </w:r>
    </w:p>
    <w:p w14:paraId="6582134E"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Forma e veçantë ligjore mund të kërkohet vetëm kur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e vlerëson atë të domosdoshme për realizimin me sukses të kontratës. Ky rregull synon të mos krijojë pengesa të panevojshme në fazën e pjesëmarrjes, duke ruajtur njëkohësisht mundësinë e organizimit juridik të grupit kur kjo kërkohet nga nevojat konkrete të zbatimit të kontratës. </w:t>
      </w:r>
    </w:p>
    <w:p w14:paraId="4A2B89C0"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nenin 11 të ligjit nr. 36/2020, ruhen rregullat për pjesëmarrjen e personave fizikë dhe juridikë, paraqitjen e emrave dhe kualifikimeve të personelit, pjesëmarrjen e grupeve të operatorëve ekonomikë dhe mundësinë për t’u kërkuar këtyre grupeve një formë të veçantë ligjore. Ndryshimi kryesor është shtimi i rregullit që ndalon refuzimin e kandidatëve ose </w:t>
      </w:r>
      <w:r w:rsidRPr="00A94DB4">
        <w:rPr>
          <w:rFonts w:ascii="Times New Roman" w:eastAsia="Times New Roman" w:hAnsi="Times New Roman" w:cs="Times New Roman"/>
          <w:sz w:val="24"/>
          <w:szCs w:val="24"/>
        </w:rPr>
        <w:lastRenderedPageBreak/>
        <w:t xml:space="preserve">ofertuesve të vendosur në një shtet anëtar vetëm për shkak të formës së tyre juridike. Gjithashtu, kompetencat e parashikuara në dispozitë shtrihen nga autoritetet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edhe tek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w:t>
      </w:r>
    </w:p>
    <w:p w14:paraId="0350729B"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Për sa i përket përafrimit me legjislacionin e Bashkimit Evropian, neni 11 është përafruar plotësisht me nenin 5 të Direktivës 2009/81/KE. Direktiva ndalon diskriminimin e operatorëve ekonomikë për shkak të formës së tyre juridike, lejon kërkimin e të dhënave për personelin përgjegjës për realizimin e kontratës dhe garanton pjesëmarrjen e grupeve të operatorëve pa u kërkuar paraprakisht një formë të veçantë juridike. Ajo lejon kërkimin e kësaj forme kur është e nevojshme për realizimin e kënaqshëm të kontratës.</w:t>
      </w:r>
    </w:p>
    <w:p w14:paraId="40494E58"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12</w:t>
      </w:r>
      <w:r w:rsidRPr="00A94DB4">
        <w:rPr>
          <w:rFonts w:ascii="Times New Roman" w:eastAsia="Times New Roman" w:hAnsi="Times New Roman" w:cs="Times New Roman"/>
          <w:sz w:val="24"/>
          <w:szCs w:val="24"/>
        </w:rPr>
        <w:t xml:space="preserve"> përcakton subjektet që detyrohen të zbatojnë ligjin gjatë dhënies së kontratave në fushën e mbrojtjes dhe të sigurisë. Sipas pikës 1, të gjitha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të përkufizuara në nenin 4 të projektligjit, zbatojnë dispozitat e tij sa herë që kontrata që do të jepet përfshihet në fushën materiale të zbatimit të ligjit. Në këtë mënyrë, zbatimi i ligjit lidhet njëkohësisht me cilësinë e subjektit si autoritet ose ent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dhe me objektin e kontratës.</w:t>
      </w:r>
    </w:p>
    <w:p w14:paraId="574F5BFD"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Pika 2 rregullon rastet kur objekti i kontratës përfshihet në fushën e veprimtarisë së më shumë se një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Në këto raste, palët përcaktojnë me marrëveshje subjektin që do të jetë përgjegjës për zhvillimin e procedurës së prokurimit. Ky rregull shmang mbivendosjen e kompetencave dhe përcakton qartë përgjegjësinë për administrimin e procedurës. </w:t>
      </w:r>
    </w:p>
    <w:p w14:paraId="1A88D779"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nenin 12 të ligjit nr. 36/2020, projektligji ndryshon mënyrën e përcaktimit të fushës subjektive. Ligji në fuqi përmban një </w:t>
      </w:r>
      <w:proofErr w:type="spellStart"/>
      <w:r w:rsidRPr="00A94DB4">
        <w:rPr>
          <w:rFonts w:ascii="Times New Roman" w:eastAsia="Times New Roman" w:hAnsi="Times New Roman" w:cs="Times New Roman"/>
          <w:sz w:val="24"/>
          <w:szCs w:val="24"/>
        </w:rPr>
        <w:t>listim</w:t>
      </w:r>
      <w:proofErr w:type="spellEnd"/>
      <w:r w:rsidRPr="00A94DB4">
        <w:rPr>
          <w:rFonts w:ascii="Times New Roman" w:eastAsia="Times New Roman" w:hAnsi="Times New Roman" w:cs="Times New Roman"/>
          <w:sz w:val="24"/>
          <w:szCs w:val="24"/>
        </w:rPr>
        <w:t xml:space="preserve"> të veçantë, ku përfshihen ministritë dhe institucionet përgjegjëse për mbrojtjen, rendin publik dhe sigurinë kombëtare, autoritetet që veprojnë në sektorët utilitarë dhe autoritetet e tjera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sipas ligjit për prokurimin publik, kur objekti përmban elemente që lidhen me këto fusha. </w:t>
      </w:r>
    </w:p>
    <w:p w14:paraId="0EBEF947"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Projektligji heq këtë </w:t>
      </w:r>
      <w:proofErr w:type="spellStart"/>
      <w:r w:rsidRPr="00A94DB4">
        <w:rPr>
          <w:rFonts w:ascii="Times New Roman" w:eastAsia="Times New Roman" w:hAnsi="Times New Roman" w:cs="Times New Roman"/>
          <w:sz w:val="24"/>
          <w:szCs w:val="24"/>
        </w:rPr>
        <w:t>listim</w:t>
      </w:r>
      <w:proofErr w:type="spellEnd"/>
      <w:r w:rsidRPr="00A94DB4">
        <w:rPr>
          <w:rFonts w:ascii="Times New Roman" w:eastAsia="Times New Roman" w:hAnsi="Times New Roman" w:cs="Times New Roman"/>
          <w:sz w:val="24"/>
          <w:szCs w:val="24"/>
        </w:rPr>
        <w:t xml:space="preserve"> sektorial dhe e zëvendëson me një referim të përgjithshëm te të gjitha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të përkufizuara në nenin 4. Ky formulim siguron që asnjë subjekt që plotëson përkufizimin ligjor të autoritetit ose entit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xml:space="preserve"> të mos mbetet jashtë zbatimit të ligjit, kur jep një kontratë që hyn në fushën e tij materiale. Rregulli për përcaktimin me marrëveshje të autoritetit përgjegjës ruhet, por shtrihet edhe ndaj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dhe sqarohet se marrëveshja përcakton subjektin përgjegjës për zhvillimin e procedurës. Në ligjin nr. 36/2020 ky rregull parashikohet vetëm për autoritetet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w:t>
      </w:r>
    </w:p>
    <w:p w14:paraId="4F6DD4BC"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13</w:t>
      </w:r>
      <w:r w:rsidRPr="00A94DB4">
        <w:rPr>
          <w:rFonts w:ascii="Times New Roman" w:eastAsia="Times New Roman" w:hAnsi="Times New Roman" w:cs="Times New Roman"/>
          <w:sz w:val="24"/>
          <w:szCs w:val="24"/>
        </w:rPr>
        <w:t xml:space="preserve"> përcakton rolin e Autoritetit të Prokurimit Publik në sistemin e prokurimeve në fushën e mbrojtjes dhe të sigurisë. Ky institucion është përgjegjës për verifikimin e zbatimit të procedurave të prokurimit pas nënshkrimit të kontratës, në përputhje me projektligjin dhe me legjislacionin përkatës në fushën e mbrojtjes dhe të sigurisë. </w:t>
      </w:r>
    </w:p>
    <w:p w14:paraId="43871620"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Kompetenca e parashikuar në këtë nen ka karakter kontrollues dhe ushtrohet pas përfundimit të procedurës së përzgjedhjes dhe nënshkrimit të kontratës. Nëpërmjet këtij kontrolli synohet verifikimi i respektimit të kërkesave ligjore nga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gjatë zhvillimit të procedurave të prokurimit në fushën e mbrojtjes dhe të sigurisë.</w:t>
      </w:r>
    </w:p>
    <w:p w14:paraId="30689DB2"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lastRenderedPageBreak/>
        <w:t xml:space="preserve">Në raport me ligjin nr. 36/2020, rregullimi ruhet në thelb i pandryshuar. Ndryshimet konsistojnë në </w:t>
      </w:r>
      <w:proofErr w:type="spellStart"/>
      <w:r w:rsidRPr="00A94DB4">
        <w:rPr>
          <w:rFonts w:ascii="Times New Roman" w:eastAsia="Times New Roman" w:hAnsi="Times New Roman" w:cs="Times New Roman"/>
          <w:sz w:val="24"/>
          <w:szCs w:val="24"/>
        </w:rPr>
        <w:t>rinumërtimin</w:t>
      </w:r>
      <w:proofErr w:type="spellEnd"/>
      <w:r w:rsidRPr="00A94DB4">
        <w:rPr>
          <w:rFonts w:ascii="Times New Roman" w:eastAsia="Times New Roman" w:hAnsi="Times New Roman" w:cs="Times New Roman"/>
          <w:sz w:val="24"/>
          <w:szCs w:val="24"/>
        </w:rPr>
        <w:t xml:space="preserve"> e dispozitës nga neni 14 në nenin 13 dhe në zëvendësimin e emërtimit “Agjencia e Prokurimit Publik” me emërtimin “Autoriteti i Prokurimit Publik”. Kompetenca për verifikimin e zbatimit të procedurave pas nënshkrimit të kontratës, si dhe lidhja e ushtrimit të saj me legjislacionin përkatës në fushën e mbrojtjes dhe të sigurisë, mbeten të njëjta. </w:t>
      </w:r>
    </w:p>
    <w:p w14:paraId="387687DC"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Për sa i përket përafrimit me legjislacionin e Bashkimit Evropian, neni 13 përbën një rregullim institucional kombëtar, pasi përcaktimi i organit përgjegjës për kontrollin administrativ të brendshëm pas nënshkrimit të kontratës është çështje që lidhet me organizimin dhe funksionimin e administratës publike të shtetit. Dispozita siguron mbikëqyrjen e zbatimit të rregullave të prokurimit të përafruara me Direktivën 2009/81/KE, duke përcaktuar autoritetin kombëtar që ushtron kontrollin administrativ të mëpasshëm.</w:t>
      </w:r>
    </w:p>
    <w:p w14:paraId="3646E6BA"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14</w:t>
      </w:r>
      <w:r w:rsidRPr="00A94DB4">
        <w:rPr>
          <w:rFonts w:ascii="Times New Roman" w:eastAsia="Times New Roman" w:hAnsi="Times New Roman" w:cs="Times New Roman"/>
          <w:sz w:val="24"/>
          <w:szCs w:val="24"/>
        </w:rPr>
        <w:t xml:space="preserve"> përcakton Komisionin e Prokurimit Publik si institucionin përgjegjës për shqyrtimin e ankesave të paraqitura nga operatorët ekonomikë në lidhje me procedurat e prokurimit në fushën e mbrojtjes dhe të sigurisë. Shqyrtimi i ankesave kryhet në përputhje me projektligjin, legjislacionin në fuqi në fushën e mbrojtjes dhe të sigurisë, si dhe me ligjin për prokurimin publik, për aq sa dispozitat e këtij të fundit janë të zbatueshme. </w:t>
      </w:r>
    </w:p>
    <w:p w14:paraId="590E454F"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Dispozita përcakton ndarjen institucionale të funksioneve të kontrollit, duke i ngarkuar Komisionit të Prokurimit Publik shqyrtimin administrativ të kundërshtimeve të operatorëve ekonomikë gjatë procedurave të prokurimit. Në këtë mënyrë, garantohet ekzistenca e një organi të specializuar, të ndryshëm nga autoriteti ose enti </w:t>
      </w:r>
      <w:proofErr w:type="spellStart"/>
      <w:r w:rsidRPr="00A94DB4">
        <w:rPr>
          <w:rFonts w:ascii="Times New Roman" w:eastAsia="Times New Roman" w:hAnsi="Times New Roman" w:cs="Times New Roman"/>
          <w:sz w:val="24"/>
          <w:szCs w:val="24"/>
        </w:rPr>
        <w:t>kontraktor</w:t>
      </w:r>
      <w:proofErr w:type="spellEnd"/>
      <w:r w:rsidRPr="00A94DB4">
        <w:rPr>
          <w:rFonts w:ascii="Times New Roman" w:eastAsia="Times New Roman" w:hAnsi="Times New Roman" w:cs="Times New Roman"/>
          <w:sz w:val="24"/>
          <w:szCs w:val="24"/>
        </w:rPr>
        <w:t>, për shqyrtimin e pretendimeve për shkelje të rregullave të prokurimit.</w:t>
      </w:r>
    </w:p>
    <w:p w14:paraId="1385DC71" w14:textId="77777777" w:rsidR="001A3939" w:rsidRPr="00A94DB4" w:rsidRDefault="001A3939" w:rsidP="001A393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ligjin nr. 36/2020, përmbajtja e dispozitës ruhet e pandryshuar. Ndryshimi konsiston vetëm në </w:t>
      </w:r>
      <w:proofErr w:type="spellStart"/>
      <w:r w:rsidRPr="00A94DB4">
        <w:rPr>
          <w:rFonts w:ascii="Times New Roman" w:eastAsia="Times New Roman" w:hAnsi="Times New Roman" w:cs="Times New Roman"/>
          <w:sz w:val="24"/>
          <w:szCs w:val="24"/>
        </w:rPr>
        <w:t>rinumërtimin</w:t>
      </w:r>
      <w:proofErr w:type="spellEnd"/>
      <w:r w:rsidRPr="00A94DB4">
        <w:rPr>
          <w:rFonts w:ascii="Times New Roman" w:eastAsia="Times New Roman" w:hAnsi="Times New Roman" w:cs="Times New Roman"/>
          <w:sz w:val="24"/>
          <w:szCs w:val="24"/>
        </w:rPr>
        <w:t xml:space="preserve"> e saj nga neni 15 në nenin 14 të projektligjit. Komisioni i Prokurimit Publik vijon të jetë institucioni përgjegjës për shqyrtimin e ankesave të operatorëve ekonomikë dhe ruhen të njëjtat referenca ndaj ligjit të posaçëm, legjislacionit të mbrojtjes dhe të sigurisë dhe ligjit për prokurimin publik. </w:t>
      </w:r>
    </w:p>
    <w:p w14:paraId="20F6C9C8" w14:textId="47854D2D" w:rsidR="00EA1E69" w:rsidRPr="00A94DB4" w:rsidRDefault="001A3939" w:rsidP="00EA1E69">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Për sa i përket përafrimit me legjislacionin e Bashkimit Evropian, neni 14 përbën një rregullim institucional kombëtar për organizimin e sistemit të ankimit administrativ dhe përcaktimin e organit kompetent për shqyrtimin e ankesave. Ky rregullim mbështet zbatimin e kërkesave të neneve 55–62 të Direktivës 2009/81/KE, të cilat kërkojnë që vendimet e autoriteteve dhe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t’i nënshtrohen një shqyrtimi efektiv dhe sa më të shpejtë. Përafrimi material dhe procedural me këto kërkesa realizohet nëpërmjet dispozitave të projektligjit që rregullojnë procedurën e ankimit, periudhën e pritjes, kompetencat dhe vendimmarrjen e Komisionit të Prokurimit Publik.</w:t>
      </w:r>
    </w:p>
    <w:p w14:paraId="37D7EFB7" w14:textId="77777777" w:rsidR="003F27D5" w:rsidRPr="00A94DB4" w:rsidRDefault="003F27D5" w:rsidP="003F27D5">
      <w:pPr>
        <w:jc w:val="both"/>
        <w:rPr>
          <w:rFonts w:ascii="Times New Roman" w:eastAsia="Times New Roman" w:hAnsi="Times New Roman" w:cs="Times New Roman"/>
          <w:sz w:val="24"/>
          <w:szCs w:val="24"/>
        </w:rPr>
      </w:pPr>
      <w:r w:rsidRPr="00A94DB4">
        <w:rPr>
          <w:rFonts w:ascii="Times New Roman" w:eastAsia="Times New Roman" w:hAnsi="Times New Roman" w:cs="Times New Roman"/>
          <w:b/>
          <w:sz w:val="24"/>
          <w:szCs w:val="24"/>
        </w:rPr>
        <w:t>Neni 15</w:t>
      </w:r>
      <w:r w:rsidRPr="00A94DB4">
        <w:rPr>
          <w:rFonts w:ascii="Times New Roman" w:eastAsia="Times New Roman" w:hAnsi="Times New Roman" w:cs="Times New Roman"/>
          <w:sz w:val="24"/>
          <w:szCs w:val="24"/>
        </w:rPr>
        <w:t xml:space="preserve"> përcakton detyrat e autoritetit përgjegjës për sigurinë e informacionit të klasifikuar në procedurat e prokurimit dhe gjatë zbatimit të kontratave në fushën e mbrojtjes dhe të sigurisë që përmbajnë informacion të klasifikuar. Autoriteti mbikëqyr operatorët ekonomikë, autoritetet dhe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xml:space="preserve"> për respektimin e masave mbrojtëse dhe të procedurave që synojnë parandalimin e përhapjes së paautorizuar, humbjes ose cenimit të sigurisë së informacionit të klasifikuar, si gjatë zhvillimit të prokurimit të klasifikuar, ashtu edhe gjatë dhe pas përfundimit të kontratës. </w:t>
      </w:r>
    </w:p>
    <w:p w14:paraId="72141725" w14:textId="77777777" w:rsidR="003F27D5" w:rsidRPr="00A94DB4" w:rsidRDefault="003F27D5" w:rsidP="003F27D5">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lastRenderedPageBreak/>
        <w:t xml:space="preserve">Në rastet e parashikuara nga legjislacioni në fuqi për informacionin e klasifikuar, autoriteti përgjegjës lëshon, refuzon lëshimin, heq ose pezullon certifikatën e sigurisë industriale të operatorit ekonomik dhe certifikatën e sigurisë së personelit të punonjësve të tij. Ai konfirmon gjithashtu rekordet dhe vlefshmërinë e certifikatave për operatorët ekonomikë të huaj dhe punonjësit e tyre përpara pjesëmarrjes në procedurat e prokurimit të klasifikuar, autorizon operatorët ekonomikë për administrimin e informacionit të klasifikuar gjatë zbatimit të kontratës dhe akrediton sigurinë e sistemeve të komunikimit dhe të informacionit, duke autorizuar, sipas rastit, përdorimin e tyre nga operatorët ekonomikë dhe autoritetet ose entet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w:t>
      </w:r>
    </w:p>
    <w:p w14:paraId="07C8D437" w14:textId="77777777" w:rsidR="003F27D5" w:rsidRPr="00A94DB4" w:rsidRDefault="003F27D5" w:rsidP="003F27D5">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 xml:space="preserve">Në raport me ligjin nr. 36/2020, dispozita zhvendoset dhe </w:t>
      </w:r>
      <w:proofErr w:type="spellStart"/>
      <w:r w:rsidRPr="00A94DB4">
        <w:rPr>
          <w:rFonts w:ascii="Times New Roman" w:eastAsia="Times New Roman" w:hAnsi="Times New Roman" w:cs="Times New Roman"/>
          <w:sz w:val="24"/>
          <w:szCs w:val="24"/>
        </w:rPr>
        <w:t>rinumërtohet</w:t>
      </w:r>
      <w:proofErr w:type="spellEnd"/>
      <w:r w:rsidRPr="00A94DB4">
        <w:rPr>
          <w:rFonts w:ascii="Times New Roman" w:eastAsia="Times New Roman" w:hAnsi="Times New Roman" w:cs="Times New Roman"/>
          <w:sz w:val="24"/>
          <w:szCs w:val="24"/>
        </w:rPr>
        <w:t xml:space="preserve"> nga neni 16 në nenin 15. Kompetencat e autoritetit përgjegjës ruhen në thelb, ndërsa terminologjia përshtatet me legjislacionin në fuqi për informacionin e klasifikuar. Në këtë kuadër, emërtimi “autoriteti përgjegjës për sigurimin e informacionit të klasifikuar” zëvendësohet me “autoriteti përgjegjës për sigurinë e informacionit të klasifikuar”, termat që lidhen me “certifikatat e sigurimit” përshtaten me terminologjinë e “certifikatave të sigurisë”, ndërsa detyrimet e mbikëqyrjes dhe përdorimit të sistemeve të komunikimit e të informacionit shtrihen edhe ndaj enteve </w:t>
      </w:r>
      <w:proofErr w:type="spellStart"/>
      <w:r w:rsidRPr="00A94DB4">
        <w:rPr>
          <w:rFonts w:ascii="Times New Roman" w:eastAsia="Times New Roman" w:hAnsi="Times New Roman" w:cs="Times New Roman"/>
          <w:sz w:val="24"/>
          <w:szCs w:val="24"/>
        </w:rPr>
        <w:t>kontraktore</w:t>
      </w:r>
      <w:proofErr w:type="spellEnd"/>
      <w:r w:rsidRPr="00A94DB4">
        <w:rPr>
          <w:rFonts w:ascii="Times New Roman" w:eastAsia="Times New Roman" w:hAnsi="Times New Roman" w:cs="Times New Roman"/>
          <w:sz w:val="24"/>
          <w:szCs w:val="24"/>
        </w:rPr>
        <w:t>. Formulimi “kontratë e klasifikuar” zëvendësohet me “kontratë në fushën e mbrojtjes dhe të sigurisë që përmban informacion të klasifikuar”. </w:t>
      </w:r>
    </w:p>
    <w:p w14:paraId="3E81F981" w14:textId="77777777" w:rsidR="003F27D5" w:rsidRPr="00A94DB4" w:rsidRDefault="003F27D5" w:rsidP="003F27D5">
      <w:pPr>
        <w:jc w:val="both"/>
        <w:rPr>
          <w:rFonts w:ascii="Times New Roman" w:eastAsia="Times New Roman" w:hAnsi="Times New Roman" w:cs="Times New Roman"/>
          <w:sz w:val="24"/>
          <w:szCs w:val="24"/>
        </w:rPr>
      </w:pPr>
      <w:r w:rsidRPr="00A94DB4">
        <w:rPr>
          <w:rFonts w:ascii="Times New Roman" w:eastAsia="Times New Roman" w:hAnsi="Times New Roman" w:cs="Times New Roman"/>
          <w:sz w:val="24"/>
          <w:szCs w:val="24"/>
        </w:rPr>
        <w:t>Për sa i përket përafrimit me legjislacionin e Bashkimit Evropian, neni 15 përbën rregullim organizativ kombëtar lidhur me përcaktimin e kompetencave të autoritetit kombëtar përgjegjës për sigurinë e informacionit të klasifikuar në kuadër të prokurimeve në fushën e mbrojtjes dhe të sigurisë</w:t>
      </w:r>
    </w:p>
    <w:p w14:paraId="1AA988B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16</w:t>
      </w:r>
      <w:r w:rsidRPr="00A94DB4">
        <w:rPr>
          <w:rFonts w:ascii="Times New Roman" w:hAnsi="Times New Roman" w:cs="Times New Roman"/>
          <w:sz w:val="24"/>
          <w:szCs w:val="24"/>
        </w:rPr>
        <w:t xml:space="preserve"> rregullon prokurimin e përqendruar, duke u njohur autoriteteve 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të drejtën për të prokuruar punë, mallra dhe shërbime nëpërmjet një organi qendror blerës. Ky organ zhvillon procedurat përkatëse të përzgjedhjes së fituesit dhe, gjatë kryerjes së tyre, zbaton dispozitat e projektligjit. </w:t>
      </w:r>
    </w:p>
    <w:p w14:paraId="74EF3F6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që blejnë punime, furnizime ose shërbime nga ose nëpërmjet një organi qendror blerës konsiderohen se kanë përmbushur kërkesat e ligjit kur organi qendror blerës vepron në përputhje me të. E njëjta pasojë juridike zbatohet edhe kur organi qendror blerës nuk është autoritet ose ent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me kusht që rregullat e përdorura prej tij për dhënien e kontratave të jenë në përputhje me të gjitha dispozitat e ligjit dhe kontratat e dhëna t’u nënshtrohen mjeteve juridike efektive, të krahasueshme me ato të parashikuara për ankimin administrativ. </w:t>
      </w:r>
    </w:p>
    <w:p w14:paraId="195F571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ruhet mundësia e kryerjes së prokurimeve nëpërmjet një organi qendror blerës, kompetenca e Këshillit të Ministrave për të ngarkuar një autoritet tjetër si organ qendror blerës dhe mundësia që ministritë ose institucionet me disa autoritete në varësi të prokurojnë në mënyrë të përqendruar. Ndryshimi kryesor është shtimi i pikës 2, e cila përcakton shprehimisht kushtet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konsiderohet se ka përmbushur ligjin gjatë përdorimit të një organi qendror blerës. Gjithashtu, i gjithë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ndërsa dispozita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17 në nenin 16. </w:t>
      </w:r>
    </w:p>
    <w:p w14:paraId="799CC1B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Pikat 4 dhe 5 ruajnë rregullimet kombëtare për organizimin e prokurimit të përqendruar. Këshilli i Ministrave mund të caktojë një autoritet ose ent tjetër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si organ qendror </w:t>
      </w:r>
      <w:r w:rsidRPr="00A94DB4">
        <w:rPr>
          <w:rFonts w:ascii="Times New Roman" w:hAnsi="Times New Roman" w:cs="Times New Roman"/>
          <w:sz w:val="24"/>
          <w:szCs w:val="24"/>
        </w:rPr>
        <w:lastRenderedPageBreak/>
        <w:t xml:space="preserve">blerës për procedura të veçanta, ndërsa ministritë dhe institucionet e tjera mund të zhvillojnë prokurime të përqendruara për autoritetet dhe entet e tyre të varësisë, duke nxjerrë udhëzimet përkatëse. </w:t>
      </w:r>
    </w:p>
    <w:p w14:paraId="0DC0FB8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16 siguron përafrim të plotë me nenin 10 të Direktivës 2009/81/KE. Projektligji pasqyron si të drejtën për të blerë punë, furnizime dhe shërbime nga ose nëpërmjet një organi qendror blerës, ashtu edhe kushtet alternative në të cilat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konsiderohen se kanë respektuar kërkesat ligjore. Rregullimet për caktimin e organit qendror blerës nga Këshilli i Ministrave dhe për prokurimin e përqendruar nga institucionet eprore janë dispozita organizative kombëtare plotësuese. </w:t>
      </w:r>
    </w:p>
    <w:p w14:paraId="3F7D2BF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17</w:t>
      </w:r>
      <w:r w:rsidRPr="00A94DB4">
        <w:rPr>
          <w:rFonts w:ascii="Times New Roman" w:hAnsi="Times New Roman" w:cs="Times New Roman"/>
          <w:sz w:val="24"/>
          <w:szCs w:val="24"/>
        </w:rPr>
        <w:t xml:space="preserve"> rregullon kategorizimin e kontratave të shërbimeve dhe përcakton rregullat që zbatohen për secilën kategori. Këshilli i Ministrave ngarkohet të përcaktojë listën I dhe listën II të shërbimeve që përfshihen në fushën e zbatimit të ligjit. Për kontratat që kanë si objekt shërbimet e listës I zbatohen të gjitha rregullat e parashikuara në projektligj, ndërsa për shërbimet e listës II zbatohen vetëm kërkesat për specifikimet teknike dhe publikimin e njoftimit për dhënien e kontratës, sipas neneve 18 dhe 32, pika 6. </w:t>
      </w:r>
    </w:p>
    <w:p w14:paraId="400BE9E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 3 përcakton regjimin juridik të kontratave që përmbajnë njëkohësisht shërbime të </w:t>
      </w:r>
      <w:proofErr w:type="spellStart"/>
      <w:r w:rsidRPr="00A94DB4">
        <w:rPr>
          <w:rFonts w:ascii="Times New Roman" w:hAnsi="Times New Roman" w:cs="Times New Roman"/>
          <w:sz w:val="24"/>
          <w:szCs w:val="24"/>
        </w:rPr>
        <w:t>të</w:t>
      </w:r>
      <w:proofErr w:type="spellEnd"/>
      <w:r w:rsidRPr="00A94DB4">
        <w:rPr>
          <w:rFonts w:ascii="Times New Roman" w:hAnsi="Times New Roman" w:cs="Times New Roman"/>
          <w:sz w:val="24"/>
          <w:szCs w:val="24"/>
        </w:rPr>
        <w:t xml:space="preserve"> dyja kategorive. Kur vlera e shërbimeve të listës I është më e madhe se vlera e shërbimeve të listës II, kontrata jepet duke zbatuar tërësisht projektligjin. Kur kjo marrëdhënie vlere nuk plotësohet, kontrata u nënshtrohet vetëm neneve 18 dhe 32, pika 6. Për rrjedhojë, rregullat e zbatueshme përcaktohen sipas kategorisë së shërbimeve që përfaqëson vlerën më të madhe të kontratës. </w:t>
      </w:r>
    </w:p>
    <w:p w14:paraId="241A5BC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projektligji sjell një rregullim të ri dhe të posaçëm për kontratat e shërbimeve. Ligji në fuqi kalon nga dispozitat për prokurimin e përqendruar drejtpërdrejt te rregullimi i specifikimeve teknike, pa parashikuar ndarjen e shërbimeve në dy lista dhe pa përcaktuar regjimin e kontratave që përmbajnë shërbime nga të dyja kategoritë. Projektligji plotëson këtë boshllëk, duke përcaktuar si kategorizimin e shërbimeve, ashtu edhe rregullat e zbatueshme për kontratat e secilës kategori dhe për kontratat me objekt të përzier. </w:t>
      </w:r>
    </w:p>
    <w:p w14:paraId="2240A97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17 siguron përafrim të plotë me nenet 15, 16 dhe 17 të Direktivës 2009/81/KE. Lista I korrespondon me shërbimet e aneksit I të Direktivës, për të cilat zbatohet regjimi i plotë procedural, ndërsa lista II korrespondon me shërbimet e aneksit II, për të cilat zbatohen vetëm kërkesat për specifikimet teknike dhe publikimin e rezultatit të procedurës. Rregulli për kontratat që përmbajnë shërbime nga të dyja listat pasqyron kriterin e vlerës mbizotëruese të përcaktuar në nenin 17 të Direktivës.</w:t>
      </w:r>
    </w:p>
    <w:p w14:paraId="25B29DA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18</w:t>
      </w:r>
      <w:r w:rsidRPr="00A94DB4">
        <w:rPr>
          <w:rFonts w:ascii="Times New Roman" w:hAnsi="Times New Roman" w:cs="Times New Roman"/>
          <w:sz w:val="24"/>
          <w:szCs w:val="24"/>
        </w:rPr>
        <w:t xml:space="preserve"> rregullon hartimin dhe përmbajtjen e specifikimeve teknike, të cilat përcaktohen në dokumentet e tenderit, dokumentet e kontratës, dokumentet përshkruese ose dokumentet mbështetëse. Specifikimet duhet të garantojnë trajtim të barabartë të kandidatëve dhe ofertuesve, të mos krijojnë pengesa ndaj konkurrencës dhe të përshkruajnë në mënyrë të qartë e të mjaftueshme kërkesat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w:t>
      </w:r>
    </w:p>
    <w:p w14:paraId="50565AC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përcakton një rend të hollësishëm të standardeve dhe referencave teknike që mund të përdoren, duke përfshirë standardet kombëtare që </w:t>
      </w:r>
      <w:proofErr w:type="spellStart"/>
      <w:r w:rsidRPr="00A94DB4">
        <w:rPr>
          <w:rFonts w:ascii="Times New Roman" w:hAnsi="Times New Roman" w:cs="Times New Roman"/>
          <w:sz w:val="24"/>
          <w:szCs w:val="24"/>
        </w:rPr>
        <w:t>transpozojnë</w:t>
      </w:r>
      <w:proofErr w:type="spellEnd"/>
      <w:r w:rsidRPr="00A94DB4">
        <w:rPr>
          <w:rFonts w:ascii="Times New Roman" w:hAnsi="Times New Roman" w:cs="Times New Roman"/>
          <w:sz w:val="24"/>
          <w:szCs w:val="24"/>
        </w:rPr>
        <w:t xml:space="preserve"> standardet evropiane ose </w:t>
      </w:r>
      <w:r w:rsidRPr="00A94DB4">
        <w:rPr>
          <w:rFonts w:ascii="Times New Roman" w:hAnsi="Times New Roman" w:cs="Times New Roman"/>
          <w:sz w:val="24"/>
          <w:szCs w:val="24"/>
        </w:rPr>
        <w:lastRenderedPageBreak/>
        <w:t xml:space="preserve">ndërkombëtare, miratimet teknike evropiane, specifikimet teknike të përbashkëta, sistemet e referimit të organeve evropiane të standardizimit dhe standardet kombëtare të mbrojtjes. Çdo referencë duhet të shoqërohet me formulimin “ose ekuivalent”. Specifikimet mund të hartohen edhe në terma të </w:t>
      </w:r>
      <w:proofErr w:type="spellStart"/>
      <w:r w:rsidRPr="00A94DB4">
        <w:rPr>
          <w:rFonts w:ascii="Times New Roman" w:hAnsi="Times New Roman" w:cs="Times New Roman"/>
          <w:sz w:val="24"/>
          <w:szCs w:val="24"/>
        </w:rPr>
        <w:t>performancës</w:t>
      </w:r>
      <w:proofErr w:type="spellEnd"/>
      <w:r w:rsidRPr="00A94DB4">
        <w:rPr>
          <w:rFonts w:ascii="Times New Roman" w:hAnsi="Times New Roman" w:cs="Times New Roman"/>
          <w:sz w:val="24"/>
          <w:szCs w:val="24"/>
        </w:rPr>
        <w:t xml:space="preserve"> ose funksionalë, përfshirë karakteristikat mjedisore, me kusht që parametrat të jenë mjaftueshëm të saktë për përcaktimin e objektit dhe dhënien e kontratës. </w:t>
      </w:r>
    </w:p>
    <w:p w14:paraId="1BE5084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Neni garanton pranimin e zgjidhjeve ekuivalente dhe ndalon refuzimin e ofertave vetëm për shkak të mospërputhjes formale me standardin e përmendur, kur ofertuesi provon se zgjidhja e propozuar përmbush në mënyrë ekuivalente kërkesat teknike, të </w:t>
      </w:r>
      <w:proofErr w:type="spellStart"/>
      <w:r w:rsidRPr="00A94DB4">
        <w:rPr>
          <w:rFonts w:ascii="Times New Roman" w:hAnsi="Times New Roman" w:cs="Times New Roman"/>
          <w:sz w:val="24"/>
          <w:szCs w:val="24"/>
        </w:rPr>
        <w:t>performancës</w:t>
      </w:r>
      <w:proofErr w:type="spellEnd"/>
      <w:r w:rsidRPr="00A94DB4">
        <w:rPr>
          <w:rFonts w:ascii="Times New Roman" w:hAnsi="Times New Roman" w:cs="Times New Roman"/>
          <w:sz w:val="24"/>
          <w:szCs w:val="24"/>
        </w:rPr>
        <w:t xml:space="preserve"> ose funksionale. Si mjete prove mund të përdoren dosja teknike e prodhuesit ose raporti i testimit nga një organ i njohur. Parashikohen gjithashtu kushtet e përdorimit të </w:t>
      </w:r>
      <w:proofErr w:type="spellStart"/>
      <w:r w:rsidRPr="00A94DB4">
        <w:rPr>
          <w:rFonts w:ascii="Times New Roman" w:hAnsi="Times New Roman" w:cs="Times New Roman"/>
          <w:sz w:val="24"/>
          <w:szCs w:val="24"/>
        </w:rPr>
        <w:t>eko</w:t>
      </w:r>
      <w:proofErr w:type="spellEnd"/>
      <w:r w:rsidRPr="00A94DB4">
        <w:rPr>
          <w:rFonts w:ascii="Times New Roman" w:hAnsi="Times New Roman" w:cs="Times New Roman"/>
          <w:sz w:val="24"/>
          <w:szCs w:val="24"/>
        </w:rPr>
        <w:t xml:space="preserve">-etiketave dhe detyrimi për pranimin e mjeteve të tjera të përshtatshme të provës. </w:t>
      </w:r>
    </w:p>
    <w:p w14:paraId="3C7AE43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ruhen parimet bazë për vendosjen e specifikimeve teknike, trajtimin e barabartë, pranimin e zgjidhjeve ekuivalente dhe përdorimin e standardeve dhe </w:t>
      </w:r>
      <w:proofErr w:type="spellStart"/>
      <w:r w:rsidRPr="00A94DB4">
        <w:rPr>
          <w:rFonts w:ascii="Times New Roman" w:hAnsi="Times New Roman" w:cs="Times New Roman"/>
          <w:sz w:val="24"/>
          <w:szCs w:val="24"/>
        </w:rPr>
        <w:t>eko</w:t>
      </w:r>
      <w:proofErr w:type="spellEnd"/>
      <w:r w:rsidRPr="00A94DB4">
        <w:rPr>
          <w:rFonts w:ascii="Times New Roman" w:hAnsi="Times New Roman" w:cs="Times New Roman"/>
          <w:sz w:val="24"/>
          <w:szCs w:val="24"/>
        </w:rPr>
        <w:t xml:space="preserve">-etiketave. Projektligji e plotëson dhe e harmonizon më tej këtë rregullim, duke shtrirë detyrimet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duke përcaktuar një rend të detajuar të standardeve evropiane, ndërkombëtare dhe të mbrojtjes, duke vendosur detyrimin që referencat të shoqërohen me fjalët “ose ekuivalent” dhe duke rregulluar më plotësisht provimin e përputhshmërisë së zgjidhjeve alternative. </w:t>
      </w:r>
    </w:p>
    <w:p w14:paraId="519288D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Ndryshim thelbësor është edhe shtimi i pikës 7, e cila ndalon që specifikimet teknike t’i referohen një marke, burimi, procesi, patente, lloji, origjine ose prodhimi të caktuar, kur kjo sjell favorizimin ose eliminimin e operatorëve apo produkteve të caktuara. Referenca të tilla lejohen vetëm në raste </w:t>
      </w:r>
      <w:proofErr w:type="spellStart"/>
      <w:r w:rsidRPr="00A94DB4">
        <w:rPr>
          <w:rFonts w:ascii="Times New Roman" w:hAnsi="Times New Roman" w:cs="Times New Roman"/>
          <w:sz w:val="24"/>
          <w:szCs w:val="24"/>
        </w:rPr>
        <w:t>përjashtimore</w:t>
      </w:r>
      <w:proofErr w:type="spellEnd"/>
      <w:r w:rsidRPr="00A94DB4">
        <w:rPr>
          <w:rFonts w:ascii="Times New Roman" w:hAnsi="Times New Roman" w:cs="Times New Roman"/>
          <w:sz w:val="24"/>
          <w:szCs w:val="24"/>
        </w:rPr>
        <w:t xml:space="preserve">, kur objekti nuk mund të përshkruhet në mënyrë mjaftueshëm të saktë dhe të kuptueshme, dhe duhet të shoqërohen me fjalët “ose ekuivalent”. </w:t>
      </w:r>
    </w:p>
    <w:p w14:paraId="7D9999E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18 siguron përafrim të plotë me nenin 18 të Direktivës 2009/81/KE. Projektligji pasqyron kërkesat për </w:t>
      </w:r>
      <w:proofErr w:type="spellStart"/>
      <w:r w:rsidRPr="00A94DB4">
        <w:rPr>
          <w:rFonts w:ascii="Times New Roman" w:hAnsi="Times New Roman" w:cs="Times New Roman"/>
          <w:sz w:val="24"/>
          <w:szCs w:val="24"/>
        </w:rPr>
        <w:t>akses</w:t>
      </w:r>
      <w:proofErr w:type="spellEnd"/>
      <w:r w:rsidRPr="00A94DB4">
        <w:rPr>
          <w:rFonts w:ascii="Times New Roman" w:hAnsi="Times New Roman" w:cs="Times New Roman"/>
          <w:sz w:val="24"/>
          <w:szCs w:val="24"/>
        </w:rPr>
        <w:t xml:space="preserve"> të barabartë, </w:t>
      </w:r>
      <w:proofErr w:type="spellStart"/>
      <w:r w:rsidRPr="00A94DB4">
        <w:rPr>
          <w:rFonts w:ascii="Times New Roman" w:hAnsi="Times New Roman" w:cs="Times New Roman"/>
          <w:sz w:val="24"/>
          <w:szCs w:val="24"/>
        </w:rPr>
        <w:t>moskrijimin</w:t>
      </w:r>
      <w:proofErr w:type="spellEnd"/>
      <w:r w:rsidRPr="00A94DB4">
        <w:rPr>
          <w:rFonts w:ascii="Times New Roman" w:hAnsi="Times New Roman" w:cs="Times New Roman"/>
          <w:sz w:val="24"/>
          <w:szCs w:val="24"/>
        </w:rPr>
        <w:t xml:space="preserve"> e pengesave të pajustifikuara ndaj konkurrencës, përdorimin e standardeve sipas rendit të përcaktuar, pranimin e ekuivalencës, përdorimin e kërkesave funksionale dhe mjedisore, si dhe kufizimin e referencave ndaj markave ose burimeve të caktuara. </w:t>
      </w:r>
    </w:p>
    <w:p w14:paraId="08B1B99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19</w:t>
      </w:r>
      <w:r w:rsidRPr="00A94DB4">
        <w:rPr>
          <w:rFonts w:ascii="Times New Roman" w:hAnsi="Times New Roman" w:cs="Times New Roman"/>
          <w:sz w:val="24"/>
          <w:szCs w:val="24"/>
        </w:rPr>
        <w:t xml:space="preserve"> rregullon paraqitjen dhe vlerësimin e varianteve të specifikimeve teknike. Kur kontrata jepet mbi bazën e ofertës ekonomikisht më të favorshme,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lejojë ofertuesit të paraqesin variante, duke krijuar mundësinë e propozimit të zgjidhjeve alternative që përmbushin nevojat e prokurimit. </w:t>
      </w:r>
    </w:p>
    <w:p w14:paraId="25298FC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Lejimi i varianteve duhet të përcaktohet shprehimisht dhe paraprakisht në njoftimin e kontratës.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përcaktojë në specifikimet teknike kërkesat minimale që duhet të përmbushin variantet dhe kërkesat e veçanta për paraqitjen e tyre. Në procesin e vlerësimit merren në konsideratë vetëm variantet që plotësojnë kriteret minimale të përcaktuara. Për kontratat e furnizimeve ose të shërbimeve, një variant nuk mund të refuzohet vetëm sepse pranimi i tij do të ndryshonte natyrën e kontratës nga furnizim në shërbim ose anasjelltas. </w:t>
      </w:r>
    </w:p>
    <w:p w14:paraId="467D886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Në raport me ligjin nr. 36/2020, përmbajtja e nenit ruhet në thelb e pandryshuar. Projektligji vijon të lidhë lejimin e varianteve me kriterin e ofertës ekonomikisht më të favorshme, të kërkojë deklarimin paraprak të tyre në njoftimin e kontratës dhe të kushtëzojë shqyrtimin e tyre me përmbushjen e kërkesave minimale. Ndryshimi konsiston në shtrirjen e rregullimit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duke siguruar zbatimin e njëjtë të këtyre rregullave nga të gjitha subjektet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që përfshihen në fushën e zbatimit të projektligjit. </w:t>
      </w:r>
    </w:p>
    <w:p w14:paraId="58E7B43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19 siguron përafrim të plotë me nenin 19 të Direktivës 2009/81/KE. Dispozita pasqyron mundësinë e lejimit të varianteve kur zbatohet kriteri i ofertës ekonomikisht më të favorshme, detyrimin për njoftimin paraprak, përcaktimin e kërkesave minimale dhe ndalimin e refuzimit të variantit vetëm për shkak të ndryshimit të natyrës së kontratës ndërmjet furnizimit dhe shërbimit.</w:t>
      </w:r>
    </w:p>
    <w:p w14:paraId="4BF943B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20</w:t>
      </w:r>
      <w:r w:rsidRPr="00A94DB4">
        <w:rPr>
          <w:rFonts w:ascii="Times New Roman" w:hAnsi="Times New Roman" w:cs="Times New Roman"/>
          <w:sz w:val="24"/>
          <w:szCs w:val="24"/>
        </w:rPr>
        <w:t xml:space="preserve"> përcakton kategoritë e kufijve monetarë që zbatohen për kontratat e prokurimit në fushën e mbrojtjes dhe të sigurisë. Projektligji parashikon kufirin e lartë monetar, kufirin e ulët monetar dhe kufirin monetar për procedurën e thjeshtuar të prokurimit. Këta kufij shërbejnë për përcaktimin e regjimit procedural që zbatohet në varësi të vlerës së parashikuar të kontratës. </w:t>
      </w:r>
    </w:p>
    <w:p w14:paraId="34A6F9D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Vlerat konkrete të kufijve monetarë përcaktohen me vendim të Këshillit të Ministrave, duke marrë në konsideratë parashikimet e legjislacionit evropian për prokurimet në fushën e mbrojtjes dhe të sigurisë, për aq sa ato janë të zbatueshme. Ky rregullim mundëson përshtatjen e kufijve monetarë me ndryshimet që mund të pësojnë pragjet e zbatueshme në nivel evropian, pa qenë e nevojshme ndërhyrja e vazhdueshme në tekstin e ligjit. </w:t>
      </w:r>
    </w:p>
    <w:p w14:paraId="04CAFEA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ndryshon mënyra e kategorizimit të kufijve monetarë. Ligji në fuqi parashikon një kufi monetar që shërben për ndarjen e procedurave në procedura ndërkombëtare dhe procedura kombëtare, ndërsa projektligji përcakton tri kategori të veçanta, përkatësisht kufirin e lartë, kufirin e ulët dhe kufirin për procedurën e thjeshtuar. Gjithashtu, përcaktimi i tyre lidhet shprehimisht me legjislacionin evropian të prokurimeve në fushën e mbrojtjes dhe të sigurisë, për aq sa është i zbatueshëm. </w:t>
      </w:r>
    </w:p>
    <w:p w14:paraId="7A980ED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Shtimi i kufirit monetar për procedurën e thjeshtuar krijon bazën ligjore për zbatimin e një procedure të posaçme për kontratat me vlerë më të ulët. Kufiri i ulët dhe kufiri për procedurën e thjeshtuar përbëjnë rregullime kombëtare, nëpërmjet të cilave përcaktohet mënyra e organizimit të procedurave nën pragun e zbatimit të plotë të rregullave evropiane.</w:t>
      </w:r>
    </w:p>
    <w:p w14:paraId="367DC3C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20 siguron përafrim të pjesshëm me nenin 8 të Direktivës 2009/81/KE. Direktiva përcakton kufij monetarë të veçantë për kontratat e furnizimeve dhe shërbimeve dhe për kontratat e punëve, ndërsa projektligji nuk i vendos vlerat konkrete në tekstin e tij, por ia delegon përcaktimin e tyre Këshillit të Ministrave. Kufiri i lartë monetar duhet të pasqyrojë pragjet e zbatueshme sipas legjislacionit evropian, ndërsa kufiri i ulët dhe kufiri për procedurën e thjeshtuar janë dispozita kombëtare plotësuese dhe nuk përbëjnë pragje të parashikuara nga Direktiva.</w:t>
      </w:r>
    </w:p>
    <w:p w14:paraId="11CC0DA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21</w:t>
      </w:r>
      <w:r w:rsidRPr="00A94DB4">
        <w:rPr>
          <w:rFonts w:ascii="Times New Roman" w:hAnsi="Times New Roman" w:cs="Times New Roman"/>
          <w:sz w:val="24"/>
          <w:szCs w:val="24"/>
        </w:rPr>
        <w:t xml:space="preserve"> përcakton mënyrat e përllogaritjes së vlerës së parashikuar të kontratave dhe marrëveshjeve kuadër. Përllogaritja bazohet në shumën e plotë të pagueshme pa TVSH, të vlerësuar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duke përfshirë çdo mundësi alternative, rinovim të kontratës, çmim ose pagesë të parashikuar për kandidatët apo ofertuesit. Vlera duhet të jetë e </w:t>
      </w:r>
      <w:r w:rsidRPr="00A94DB4">
        <w:rPr>
          <w:rFonts w:ascii="Times New Roman" w:hAnsi="Times New Roman" w:cs="Times New Roman"/>
          <w:sz w:val="24"/>
          <w:szCs w:val="24"/>
        </w:rPr>
        <w:lastRenderedPageBreak/>
        <w:t xml:space="preserve">vlefshme në momentin e publikimit të njoftimit të kontratës ose, kur ky njoftim nuk kërkohet, në momentin e fillimit të procedurës së prokurimit. </w:t>
      </w:r>
    </w:p>
    <w:p w14:paraId="5C344BC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ndalon pjesëtimin e vlerës së kontratës me qëllim shmangien e zbatimit të ligjit. Për marrëveshjet kuadër merret në konsideratë vlera maksimale e parashikuar, pa TVSH, e të gjitha kontratave që pritet të lidhen gjatë kohëzgjatjes së marrëveshjes. Kur një punë, shërbim ose furnizim ndahet në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merret parasysh vlera totale e parashikuar e të gjitha </w:t>
      </w:r>
      <w:proofErr w:type="spellStart"/>
      <w:r w:rsidRPr="00A94DB4">
        <w:rPr>
          <w:rFonts w:ascii="Times New Roman" w:hAnsi="Times New Roman" w:cs="Times New Roman"/>
          <w:sz w:val="24"/>
          <w:szCs w:val="24"/>
        </w:rPr>
        <w:t>loteve</w:t>
      </w:r>
      <w:proofErr w:type="spellEnd"/>
      <w:r w:rsidRPr="00A94DB4">
        <w:rPr>
          <w:rFonts w:ascii="Times New Roman" w:hAnsi="Times New Roman" w:cs="Times New Roman"/>
          <w:sz w:val="24"/>
          <w:szCs w:val="24"/>
        </w:rPr>
        <w:t xml:space="preserve"> dhe procedura për secilin lot përcaktohet në bazë të kësaj vlere të përgjithshme. </w:t>
      </w:r>
    </w:p>
    <w:p w14:paraId="5D4D080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parashikon edhe përjashtimin për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individuale me vlerë nën kufijtë e posaçëm të përcaktuar në rregullat e prokurimit, me kusht që vlera e tyre e përgjithshme të mos kalojë 20 për qind të vlerës totale të </w:t>
      </w:r>
      <w:proofErr w:type="spellStart"/>
      <w:r w:rsidRPr="00A94DB4">
        <w:rPr>
          <w:rFonts w:ascii="Times New Roman" w:hAnsi="Times New Roman" w:cs="Times New Roman"/>
          <w:sz w:val="24"/>
          <w:szCs w:val="24"/>
        </w:rPr>
        <w:t>të</w:t>
      </w:r>
      <w:proofErr w:type="spellEnd"/>
      <w:r w:rsidRPr="00A94DB4">
        <w:rPr>
          <w:rFonts w:ascii="Times New Roman" w:hAnsi="Times New Roman" w:cs="Times New Roman"/>
          <w:sz w:val="24"/>
          <w:szCs w:val="24"/>
        </w:rPr>
        <w:t xml:space="preserve"> gjitha </w:t>
      </w:r>
      <w:proofErr w:type="spellStart"/>
      <w:r w:rsidRPr="00A94DB4">
        <w:rPr>
          <w:rFonts w:ascii="Times New Roman" w:hAnsi="Times New Roman" w:cs="Times New Roman"/>
          <w:sz w:val="24"/>
          <w:szCs w:val="24"/>
        </w:rPr>
        <w:t>loteve</w:t>
      </w:r>
      <w:proofErr w:type="spellEnd"/>
      <w:r w:rsidRPr="00A94DB4">
        <w:rPr>
          <w:rFonts w:ascii="Times New Roman" w:hAnsi="Times New Roman" w:cs="Times New Roman"/>
          <w:sz w:val="24"/>
          <w:szCs w:val="24"/>
        </w:rPr>
        <w:t xml:space="preserve">. Gjithashtu, përcaktohen metoda të posaçme për përllogaritjen e kontratave të furnizimit që lidhen me </w:t>
      </w:r>
      <w:proofErr w:type="spellStart"/>
      <w:r w:rsidRPr="00A94DB4">
        <w:rPr>
          <w:rFonts w:ascii="Times New Roman" w:hAnsi="Times New Roman" w:cs="Times New Roman"/>
          <w:sz w:val="24"/>
          <w:szCs w:val="24"/>
        </w:rPr>
        <w:t>lizingun</w:t>
      </w:r>
      <w:proofErr w:type="spellEnd"/>
      <w:r w:rsidRPr="00A94DB4">
        <w:rPr>
          <w:rFonts w:ascii="Times New Roman" w:hAnsi="Times New Roman" w:cs="Times New Roman"/>
          <w:sz w:val="24"/>
          <w:szCs w:val="24"/>
        </w:rPr>
        <w:t xml:space="preserve">, qiranë ose blerjen me këste, të kontratave të furnizimeve dhe shërbimeve me natyrë të përsëritur, si dhe të kontratave të shërbimeve të sigurimit, projektimit dhe atyre pa çmim të përgjithshëm. Metoda e përllogaritjes nuk mund të zgjidhet me qëllim shmangien e zbatimit të ligjit. </w:t>
      </w:r>
    </w:p>
    <w:p w14:paraId="6F391D5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ruhen rregullat bazë për përllogaritjen mbi vlerën e plotë pa TVSH, përfshirjen e alternativave, rinovimeve dhe pagesave, ndalimin e pjesëtimit të kontratës dhe përllogaritjen e vlerës së marrëveshjeve kuadër. Ndryshimi kryesor qëndron në përfshirjen drejtpërdrejt në ligj të rregullave të hollësishme për </w:t>
      </w:r>
      <w:proofErr w:type="spellStart"/>
      <w:r w:rsidRPr="00A94DB4">
        <w:rPr>
          <w:rFonts w:ascii="Times New Roman" w:hAnsi="Times New Roman" w:cs="Times New Roman"/>
          <w:sz w:val="24"/>
          <w:szCs w:val="24"/>
        </w:rPr>
        <w:t>lotet</w:t>
      </w:r>
      <w:proofErr w:type="spellEnd"/>
      <w:r w:rsidRPr="00A94DB4">
        <w:rPr>
          <w:rFonts w:ascii="Times New Roman" w:hAnsi="Times New Roman" w:cs="Times New Roman"/>
          <w:sz w:val="24"/>
          <w:szCs w:val="24"/>
        </w:rPr>
        <w:t xml:space="preserve"> dhe kategoritë e ndryshme të kontratave, të cilat ligji nr. 36/2020 ia delegonte tërësisht rregullave të prokurimit të miratuara me vendim të Këshillit të Ministrave. Rregullimi shtrihet gjithashtu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ndërsa referenca për publikimin e njoftimit përshtatet nga neni 30 në nenin 35 të projektligjit. </w:t>
      </w:r>
    </w:p>
    <w:p w14:paraId="7D26E8D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21 siguron përafrim të plotë me nenin 9 të Direktivës 2009/81/KE. Ai pasqyron metodën e përgjithshme të përllogaritjes së vlerës pa TVSH, momentin referues të vlerësimit, ndalimin e ndarjes artificiale të kontratave, përllogaritjen e vlerës së </w:t>
      </w:r>
      <w:proofErr w:type="spellStart"/>
      <w:r w:rsidRPr="00A94DB4">
        <w:rPr>
          <w:rFonts w:ascii="Times New Roman" w:hAnsi="Times New Roman" w:cs="Times New Roman"/>
          <w:sz w:val="24"/>
          <w:szCs w:val="24"/>
        </w:rPr>
        <w:t>loteve</w:t>
      </w:r>
      <w:proofErr w:type="spellEnd"/>
      <w:r w:rsidRPr="00A94DB4">
        <w:rPr>
          <w:rFonts w:ascii="Times New Roman" w:hAnsi="Times New Roman" w:cs="Times New Roman"/>
          <w:sz w:val="24"/>
          <w:szCs w:val="24"/>
        </w:rPr>
        <w:t xml:space="preserve"> dhe marrëveshjeve kuadër, përjashtimin e kufizuar për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të caktuara, si dhe rregullat e posaçme për kontratat e furnizimeve dhe shërbimeve</w:t>
      </w:r>
    </w:p>
    <w:p w14:paraId="58C0864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22</w:t>
      </w:r>
      <w:r w:rsidRPr="00A94DB4">
        <w:rPr>
          <w:rFonts w:ascii="Times New Roman" w:hAnsi="Times New Roman" w:cs="Times New Roman"/>
          <w:sz w:val="24"/>
          <w:szCs w:val="24"/>
        </w:rPr>
        <w:t xml:space="preserve"> rregullon ndarjen e kontratës së prokurimit në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Kontrata ndahet në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kur objekti përbëhet nga punë, mallra ose shërbime homogjene apo të ngjashme dhe kur vlera e përgjithshme është e tillë që vetëm një numër i kufizuar operatorësh ekonomikë do të mund ta realizonin kontratën në tërësi. Ndarja në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mund të përdoret veçanërisht për të nxitur pjesëmarrjen e ndërmarrjeve të vogla dhe të mesme dhe për të ulur kostot administrative të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w:t>
      </w:r>
    </w:p>
    <w:p w14:paraId="6CEB645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synon zgjerimin e konkurrencës duke e bërë objektin e prokurimit të </w:t>
      </w:r>
      <w:proofErr w:type="spellStart"/>
      <w:r w:rsidRPr="00A94DB4">
        <w:rPr>
          <w:rFonts w:ascii="Times New Roman" w:hAnsi="Times New Roman" w:cs="Times New Roman"/>
          <w:sz w:val="24"/>
          <w:szCs w:val="24"/>
        </w:rPr>
        <w:t>aksesueshëm</w:t>
      </w:r>
      <w:proofErr w:type="spellEnd"/>
      <w:r w:rsidRPr="00A94DB4">
        <w:rPr>
          <w:rFonts w:ascii="Times New Roman" w:hAnsi="Times New Roman" w:cs="Times New Roman"/>
          <w:sz w:val="24"/>
          <w:szCs w:val="24"/>
        </w:rPr>
        <w:t xml:space="preserve"> edhe për operatorët ekonomikë që nuk kanë kapacitetin për të përmbushur të gjithë kontratën, por mund të realizojnë një pjesë të veçantë të saj. Pavarësisht ndarjes në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për përzgjedhjen e procedurës së prokurimit vlera limit e kontratës përcaktohet në bazë të shumës së vlerës së secilit lot, duke parandaluar përdorimin e ndarjes për shmangien e procedurës që i përgjigjet vlerës së përgjithshme të kontratës. </w:t>
      </w:r>
    </w:p>
    <w:p w14:paraId="1D748F8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përmbajtja e nenit ruhet në thelb e pandryshuar. Mbeten të njëjta kushtet për ndarjen e kontratës në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qëllimi për nxitjen e pjesëmarrjes së biznesit të </w:t>
      </w:r>
      <w:r w:rsidRPr="00A94DB4">
        <w:rPr>
          <w:rFonts w:ascii="Times New Roman" w:hAnsi="Times New Roman" w:cs="Times New Roman"/>
          <w:sz w:val="24"/>
          <w:szCs w:val="24"/>
        </w:rPr>
        <w:lastRenderedPageBreak/>
        <w:t xml:space="preserve">vogël dhe të mesëm, si dhe rregulli për përllogaritjen e vlerës limit mbi bazën e shumës së vlerave të </w:t>
      </w:r>
      <w:proofErr w:type="spellStart"/>
      <w:r w:rsidRPr="00A94DB4">
        <w:rPr>
          <w:rFonts w:ascii="Times New Roman" w:hAnsi="Times New Roman" w:cs="Times New Roman"/>
          <w:sz w:val="24"/>
          <w:szCs w:val="24"/>
        </w:rPr>
        <w:t>loteve</w:t>
      </w:r>
      <w:proofErr w:type="spellEnd"/>
      <w:r w:rsidRPr="00A94DB4">
        <w:rPr>
          <w:rFonts w:ascii="Times New Roman" w:hAnsi="Times New Roman" w:cs="Times New Roman"/>
          <w:sz w:val="24"/>
          <w:szCs w:val="24"/>
        </w:rPr>
        <w:t xml:space="preserve">. Ndryshimi konsiston në shtrirjen e rregullimit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krahas autoriteteve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1BB3240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22 përbën një rregullim plotësues kombëtar për organizimin e objektit të kontratës, zgjerimin e </w:t>
      </w:r>
      <w:proofErr w:type="spellStart"/>
      <w:r w:rsidRPr="00A94DB4">
        <w:rPr>
          <w:rFonts w:ascii="Times New Roman" w:hAnsi="Times New Roman" w:cs="Times New Roman"/>
          <w:sz w:val="24"/>
          <w:szCs w:val="24"/>
        </w:rPr>
        <w:t>aksesit</w:t>
      </w:r>
      <w:proofErr w:type="spellEnd"/>
      <w:r w:rsidRPr="00A94DB4">
        <w:rPr>
          <w:rFonts w:ascii="Times New Roman" w:hAnsi="Times New Roman" w:cs="Times New Roman"/>
          <w:sz w:val="24"/>
          <w:szCs w:val="24"/>
        </w:rPr>
        <w:t xml:space="preserve"> të operatorëve ekonomikë dhe nxitjen e konkurrencës. Rregulli sipas të cilit, në rastin e ndarjes në </w:t>
      </w:r>
      <w:proofErr w:type="spellStart"/>
      <w:r w:rsidRPr="00A94DB4">
        <w:rPr>
          <w:rFonts w:ascii="Times New Roman" w:hAnsi="Times New Roman" w:cs="Times New Roman"/>
          <w:sz w:val="24"/>
          <w:szCs w:val="24"/>
        </w:rPr>
        <w:t>lote</w:t>
      </w:r>
      <w:proofErr w:type="spellEnd"/>
      <w:r w:rsidRPr="00A94DB4">
        <w:rPr>
          <w:rFonts w:ascii="Times New Roman" w:hAnsi="Times New Roman" w:cs="Times New Roman"/>
          <w:sz w:val="24"/>
          <w:szCs w:val="24"/>
        </w:rPr>
        <w:t xml:space="preserve">, merret parasysh vlera e përgjithshme e të gjitha </w:t>
      </w:r>
      <w:proofErr w:type="spellStart"/>
      <w:r w:rsidRPr="00A94DB4">
        <w:rPr>
          <w:rFonts w:ascii="Times New Roman" w:hAnsi="Times New Roman" w:cs="Times New Roman"/>
          <w:sz w:val="24"/>
          <w:szCs w:val="24"/>
        </w:rPr>
        <w:t>loteve</w:t>
      </w:r>
      <w:proofErr w:type="spellEnd"/>
      <w:r w:rsidRPr="00A94DB4">
        <w:rPr>
          <w:rFonts w:ascii="Times New Roman" w:hAnsi="Times New Roman" w:cs="Times New Roman"/>
          <w:sz w:val="24"/>
          <w:szCs w:val="24"/>
        </w:rPr>
        <w:t xml:space="preserve"> lidhet me kërkesat e nenit 9 të Direktivës 2009/81/KE për përllogaritjen e vlerës së parashikuar të kontratës. Përafrimi i plotë me këto kërkesa realizohet në mënyrë të posaçme nëpërmjet nenit 21 të projektligjit, ndërsa neni 22 përcakton kushtet dhe objektivat kombëtare të përdorimit të </w:t>
      </w:r>
      <w:proofErr w:type="spellStart"/>
      <w:r w:rsidRPr="00A94DB4">
        <w:rPr>
          <w:rFonts w:ascii="Times New Roman" w:hAnsi="Times New Roman" w:cs="Times New Roman"/>
          <w:sz w:val="24"/>
          <w:szCs w:val="24"/>
        </w:rPr>
        <w:t>loteve</w:t>
      </w:r>
      <w:proofErr w:type="spellEnd"/>
      <w:r w:rsidRPr="00A94DB4">
        <w:rPr>
          <w:rFonts w:ascii="Times New Roman" w:hAnsi="Times New Roman" w:cs="Times New Roman"/>
          <w:sz w:val="24"/>
          <w:szCs w:val="24"/>
        </w:rPr>
        <w:t>.</w:t>
      </w:r>
    </w:p>
    <w:p w14:paraId="427B0A2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23</w:t>
      </w:r>
      <w:r w:rsidRPr="00A94DB4">
        <w:rPr>
          <w:rFonts w:ascii="Times New Roman" w:hAnsi="Times New Roman" w:cs="Times New Roman"/>
          <w:sz w:val="24"/>
          <w:szCs w:val="24"/>
        </w:rPr>
        <w:t xml:space="preserve"> rregullon mënyrat e komunikimit dhe të shkëmbimit të informacionit gjatë procedurave të prokurimit. Komunikimi mund të realizohet me postë, me mjete elektronike ose nëpërmjet kombinimit të këtyre mjeteve, sipas zgjedhjes së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Kur përdoren mjete elektronike, ato dhe karakteristikat e tyre teknike duhet të jenë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të </w:t>
      </w:r>
      <w:proofErr w:type="spellStart"/>
      <w:r w:rsidRPr="00A94DB4">
        <w:rPr>
          <w:rFonts w:ascii="Times New Roman" w:hAnsi="Times New Roman" w:cs="Times New Roman"/>
          <w:sz w:val="24"/>
          <w:szCs w:val="24"/>
        </w:rPr>
        <w:t>disponueshme</w:t>
      </w:r>
      <w:proofErr w:type="spellEnd"/>
      <w:r w:rsidRPr="00A94DB4">
        <w:rPr>
          <w:rFonts w:ascii="Times New Roman" w:hAnsi="Times New Roman" w:cs="Times New Roman"/>
          <w:sz w:val="24"/>
          <w:szCs w:val="24"/>
        </w:rPr>
        <w:t xml:space="preserve"> dhe të </w:t>
      </w:r>
      <w:proofErr w:type="spellStart"/>
      <w:r w:rsidRPr="00A94DB4">
        <w:rPr>
          <w:rFonts w:ascii="Times New Roman" w:hAnsi="Times New Roman" w:cs="Times New Roman"/>
          <w:sz w:val="24"/>
          <w:szCs w:val="24"/>
        </w:rPr>
        <w:t>ndërveprueshme</w:t>
      </w:r>
      <w:proofErr w:type="spellEnd"/>
      <w:r w:rsidRPr="00A94DB4">
        <w:rPr>
          <w:rFonts w:ascii="Times New Roman" w:hAnsi="Times New Roman" w:cs="Times New Roman"/>
          <w:sz w:val="24"/>
          <w:szCs w:val="24"/>
        </w:rPr>
        <w:t xml:space="preserve"> me produktet e teknologjisë së informacionit dhe të komunikimit që përdoren gjerësisht. </w:t>
      </w:r>
    </w:p>
    <w:p w14:paraId="05411E3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Komunikimi, shkëmbimi dhe ruajtja e informacionit duhet të garantojnë paprekshmërinë e të dhënave dhe </w:t>
      </w:r>
      <w:proofErr w:type="spellStart"/>
      <w:r w:rsidRPr="00A94DB4">
        <w:rPr>
          <w:rFonts w:ascii="Times New Roman" w:hAnsi="Times New Roman" w:cs="Times New Roman"/>
          <w:sz w:val="24"/>
          <w:szCs w:val="24"/>
        </w:rPr>
        <w:t>konfidencialitetin</w:t>
      </w:r>
      <w:proofErr w:type="spellEnd"/>
      <w:r w:rsidRPr="00A94DB4">
        <w:rPr>
          <w:rFonts w:ascii="Times New Roman" w:hAnsi="Times New Roman" w:cs="Times New Roman"/>
          <w:sz w:val="24"/>
          <w:szCs w:val="24"/>
        </w:rPr>
        <w:t xml:space="preserve"> e kërkesave për pjesëmarrje dhe të ofertave.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shqyrtojë përmbajtjen e tyre vetëm pas përfundimit të afatit të dorëzimit. Rregullat dhe procedurat e hollësishme për komunikimin elektronik përcaktohen në rregullat e prokurimit në fushën e mbrojtjes dhe të sigurisë, të miratuara me vendim të Këshillit të Ministrave. </w:t>
      </w:r>
    </w:p>
    <w:p w14:paraId="2E30BF4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informacionin e klasifikuar vendosen masa të posaçme sigurie. Administrimi dhe transmetimi i tij gjatë komunikimeve elektronike lejohet vetëm nëpërmjet sistemeve të akredituara nga autoriteti përgjegjës për sigurinë e informacionit të klasifikuar, ndërsa rregullat konkrete të administrimit dhe transmetimit përcaktohen nga legjislacioni në fuqi për informacionin e klasifikuar. </w:t>
      </w:r>
    </w:p>
    <w:p w14:paraId="1F25FEF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përmbajtja e nenit ruhet në thelb e pandryshuar. Mbeten të njëjta format e komunikimit, kërkesat për mjetet elektronike, garancitë për paprekshmërinë dhe </w:t>
      </w:r>
      <w:proofErr w:type="spellStart"/>
      <w:r w:rsidRPr="00A94DB4">
        <w:rPr>
          <w:rFonts w:ascii="Times New Roman" w:hAnsi="Times New Roman" w:cs="Times New Roman"/>
          <w:sz w:val="24"/>
          <w:szCs w:val="24"/>
        </w:rPr>
        <w:t>konfidencialitetin</w:t>
      </w:r>
      <w:proofErr w:type="spellEnd"/>
      <w:r w:rsidRPr="00A94DB4">
        <w:rPr>
          <w:rFonts w:ascii="Times New Roman" w:hAnsi="Times New Roman" w:cs="Times New Roman"/>
          <w:sz w:val="24"/>
          <w:szCs w:val="24"/>
        </w:rPr>
        <w:t xml:space="preserve"> e të dhënave, si dhe përdorimi i sistemeve të akredituara për informacionin e klasifikuar. Ndryshimet konsistojnë në shtrirjen e rregullimit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në zëvendësimin e terminologjisë “autoriteti përgjegjës për sigurimin e informacionit të klasifikuar” me “autoriteti përgjegjës për sigurinë e informacionit të klasifikuar”. </w:t>
      </w:r>
    </w:p>
    <w:p w14:paraId="0FB27E0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23 siguron përafrim të plotë me nenin 36 të Direktivës 2009/81/KE. Dispozita pasqyron kërkesat për zgjedhjen e mjeteve të komunikimit, </w:t>
      </w:r>
      <w:proofErr w:type="spellStart"/>
      <w:r w:rsidRPr="00A94DB4">
        <w:rPr>
          <w:rFonts w:ascii="Times New Roman" w:hAnsi="Times New Roman" w:cs="Times New Roman"/>
          <w:sz w:val="24"/>
          <w:szCs w:val="24"/>
        </w:rPr>
        <w:t>aksesin</w:t>
      </w:r>
      <w:proofErr w:type="spellEnd"/>
      <w:r w:rsidRPr="00A94DB4">
        <w:rPr>
          <w:rFonts w:ascii="Times New Roman" w:hAnsi="Times New Roman" w:cs="Times New Roman"/>
          <w:sz w:val="24"/>
          <w:szCs w:val="24"/>
        </w:rPr>
        <w:t xml:space="preserve"> </w:t>
      </w:r>
      <w:proofErr w:type="spellStart"/>
      <w:r w:rsidRPr="00A94DB4">
        <w:rPr>
          <w:rFonts w:ascii="Times New Roman" w:hAnsi="Times New Roman" w:cs="Times New Roman"/>
          <w:sz w:val="24"/>
          <w:szCs w:val="24"/>
        </w:rPr>
        <w:t>jodiskriminues</w:t>
      </w:r>
      <w:proofErr w:type="spellEnd"/>
      <w:r w:rsidRPr="00A94DB4">
        <w:rPr>
          <w:rFonts w:ascii="Times New Roman" w:hAnsi="Times New Roman" w:cs="Times New Roman"/>
          <w:sz w:val="24"/>
          <w:szCs w:val="24"/>
        </w:rPr>
        <w:t xml:space="preserve">, </w:t>
      </w:r>
      <w:proofErr w:type="spellStart"/>
      <w:r w:rsidRPr="00A94DB4">
        <w:rPr>
          <w:rFonts w:ascii="Times New Roman" w:hAnsi="Times New Roman" w:cs="Times New Roman"/>
          <w:sz w:val="24"/>
          <w:szCs w:val="24"/>
        </w:rPr>
        <w:t>ndërveprueshmërinë</w:t>
      </w:r>
      <w:proofErr w:type="spellEnd"/>
      <w:r w:rsidRPr="00A94DB4">
        <w:rPr>
          <w:rFonts w:ascii="Times New Roman" w:hAnsi="Times New Roman" w:cs="Times New Roman"/>
          <w:sz w:val="24"/>
          <w:szCs w:val="24"/>
        </w:rPr>
        <w:t xml:space="preserve"> e mjeteve elektronike, paprekshmërinë e të dhënave, </w:t>
      </w:r>
      <w:proofErr w:type="spellStart"/>
      <w:r w:rsidRPr="00A94DB4">
        <w:rPr>
          <w:rFonts w:ascii="Times New Roman" w:hAnsi="Times New Roman" w:cs="Times New Roman"/>
          <w:sz w:val="24"/>
          <w:szCs w:val="24"/>
        </w:rPr>
        <w:t>konfidencialitetin</w:t>
      </w:r>
      <w:proofErr w:type="spellEnd"/>
      <w:r w:rsidRPr="00A94DB4">
        <w:rPr>
          <w:rFonts w:ascii="Times New Roman" w:hAnsi="Times New Roman" w:cs="Times New Roman"/>
          <w:sz w:val="24"/>
          <w:szCs w:val="24"/>
        </w:rPr>
        <w:t xml:space="preserve"> e ofertave dhe shqyrtimin e tyre vetëm pas mbarimit të afatit të dorëzimit. Rregullat për sistemet e akredituara dhe administrimin e informacionit të klasifikuar përbëjnë kërkesa kombëtare plotësuese, të diktuara nga natyra e prokurimeve në fushën e mbrojtjes dhe të sigurisë.</w:t>
      </w:r>
    </w:p>
    <w:p w14:paraId="4D9AA76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lastRenderedPageBreak/>
        <w:t>Neni 24</w:t>
      </w:r>
      <w:r w:rsidRPr="00A94DB4">
        <w:rPr>
          <w:rFonts w:ascii="Times New Roman" w:hAnsi="Times New Roman" w:cs="Times New Roman"/>
          <w:sz w:val="24"/>
          <w:szCs w:val="24"/>
        </w:rPr>
        <w:t xml:space="preserve"> përcakton procedurat që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përdorë për dhënien e kontratave në fushën e mbrojtjes dhe të sigurisë. Si rregull, ai mund të zgjedhë lirisht ndërmjet procedurës së kufizuar dhe procedurës me negocim me shpallje paraprake të njoftimit të kontratës. </w:t>
      </w:r>
    </w:p>
    <w:p w14:paraId="41148C0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Procedura me negocim pa shpallje paraprake lejohet vetëm në rastet dhe rrethanat e veçanta të parashikuara në nenin 29 të projektligjit. Për kontratat veçanërisht komplekse mund të përdoret dialogu konkurrues, kur procedura e kufizuar ose procedura me negocim me shpallje paraprake nuk mundëson dhënien e kontratës. Objekti konsiderohet veçanërisht kompleks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është në gjendje të përcaktojë mjetet teknike që përmbushin nevojat e tij ose aspektet juridike dhe financiare të projektit. </w:t>
      </w:r>
    </w:p>
    <w:p w14:paraId="4C4CED8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njeh gjithashtu mundësinë e lidhjes së kontratave për punë, mallra ose shërbime në bazë të një marrëveshjeje kuadër. Për objektet e prokurimit me vlerë më të ulët se kufiri i ulët monetar parashikohet përdorimi i procedurës së thjeshtuar të prokurimit. </w:t>
      </w:r>
    </w:p>
    <w:p w14:paraId="3E41B0C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ruhen rregullat për zgjedhjen ndërmjet procedurës së kufizuar dhe procedurës me negocim me shpallje paraprake, përdorimin </w:t>
      </w:r>
      <w:proofErr w:type="spellStart"/>
      <w:r w:rsidRPr="00A94DB4">
        <w:rPr>
          <w:rFonts w:ascii="Times New Roman" w:hAnsi="Times New Roman" w:cs="Times New Roman"/>
          <w:sz w:val="24"/>
          <w:szCs w:val="24"/>
        </w:rPr>
        <w:t>përjashtimor</w:t>
      </w:r>
      <w:proofErr w:type="spellEnd"/>
      <w:r w:rsidRPr="00A94DB4">
        <w:rPr>
          <w:rFonts w:ascii="Times New Roman" w:hAnsi="Times New Roman" w:cs="Times New Roman"/>
          <w:sz w:val="24"/>
          <w:szCs w:val="24"/>
        </w:rPr>
        <w:t xml:space="preserve"> të procedurës me negocim pa shpallje, dialogun konkurrues për kontratat veçanërisht komplekse dhe kontratat e bazuara në marrëveshje kuadër. Ndryshimet konsistojnë në shtrirjen e dispozitës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në përshtatjen e referencës nga neni 28 në nenin 29 dhe në shtimin e procedurës së thjeshtuar për kontratat nën kufirin e ulët monetar. </w:t>
      </w:r>
    </w:p>
    <w:p w14:paraId="7927C6D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24 siguron përafrim të plotë me nenin 25 të Direktivës 2009/81/KE, duke pasqyruar procedurën e kufizuar dhe procedurën me negocim me shpallje paraprake si procedura të zakonshme, si dhe përdorimin e dialogut konkurrues dhe të procedurës me negocim pa shpallje vetëm në kushtet e përcaktuara. Pikat 3 dhe 4 lidhen gjithashtu me nenin 27 të Direktivës për dialogun konkurrues, ndërsa pika 5 zbatohet së bashku me rregullimin e marrëveshjeve kuadër që përafron nenin 29 të saj. Procedura e thjeshtuar e parashikuar në pikën 6 është një rregullim kombëtar plotësues për kontratat nën kufirin e ulët monetar.</w:t>
      </w:r>
    </w:p>
    <w:p w14:paraId="06040C5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25</w:t>
      </w:r>
      <w:r w:rsidRPr="00A94DB4">
        <w:rPr>
          <w:rFonts w:ascii="Times New Roman" w:hAnsi="Times New Roman" w:cs="Times New Roman"/>
          <w:sz w:val="24"/>
          <w:szCs w:val="24"/>
        </w:rPr>
        <w:t xml:space="preserve"> rregullon procedurën e kufizuar të prokurimit. Në këtë procedurë, çdo operator ekonomik, person fizik ose juridik, ka të drejtë të paraqesë kërkesë për pjesëmarrje, ndërsa ofertë mund të paraqesin vetëm operatorët ekonomikë që përzgjidhen dhe ftohen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Në këtë mënyrë, procedura zhvillohet në dy faza, përkatësisht përzgjedhja e kandidatëve dhe paraqitja e ofertave nga kandidatët e ftuar. </w:t>
      </w:r>
    </w:p>
    <w:p w14:paraId="6459033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kufizojë numrin e kandidatëve të përshtatshëm që do të ftohen për të paraqitur ofertë, në përputhje me kushtet dhe kriteret e nenit 38 të projektligjit. Afatet për pranimin e kërkesave për pjesëmarrje dhe për paraqitjen e ofertave përcaktohen sipas nenit 36. Këto referenca sigurojnë që kufizimi i numrit të kandidatëve dhe përcaktimi i afateve të mos bëhen në mënyrë arbitrare, por sipas rregullave të paracaktuara, objektive dhe proporcionale. </w:t>
      </w:r>
    </w:p>
    <w:p w14:paraId="45DE6BD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përmbajtja e dispozitës ruhet në thelb e pandryshuar. Ndryshimet konsistojnë në shtrirjen e rregullimit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në përshtatjen e referencave të brendshme, përkatësisht nga neni 34 në nenin 38 për kufizimin e </w:t>
      </w:r>
      <w:r w:rsidRPr="00A94DB4">
        <w:rPr>
          <w:rFonts w:ascii="Times New Roman" w:hAnsi="Times New Roman" w:cs="Times New Roman"/>
          <w:sz w:val="24"/>
          <w:szCs w:val="24"/>
        </w:rPr>
        <w:lastRenderedPageBreak/>
        <w:t xml:space="preserve">numrit të kandidatëve dhe nga neni 32 në nenin 36 për afatet e pranimit të kërkesave për pjesëmarrje dhe të ofertave. </w:t>
      </w:r>
    </w:p>
    <w:p w14:paraId="00DBFCC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25, i lexuar së bashku me nenet 24, 36 dhe 38 të projektligjit, siguron përafrim të plotë me kërkesat e Direktivës 2009/81/KE për procedurën e kufizuar. Pika 1 pasqyron përmbajtjen e nenit 1, pika 19, të Direktivës, sipas të cilit çdo operator ekonomik mund të kërkojë të marrë pjesë, por vetëm operatorët e ftuar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paraqesin ofertë. Mundësia e përdorimit të kësaj procedure si procedurë e zakonshme përcaktohet në nenin 24 të projektligjit, ndërsa rregullat për afatet dhe kufizimin e numrit të kandidatëve pasqyrojnë përkatësisht nenet 33 dhe 38 të Direktivës.</w:t>
      </w:r>
    </w:p>
    <w:p w14:paraId="127D712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26</w:t>
      </w:r>
      <w:r w:rsidRPr="00A94DB4">
        <w:rPr>
          <w:rFonts w:ascii="Times New Roman" w:hAnsi="Times New Roman" w:cs="Times New Roman"/>
          <w:sz w:val="24"/>
          <w:szCs w:val="24"/>
        </w:rPr>
        <w:t xml:space="preserve"> rregullon procedurën e thjeshtuar të prokurimit, e cila përdoret për kontratat e punëve, mallrave ose shërbimeve që përfshihen në fushën e zbatimit të projektligjit dhe kanë vlerë të parashikuar më të ulët se kufiri i ulët monetar. Në këtë mënyrë, fusha e përdorimit të procedurës lidhet drejtpërdrejt me vlerën e kontratës dhe me kufijtë monetarë të përcaktuar sipas nenit 20 të projektligjit. </w:t>
      </w:r>
    </w:p>
    <w:p w14:paraId="716ABF9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Gjatë zhvillimit të procedurës së thjeshtuar,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respektojë parimet e transparencës, barazisë së trajtimit, </w:t>
      </w:r>
      <w:proofErr w:type="spellStart"/>
      <w:r w:rsidRPr="00A94DB4">
        <w:rPr>
          <w:rFonts w:ascii="Times New Roman" w:hAnsi="Times New Roman" w:cs="Times New Roman"/>
          <w:sz w:val="24"/>
          <w:szCs w:val="24"/>
        </w:rPr>
        <w:t>mosdiskriminimit</w:t>
      </w:r>
      <w:proofErr w:type="spellEnd"/>
      <w:r w:rsidRPr="00A94DB4">
        <w:rPr>
          <w:rFonts w:ascii="Times New Roman" w:hAnsi="Times New Roman" w:cs="Times New Roman"/>
          <w:sz w:val="24"/>
          <w:szCs w:val="24"/>
        </w:rPr>
        <w:t xml:space="preserve">, konkurrencës dhe </w:t>
      </w:r>
      <w:proofErr w:type="spellStart"/>
      <w:r w:rsidRPr="00A94DB4">
        <w:rPr>
          <w:rFonts w:ascii="Times New Roman" w:hAnsi="Times New Roman" w:cs="Times New Roman"/>
          <w:sz w:val="24"/>
          <w:szCs w:val="24"/>
        </w:rPr>
        <w:t>proporcionalitetit</w:t>
      </w:r>
      <w:proofErr w:type="spellEnd"/>
      <w:r w:rsidRPr="00A94DB4">
        <w:rPr>
          <w:rFonts w:ascii="Times New Roman" w:hAnsi="Times New Roman" w:cs="Times New Roman"/>
          <w:sz w:val="24"/>
          <w:szCs w:val="24"/>
        </w:rPr>
        <w:t xml:space="preserve">. Krahas tyre, dispozita përfshin edhe sigurinë e informacionit dhe sigurinë e furnizimit, të cilat lidhen me karakteristikat e posaçme të kontratave në fushën e mbrojtjes dhe të sigurisë. Mënyra e hollësishme e zhvillimit të procedurës përcaktohet në rregullat e prokurimit në këtë fushë, të miratuara me vendim të Këshillit të Ministrave. </w:t>
      </w:r>
    </w:p>
    <w:p w14:paraId="27458BD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procedura e thjeshtuar përbën një rregullim të ri. Ligji në fuqi nuk parashikon një procedurë të posaçme me këtë emërtim dhe përmbajtje. Si pasojë e shtimit të saj në nenin 26, dispozita për procedurën me negocim me shpallje paraprake, e cila ndodhet në nenin 26 të ligjit nr. 36/2020,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si neni 27 i projektligjit. </w:t>
      </w:r>
    </w:p>
    <w:p w14:paraId="32138AC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26 përbën një rregullim kombëtar plotësues për kontratat me vlerë më të ulët se kufiri i ulët monetar. </w:t>
      </w:r>
    </w:p>
    <w:p w14:paraId="32BEF66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27</w:t>
      </w:r>
      <w:r w:rsidRPr="00A94DB4">
        <w:rPr>
          <w:rFonts w:ascii="Times New Roman" w:hAnsi="Times New Roman" w:cs="Times New Roman"/>
          <w:sz w:val="24"/>
          <w:szCs w:val="24"/>
        </w:rPr>
        <w:t xml:space="preserve"> rregullon procedurën me negocim me shpallje paraprake të njoftimit të kontratës.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që synon të përdorë këtë procedurë duhet ta bëjë publik qëllimin e tij nëpërmjet njoftimit të kontratës, duke garantuar informimin paraprak të operatorëve ekonomikë dhe hapjen e procedurës ndaj konkurrencës. </w:t>
      </w:r>
    </w:p>
    <w:p w14:paraId="6300145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këtë procedurë,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negocion me ofertuesit për përshtatjen e ofertave të tyre me kërkesat e përcaktuara në njoftimin e kontratës, specifikimet teknike dhe dokumentet mbështetëse, me qëllim përzgjedhjen e ofertës më të mirë sipas nenit 51 të projektligjit. Gjatë negocimit duhet të garantohet trajtimi i barabartë i të gjithë ofertuesve dhe të shmanget dhënia e informacionit diskriminues ose e çdo informacioni që mund t’i krijojë avantazh të padrejtë një ofertuesi ndaj të tjerëve. </w:t>
      </w:r>
    </w:p>
    <w:p w14:paraId="1519A45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Procedura mund të zhvillohet në faza të njëpasnjëshme, duke zbatuar kriteret e vlerësimit të shpallura paraprakisht, për të reduktuar numrin e ofertave që do të vijojnë të negociohen. Përdorimi i kësaj mundësie duhet të parashikohet në njoftimin e kontratës ose në dokumentet </w:t>
      </w:r>
      <w:r w:rsidRPr="00A94DB4">
        <w:rPr>
          <w:rFonts w:ascii="Times New Roman" w:hAnsi="Times New Roman" w:cs="Times New Roman"/>
          <w:sz w:val="24"/>
          <w:szCs w:val="24"/>
        </w:rPr>
        <w:lastRenderedPageBreak/>
        <w:t xml:space="preserve">e kontratës. Rregullat e hollësishme për zhvillimin e procedurës miratohen me vendim të Këshillit të Ministrave. </w:t>
      </w:r>
    </w:p>
    <w:p w14:paraId="13C2DA8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26 në nenin 27, për shkak të përfshirjes së procedurës së thjeshtuar në nenin pararendës. Projektligji shton si pikë të veçantë detyrimin për publikimin e njoftimit të kontratës përpara përdorimit të procedurës. Rregullat për negocimin, trajtimin e barabartë dhe zhvillimin e procedurës në faza ruhen në thelb, por shtrihen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ndërsa referenca për kriteret e përcaktimit të ofertës fituese ndryshon nga neni 45 në nenin 51. </w:t>
      </w:r>
    </w:p>
    <w:p w14:paraId="3545371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27 siguron përafrim të plotë me nenin 26 të Direktivës 2009/81/KE. Ai pasqyron negocimin e ofertave për përshtatjen e tyre me kërkesat e kontratës, detyrimin për trajtim të barabartë dhe mundësinë e zhvillimit të negocimit në faza të njëpasnjëshme. Detyrimi i pikës 1 për publikimin paraprak të njoftimit lidhet gjithashtu me nenin 30, pika 2, të Direktivës, sipas të cilit synimi për përdorimin e procedurës me negocim me publikim duhet të bëhet i njohur nëpërmjet një njoftimi kontrate.</w:t>
      </w:r>
    </w:p>
    <w:p w14:paraId="3B6052D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28</w:t>
      </w:r>
      <w:r w:rsidRPr="00A94DB4">
        <w:rPr>
          <w:rFonts w:ascii="Times New Roman" w:hAnsi="Times New Roman" w:cs="Times New Roman"/>
          <w:sz w:val="24"/>
          <w:szCs w:val="24"/>
        </w:rPr>
        <w:t xml:space="preserve"> rregullon dialogun konkurrues, i cili mund të përdoret për kontratat veçanërisht komplekse,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vlerëson se procedura e kufizuar ose procedura me negocim me shpallje paraprake nuk mundëson dhënien e kontratës. Përdorimi i kësaj procedure duhet të justifikohet, ndërsa kriteri i vetëm për përcaktimin e ofertës fituese është oferta ekonomikisht më e favorshme. </w:t>
      </w:r>
    </w:p>
    <w:p w14:paraId="7956CCE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publikon njoftimin e kontratës dhe përcakton nevojat e kërkesat e tij në këtë njoftim dhe/ose në një dokument përshkrues. Më pas, ai zhvillon dialogun me kandidatët e përzgjedhur për të identifikuar zgjidhjen ose zgjidhjet që përmbushin më së miri nevojat e prokurimit. Gjatë dialogut mund të diskutohen të gjitha aspektet e kontratës, por duhet të garantohet trajtimi i barabartë, të mos jepet informacion diskriminues dhe të mos u bëhen të njohura pjesëmarrësve të tjerë zgjidhjet apo informacionet </w:t>
      </w:r>
      <w:proofErr w:type="spellStart"/>
      <w:r w:rsidRPr="00A94DB4">
        <w:rPr>
          <w:rFonts w:ascii="Times New Roman" w:hAnsi="Times New Roman" w:cs="Times New Roman"/>
          <w:sz w:val="24"/>
          <w:szCs w:val="24"/>
        </w:rPr>
        <w:t>konfidenciale</w:t>
      </w:r>
      <w:proofErr w:type="spellEnd"/>
      <w:r w:rsidRPr="00A94DB4">
        <w:rPr>
          <w:rFonts w:ascii="Times New Roman" w:hAnsi="Times New Roman" w:cs="Times New Roman"/>
          <w:sz w:val="24"/>
          <w:szCs w:val="24"/>
        </w:rPr>
        <w:t xml:space="preserve"> të një kandidati pa miratimin e tij paraprak. </w:t>
      </w:r>
    </w:p>
    <w:p w14:paraId="11FEDE9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Dialogu mund të zhvillohet në faza të njëpasnjëshme, me qëllim reduktimin e numrit të zgjidhjeve që diskutohen, duke zbatuar kriteret e vlerësimit të shpallura paraprakisht. Pas identifikimit të zgjidhjeve të përshtatshme,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mbyll dialogun dhe u kërkon pjesëmarrësve të paraqesin ofertat përfundimtare. Sqarimet, specifikimet ose përshtatjet e mëvonshme lejohen vetëm kur nuk ndryshojnë elementet themelore të ofertës, nuk cenojnë konkurrencën dhe nuk krijojnë diskriminim. Kontrata i jepet ofertuesit që paraqet ofertën ekonomikisht më të favorshme, sipas nenit 51 të projektligjit. </w:t>
      </w:r>
    </w:p>
    <w:p w14:paraId="79ADC3E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27 në nenin 28. Struktura dhe fazat kryesore të dialogut konkurrues ruhen në thelb të pandryshuara. Ndryshimet konsistojnë në shtrirjen e rregullimit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në parashikimin se nevojat dhe kërkesat mund të përcaktohen jo vetëm në njoftimin e kontratës, por edhe në një dokument përshkrues, si dhe në përshtatjen e referencës për kriterin e ofertës fituese nga neni 45 në nenin 51. </w:t>
      </w:r>
    </w:p>
    <w:p w14:paraId="1A427E7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28 siguron përafrim të plotë me nenin 27 të Direktivës 2009/81/KE. Dispozita pasqyron kushtet për përdorimin e </w:t>
      </w:r>
      <w:r w:rsidRPr="00A94DB4">
        <w:rPr>
          <w:rFonts w:ascii="Times New Roman" w:hAnsi="Times New Roman" w:cs="Times New Roman"/>
          <w:sz w:val="24"/>
          <w:szCs w:val="24"/>
        </w:rPr>
        <w:lastRenderedPageBreak/>
        <w:t xml:space="preserve">dialogut konkurrues, publikimin e njoftimit, zhvillimin e dialogut me kandidatët e përzgjedhur, garantimin e trajtimit të barabartë dhe </w:t>
      </w:r>
      <w:proofErr w:type="spellStart"/>
      <w:r w:rsidRPr="00A94DB4">
        <w:rPr>
          <w:rFonts w:ascii="Times New Roman" w:hAnsi="Times New Roman" w:cs="Times New Roman"/>
          <w:sz w:val="24"/>
          <w:szCs w:val="24"/>
        </w:rPr>
        <w:t>konfidencialitetit</w:t>
      </w:r>
      <w:proofErr w:type="spellEnd"/>
      <w:r w:rsidRPr="00A94DB4">
        <w:rPr>
          <w:rFonts w:ascii="Times New Roman" w:hAnsi="Times New Roman" w:cs="Times New Roman"/>
          <w:sz w:val="24"/>
          <w:szCs w:val="24"/>
        </w:rPr>
        <w:t>, zhvillimin e procedurës në faza, paraqitjen e ofertave përfundimtare dhe përzgjedhjen e ofertës ekonomikisht më të favorshme.</w:t>
      </w:r>
    </w:p>
    <w:p w14:paraId="03F98DF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29</w:t>
      </w:r>
      <w:r w:rsidRPr="00A94DB4">
        <w:rPr>
          <w:rFonts w:ascii="Times New Roman" w:hAnsi="Times New Roman" w:cs="Times New Roman"/>
          <w:sz w:val="24"/>
          <w:szCs w:val="24"/>
        </w:rPr>
        <w:t xml:space="preserve"> rregullon përdorimin </w:t>
      </w:r>
      <w:proofErr w:type="spellStart"/>
      <w:r w:rsidRPr="00A94DB4">
        <w:rPr>
          <w:rFonts w:ascii="Times New Roman" w:hAnsi="Times New Roman" w:cs="Times New Roman"/>
          <w:sz w:val="24"/>
          <w:szCs w:val="24"/>
        </w:rPr>
        <w:t>përjashtimor</w:t>
      </w:r>
      <w:proofErr w:type="spellEnd"/>
      <w:r w:rsidRPr="00A94DB4">
        <w:rPr>
          <w:rFonts w:ascii="Times New Roman" w:hAnsi="Times New Roman" w:cs="Times New Roman"/>
          <w:sz w:val="24"/>
          <w:szCs w:val="24"/>
        </w:rPr>
        <w:t xml:space="preserve"> të procedurës me negocim pa shpallje paraprake të njoftimit të kontratës.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arsyetojë përdorimin e kësaj procedure në urdhrin e prokurimit dhe ta pasqyrojë arsyetimin në njoftimin për shpalljen e fituesit. Procedura mund të përdoret vetëm në rastet e përcaktuara shprehimisht dhe duhet të interpretohet në mënyrë kufizuese, për shkak se shmang konkurrimin që realizohet nëpërmjet publikimit paraprak. </w:t>
      </w:r>
    </w:p>
    <w:p w14:paraId="17C9140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kontratat e punëve, furnizimeve dhe shërbimeve, procedura lejohet kur në procedurën pararendëse nuk është paraqitur asnjë ofertë ose përgjigje, kur janë paraqitur oferta të parregullta ose të papranueshme, kur afatet e procedurave të zakonshme nuk mund të respektohen për shkak të një urgjence të shkaktuar nga kriza, kur ekziston nevojë ekstreme nga ngjarje të paparashikueshme që nuk i atribuohen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si dhe kur kontrata mund të realizohet vetëm nga një operator për arsye teknike ose për mbrojtjen e të drejtave ekskluzive. Në rastin e ofertave të parregullta ose të papranueshme, kushtet fillestare nuk duhet të ndryshojnë në mënyrë thelbësore dhe në negocim mund të përfshihen vetëm ofertuesit që plotësojnë kriteret dhe kërkesat formale të procedurës pararendëse. </w:t>
      </w:r>
    </w:p>
    <w:p w14:paraId="18131B3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parashikon raste të posaçme edhe për kontratat e kërkimit dhe zhvillimit, mallrat e prodhuara vetëm për këto qëllime, furnizimet shtesë nga furnizuesi fillestar, blerjet në bursën e mallrave dhe blerjet me kushte veçanërisht të favorshme në kuadër të mbylljes, falimentimit ose likuidimit të veprimtarisë së furnizuesit. Për furnizimet shtesë, kohëzgjatja e kontratës dhe e ripërtëritjeve nuk mund të kalojë pesë vjet, përveç rasteve të jashtëzakonshme të lidhura me jetëgjatësinë e mallrave, instalimeve ose sistemeve dhe me vështirësitë teknike që shkakton ndryshimi i furnizuesit. </w:t>
      </w:r>
    </w:p>
    <w:p w14:paraId="3007639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punët dhe shërbimet shtesë, përdorimi i procedurës kushtëzohet nga domosdoshmëria e tyre dhe nga pamundësia për t’i ndarë teknikisht ose ekonomikisht nga kontrata fillestare pa shkaktuar vështirësi të mëdha. Vlera e tyre nuk mund të kalojë 50 për qind të vlerës së kontratës fillestare. Procedura lejohet edhe për përsëritjen e punëve ose shërbimeve të ngjashme, kur kjo mundësi është parashikuar në njoftimin fillestar dhe përdoret brenda pesë vjetëve nga lidhja e kontratës së parë. Një rast i posaçëm parashikohet për shërbimet e transportit ajror dhe detar të Forcave të Armatosura ose forcave të sigurisë që dislokohen jashtë vendit, kur vlefshmëria shumë e shkurtër e ofertave nuk lejon respektimin e afateve të procedurave të zakonshme. </w:t>
      </w:r>
    </w:p>
    <w:p w14:paraId="26859A6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28 në nenin 29.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ndërsa arsyetimi i procedurës nuk lidhet më me një njoftim paraprak kontrate, por dokumentohet në urdhrin e prokurimit dhe pasqyrohet në njoftimin e fituesit. Projektligji shton shprehimisht arsyet teknike si bazë për dhënien e kontratës një operatori të vetëm, e lidh rastin e krizës me ekzistencën e një urgjence dhe përcakton se punët ose shërbimet shtesë duhet të jenë teknikisht ose ekonomikisht të pandashme nga kontrata fillestare. </w:t>
      </w:r>
    </w:p>
    <w:p w14:paraId="6E818B3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29 siguron përafrim të plotë me nenin 28 të Direktivës 2009/81/KE. Ai pasqyron në mënyrë të plotë kategoritë e </w:t>
      </w:r>
      <w:r w:rsidRPr="00A94DB4">
        <w:rPr>
          <w:rFonts w:ascii="Times New Roman" w:hAnsi="Times New Roman" w:cs="Times New Roman"/>
          <w:sz w:val="24"/>
          <w:szCs w:val="24"/>
        </w:rPr>
        <w:lastRenderedPageBreak/>
        <w:t xml:space="preserve">kontratave dhe rrethanat që justifikojnë përdorimin e procedurës pa publikim paraprak, kufizimet për ndryshimin e kushteve fillestare, kërkesat për urgjencën dhe </w:t>
      </w:r>
      <w:proofErr w:type="spellStart"/>
      <w:r w:rsidRPr="00A94DB4">
        <w:rPr>
          <w:rFonts w:ascii="Times New Roman" w:hAnsi="Times New Roman" w:cs="Times New Roman"/>
          <w:sz w:val="24"/>
          <w:szCs w:val="24"/>
        </w:rPr>
        <w:t>paparashikueshmërinë</w:t>
      </w:r>
      <w:proofErr w:type="spellEnd"/>
      <w:r w:rsidRPr="00A94DB4">
        <w:rPr>
          <w:rFonts w:ascii="Times New Roman" w:hAnsi="Times New Roman" w:cs="Times New Roman"/>
          <w:sz w:val="24"/>
          <w:szCs w:val="24"/>
        </w:rPr>
        <w:t>, afatin pesëvjeçar, kufirin prej 50 për qind për punët dhe shërbimet shtesë dhe rastin e posaçëm të transportit të forcave të dislokuara jashtë vendit.</w:t>
      </w:r>
    </w:p>
    <w:p w14:paraId="7AC63AA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30</w:t>
      </w:r>
      <w:r w:rsidRPr="00A94DB4">
        <w:rPr>
          <w:rFonts w:ascii="Times New Roman" w:hAnsi="Times New Roman" w:cs="Times New Roman"/>
          <w:sz w:val="24"/>
          <w:szCs w:val="24"/>
        </w:rPr>
        <w:t xml:space="preserve"> rregullon lidhjen dhe zbatimin e marrëveshjeve kuadër nga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Për lidhjen e një marrëveshjeje të tillë ndiqen procedurat e parashikuara në projektligj, ndërsa operatorët ekonomikë që bëhen palë në të përzgjidhen sipas kritereve të përcaktimit të ofertës fituese. Kontratat që mbështeten në marrëveshjen kuadër mund të lidhen vetëm ndërmjet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dhe operatorëve ekonomikë që kanë qenë palë në marrëveshje që në momentin e lidhjes së saj. </w:t>
      </w:r>
    </w:p>
    <w:p w14:paraId="21C5271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Gjatë dhënies së kontratave të veçanta nuk lejohen ndryshime thelbësore të kushteve të marrëveshjes kuadër dhe kjo marrëveshje nuk mund të përdoret për të penguar, kufizuar ose shtrembëruar konkurrencën. Kohëzgjatja e saj nuk mund të kalojë shtatë vjet, përveç rrethanave të jashtëzakonshme që lidhen me jetëgjatësinë e pritshme të mallrave, instalimeve ose sistemeve dhe me vështirësitë teknike që mund të shkaktojë ndryshimi i furnizuesit. Në këto raste,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paraqesë arsyetim të përshtatshëm në njoftimin e kontratës dhe në njoftimin për shpalljen e fituesit. </w:t>
      </w:r>
    </w:p>
    <w:p w14:paraId="237A1C3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marrëveshja kuadër lidhet me një operator të vetëm, kontratat jepen brenda kufijve dhe kushteve të saj, duke i kërkuar operatorit, kur është e nevojshme, plotësimin e ofertës. Kur lidhet me disa operatorë, numri i tyre duhet të jetë të paktën tre, për aq sa ekziston një numër i mjaftueshëm operatorësh ose ofertash të pranueshme. Kontratat mund të jepen pa rihapur konkurrimin, kur të gjitha kushtet janë përcaktuar në marrëveshje, ose nëpërmjet rihapjes së konkurrimit ndërmjet operatorëve palë, duke garantuar afat të mjaftueshëm, paraqitjen me shkrim dhe </w:t>
      </w:r>
      <w:proofErr w:type="spellStart"/>
      <w:r w:rsidRPr="00A94DB4">
        <w:rPr>
          <w:rFonts w:ascii="Times New Roman" w:hAnsi="Times New Roman" w:cs="Times New Roman"/>
          <w:sz w:val="24"/>
          <w:szCs w:val="24"/>
        </w:rPr>
        <w:t>konfidencialitetin</w:t>
      </w:r>
      <w:proofErr w:type="spellEnd"/>
      <w:r w:rsidRPr="00A94DB4">
        <w:rPr>
          <w:rFonts w:ascii="Times New Roman" w:hAnsi="Times New Roman" w:cs="Times New Roman"/>
          <w:sz w:val="24"/>
          <w:szCs w:val="24"/>
        </w:rPr>
        <w:t xml:space="preserve"> e ofertave. </w:t>
      </w:r>
    </w:p>
    <w:p w14:paraId="1E982E1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29 në nenin 30. Rregullat për lidhjen e marrëveshjeve kuadër me një ose disa operatorë ekonomikë, ndalimin e ndryshimeve thelbësore dhe mënyrat e dhënies së kontratave ruhen në thelb. Ndryshimi kryesor është rritja e kohëzgjatjes së zakonshme nga pesë në shtatë vjet dhe parashikimi i mundësisë për tejkalimin e këtij afati në rrethana të jashtëzakonshme, të shoqëruar me detyrimin për arsyetim. Projektligji e shtrin gjithashtu rregullimin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përshtat referencën për kriteret e ofertës fituese nga neni 45 në nenin 50. </w:t>
      </w:r>
    </w:p>
    <w:p w14:paraId="4F2BE05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30 siguron përafrim të plotë me nenin 29 të Direktivës 2009/81/KE. Dispozita pasqyron rregullat për përzgjedhjen e palëve në marrëveshjen kuadër, kufizimin e kontratave vetëm ndërmjet palëve fillestare, ndalimin e ndryshimeve thelbësore, kohëzgjatjen shtatëvjeçare dhe përjashtimet e arsyetuara, si dhe procedurat për marrëveshjet me një ose disa operatorë ekonomikë.</w:t>
      </w:r>
    </w:p>
    <w:p w14:paraId="614B7E1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31</w:t>
      </w:r>
      <w:r w:rsidRPr="00A94DB4">
        <w:rPr>
          <w:rFonts w:ascii="Times New Roman" w:hAnsi="Times New Roman" w:cs="Times New Roman"/>
          <w:sz w:val="24"/>
          <w:szCs w:val="24"/>
        </w:rPr>
        <w:t xml:space="preserve"> rregullon ftesën për ofertë në fazën e dytë të procedurës së kufizuar, procedurës me negocim me shpallje paraprake dhe dialogut konkurrues.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t’i ftojë njëkohësisht, me shkrim ose me mjete elektronike, kandidatët e përzgjedhur për të paraqitur ofertat, për të negociuar ose për të marrë pjesë në dialog. Ftesa duhet të shoqërohet me dokumentet e tenderit, dokumentin përshkrues dhe dokumentet mbështetëse ose të përmbajë referencën elektronike për </w:t>
      </w:r>
      <w:proofErr w:type="spellStart"/>
      <w:r w:rsidRPr="00A94DB4">
        <w:rPr>
          <w:rFonts w:ascii="Times New Roman" w:hAnsi="Times New Roman" w:cs="Times New Roman"/>
          <w:sz w:val="24"/>
          <w:szCs w:val="24"/>
        </w:rPr>
        <w:t>aksesin</w:t>
      </w:r>
      <w:proofErr w:type="spellEnd"/>
      <w:r w:rsidRPr="00A94DB4">
        <w:rPr>
          <w:rFonts w:ascii="Times New Roman" w:hAnsi="Times New Roman" w:cs="Times New Roman"/>
          <w:sz w:val="24"/>
          <w:szCs w:val="24"/>
        </w:rPr>
        <w:t xml:space="preserve"> në to. </w:t>
      </w:r>
    </w:p>
    <w:p w14:paraId="28303F0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Dispozita përcakton përmbajtjen minimale të ftesës, ku përfshihen referenca për njoftimin e kontratës, afati dhe adresa e dorëzimit të ofertave, gjuha e ofertës, të dhënat për fillimin e konsultimeve në dialogun konkurrues, dokumentet plotësuese që lidhen me gjendjen financiare, aftësinë teknike dhe përshtatshmërinë profesionale, si dhe pesha ose renditja e kritereve për përcaktimin e ofertës fituese. Informacioni për kandidatët dhe dokumentacioni i procedurës duhet të ruhen </w:t>
      </w:r>
      <w:proofErr w:type="spellStart"/>
      <w:r w:rsidRPr="00A94DB4">
        <w:rPr>
          <w:rFonts w:ascii="Times New Roman" w:hAnsi="Times New Roman" w:cs="Times New Roman"/>
          <w:sz w:val="24"/>
          <w:szCs w:val="24"/>
        </w:rPr>
        <w:t>konfidenciale</w:t>
      </w:r>
      <w:proofErr w:type="spellEnd"/>
      <w:r w:rsidRPr="00A94DB4">
        <w:rPr>
          <w:rFonts w:ascii="Times New Roman" w:hAnsi="Times New Roman" w:cs="Times New Roman"/>
          <w:sz w:val="24"/>
          <w:szCs w:val="24"/>
        </w:rPr>
        <w:t xml:space="preserve"> deri në hapjen e ofertave përfundimtare. </w:t>
      </w:r>
    </w:p>
    <w:p w14:paraId="5DEF864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dokumentacioni mbahet nga një subjekt tjetër, ftesa duhet të tregojë adresën ku mund të kërkohet, afatin për paraqitjen e kërkesës, shumën e pagueshme dhe procedurën e pagesës. Kandidatët mund të kërkojnë informacion dhe sqarime shtesë, të cilat u komunikohen njëkohësisht të gjithëve, pa bërë të njohur identitetin e kërkuesit. Informacioni i fundit duhet të transmetohet jo më vonë se gjashtë ditë përpara afatit të ofertave, ndërsa në procedurën e kufizuar ose të përshpejtuar afati është katër ditë. Kur informacioni nuk vihet në dispozicion në kohë ose kërkohet vizitë në terren, afati i ofertave zgjatet në mënyrë që kandidatët të kenë informacionin e nevojshëm. </w:t>
      </w:r>
    </w:p>
    <w:p w14:paraId="48FF203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ndryshojë dokumentet e tenderit përpara përfundimit të afatit të dorëzimit, nëpërmjet një shtojce që u komunikohet menjëherë të gjithë operatorëve ekonomikë dhe bëhet detyruese për ta. Në këtë rast, afati i ofertave zgjatet me pesë ditë, ndërsa për prokurimet mbi kufirin e lartë monetar zgjatet me dhjetë ditë. </w:t>
      </w:r>
    </w:p>
    <w:p w14:paraId="7E84CB2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30 në nenin 31. Rregullat kryesore për dërgimin e ftesës, përmbajtjen e saj, </w:t>
      </w:r>
      <w:proofErr w:type="spellStart"/>
      <w:r w:rsidRPr="00A94DB4">
        <w:rPr>
          <w:rFonts w:ascii="Times New Roman" w:hAnsi="Times New Roman" w:cs="Times New Roman"/>
          <w:sz w:val="24"/>
          <w:szCs w:val="24"/>
        </w:rPr>
        <w:t>konfidencialitetin</w:t>
      </w:r>
      <w:proofErr w:type="spellEnd"/>
      <w:r w:rsidRPr="00A94DB4">
        <w:rPr>
          <w:rFonts w:ascii="Times New Roman" w:hAnsi="Times New Roman" w:cs="Times New Roman"/>
          <w:sz w:val="24"/>
          <w:szCs w:val="24"/>
        </w:rPr>
        <w:t xml:space="preserve">, sqarimet, ndryshimin e dokumenteve dhe zgjatjen e afatit ruhen në thelb. Projektligji e shtrin zbatimin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shton rregullimin për rastin kur dokumentacioni mbahet nga një subjekt tjetër. Gjithashtu, parashikohet afati </w:t>
      </w:r>
      <w:proofErr w:type="spellStart"/>
      <w:r w:rsidRPr="00A94DB4">
        <w:rPr>
          <w:rFonts w:ascii="Times New Roman" w:hAnsi="Times New Roman" w:cs="Times New Roman"/>
          <w:sz w:val="24"/>
          <w:szCs w:val="24"/>
        </w:rPr>
        <w:t>katërditor</w:t>
      </w:r>
      <w:proofErr w:type="spellEnd"/>
      <w:r w:rsidRPr="00A94DB4">
        <w:rPr>
          <w:rFonts w:ascii="Times New Roman" w:hAnsi="Times New Roman" w:cs="Times New Roman"/>
          <w:sz w:val="24"/>
          <w:szCs w:val="24"/>
        </w:rPr>
        <w:t xml:space="preserve"> për dhënien e informacionit shtesë në procedurën e kufizuar ose të përshpejtuar dhe referenca për dokumentet e kualifikimit zgjerohet nga neni 37 në nenet 41 deri në 46. </w:t>
      </w:r>
    </w:p>
    <w:p w14:paraId="477389B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31 siguron përafrim të plotë me nenin 34 të Direktivës 2009/81/KE. Ai pasqyron detyrimin për ftesën e njëkohshme dhe me shkrim të kandidatëve të përzgjedhur, dokumentacionin që duhet të shoqërojë ftesën, rregullat kur dokumentet administrohen nga një subjekt tjetër, afatet për informacionin plotësues dhe elementet minimale që duhet të përmbajë ftesa. Rregullat kombëtare për shtojcat dhe zgjatjen automatike të afateve plotësojnë kuadrin procedural të kësaj dispozite.</w:t>
      </w:r>
    </w:p>
    <w:p w14:paraId="3676070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32</w:t>
      </w:r>
      <w:r w:rsidRPr="00A94DB4">
        <w:rPr>
          <w:rFonts w:ascii="Times New Roman" w:hAnsi="Times New Roman" w:cs="Times New Roman"/>
          <w:sz w:val="24"/>
          <w:szCs w:val="24"/>
        </w:rPr>
        <w:t xml:space="preserve"> rregullon njoftimet e prokurimit në fushën e mbrojtjes dhe të sigurisë.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bëjë njoftim publik kur zhvillon procedurën e kufizuar, dialogun konkurrues ose procedurën me negocim me shpallje paraprake. Përmbajtja e formularëve standardë dhe mënyra e publikimit përcaktohen në rregullat e prokurimit të miratuara me vendim të Këshillit të Ministrave. </w:t>
      </w:r>
    </w:p>
    <w:p w14:paraId="68F81BB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Njoftimi duhet të përmbajë informacion të mjaftueshëm që u mundëson operatorëve ekonomikë të vlerësojnë pjesëmarrjen në procedurë, duke përfshirë vendin, adresën dhe afatin e fundit për dorëzimin e ofertave, gjuhën ose gjuhët e përdorura dhe kushtet për marrjen e dokumenteve të tenderit. Për të garantuar trajtimin e barabartë, as njoftimi dhe as informacioni që përmban ai nuk mund të bëhen publikë ose t’i komunikohen paraprakisht një personi apo operatori ekonomik përpara publikimit zyrtar. </w:t>
      </w:r>
    </w:p>
    <w:p w14:paraId="114D021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publikojë njoftimin për shpalljen e fituesit brenda pesë ditëve nga klasifikimi përfundimtar dhe njoftimin për nënshkrimin e kontratës brenda pesë ditëve nga nënshkrimi. Megjithatë, informacioni për dhënien e kontratës ose lidhjen e marrëveshjes kuadër mund të mos publikohet kur publikimi pengon zbatimin e ligjit, cenon interesin publik dhe interesat e mbrojtjes ose të sigurisë, dëmton interesat legjitime tregtare apo konkurrencën e ndershme. Në çdo rast, njoftimet nuk duhet të përmbajnë informacion të klasifikuar. </w:t>
      </w:r>
    </w:p>
    <w:p w14:paraId="525623C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31 në nenin 32. Projektligji e shtrin rregullimin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përfshin shprehimisht dialogun konkurrues ndër procedurat për të cilat kërkohet njoftim publik. Gjithashtu, detyrimi për njoftimin e fituesit dhe të nënshkrimit të kontratës ndryshon nga përgatitja e njoftimit në publikimin e tij. Si rregullim i ri shtohet mundësia e </w:t>
      </w:r>
      <w:proofErr w:type="spellStart"/>
      <w:r w:rsidRPr="00A94DB4">
        <w:rPr>
          <w:rFonts w:ascii="Times New Roman" w:hAnsi="Times New Roman" w:cs="Times New Roman"/>
          <w:sz w:val="24"/>
          <w:szCs w:val="24"/>
        </w:rPr>
        <w:t>mosbërjes</w:t>
      </w:r>
      <w:proofErr w:type="spellEnd"/>
      <w:r w:rsidRPr="00A94DB4">
        <w:rPr>
          <w:rFonts w:ascii="Times New Roman" w:hAnsi="Times New Roman" w:cs="Times New Roman"/>
          <w:sz w:val="24"/>
          <w:szCs w:val="24"/>
        </w:rPr>
        <w:t xml:space="preserve"> publike të informacionit të ndjeshëm për dhënien e kontratës ose lidhjen e marrëveshjes kuadër, ndërsa ndalimi i përfshirjes së informacionit të klasifikuar ruhet. </w:t>
      </w:r>
    </w:p>
    <w:p w14:paraId="4DA7EAC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32, i lexuar së bashku me nenet 33 dhe 35 të projektligjit, siguron përafrim të plotë me nenin 30 të Direktivës 2009/81/KE. Neni 32 pasqyron detyrimin për publikimin e njoftimit të kontratës në procedurat konkurruese dhe njoftimin e rezultateve të procedurës, si dhe të drejtën për të mos publikuar informacionin që cenon zbatimin e ligjit, interesat e mbrojtjes dhe të sigurisë, interesat tregtare ose konkurrencën. Njoftimi paraprak i informacionit rregullohet në nenin 33, ndërsa forma dhe mënyra e publikimit të njoftimeve përcaktohen në nenin 35 të projektligjit.</w:t>
      </w:r>
    </w:p>
    <w:p w14:paraId="3DE5B6F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33</w:t>
      </w:r>
      <w:r w:rsidRPr="00A94DB4">
        <w:rPr>
          <w:rFonts w:ascii="Times New Roman" w:hAnsi="Times New Roman" w:cs="Times New Roman"/>
          <w:sz w:val="24"/>
          <w:szCs w:val="24"/>
        </w:rPr>
        <w:t xml:space="preserve"> rregullon njoftimin paraprak të informacionit për prokurimet e planifikuara.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mund të bëjnë të njohura paraprakisht nevojat e tyre të ardhshme për prokurim nëpërmjet publikimit të një njoftimi të posaçëm. Përmbajtja e këtij njoftimi përcaktohet në rregullat e prokurimit në fushën e mbrojtjes dhe të sigurisë, ndërsa publikimi kryhet në sistemin e prokurimit elektronik. </w:t>
      </w:r>
    </w:p>
    <w:p w14:paraId="30A82AA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Njoftimi paraprak ka karakter informues dhe u mundëson operatorëve ekonomikë të njihen në kohë me prokurimet që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planifikon të zhvillojë. Përveç rritjes së transparencës dhe </w:t>
      </w:r>
      <w:proofErr w:type="spellStart"/>
      <w:r w:rsidRPr="00A94DB4">
        <w:rPr>
          <w:rFonts w:ascii="Times New Roman" w:hAnsi="Times New Roman" w:cs="Times New Roman"/>
          <w:sz w:val="24"/>
          <w:szCs w:val="24"/>
        </w:rPr>
        <w:t>parashikueshmërisë</w:t>
      </w:r>
      <w:proofErr w:type="spellEnd"/>
      <w:r w:rsidRPr="00A94DB4">
        <w:rPr>
          <w:rFonts w:ascii="Times New Roman" w:hAnsi="Times New Roman" w:cs="Times New Roman"/>
          <w:sz w:val="24"/>
          <w:szCs w:val="24"/>
        </w:rPr>
        <w:t xml:space="preserve"> së tregut, publikimi i tij mund të përdoret për shkurtimin e afatit për pranimin e ofertave, sipas kushteve të përcaktuara në nenin 36 të projektligjit. </w:t>
      </w:r>
    </w:p>
    <w:p w14:paraId="3E79CA4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kontratat mbi kufirin e lartë monetar, shkurtimi i afatit në procedurën e kufizuar lejohet kur njoftimi paraprak ka përmbajtur informacionin e kërkuar për njoftimin e kontratës, për aq sa ai ka qenë i </w:t>
      </w:r>
      <w:proofErr w:type="spellStart"/>
      <w:r w:rsidRPr="00A94DB4">
        <w:rPr>
          <w:rFonts w:ascii="Times New Roman" w:hAnsi="Times New Roman" w:cs="Times New Roman"/>
          <w:sz w:val="24"/>
          <w:szCs w:val="24"/>
        </w:rPr>
        <w:t>disponueshëm</w:t>
      </w:r>
      <w:proofErr w:type="spellEnd"/>
      <w:r w:rsidRPr="00A94DB4">
        <w:rPr>
          <w:rFonts w:ascii="Times New Roman" w:hAnsi="Times New Roman" w:cs="Times New Roman"/>
          <w:sz w:val="24"/>
          <w:szCs w:val="24"/>
        </w:rPr>
        <w:t xml:space="preserve">, dhe është dërguar për publikim jo më pak se 52 ditë dhe jo më shumë se 12 muaj përpara dërgimit të njoftimit të kontratës. Në këto rrethana, afati mund të shkurtohet, si rregull, në 36 ditë, por jo në më pak se 22 ditë. </w:t>
      </w:r>
    </w:p>
    <w:p w14:paraId="6151A55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33 përbën një rregullim të ri. Ligji në fuqi nuk parashikon një dispozitë të veçantë për publikimin e njoftimit paraprak të informacionit dhe nuk e lidh këtë instrument me shkurtimin e afatit për pranimin e ofertave. Projektligji krijon kështu një mekanizëm të ri transparence dhe planifikimi, i cili zbatohet si nga autoritetet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ashtu edhe nga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1440C02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Për sa i përket përafrimit me legjislacionin e Bashkimit Evropian, neni 33, i lexuar së bashku me nenet 35 dhe 36 të projektligjit, siguron përafrim të plotë me nenin 30, pika 1, të Direktivës 2009/81/KE. Neni 33 parashikon mundësinë e publikimit të informacionit për prokurimet e planifikuara dhe përdorimin e njoftimit paraprak për shkurtimin e afateve, ndërsa rregullat për formën, mënyrën e publikimit dhe kushtet konkrete të shkurtimit plotësohen përkatësisht nga nenet 35 dhe 36.</w:t>
      </w:r>
    </w:p>
    <w:p w14:paraId="1317EE2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34</w:t>
      </w:r>
      <w:r w:rsidRPr="00A94DB4">
        <w:rPr>
          <w:rFonts w:ascii="Times New Roman" w:hAnsi="Times New Roman" w:cs="Times New Roman"/>
          <w:sz w:val="24"/>
          <w:szCs w:val="24"/>
        </w:rPr>
        <w:t xml:space="preserve"> rregullon publikimin jo të detyrueshëm të njoftimeve.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mund të publikojnë njoftime edhe për kontratat që, sipas dispozitave të projektligjit, nuk i nënshtrohen detyrimit për publikim. Publikimi kryhet sipas formës, standardeve dhe procedurave të përcaktuara në nenin 35 të projektligjit. </w:t>
      </w:r>
    </w:p>
    <w:p w14:paraId="18176C0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u jep autoriteteve 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mundësinë për të përdorur transparencën edhe përtej rasteve kur publikimi kërkohet detyrimisht nga ligji. Zbatimi i saj mbetet fakultativ dhe nuk e shndërron kontratën në një kontratë që i nënshtrohet publikimit të detyrueshëm, por krijon mundësinë e informimit më të gjerë të operatorëve ekonomikë dhe të nxitjes së konkurrencës.</w:t>
      </w:r>
    </w:p>
    <w:p w14:paraId="55978AE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34 përbën një rregullim të ri. Ligji në fuqi nuk parashikon shprehimisht mundësinë e publikimit vullnetar të njoftimeve për kontratat e përjashtuara nga kërkesa e publikimit. Projektligji e plotëson këtë boshllëk duke ua njohur këtë mundësi si autoriteteve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ashtu edhe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duke e lidhur publikimin me rregullat e përgjithshme të nenit 35. </w:t>
      </w:r>
    </w:p>
    <w:p w14:paraId="31B7A0C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34 siguron përafrim të plotë me nenin 31 të Direktivës 2009/81/KE. Ashtu si Direktiva, projektligji u lejon autoriteteve 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të publikojnë njoftime për kontratat që nuk i nënshtrohen detyrimit të publikimit, duke zbatuar rregullat për formën dhe mënyrën e publikimit. </w:t>
      </w:r>
    </w:p>
    <w:p w14:paraId="6C9F86E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35</w:t>
      </w:r>
      <w:r w:rsidRPr="00A94DB4">
        <w:rPr>
          <w:rFonts w:ascii="Times New Roman" w:hAnsi="Times New Roman" w:cs="Times New Roman"/>
          <w:sz w:val="24"/>
          <w:szCs w:val="24"/>
        </w:rPr>
        <w:t xml:space="preserve"> rregullon formën, përmbajtjen dhe mënyrën e publikimit të njoftimeve. Njoftimet duhet të hartohen sipas formularëve standardë dhe të përmbajnë informacionin e përcaktuar në rregullat e prokurimit në fushën e mbrojtjes dhe të sigurisë, si dhe çdo informacion tjetër që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e konsideron të dobishëm. Kërkesat teknike të publikimit përcaktohen me vendim të Këshillit të Ministrave. </w:t>
      </w:r>
    </w:p>
    <w:p w14:paraId="3F06FD8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përcakton mënyrën e dërgimit të njoftimeve te Komisioni Evropian, duke lejuar përdorimin e mjeteve elektronike sipas formatit dhe standardit të Bashkimit Evropian ose të mjeteve të tjera. Në procedurën e përshpejtuar, transmetimi duhet të kryhet </w:t>
      </w:r>
      <w:proofErr w:type="spellStart"/>
      <w:r w:rsidRPr="00A94DB4">
        <w:rPr>
          <w:rFonts w:ascii="Times New Roman" w:hAnsi="Times New Roman" w:cs="Times New Roman"/>
          <w:sz w:val="24"/>
          <w:szCs w:val="24"/>
        </w:rPr>
        <w:t>elektronikisht</w:t>
      </w:r>
      <w:proofErr w:type="spellEnd"/>
      <w:r w:rsidRPr="00A94DB4">
        <w:rPr>
          <w:rFonts w:ascii="Times New Roman" w:hAnsi="Times New Roman" w:cs="Times New Roman"/>
          <w:sz w:val="24"/>
          <w:szCs w:val="24"/>
        </w:rPr>
        <w:t xml:space="preserve">. Njoftimet elektronike publikohen jo më vonë se pesë ditë nga dërgimi, ndërsa njoftimet e transmetuara me mjete të tjera publikohen brenda 12 ditëve ose brenda pesë ditëve në procedurën e përshpejtuar. </w:t>
      </w:r>
    </w:p>
    <w:p w14:paraId="0A38BAC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Njoftimi publikohet i plotë në një gjuhë zyrtare të Bashkimit Evropian të zgjedhur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ndërsa në gjuhët e tjera publikohet një përmbledhje e elementeve kryesore. Publikimi në nivel kombëtar ose në profilin e blerësit nuk mund t’i paraprijë dërgimit të njoftimit te Komisioni Evropian dhe nuk mund të përmbajë informacion të ndryshëm nga ai që i është transmetuar Komisionit. Për njoftimet që nuk dërgohen </w:t>
      </w:r>
      <w:proofErr w:type="spellStart"/>
      <w:r w:rsidRPr="00A94DB4">
        <w:rPr>
          <w:rFonts w:ascii="Times New Roman" w:hAnsi="Times New Roman" w:cs="Times New Roman"/>
          <w:sz w:val="24"/>
          <w:szCs w:val="24"/>
        </w:rPr>
        <w:t>elektronikisht</w:t>
      </w:r>
      <w:proofErr w:type="spellEnd"/>
      <w:r w:rsidRPr="00A94DB4">
        <w:rPr>
          <w:rFonts w:ascii="Times New Roman" w:hAnsi="Times New Roman" w:cs="Times New Roman"/>
          <w:sz w:val="24"/>
          <w:szCs w:val="24"/>
        </w:rPr>
        <w:t xml:space="preserve"> parashikohet </w:t>
      </w:r>
      <w:r w:rsidRPr="00A94DB4">
        <w:rPr>
          <w:rFonts w:ascii="Times New Roman" w:hAnsi="Times New Roman" w:cs="Times New Roman"/>
          <w:sz w:val="24"/>
          <w:szCs w:val="24"/>
        </w:rPr>
        <w:lastRenderedPageBreak/>
        <w:t xml:space="preserve">kufiri prej afërsisht 650 fjalësh, ndërsa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jetë në gjendje të provojë datën e dërgimit. </w:t>
      </w:r>
    </w:p>
    <w:p w14:paraId="3D610CA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Pikat 3 deri në 7, të cilat lidhen drejtpërdrejt me transmetimin, publikimin dhe standardet e Bashkimit Evropian, do të zbatohen nga data e anëtarësimit të Republikës së Shqipërisë në Bashkimin Evropian. Deri në atë moment zbatohen rregullat kombëtare për përmbajtjen dhe kërkesat teknike të publikimit, si dhe detyrimi për të provuar datat e dërgimit të njoftimeve. </w:t>
      </w:r>
    </w:p>
    <w:p w14:paraId="4F2F1F4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rregulli i përgjithshëm i nenit 31, pika 2, sipas të cilit përmbajtja e njoftimeve standarde dhe mënyra e publikimit përcaktoheshin në rregullat e prokurimit, zgjerohet dhe </w:t>
      </w:r>
      <w:proofErr w:type="spellStart"/>
      <w:r w:rsidRPr="00A94DB4">
        <w:rPr>
          <w:rFonts w:ascii="Times New Roman" w:hAnsi="Times New Roman" w:cs="Times New Roman"/>
          <w:sz w:val="24"/>
          <w:szCs w:val="24"/>
        </w:rPr>
        <w:t>strukturohet</w:t>
      </w:r>
      <w:proofErr w:type="spellEnd"/>
      <w:r w:rsidRPr="00A94DB4">
        <w:rPr>
          <w:rFonts w:ascii="Times New Roman" w:hAnsi="Times New Roman" w:cs="Times New Roman"/>
          <w:sz w:val="24"/>
          <w:szCs w:val="24"/>
        </w:rPr>
        <w:t xml:space="preserve"> në një dispozitë të posaçme. Projektligji shton rregullat për transmetimin te Komisioni Evropian, afatet pesëditore dhe </w:t>
      </w:r>
      <w:proofErr w:type="spellStart"/>
      <w:r w:rsidRPr="00A94DB4">
        <w:rPr>
          <w:rFonts w:ascii="Times New Roman" w:hAnsi="Times New Roman" w:cs="Times New Roman"/>
          <w:sz w:val="24"/>
          <w:szCs w:val="24"/>
        </w:rPr>
        <w:t>dymbëdhjetëditore</w:t>
      </w:r>
      <w:proofErr w:type="spellEnd"/>
      <w:r w:rsidRPr="00A94DB4">
        <w:rPr>
          <w:rFonts w:ascii="Times New Roman" w:hAnsi="Times New Roman" w:cs="Times New Roman"/>
          <w:sz w:val="24"/>
          <w:szCs w:val="24"/>
        </w:rPr>
        <w:t xml:space="preserve"> të publikimit, gjuhën autentike të njoftimit, rendin ndërmjet publikimit evropian dhe atij kombëtar, kufirin e përmbajtjes dhe provën e datës së dërgimit. Rregullimi shtrihet gjithashtu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5DD00B5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35 siguron përafrim të plotë me nenin 32 të Direktivës 2009/81/KE. Ai pasqyron përmbajtjen dhe formularët standardë të njoftimeve, format e transmetimit, kërkesat teknike, afatet e publikimit, rregullat gjuhësore, ndalimin e publikimit kombëtar përpara dërgimit te Komisioni Evropian, kufirin prej afërsisht 650 fjalësh dhe detyrimin për ruajtjen e provës së dërgimit. Detyrimi i Direktivës që Komisioni Evropian të konfirmojë publikimin është një detyrim institucional i vetë Komisionit dhe nuk kërkon rregullim si detyrim i autoriteteve kombëtare. </w:t>
      </w:r>
    </w:p>
    <w:p w14:paraId="114FB79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36</w:t>
      </w:r>
      <w:r w:rsidRPr="00A94DB4">
        <w:rPr>
          <w:rFonts w:ascii="Times New Roman" w:hAnsi="Times New Roman" w:cs="Times New Roman"/>
          <w:sz w:val="24"/>
          <w:szCs w:val="24"/>
        </w:rPr>
        <w:t xml:space="preserve"> rregullon afatet për pranimin e kërkesave për pjesëmarrje dhe për dorëzimin e ofertave. Në përcaktimin e tyre,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marrë në konsideratë </w:t>
      </w:r>
      <w:proofErr w:type="spellStart"/>
      <w:r w:rsidRPr="00A94DB4">
        <w:rPr>
          <w:rFonts w:ascii="Times New Roman" w:hAnsi="Times New Roman" w:cs="Times New Roman"/>
          <w:sz w:val="24"/>
          <w:szCs w:val="24"/>
        </w:rPr>
        <w:t>kompleksitetin</w:t>
      </w:r>
      <w:proofErr w:type="spellEnd"/>
      <w:r w:rsidRPr="00A94DB4">
        <w:rPr>
          <w:rFonts w:ascii="Times New Roman" w:hAnsi="Times New Roman" w:cs="Times New Roman"/>
          <w:sz w:val="24"/>
          <w:szCs w:val="24"/>
        </w:rPr>
        <w:t xml:space="preserve"> e objektit të prokurimit dhe kohën e nevojshme për përgatitjen e kërkesave dhe ofertave, pa cenuar afatet minimale ligjore. Për kontratat me vlerë të barabartë ose më të lartë se kufiri i lartë monetar, afati për kërkesat për pjesëmarrje në procedurën e kufizuar, procedurën me negocim me shpallje paraprake dhe dialogun konkurrues është jo më pak se 37 ditë, ndërsa në fazën e dytë të procedurës së kufizuar afati për ofertat është jo më pak se 40 ditë. </w:t>
      </w:r>
    </w:p>
    <w:p w14:paraId="3A42CB1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është publikuar një njoftim paraprak informacioni, afati për pranimin e ofertave në procedurën e kufizuar mund të shkurtohet, si rregull, në 36 ditë, por jo në më pak se 22 ditë. Kjo mundësi zbatohet vetëm kur njoftimi paraprak ka përmbajtur informacionin e kërkuar, për aq sa ai ka qenë i </w:t>
      </w:r>
      <w:proofErr w:type="spellStart"/>
      <w:r w:rsidRPr="00A94DB4">
        <w:rPr>
          <w:rFonts w:ascii="Times New Roman" w:hAnsi="Times New Roman" w:cs="Times New Roman"/>
          <w:sz w:val="24"/>
          <w:szCs w:val="24"/>
        </w:rPr>
        <w:t>disponueshëm</w:t>
      </w:r>
      <w:proofErr w:type="spellEnd"/>
      <w:r w:rsidRPr="00A94DB4">
        <w:rPr>
          <w:rFonts w:ascii="Times New Roman" w:hAnsi="Times New Roman" w:cs="Times New Roman"/>
          <w:sz w:val="24"/>
          <w:szCs w:val="24"/>
        </w:rPr>
        <w:t xml:space="preserve">, dhe është dërguar për publikim jo më pak se 52 ditë dhe jo më shumë se 12 muaj përpara dërgimit të njoftimit të kontratës. </w:t>
      </w:r>
    </w:p>
    <w:p w14:paraId="2F74E8E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kontratat me vlerë ndërmjet kufirit të ulët dhe kufirit të lartë monetar, afati për kërkesat për pjesëmarrje është jo më pak se 25 ditë, ndërsa afati për ofertat në fazën e dytë është jo më pak se 15 ditë. Në situata emergjente, afati për kërkesat për pjesëmarrje mund të reduktohet në 15 ditë ose në 10 ditë kur njoftimi dërgohet </w:t>
      </w:r>
      <w:proofErr w:type="spellStart"/>
      <w:r w:rsidRPr="00A94DB4">
        <w:rPr>
          <w:rFonts w:ascii="Times New Roman" w:hAnsi="Times New Roman" w:cs="Times New Roman"/>
          <w:sz w:val="24"/>
          <w:szCs w:val="24"/>
        </w:rPr>
        <w:t>elektronikisht</w:t>
      </w:r>
      <w:proofErr w:type="spellEnd"/>
      <w:r w:rsidRPr="00A94DB4">
        <w:rPr>
          <w:rFonts w:ascii="Times New Roman" w:hAnsi="Times New Roman" w:cs="Times New Roman"/>
          <w:sz w:val="24"/>
          <w:szCs w:val="24"/>
        </w:rPr>
        <w:t xml:space="preserve">, ndërsa në procedurën e kufizuar afati për ofertat nuk mund të jetë më pak se 10 ditë.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deklarojë në njoftimin e kontratës situatën që justifikon përdorimin e këtyre afateve. </w:t>
      </w:r>
    </w:p>
    <w:p w14:paraId="331883D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Publikimi elektronik i njoftimit mundëson shkurtimin me shtatë ditë të afatit për kërkesat për pjesëmarrje. Kur sigurohet </w:t>
      </w:r>
      <w:proofErr w:type="spellStart"/>
      <w:r w:rsidRPr="00A94DB4">
        <w:rPr>
          <w:rFonts w:ascii="Times New Roman" w:hAnsi="Times New Roman" w:cs="Times New Roman"/>
          <w:sz w:val="24"/>
          <w:szCs w:val="24"/>
        </w:rPr>
        <w:t>akses</w:t>
      </w:r>
      <w:proofErr w:type="spellEnd"/>
      <w:r w:rsidRPr="00A94DB4">
        <w:rPr>
          <w:rFonts w:ascii="Times New Roman" w:hAnsi="Times New Roman" w:cs="Times New Roman"/>
          <w:sz w:val="24"/>
          <w:szCs w:val="24"/>
        </w:rPr>
        <w:t xml:space="preserve"> i drejtpërdrejtë, i plotë dhe i pakufizuar në dokumentet e kontratës dhe dokumentet mbështetëse, afati për ofertat në procedurën e kufizuar mund të </w:t>
      </w:r>
      <w:r w:rsidRPr="00A94DB4">
        <w:rPr>
          <w:rFonts w:ascii="Times New Roman" w:hAnsi="Times New Roman" w:cs="Times New Roman"/>
          <w:sz w:val="24"/>
          <w:szCs w:val="24"/>
        </w:rPr>
        <w:lastRenderedPageBreak/>
        <w:t xml:space="preserve">shkurtohet me pesë ditë. Në këtë rast, adresa e internetit ku mund të </w:t>
      </w:r>
      <w:proofErr w:type="spellStart"/>
      <w:r w:rsidRPr="00A94DB4">
        <w:rPr>
          <w:rFonts w:ascii="Times New Roman" w:hAnsi="Times New Roman" w:cs="Times New Roman"/>
          <w:sz w:val="24"/>
          <w:szCs w:val="24"/>
        </w:rPr>
        <w:t>aksesohet</w:t>
      </w:r>
      <w:proofErr w:type="spellEnd"/>
      <w:r w:rsidRPr="00A94DB4">
        <w:rPr>
          <w:rFonts w:ascii="Times New Roman" w:hAnsi="Times New Roman" w:cs="Times New Roman"/>
          <w:sz w:val="24"/>
          <w:szCs w:val="24"/>
        </w:rPr>
        <w:t xml:space="preserve"> dokumentacioni duhet të përcaktohet në njoftimin e kontratës. </w:t>
      </w:r>
    </w:p>
    <w:p w14:paraId="4E86D4B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32 në nenin 36. Projektligji shton rregullat për shkurtimin e afatit nëpërmjet njoftimit paraprak të informacionit, e shtrin afatin 15-ditor të fazës së dytë edhe ndaj procedurës me negocim me shpallje paraprake dhe dialogut konkurrues dhe ul nga 15 në 10 ditë afatin minimal të ofertave në procedurën e përshpejtuar. Gjithashtu, përfshihet shprehimisht koha e nevojshme për përgatitjen e ofertave, rregullimi shtrihet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shtohet detyrimi për </w:t>
      </w:r>
      <w:proofErr w:type="spellStart"/>
      <w:r w:rsidRPr="00A94DB4">
        <w:rPr>
          <w:rFonts w:ascii="Times New Roman" w:hAnsi="Times New Roman" w:cs="Times New Roman"/>
          <w:sz w:val="24"/>
          <w:szCs w:val="24"/>
        </w:rPr>
        <w:t>akses</w:t>
      </w:r>
      <w:proofErr w:type="spellEnd"/>
      <w:r w:rsidRPr="00A94DB4">
        <w:rPr>
          <w:rFonts w:ascii="Times New Roman" w:hAnsi="Times New Roman" w:cs="Times New Roman"/>
          <w:sz w:val="24"/>
          <w:szCs w:val="24"/>
        </w:rPr>
        <w:t xml:space="preserve"> të drejtpërdrejtë elektronik në dokumentacion. </w:t>
      </w:r>
    </w:p>
    <w:p w14:paraId="259AD21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36, i lexuar së bashku me nenin 31 të projektligjit, siguron përafrim të plotë me nenin 33 të Direktivës 2009/81/KE. Ai pasqyron afatet 37-ditore dhe 40-ditore, shkurtimin në 36 ditë dhe jo më pak se 22 ditë pas njoftimit paraprak, reduktimet prej shtatë dhe pesë ditësh për përdorimin e mjeteve elektronike, si dhe afatet 15, 10 dhe 10 ditë në rast urgjence. Rregullat për kontratat ndërmjet kufirit të ulët dhe atij të lartë monetar përbëjnë rregullim kombëtar plotësues, ndërsa zgjatja e afateve kur dokumentacioni nuk vihet në dispozicion në kohë rregullohet në nenin 31 të projektligjit. </w:t>
      </w:r>
    </w:p>
    <w:p w14:paraId="3F796D0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37</w:t>
      </w:r>
      <w:r w:rsidRPr="00A94DB4">
        <w:rPr>
          <w:rFonts w:ascii="Times New Roman" w:hAnsi="Times New Roman" w:cs="Times New Roman"/>
          <w:sz w:val="24"/>
          <w:szCs w:val="24"/>
        </w:rPr>
        <w:t xml:space="preserve"> rregullon detyrimin e autoriteteve 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për informimin e kandidatëve dhe ofertuesve mbi vendimet e marra gjatë procedurës së prokurimit. Informimi përfshin vendimin për dhënien e kontratës ose lidhjen e marrëveshjes kuadër, arsyet e mosdhënies së kontratës ose të </w:t>
      </w:r>
      <w:proofErr w:type="spellStart"/>
      <w:r w:rsidRPr="00A94DB4">
        <w:rPr>
          <w:rFonts w:ascii="Times New Roman" w:hAnsi="Times New Roman" w:cs="Times New Roman"/>
          <w:sz w:val="24"/>
          <w:szCs w:val="24"/>
        </w:rPr>
        <w:t>moslidhjes</w:t>
      </w:r>
      <w:proofErr w:type="spellEnd"/>
      <w:r w:rsidRPr="00A94DB4">
        <w:rPr>
          <w:rFonts w:ascii="Times New Roman" w:hAnsi="Times New Roman" w:cs="Times New Roman"/>
          <w:sz w:val="24"/>
          <w:szCs w:val="24"/>
        </w:rPr>
        <w:t xml:space="preserve"> së marrëveshjes kuadër, si dhe vendimin për rifillimin e procedurës. Me kërkesë të kandidatit ose ofertuesit, informacioni jepet me shkrim dhe në përputhje me legjislacionin për mbrojtjen e të dhënave personale. </w:t>
      </w:r>
    </w:p>
    <w:p w14:paraId="30588EB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Jo më vonë se shtatë ditë nga marrja e kërkesës me shkrim,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t’u komunikojë kandidatëve të pasuksesshëm arsyet e mospranimit të kërkesës për pjesëmarrje dhe ofertuesve të pasuksesshëm arsyet e mospranimit të ofertës. Ofertuesit që kanë paraqitur oferta të pranueshme informohen edhe për karakteristikat dhe avantazhet relative të ofertës së përzgjedhur, si dhe për emrin e ofertuesit fitues ose të palëve të marrëveshjes kuadër. </w:t>
      </w:r>
    </w:p>
    <w:p w14:paraId="5068E9C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Detyrimi për informim nuk është absolut.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mos bëjë të ditur informacionin kur publikimi i tij do të pengonte zbatimin e ligjit, do të cenonte interesin publik dhe veçanërisht interesat e mbrojtjes ose të sigurisë, do të dëmtonte interesat legjitime tregtare të operatorëve ekonomikë ose do të cenonte konkurrencën e ndershme. </w:t>
      </w:r>
    </w:p>
    <w:p w14:paraId="63DCB66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33 në nenin 37. Struktura dhe përmbajtja themelore e detyrimit për informim, afati </w:t>
      </w:r>
      <w:proofErr w:type="spellStart"/>
      <w:r w:rsidRPr="00A94DB4">
        <w:rPr>
          <w:rFonts w:ascii="Times New Roman" w:hAnsi="Times New Roman" w:cs="Times New Roman"/>
          <w:sz w:val="24"/>
          <w:szCs w:val="24"/>
        </w:rPr>
        <w:t>shtatëditor</w:t>
      </w:r>
      <w:proofErr w:type="spellEnd"/>
      <w:r w:rsidRPr="00A94DB4">
        <w:rPr>
          <w:rFonts w:ascii="Times New Roman" w:hAnsi="Times New Roman" w:cs="Times New Roman"/>
          <w:sz w:val="24"/>
          <w:szCs w:val="24"/>
        </w:rPr>
        <w:t xml:space="preserve"> dhe rastet kur informacioni mund të mos bëhet i ditur ruhen. Projektligji e shtrin rregullimin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përshtat referencat për arsyet e mospranimit të ofertës me strukturën e re të ligjit, duke zëvendësuar referencat e mëparshme ndaj neneve 10, 23 dhe 38 me referencat ndaj nenit 18, pikave 4 dhe 5, si dhe neneve 10 dhe 58. </w:t>
      </w:r>
    </w:p>
    <w:p w14:paraId="254E821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37 siguron përafrim të plotë me nenin 35 të Direktivës 2009/81/KE. Dispozita pasqyron detyrimin për informimin e kandidatëve dhe ofertuesve, komunikimin e arsyeve të refuzimit, karakteristikat dhe avantazhet relative të ofertës fituese dhe përjashtimet që lidhen me interesin publik, mbrojtjen, sigurinë, </w:t>
      </w:r>
      <w:r w:rsidRPr="00A94DB4">
        <w:rPr>
          <w:rFonts w:ascii="Times New Roman" w:hAnsi="Times New Roman" w:cs="Times New Roman"/>
          <w:sz w:val="24"/>
          <w:szCs w:val="24"/>
        </w:rPr>
        <w:lastRenderedPageBreak/>
        <w:t xml:space="preserve">interesat tregtare dhe konkurrencën. Afati </w:t>
      </w:r>
      <w:proofErr w:type="spellStart"/>
      <w:r w:rsidRPr="00A94DB4">
        <w:rPr>
          <w:rFonts w:ascii="Times New Roman" w:hAnsi="Times New Roman" w:cs="Times New Roman"/>
          <w:sz w:val="24"/>
          <w:szCs w:val="24"/>
        </w:rPr>
        <w:t>shtatëditor</w:t>
      </w:r>
      <w:proofErr w:type="spellEnd"/>
      <w:r w:rsidRPr="00A94DB4">
        <w:rPr>
          <w:rFonts w:ascii="Times New Roman" w:hAnsi="Times New Roman" w:cs="Times New Roman"/>
          <w:sz w:val="24"/>
          <w:szCs w:val="24"/>
        </w:rPr>
        <w:t xml:space="preserve"> i projektligjit është më i shkurtër se afati maksimal 15-ditor i Direktivës dhe, për rrjedhojë, garanton një standard më të shpejtë informimi.</w:t>
      </w:r>
    </w:p>
    <w:p w14:paraId="4FE1325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38</w:t>
      </w:r>
      <w:r w:rsidRPr="00A94DB4">
        <w:rPr>
          <w:rFonts w:ascii="Times New Roman" w:hAnsi="Times New Roman" w:cs="Times New Roman"/>
          <w:sz w:val="24"/>
          <w:szCs w:val="24"/>
        </w:rPr>
        <w:t xml:space="preserve"> rregullon mundësinë e zvogëlimit të numrit të kandidatëve të përshtatshëm në procedurën e kufizuar, procedurën me negocim me shpallje paraprake dhe dialogun konkurrues.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kufizojë numrin e kandidatëve që do të ftohen për të paraqitur ofertë, për të negociuar ose për të marrë pjesë në dialog. Në njoftimin e kontratës duhet të përcaktohen kushtet ose rregullat që do të përdoren për zvogëlimin, ndërsa numri minimal i kandidatëve që synohet të ftohen nuk mund të jetë më i vogël se tre. </w:t>
      </w:r>
    </w:p>
    <w:p w14:paraId="0D556E8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Kushtet dhe rregullat e përzgjedhjes duhet të jenë objektive dhe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ndërsa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përcaktojë edhe vlerat relative që u atribuohen atyre. Kur ekziston një numër i mjaftueshëm kandidatësh të përshtatshëm, duhet të ftohet të paktën numri minimal i përcaktuar paraprakisht. Kur numri i kandidatëve që plotësojnë nivelet minimale të aftësisë është më i vogël, procedura mund të vijojë duke ftuar kandidatët që disponojnë aftësitë e kërkuara. </w:t>
      </w:r>
    </w:p>
    <w:p w14:paraId="217EF87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Nëse numri i kandidatëve vlerësohet i pamjaftueshëm për të siguruar konkurrencë të vërtetë,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ta pezullojë procedurën, të </w:t>
      </w:r>
      <w:proofErr w:type="spellStart"/>
      <w:r w:rsidRPr="00A94DB4">
        <w:rPr>
          <w:rFonts w:ascii="Times New Roman" w:hAnsi="Times New Roman" w:cs="Times New Roman"/>
          <w:sz w:val="24"/>
          <w:szCs w:val="24"/>
        </w:rPr>
        <w:t>ripublikojë</w:t>
      </w:r>
      <w:proofErr w:type="spellEnd"/>
      <w:r w:rsidRPr="00A94DB4">
        <w:rPr>
          <w:rFonts w:ascii="Times New Roman" w:hAnsi="Times New Roman" w:cs="Times New Roman"/>
          <w:sz w:val="24"/>
          <w:szCs w:val="24"/>
        </w:rPr>
        <w:t xml:space="preserve"> njoftimin fillestar dhe të caktojë një afat të ri për kërkesat për pjesëmarrje. Në këtë rast, në fazën pasardhëse ftohen si kandidatët e përzgjedhur pas njoftimit të parë, ashtu edhe ata të përzgjedhur pas njoftimit të dytë.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ta anulojë procedurën për të filluar një procedurë të re, por nuk mund të përfshijë operatorë që nuk kanë paraqitur kërkesë për pjesëmarrje ose kandidatë që nuk kanë provuar përshtatshmërinë e tyre. </w:t>
      </w:r>
    </w:p>
    <w:p w14:paraId="1F0F57A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34 në nenin 38. Rregullat për numrin minimal prej tre kandidatësh, kriteret objektive dhe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vazhdimin e procedurës me më pak kandidatë, </w:t>
      </w:r>
      <w:proofErr w:type="spellStart"/>
      <w:r w:rsidRPr="00A94DB4">
        <w:rPr>
          <w:rFonts w:ascii="Times New Roman" w:hAnsi="Times New Roman" w:cs="Times New Roman"/>
          <w:sz w:val="24"/>
          <w:szCs w:val="24"/>
        </w:rPr>
        <w:t>ripublikimin</w:t>
      </w:r>
      <w:proofErr w:type="spellEnd"/>
      <w:r w:rsidRPr="00A94DB4">
        <w:rPr>
          <w:rFonts w:ascii="Times New Roman" w:hAnsi="Times New Roman" w:cs="Times New Roman"/>
          <w:sz w:val="24"/>
          <w:szCs w:val="24"/>
        </w:rPr>
        <w:t xml:space="preserve"> e njoftimit, anulimin e procedurës dhe ndalimin e përfshirjes së operatorëve të papërshtatshëm ruhen në thelb të pandryshuara. Ndryshimi kryesor është shtrirja e të gjitha të drejtave dhe detyrimeve procedurale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2AA3959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38 siguron përafrim të plotë me nenin 38, pikat 3 dhe 4, të Direktivës 2009/81/KE. Ai pasqyron mundësinë e kufizimit të numrit të kandidatëve, detyrimin për kritere objektive dhe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numrin minimal prej tre kandidatësh, vijimin e procedurës kur kandidatët janë më pak se minimumi, </w:t>
      </w:r>
      <w:proofErr w:type="spellStart"/>
      <w:r w:rsidRPr="00A94DB4">
        <w:rPr>
          <w:rFonts w:ascii="Times New Roman" w:hAnsi="Times New Roman" w:cs="Times New Roman"/>
          <w:sz w:val="24"/>
          <w:szCs w:val="24"/>
        </w:rPr>
        <w:t>ripublikimin</w:t>
      </w:r>
      <w:proofErr w:type="spellEnd"/>
      <w:r w:rsidRPr="00A94DB4">
        <w:rPr>
          <w:rFonts w:ascii="Times New Roman" w:hAnsi="Times New Roman" w:cs="Times New Roman"/>
          <w:sz w:val="24"/>
          <w:szCs w:val="24"/>
        </w:rPr>
        <w:t xml:space="preserve"> për sigurimin e konkurrencës së vërtetë dhe ndalimin e përfshirjes së operatorëve që nuk kanë kërkuar pjesëmarrjen ose nuk kanë aftësitë e nevojshme.</w:t>
      </w:r>
    </w:p>
    <w:p w14:paraId="60AF74F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39</w:t>
      </w:r>
      <w:r w:rsidRPr="00A94DB4">
        <w:rPr>
          <w:rFonts w:ascii="Times New Roman" w:hAnsi="Times New Roman" w:cs="Times New Roman"/>
          <w:sz w:val="24"/>
          <w:szCs w:val="24"/>
        </w:rPr>
        <w:t xml:space="preserve"> rregullon përmbajtjen e procesverbalit që duhet të hartohet për çdo kontratë dhe marrëveshje kuadër. Procesverbali shërben për të dokumentuar se procedura e përzgjedhjes është zhvilluar në mënyrë transparente dhe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Në të duhet të evidentohen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objekti dhe vlera e kontratës apo marrëveshjes kuadër, si dhe procedura e përdorur për dhënien e kontratës. </w:t>
      </w:r>
    </w:p>
    <w:p w14:paraId="4627D64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rastin e dialogut konkurrues ose të procedurës me negocim pa shpallje paraprake, procesverbali duhet të përmbajë rrethanat që kanë justifikuar përdorimin e procedurës </w:t>
      </w:r>
      <w:r w:rsidRPr="00A94DB4">
        <w:rPr>
          <w:rFonts w:ascii="Times New Roman" w:hAnsi="Times New Roman" w:cs="Times New Roman"/>
          <w:sz w:val="24"/>
          <w:szCs w:val="24"/>
        </w:rPr>
        <w:lastRenderedPageBreak/>
        <w:t xml:space="preserve">përkatëse. Kur marrëveshja kuadër parashikohet të zgjasë më shumë se shtatë vjet, duhet të dokumentohen arsyet e kësaj kohëzgjatjeje. Gjithashtu, procesverbali përmban emrat e kandidatëve të përzgjedhur dhe të përjashtuar, arsyet e përzgjedhjes ose refuzimit të tyre dhe arsyet e refuzimit të ofertave. </w:t>
      </w:r>
    </w:p>
    <w:p w14:paraId="0154C08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procesverbal duhet të pasqyrohen edhe emri i ofertuesit fitues, arsyet e përzgjedhjes së ofertës së tij dhe, kur ky informacion është i njohur, pjesa e kontratës ose marrëveshjes kuadër që synohet ose kërkohet t’u nënkontraktohet palëve të treta. Kur procedura nuk përfundon me dhënien e kontratës ose të marrëveshjes kuadër, duhet të evidentohen edhe arsyet e këtij vendimi.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marrë masa për dokumentimin e procedurave të zhvilluara me mjete elektronike. </w:t>
      </w:r>
    </w:p>
    <w:p w14:paraId="2B6BE21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35 në nenin 39. Projektligji e shtrin detyrimin për hartimin e procesverbalit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shton shprehimisht objektin e kontratës ndër elementet që duhet të pasqyrohen dhe përshtat afatin e marrëveshjes kuadër nga pesë në shtatë vjet. Si element i ri, parashikohet që procesverbali ose karakteristikat e tij kryesore t’i komunikohen Komisionit Evropian, kur ky i fundit e kërkon. </w:t>
      </w:r>
    </w:p>
    <w:p w14:paraId="64CDC31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Detyrimi për komunikimin e procesverbalit te Komisioni Evropian, i parashikuar në pikën 3, zbatohet nga data e anëtarësimit të Republikës së Shqipërisë në Bashkimin Evropian. Deri në atë moment,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zbatojnë detyrimet kombëtare për hartimin dhe dokumentimin e procesverbalit. </w:t>
      </w:r>
    </w:p>
    <w:p w14:paraId="44C2C8F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39 siguron përafrim të plotë me nenin 37 të Direktivës 2009/81/KE. Ai pasqyron elementet minimale të raportit të procedurës, dokumentimin e procedurave të zhvilluara </w:t>
      </w:r>
      <w:proofErr w:type="spellStart"/>
      <w:r w:rsidRPr="00A94DB4">
        <w:rPr>
          <w:rFonts w:ascii="Times New Roman" w:hAnsi="Times New Roman" w:cs="Times New Roman"/>
          <w:sz w:val="24"/>
          <w:szCs w:val="24"/>
        </w:rPr>
        <w:t>elektronikisht</w:t>
      </w:r>
      <w:proofErr w:type="spellEnd"/>
      <w:r w:rsidRPr="00A94DB4">
        <w:rPr>
          <w:rFonts w:ascii="Times New Roman" w:hAnsi="Times New Roman" w:cs="Times New Roman"/>
          <w:sz w:val="24"/>
          <w:szCs w:val="24"/>
        </w:rPr>
        <w:t xml:space="preserve"> dhe detyrimin për komunikimin e raportit ose të karakteristikave kryesore të tij te Komisioni Evropian, kur kërkohet prej këtij të fundit.</w:t>
      </w:r>
    </w:p>
    <w:p w14:paraId="7FA4D8A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40</w:t>
      </w:r>
      <w:r w:rsidRPr="00A94DB4">
        <w:rPr>
          <w:rFonts w:ascii="Times New Roman" w:hAnsi="Times New Roman" w:cs="Times New Roman"/>
          <w:sz w:val="24"/>
          <w:szCs w:val="24"/>
        </w:rPr>
        <w:t xml:space="preserve"> rregullon rastet dhe procedurën e anulimit të një procedure prokurimi.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ta anulojë procedurën vetëm për shkaqet e përcaktuara shprehimisht në këtë nen, duke kufizuar kështu mundësinë e ndërprerjes së saj mbi baza </w:t>
      </w:r>
      <w:proofErr w:type="spellStart"/>
      <w:r w:rsidRPr="00A94DB4">
        <w:rPr>
          <w:rFonts w:ascii="Times New Roman" w:hAnsi="Times New Roman" w:cs="Times New Roman"/>
          <w:sz w:val="24"/>
          <w:szCs w:val="24"/>
        </w:rPr>
        <w:t>diskrecionale</w:t>
      </w:r>
      <w:proofErr w:type="spellEnd"/>
      <w:r w:rsidRPr="00A94DB4">
        <w:rPr>
          <w:rFonts w:ascii="Times New Roman" w:hAnsi="Times New Roman" w:cs="Times New Roman"/>
          <w:sz w:val="24"/>
          <w:szCs w:val="24"/>
        </w:rPr>
        <w:t xml:space="preserve"> ose të paarsyetuara. </w:t>
      </w:r>
    </w:p>
    <w:p w14:paraId="7218D44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Anulimi lejohet kur kanë lindur shkaqe të paparashikueshme dhe jashtë kontrollit të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kur nuk është paraqitur asnjë ofertë brenda afatit, kur asnjë ofertë nuk përmbush kriteret e dokumenteve të tenderit ose kur të gjitha ofertat tejkalojnë buxhetin e parashikuar. Procedura anulohet gjithashtu kur Komisioni i Prokurimit Publik merr vendim për anulimin sipas nenit 67 të projektligjit. Në rastin e shkaqeve të paparashikueshme duhet të respektohen parimet e barazisë dhe transparencës. </w:t>
      </w:r>
    </w:p>
    <w:p w14:paraId="3D94EF5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vendimi merret në një nga rastet e parashikuara në këtë dispozitë,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mban përgjegjësi ndaj ofertuesve që kanë paraqitur oferta. Njoftimi për anulimin duhet të publikohet në të njëjtën mënyrë si njoftimi i kontratës dhe jo më vonë se pesë ditë nga marrja e vendimit, duke garantuar transparencën e përfundimit të procedurës. </w:t>
      </w:r>
    </w:p>
    <w:p w14:paraId="15AE384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36 në nenin 40. Rastet e anulimit, mungesa e përgjegjësisë ndaj ofertuesve dhe afati pesëditor për publikimin e njoftimit ruhen në thelb. Projektligji e shtrin rregullimin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heq parashikimin që kushtet për shkaqet e paparashikueshme të përcaktohen me vendim të Këshillit të Ministrave dhe përditëson referencën për vendimin e Komisionit të Prokurimit Publik nga neni 55 në nenin 67. </w:t>
      </w:r>
    </w:p>
    <w:p w14:paraId="57B15ED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40 përbën një rregullim procedural kombëtar, pasi Direktiva 2009/81/KE nuk përcakton në mënyrë shteruese shkaqet për anulimin e procedurës së prokurimit. Megjithatë, dispozita </w:t>
      </w:r>
      <w:proofErr w:type="spellStart"/>
      <w:r w:rsidRPr="00A94DB4">
        <w:rPr>
          <w:rFonts w:ascii="Times New Roman" w:hAnsi="Times New Roman" w:cs="Times New Roman"/>
          <w:sz w:val="24"/>
          <w:szCs w:val="24"/>
        </w:rPr>
        <w:t>operacionalizon</w:t>
      </w:r>
      <w:proofErr w:type="spellEnd"/>
      <w:r w:rsidRPr="00A94DB4">
        <w:rPr>
          <w:rFonts w:ascii="Times New Roman" w:hAnsi="Times New Roman" w:cs="Times New Roman"/>
          <w:sz w:val="24"/>
          <w:szCs w:val="24"/>
        </w:rPr>
        <w:t xml:space="preserve"> kërkesat e nenit 35 të Direktivës për informimin mbi arsyet e mosdhënies së kontratës ose rifillimit të procedurës dhe kërkesën e nenit 37 për dokumentimin e arsyeve përse nuk është dhënë kontrata ose marrëveshja kuadër. Për këtë arsye, neni nuk ka një nivel të veçantë përafrimi, por mbështet zbatimin e dispozitave të përafruara të neneve 37 dhe 39 të projektligjit.</w:t>
      </w:r>
    </w:p>
    <w:p w14:paraId="4A91668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41</w:t>
      </w:r>
      <w:r w:rsidRPr="00A94DB4">
        <w:rPr>
          <w:rFonts w:ascii="Times New Roman" w:hAnsi="Times New Roman" w:cs="Times New Roman"/>
          <w:sz w:val="24"/>
          <w:szCs w:val="24"/>
        </w:rPr>
        <w:t xml:space="preserve"> rregullon kriteret e kualifikimit të operatorëve ekonomikë, të cilat lidhen me kapacitetin ligjor, gjendjen ekonomike dhe financiare, si dhe përshtatshmërinë teknike dhe profesionale. Për prokurimet që përfshijnë informacion të klasifikuar,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përcaktojë edhe kërkesat specifike të sigurisë. Kriteret dhe nivelet minimale të aftësisë duhet të publikohen në njoftimin e kontratës dhe të jenë të lidhura e proporcionale me objektin e saj. </w:t>
      </w:r>
    </w:p>
    <w:p w14:paraId="4716465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Gjendja ekonomike dhe financiare mund të provohet nëpërmjet deklaratave bankare, sigurimit ndaj rreziqeve profesionale, bilanceve financiare dhe deklaratave mbi xhiron e përgjithshme ose xhiron nga veprimtari të ngjashme gjatë tre viteve të fundit financiare. Kur operatori ekonomik, për arsye të vlefshme, nuk mund të paraqesë dokumentet e kërkuara, ai mund ta provojë kapacitetin e tij me dokumente të tjera që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i konsideron të përshtatshme. Dispozita parashikon edhe mundësinë e mbështetjes në kapacitetet e subjekteve të tjera, rregullim që detajohet më tej në nenin 42 të projektligjit. </w:t>
      </w:r>
    </w:p>
    <w:p w14:paraId="3C96666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Përshtatshmëria teknike dhe profesionale vërtetohet, në varësi të natyrës, sasisë dhe rëndësisë së kontratës, nëpërmjet pajisjeve dhe masave të kontrollit të cilësisë, kapaciteteve prodhuese e teknike, mjeteve të studimit dhe kërkimit, kualifikimeve arsimore dhe profesionale, masave të menaxhimit mjedisor, si dhe mjeteve, pajisjeve, personelit dhe burimeve të furnizimit që operatori ka në dispozicion. Kriteret duhet të jenë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dhe proporcionale me natyrën dhe përmasat e kontratës. </w:t>
      </w:r>
    </w:p>
    <w:p w14:paraId="70E2761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kontratat që përmbajnë informacion të klasifikuar, operatori ekonomik duhet të provojë aftësinë për përpunimin, ruajtjen dhe transmetimin e tij në nivelin e kërkuar të mbrojtjes.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njohë autorizimet ekuivalente të sigurisë, mund t’u japë kandidatëve një afat shtesë për marrjen e autorizimit përkatës dhe mund të kërkojë verifikime nga autoriteti kompetent i sigurisë i shtetit të kandidatit. Krahas kësaj, njihen certifikatat e sigurisë të lëshuara nga autoritetet shqiptare, të NATO-s, të shteteve anëtare të Bashkimit Evropian ose të shteteve me të cilat Shqipëria ka marrëveshje sigurie, pas konfirmimit të vlefshmërisë së tyre. </w:t>
      </w:r>
    </w:p>
    <w:p w14:paraId="3AD9754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37 në nenin 41. Projektligji heq përsëritjen që ekzistonte në pikat 1 dhe 2 të nenit 37 për kriteret e sigurisë, </w:t>
      </w:r>
      <w:r w:rsidRPr="00A94DB4">
        <w:rPr>
          <w:rFonts w:ascii="Times New Roman" w:hAnsi="Times New Roman" w:cs="Times New Roman"/>
          <w:sz w:val="24"/>
          <w:szCs w:val="24"/>
        </w:rPr>
        <w:lastRenderedPageBreak/>
        <w:t xml:space="preserve">e shtrin rregullimin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përcakton shprehimisht që nivelet minimale të aftësisë duhet të jenë të lidhura dhe proporcionale me objektin e kontratës. Rregullimi për informacionin e klasifikuar zgjerohet me njohjen e autorizimeve ekuivalente, mundësinë e dhënies së një afati shtesë dhe verifikimet ndërmjet autoriteteve kombëtare të sigurisë. Shtohet gjithashtu njohja e certifikatave dhe masave ekuivalente të menaxhimit mjedisor. </w:t>
      </w:r>
    </w:p>
    <w:p w14:paraId="4374D05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41, i lexuar së bashku me nenet 42 dhe 46 të projektligjit, siguron përafrim të plotë me nenin 38, pika 2, si dhe me nenet 41, 42 dhe 44 të Direktivës 2009/81/KE. Ai pasqyron kërkesën për </w:t>
      </w:r>
      <w:proofErr w:type="spellStart"/>
      <w:r w:rsidRPr="00A94DB4">
        <w:rPr>
          <w:rFonts w:ascii="Times New Roman" w:hAnsi="Times New Roman" w:cs="Times New Roman"/>
          <w:sz w:val="24"/>
          <w:szCs w:val="24"/>
        </w:rPr>
        <w:t>proporcionalitetin</w:t>
      </w:r>
      <w:proofErr w:type="spellEnd"/>
      <w:r w:rsidRPr="00A94DB4">
        <w:rPr>
          <w:rFonts w:ascii="Times New Roman" w:hAnsi="Times New Roman" w:cs="Times New Roman"/>
          <w:sz w:val="24"/>
          <w:szCs w:val="24"/>
        </w:rPr>
        <w:t xml:space="preserve"> e niveleve minimale të aftësisë, provat e gjendjes ekonomike dhe financiare, kriteret e aftësisë teknike e profesionale, kërkesat për autorizimet e sigurisë dhe njohjen e masave ekuivalente të menaxhimit mjedisor.</w:t>
      </w:r>
    </w:p>
    <w:p w14:paraId="7368EE7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42</w:t>
      </w:r>
      <w:r w:rsidRPr="00A94DB4">
        <w:rPr>
          <w:rFonts w:ascii="Times New Roman" w:hAnsi="Times New Roman" w:cs="Times New Roman"/>
          <w:sz w:val="24"/>
          <w:szCs w:val="24"/>
        </w:rPr>
        <w:t xml:space="preserve"> rregullon mbështetjen e operatorit ekonomik në kapacitetet e subjekteve të tjera për plotësimin e kërkesave të kualifikimit. Operatori mund të përdorë kapacitetet ekonomike dhe financiare, si dhe aftësitë teknike ose profesionale të një subjekti tjetër, pavarësisht natyrës juridike të marrëdhënieve ndërmjet tyre. Në këtë rast, ai duhet të provojë se burimet e nevojshme do të jenë realisht në dispozicion gjatë zbatimit të kontratës, nëpërmjet një angazhimi me shkrim të subjektit mbështetës. </w:t>
      </w:r>
    </w:p>
    <w:p w14:paraId="1B9073A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mbështetja lidhet me kualifikimet arsimore dhe profesionale, kapaciteti i subjektit tjetër mund të përdoret vetëm nëse ky subjekt do të kryejë konkretisht punët ose shërbimet për të cilat kërkohet kualifikimi përkatës. Ky kufizim garanton që kapaciteti i deklaruar të mos mbetet vetëm formal, por të përdoret </w:t>
      </w:r>
      <w:proofErr w:type="spellStart"/>
      <w:r w:rsidRPr="00A94DB4">
        <w:rPr>
          <w:rFonts w:ascii="Times New Roman" w:hAnsi="Times New Roman" w:cs="Times New Roman"/>
          <w:sz w:val="24"/>
          <w:szCs w:val="24"/>
        </w:rPr>
        <w:t>efektivisht</w:t>
      </w:r>
      <w:proofErr w:type="spellEnd"/>
      <w:r w:rsidRPr="00A94DB4">
        <w:rPr>
          <w:rFonts w:ascii="Times New Roman" w:hAnsi="Times New Roman" w:cs="Times New Roman"/>
          <w:sz w:val="24"/>
          <w:szCs w:val="24"/>
        </w:rPr>
        <w:t xml:space="preserve"> gjatë realizimit të kontratës. </w:t>
      </w:r>
    </w:p>
    <w:p w14:paraId="0FB1278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verifikojë që subjekti mbështetës nuk ndodhet në kushtet e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xml:space="preserve"> ose të përjashtimit dhe, kur konstatohen këto kushte, duhet t’i kërkojë operatorit ekonomik zëvendësimin e tij. Kur mbështetja lidhet me gjendjen ekonomike dhe financiare, mund të kërkohet përgjegjësi solidare ndërmjet operatorit ekonomik dhe subjektit mbështetës për zbatimin e kontratës. </w:t>
      </w:r>
    </w:p>
    <w:p w14:paraId="1A4654C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lejon gjithashtu që bashkimi i operatorëve ekonomikë të mbështetet në kapacitetet e anëtarëve ose të subjekteve të tjera që do të realizojnë furnizimet, punët ose shërbimet përkatëse. Megjithatë, për kontratat e punëve, shërbimeve dhe instalimit në kuadër të kontratave të furnizimit,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kërkojë që detyrat ose aspektet kritike të kontratës të realizohen drejtpërdrejt nga ofertuesi ose nga një anëtar i bashkimit të operatorëve ekonomikë. </w:t>
      </w:r>
    </w:p>
    <w:p w14:paraId="172F8EB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rregullat për mbështetjen në kapacitetet e subjekteve të tjera shkëputen nga neni 37 dhe sistemohen në një dispozitë të posaçme, nenin 42. Ligji në fuqi e parashikon mbështetjen në kapacitetet ekonomike dhe financiare të operatorëve të tjerë dhe në kapacitetet e anëtarëve të një bashkimi, por nuk e rregullon në të njëjtën mënyrë të plotë kontrollin e subjektit mbështetës. Projektligji shton kushtin e realizimit faktik të punëve ose shërbimeve për kualifikimet profesionale, verifikimin e shkaqeve të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xml:space="preserve">, zëvendësimin e detyrueshëm të subjektit të papërshtatshëm, përgjegjësinë solidare dhe mundësinë e rezervimit të detyrave kritike për vetë ofertuesin ose anëtarët e bashkimit. </w:t>
      </w:r>
    </w:p>
    <w:p w14:paraId="1681F6D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Për sa i përket përafrimit me legjislacionin e Bashkimit Evropian, neni 42, i lexuar së bashku me nenin 41 të projektligjit, siguron përafrim të plotë me nenin 41, pikat 2 dhe 3, dhe nenin 42, pikat 2 dhe 3, të Direktivës 2009/81/KE. Ai pasqyron të drejtën e operatorit ekonomik dhe të bashkimit të operatorëve për t’u mbështetur në kapacitetet e subjekteve të tjera, pavarësisht natyrës juridike të lidhjeve me to, si dhe detyrimin për të provuar </w:t>
      </w:r>
      <w:proofErr w:type="spellStart"/>
      <w:r w:rsidRPr="00A94DB4">
        <w:rPr>
          <w:rFonts w:ascii="Times New Roman" w:hAnsi="Times New Roman" w:cs="Times New Roman"/>
          <w:sz w:val="24"/>
          <w:szCs w:val="24"/>
        </w:rPr>
        <w:t>disponueshmërinë</w:t>
      </w:r>
      <w:proofErr w:type="spellEnd"/>
      <w:r w:rsidRPr="00A94DB4">
        <w:rPr>
          <w:rFonts w:ascii="Times New Roman" w:hAnsi="Times New Roman" w:cs="Times New Roman"/>
          <w:sz w:val="24"/>
          <w:szCs w:val="24"/>
        </w:rPr>
        <w:t xml:space="preserve"> e burimeve të nevojshme. Rregullat për zëvendësimin e subjektit mbështetës, përgjegjësinë solidare dhe realizimin e detyrave kritike përbëjnë garanci procedurale plotësuese.</w:t>
      </w:r>
    </w:p>
    <w:p w14:paraId="12E6739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43</w:t>
      </w:r>
      <w:r w:rsidRPr="00A94DB4">
        <w:rPr>
          <w:rFonts w:ascii="Times New Roman" w:hAnsi="Times New Roman" w:cs="Times New Roman"/>
          <w:sz w:val="24"/>
          <w:szCs w:val="24"/>
        </w:rPr>
        <w:t xml:space="preserve"> rregullon shkaqet e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xml:space="preserve"> të kandidatëve dhe ofertuesve nga procedurat e prokurimit në fushën e mbrojtjes dhe të sigurisë.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w:t>
      </w:r>
      <w:proofErr w:type="spellStart"/>
      <w:r w:rsidRPr="00A94DB4">
        <w:rPr>
          <w:rFonts w:ascii="Times New Roman" w:hAnsi="Times New Roman" w:cs="Times New Roman"/>
          <w:sz w:val="24"/>
          <w:szCs w:val="24"/>
        </w:rPr>
        <w:t>skualifikon</w:t>
      </w:r>
      <w:proofErr w:type="spellEnd"/>
      <w:r w:rsidRPr="00A94DB4">
        <w:rPr>
          <w:rFonts w:ascii="Times New Roman" w:hAnsi="Times New Roman" w:cs="Times New Roman"/>
          <w:sz w:val="24"/>
          <w:szCs w:val="24"/>
        </w:rPr>
        <w:t xml:space="preserve"> operatorin ekonomik kur ka të dhëna se është dënuar me vendim penal të formës së prerë për pjesëmarrje në organizata kriminale ose terroriste, korrupsion, mashtrim, pastrim parash ose financim të terrorizmit, vepra terroriste, veprimtari të lidhura me narkotikët, falsifikim, keqtrajtim të </w:t>
      </w:r>
      <w:proofErr w:type="spellStart"/>
      <w:r w:rsidRPr="00A94DB4">
        <w:rPr>
          <w:rFonts w:ascii="Times New Roman" w:hAnsi="Times New Roman" w:cs="Times New Roman"/>
          <w:sz w:val="24"/>
          <w:szCs w:val="24"/>
        </w:rPr>
        <w:t>të</w:t>
      </w:r>
      <w:proofErr w:type="spellEnd"/>
      <w:r w:rsidRPr="00A94DB4">
        <w:rPr>
          <w:rFonts w:ascii="Times New Roman" w:hAnsi="Times New Roman" w:cs="Times New Roman"/>
          <w:sz w:val="24"/>
          <w:szCs w:val="24"/>
        </w:rPr>
        <w:t xml:space="preserve"> miturve, sipas nenit 124/b të Kodit Penal, dhe forma të tjera të trafikimit të qenieve njerëzore. </w:t>
      </w:r>
      <w:proofErr w:type="spellStart"/>
      <w:r w:rsidRPr="00A94DB4">
        <w:rPr>
          <w:rFonts w:ascii="Times New Roman" w:hAnsi="Times New Roman" w:cs="Times New Roman"/>
          <w:sz w:val="24"/>
          <w:szCs w:val="24"/>
        </w:rPr>
        <w:t>Skualifikimi</w:t>
      </w:r>
      <w:proofErr w:type="spellEnd"/>
      <w:r w:rsidRPr="00A94DB4">
        <w:rPr>
          <w:rFonts w:ascii="Times New Roman" w:hAnsi="Times New Roman" w:cs="Times New Roman"/>
          <w:sz w:val="24"/>
          <w:szCs w:val="24"/>
        </w:rPr>
        <w:t xml:space="preserve"> zbatohet edhe kur personi i dënuar ose bashkëshorti i tij ushtron funksione administrimi, drejtimi, mbikëqyrjeje, përfaqësimi, vendimmarrjeje ose kontrolli në operatorin ekonomik. </w:t>
      </w:r>
    </w:p>
    <w:p w14:paraId="2DED1C2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parashikon edhe </w:t>
      </w:r>
      <w:proofErr w:type="spellStart"/>
      <w:r w:rsidRPr="00A94DB4">
        <w:rPr>
          <w:rFonts w:ascii="Times New Roman" w:hAnsi="Times New Roman" w:cs="Times New Roman"/>
          <w:sz w:val="24"/>
          <w:szCs w:val="24"/>
        </w:rPr>
        <w:t>skualifikimin</w:t>
      </w:r>
      <w:proofErr w:type="spellEnd"/>
      <w:r w:rsidRPr="00A94DB4">
        <w:rPr>
          <w:rFonts w:ascii="Times New Roman" w:hAnsi="Times New Roman" w:cs="Times New Roman"/>
          <w:sz w:val="24"/>
          <w:szCs w:val="24"/>
        </w:rPr>
        <w:t xml:space="preserve"> për shkaqe që lidhen me falimentimin ose likuidimin, procedurat përkatëse gjyqësore, mospagimin e kontributeve të sigurimeve shoqërore dhe tatimeve, dënimet për shkelje që lidhen me sjelljen profesionale, sjelljen e rëndë të keqe profesionale dhe paraqitjen e deklaratave të rreme ose mosdhënien e informacionit të kërkuar. Në fushën e mbrojtjes dhe të sigurisë përfshihen shprehimisht shkeljet e legjislacionit për eksportin e pajisjeve të mbrojtjes, si dhe cenimi i detyrimeve për sigurinë e informacionit ose sigurinë e furnizimit gjatë kontratave të mëparshme. </w:t>
      </w:r>
    </w:p>
    <w:p w14:paraId="7C5DFC20" w14:textId="77777777" w:rsidR="00B87429" w:rsidRPr="00A94DB4" w:rsidRDefault="00B87429" w:rsidP="00B87429">
      <w:pPr>
        <w:jc w:val="both"/>
        <w:rPr>
          <w:rFonts w:ascii="Times New Roman" w:hAnsi="Times New Roman" w:cs="Times New Roman"/>
          <w:sz w:val="24"/>
          <w:szCs w:val="24"/>
        </w:rPr>
      </w:pPr>
      <w:proofErr w:type="spellStart"/>
      <w:r w:rsidRPr="00A94DB4">
        <w:rPr>
          <w:rFonts w:ascii="Times New Roman" w:hAnsi="Times New Roman" w:cs="Times New Roman"/>
          <w:sz w:val="24"/>
          <w:szCs w:val="24"/>
        </w:rPr>
        <w:t>Skualifikimi</w:t>
      </w:r>
      <w:proofErr w:type="spellEnd"/>
      <w:r w:rsidRPr="00A94DB4">
        <w:rPr>
          <w:rFonts w:ascii="Times New Roman" w:hAnsi="Times New Roman" w:cs="Times New Roman"/>
          <w:sz w:val="24"/>
          <w:szCs w:val="24"/>
        </w:rPr>
        <w:t xml:space="preserve"> zbatohet gjithashtu kur operatori ekonomik, përfaqësuesi ligjor, pronari ose aksionarët e tij përbëjnë rrezik të papranueshëm sigurie ose nuk zotërojnë kapacitetet e nevojshme për mbrojtjen e informacionit të klasifikuar. Vlerësimi mund të mbështetet në prova ose informacione të vërtetuara, përfshirë informacionet e marra nga burime të mbrojtura me ligj. </w:t>
      </w:r>
    </w:p>
    <w:p w14:paraId="3C9E506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Neni përcakton edhe dokumentet që pranohen si prova për mungesën e shkaqeve të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xml:space="preserve">. Këto përfshijnë ekstraktin e regjistrit gjyqësor ose dokumentin ekuivalent, certifikatat për përmbushjen e detyrimeve tatimore dhe të sigurimeve shoqërore, si dhe deklaratën nën betim ose deklaratën solemne kur shteti përkatës nuk lëshon dokumentet e kërkuara. Arsyet e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xml:space="preserve"> duhet të listohen në njoftimin e kontratës. </w:t>
      </w:r>
    </w:p>
    <w:p w14:paraId="207F9E7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38 në nenin 43. Projektligji ruan shkaqet që lidhen me dënimet penale, falimentimin, detyrimet tatimore dhe të sigurimeve shoqërore, si dhe rrezikun e papranueshëm të sigurisë. Ndërkohë, shtohen dënimet për sjelljen profesionale, sjellja e rëndë e keqe profesionale dhe deklarimet e rreme ose mosdhënia e informacionit. E drejta e përgjithshme e autoritetit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të vendosur rast pas rasti kritere të tjera zëvendësohet me rregulla të përcaktuara për provat dhe dokumentet që duhet të pranohen. Rregullimi shtrihet gjithashtu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5AF0132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43 siguron përafrim të plotë me nenin 39 të Direktivës 2009/81/KE. Ai pasqyron shkaqet e detyrueshme dhe </w:t>
      </w:r>
      <w:r w:rsidRPr="00A94DB4">
        <w:rPr>
          <w:rFonts w:ascii="Times New Roman" w:hAnsi="Times New Roman" w:cs="Times New Roman"/>
          <w:sz w:val="24"/>
          <w:szCs w:val="24"/>
        </w:rPr>
        <w:lastRenderedPageBreak/>
        <w:t xml:space="preserve">fakultative të përjashtimit, kriterin e besueshmërisë për shmangien e rreziqeve të sigurisë, si dhe dokumentet, certifikatat dhe deklaratat që pranohen për verifikimin e gjendjes personale të operatorit ekonomik. Projektligji zgjedh që edhe shkaqet që Direktiva ua lë shteteve për t’i zbatuar si raste përjashtimi të formulohen si shkaqe të detyrueshme </w:t>
      </w:r>
      <w:proofErr w:type="spellStart"/>
      <w:r w:rsidRPr="00A94DB4">
        <w:rPr>
          <w:rFonts w:ascii="Times New Roman" w:hAnsi="Times New Roman" w:cs="Times New Roman"/>
          <w:sz w:val="24"/>
          <w:szCs w:val="24"/>
        </w:rPr>
        <w:t>skualifikimi</w:t>
      </w:r>
      <w:proofErr w:type="spellEnd"/>
      <w:r w:rsidRPr="00A94DB4">
        <w:rPr>
          <w:rFonts w:ascii="Times New Roman" w:hAnsi="Times New Roman" w:cs="Times New Roman"/>
          <w:sz w:val="24"/>
          <w:szCs w:val="24"/>
        </w:rPr>
        <w:t>.</w:t>
      </w:r>
    </w:p>
    <w:p w14:paraId="471B8EA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44</w:t>
      </w:r>
      <w:r w:rsidRPr="00A94DB4">
        <w:rPr>
          <w:rFonts w:ascii="Times New Roman" w:hAnsi="Times New Roman" w:cs="Times New Roman"/>
          <w:sz w:val="24"/>
          <w:szCs w:val="24"/>
        </w:rPr>
        <w:t xml:space="preserve"> rregullon përshtatshmërinë e kandidatëve për të ushtruar veprimtarinë profesionale që lidhet me objektin e kontratës. Kur legjislacioni i shtetit të origjinës ose të qëndrimit kërkon regjistrimin në një regjistër tregtar ose profesional, kandidatit mund t’i kërkohet të provojë regjistrimin përkatës ose të paraqesë një </w:t>
      </w:r>
      <w:proofErr w:type="spellStart"/>
      <w:r w:rsidRPr="00A94DB4">
        <w:rPr>
          <w:rFonts w:ascii="Times New Roman" w:hAnsi="Times New Roman" w:cs="Times New Roman"/>
          <w:sz w:val="24"/>
          <w:szCs w:val="24"/>
        </w:rPr>
        <w:t>vetëdeklarim</w:t>
      </w:r>
      <w:proofErr w:type="spellEnd"/>
      <w:r w:rsidRPr="00A94DB4">
        <w:rPr>
          <w:rFonts w:ascii="Times New Roman" w:hAnsi="Times New Roman" w:cs="Times New Roman"/>
          <w:sz w:val="24"/>
          <w:szCs w:val="24"/>
        </w:rPr>
        <w:t xml:space="preserve">. </w:t>
      </w:r>
    </w:p>
    <w:p w14:paraId="073D054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procedurat e dhënies së kontratave të shërbimit,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kërkojë paraqitjen e një autorizimi të posaçëm ose provën e anëtarësimit në një organizëm profesional, kur këto kërkesa janë të domosdoshme për ushtrimin e ligjshëm të shërbimit në shtetin e origjinës së kandidatit. Dispozita synon të verifikojë aftësinë juridike dhe profesionale të operatorit, pa vendosur kërkesa të tjera përtej atyre që lidhen me ushtrimin e veprimtarisë përkatëse. </w:t>
      </w:r>
    </w:p>
    <w:p w14:paraId="4AFF148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Neni përcakton shprehimisht se kërkesat për regjistrim, autorizim ose anëtarësim profesional nuk duhet të cenojnë të drejtën e Bashkimit Evropian për lirinë e vendosjes dhe lirinë e ofrimit të shërbimeve. Për rrjedhojë, verifikimi i përshtatshmërisë profesionale duhet të zbatohet në mënyrë të barabartë dhe pa krijuar kufizime të pajustifikuara ndaj operatorëve ekonomikë të vendosur në shtete të tjera. </w:t>
      </w:r>
    </w:p>
    <w:p w14:paraId="36C38CA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39 në nenin 44. Projektligji ruan rregullat për provimin e regjistrimit tregtar ose profesional dhe për paraqitjen e autorizimit apo anëtarësimit të posaçëm në kontratat e shërbimit. Ndryshimet konsistojnë në shtrirjen e rregullimit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në shtimin e pikës 3, e cila garanton shprehimisht respektimin e lirisë së vendosjes dhe të lirisë për të ofruar shërbime. </w:t>
      </w:r>
    </w:p>
    <w:p w14:paraId="06F7EE6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44 siguron përafrim të plotë me nenin 40 të Direktivës 2009/81/KE. Ai pasqyron mundësinë për të kërkuar provën e regjistrimit në regjistrat tregtarë ose profesionalë, autorizimin apo anëtarësimin e nevojshëm për kontratat e shërbimit, si dhe detyrimin për të mos cenuar lirinë e vendosjes dhe lirinë e ofrimit të shërbimeve.</w:t>
      </w:r>
    </w:p>
    <w:p w14:paraId="708202C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45</w:t>
      </w:r>
      <w:r w:rsidRPr="00A94DB4">
        <w:rPr>
          <w:rFonts w:ascii="Times New Roman" w:hAnsi="Times New Roman" w:cs="Times New Roman"/>
          <w:sz w:val="24"/>
          <w:szCs w:val="24"/>
        </w:rPr>
        <w:t xml:space="preserve"> rregullon standardet e sistemeve të menaxhimit të cilësisë që mund të përdoren për të provuar përshtatshmërinë e operatorit ekonomik. Kur kërkohet vërtetimi i përputhshmërisë me standarde të caktuara të menaxhimit të cilësisë,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t’u referohet standardeve vendase, evropiane ose të NATO-s, të certifikuara nga organe të pavarura dhe të akredituara sipas standardeve evropiane për akreditimin dhe certifikimin. </w:t>
      </w:r>
    </w:p>
    <w:p w14:paraId="46B1042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duhet të njohin certifikatat ekuivalente të lëshuara nga organe të pavarura dhe të akredituara, të themeluara në shtetet anëtare të Bashkimit Evropian. Krahas certifikatave formale, ato duhet të pranojnë edhe prova të tjera që dëshmojnë zbatimin nga operatori ekonomik të sistemeve ekuivalente të menaxhimit të cilësisë. Në këtë mënyrë, dispozita shmang kufizimin e provueshmërisë vetëm te një certifikatë ose organ i caktuar certifikues. </w:t>
      </w:r>
    </w:p>
    <w:p w14:paraId="0FF8214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40 në nenin 45. Ligji në fuqi parashikon referimin ndaj standardeve vendase, evropiane dhe të NATO-s, si dhe pranimin e certifikatave të lëshuara nga organizma të pavarur e të akredituar. Projektligji e zhvillon këtë rregullim duke kërkuar që akreditimi dhe certifikimi të jenë në përputhje me standardet evropiane dhe duke vendosur shprehimisht detyrimin për njohjen e certifikatave ekuivalente të lëshuara nga organe të themeluara në shtetet anëtare të Bashkimit Evropian. </w:t>
      </w:r>
    </w:p>
    <w:p w14:paraId="3D20AE7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zëvendëson gjithashtu formulimin e ligjit nr. 36/2020 për pranimin e dëshmive të sistemeve të ngjashme me certifikimet CE dhe NATO me konceptin më të saktë të provave të sistemeve ekuivalente të menaxhimit të cilësisë. Ky ndryshim e lidh vlerësimin me funksionimin dhe </w:t>
      </w:r>
      <w:proofErr w:type="spellStart"/>
      <w:r w:rsidRPr="00A94DB4">
        <w:rPr>
          <w:rFonts w:ascii="Times New Roman" w:hAnsi="Times New Roman" w:cs="Times New Roman"/>
          <w:sz w:val="24"/>
          <w:szCs w:val="24"/>
        </w:rPr>
        <w:t>barasvlershmërinë</w:t>
      </w:r>
      <w:proofErr w:type="spellEnd"/>
      <w:r w:rsidRPr="00A94DB4">
        <w:rPr>
          <w:rFonts w:ascii="Times New Roman" w:hAnsi="Times New Roman" w:cs="Times New Roman"/>
          <w:sz w:val="24"/>
          <w:szCs w:val="24"/>
        </w:rPr>
        <w:t xml:space="preserve"> e sistemit të menaxhimit, jo vetëm me emërtimin e certifikatës së paraqitur. Rregullimi shtrihet njëkohësisht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29D16AF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45 siguron përafrim të plotë me nenin 43 të Direktivës 2009/81/KE. Ai pasqyron referimin ndaj standardeve evropiane të menaxhimit të cilësisë, certifikimin nga organe të pavarura të akredituara, njohjen e certifikatave ekuivalente nga organe të themeluara në shtetet e tjera anëtare dhe pranimin e provave të tjera për sisteme ekuivalente. Referimi shtesë ndaj standardeve vendase dhe të NATO-s lidhet me veçoritë e sektorit të mbrojtjes dhe nuk cenon detyrimet për akreditimin, ekuivalencën dhe njohjen reciproke të parashikuara nga Direktiva.</w:t>
      </w:r>
    </w:p>
    <w:p w14:paraId="6200480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46</w:t>
      </w:r>
      <w:r w:rsidRPr="00A94DB4">
        <w:rPr>
          <w:rFonts w:ascii="Times New Roman" w:hAnsi="Times New Roman" w:cs="Times New Roman"/>
          <w:sz w:val="24"/>
          <w:szCs w:val="24"/>
        </w:rPr>
        <w:t xml:space="preserve"> rregullon standardet e menaxhimit mjedisor që mund të kërkohen për të vërtetuar përputhshmërinë e operatorit ekonomik me politikat dhe kërkesat mjedisore të zbatueshme në procedurën e prokurimit. Kur kërkohen certifikata të lëshuara nga organe të pavarura,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t’i referohet Skemës së Menaxhimit dhe </w:t>
      </w:r>
      <w:proofErr w:type="spellStart"/>
      <w:r w:rsidRPr="00A94DB4">
        <w:rPr>
          <w:rFonts w:ascii="Times New Roman" w:hAnsi="Times New Roman" w:cs="Times New Roman"/>
          <w:sz w:val="24"/>
          <w:szCs w:val="24"/>
        </w:rPr>
        <w:t>Auditimit</w:t>
      </w:r>
      <w:proofErr w:type="spellEnd"/>
      <w:r w:rsidRPr="00A94DB4">
        <w:rPr>
          <w:rFonts w:ascii="Times New Roman" w:hAnsi="Times New Roman" w:cs="Times New Roman"/>
          <w:sz w:val="24"/>
          <w:szCs w:val="24"/>
        </w:rPr>
        <w:t xml:space="preserve"> Mjedisor të Bashkimit Evropian, EMAS, ose standardeve të menaxhimit mjedisor të bazuara në standarde përkatëse evropiane apo ndërkombëtare. </w:t>
      </w:r>
    </w:p>
    <w:p w14:paraId="3FD7783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Organet certifikuese duhet të veprojnë në përputhje me të drejtën e Bashkimit Evropian ose me standardet përkatëse evropiane apo ndërkombëtare të certifikimit.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duhet të njohin certifikatat ekuivalente të lëshuara nga organe të themeluara në shtetet anëtare të Bashkimit Evropian dhe të pranojnë edhe dëshmi të tjera që provojnë zbatimin e masave ekuivalente të menaxhimit mjedisor nga operatorët ekonomikë. </w:t>
      </w:r>
    </w:p>
    <w:p w14:paraId="482C1A7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41 në nenin 46. Ligji në fuqi parashikon në mënyrë të përgjithshme referimin ndaj standardeve evropiane, ndërkombëtare ose të barasvlershme të menaxhimit mjedisor. Projektligji e zhvillon këtë rregullim duke përfshirë shprehimisht EMAS-in, kërkesat që duhet të plotësojnë organet certifikuese, njohjen e certifikatave ekuivalente nga shtetet anëtare dhe pranimin e provave të tjera për masa ekuivalente të menaxhimit mjedisor. Rregullimi shtrihet gjithashtu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5EFF44E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46 siguron përafrim të plotë me nenin 44 të Direktivës 2009/81/KE. Ai pasqyron referimin ndaj EMAS-it dhe standardeve evropiane ose ndërkombëtare, kërkesat për organet certifikuese, detyrimin për njohjen e certifikatave ekuivalente dhe pranimin e dëshmive alternative për masa të barasvlershme të menaxhimit mjedisor.</w:t>
      </w:r>
    </w:p>
    <w:p w14:paraId="02043D2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lastRenderedPageBreak/>
        <w:t>Neni 47</w:t>
      </w:r>
      <w:r w:rsidRPr="00A94DB4">
        <w:rPr>
          <w:rFonts w:ascii="Times New Roman" w:hAnsi="Times New Roman" w:cs="Times New Roman"/>
          <w:sz w:val="24"/>
          <w:szCs w:val="24"/>
        </w:rPr>
        <w:t xml:space="preserve"> rregullon paraqitjen dhe pranimin e ofertave.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përcakton në dokumentet e tenderit mënyrën e paraqitjes së ofertave, datën dhe orën e përfundimit të afatit për paraqitjen e tyre, si dhe vendin e paraqitjes kur ofertat dorëzohen dorazi ose nëpërmjet postës. Përcaktimi paraprak i këtyre elementeve u mundëson operatorëve ekonomikë të njohin kushtet procedurale që duhet të respektojnë për paraqitjen e vlefshme të ofertave.</w:t>
      </w:r>
    </w:p>
    <w:p w14:paraId="77AB8B3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jep sqarime ose bën ndryshime në dokumentet e tenderit, ai vepron sipas rregullave për ndryshimin e dokumenteve dhe zgjatjen e afatit të paraqitjes së ofertave. Vendimi për zgjatjen e afatit përfundimtar u njoftohet menjëherë të gjithë operatorëve ekonomikë që kanë marrë ose kanë </w:t>
      </w:r>
      <w:proofErr w:type="spellStart"/>
      <w:r w:rsidRPr="00A94DB4">
        <w:rPr>
          <w:rFonts w:ascii="Times New Roman" w:hAnsi="Times New Roman" w:cs="Times New Roman"/>
          <w:sz w:val="24"/>
          <w:szCs w:val="24"/>
        </w:rPr>
        <w:t>aksesuar</w:t>
      </w:r>
      <w:proofErr w:type="spellEnd"/>
      <w:r w:rsidRPr="00A94DB4">
        <w:rPr>
          <w:rFonts w:ascii="Times New Roman" w:hAnsi="Times New Roman" w:cs="Times New Roman"/>
          <w:sz w:val="24"/>
          <w:szCs w:val="24"/>
        </w:rPr>
        <w:t xml:space="preserve"> dokumentet e tenderit. Në këtë mënyrë, operatorëve u sigurohet mundësia që sqarimet dhe ndryshimet e bëra të merren në konsideratë gjatë përgatitjes së ofertave.</w:t>
      </w:r>
    </w:p>
    <w:p w14:paraId="0B097D3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Ofertat paraqiten me shkrim dhe dorëzohen dorazi, nëpërmjet postës ose me mjete elektronike, sipas mënyrës së përcaktuar në dokumentet e tenderit. Ofertat e dorëzuara dorazi ose nëpërmjet postës duhet të jenë të nënshkruara dhe të mbyllura në zarf. Në procedurat që zhvillohen në formë shkresore, ofertat e paraqitura pas përfundimit të afatit nuk pranohen dhe u kthehen të pahapura ofertuesve që i kanë paraqitur. Këto rregulla garantojnë respektimin e afatit përfundimtar, ruajtjen e </w:t>
      </w:r>
      <w:proofErr w:type="spellStart"/>
      <w:r w:rsidRPr="00A94DB4">
        <w:rPr>
          <w:rFonts w:ascii="Times New Roman" w:hAnsi="Times New Roman" w:cs="Times New Roman"/>
          <w:sz w:val="24"/>
          <w:szCs w:val="24"/>
        </w:rPr>
        <w:t>konfidencialitetit</w:t>
      </w:r>
      <w:proofErr w:type="spellEnd"/>
      <w:r w:rsidRPr="00A94DB4">
        <w:rPr>
          <w:rFonts w:ascii="Times New Roman" w:hAnsi="Times New Roman" w:cs="Times New Roman"/>
          <w:sz w:val="24"/>
          <w:szCs w:val="24"/>
        </w:rPr>
        <w:t xml:space="preserve"> të ofertave dhe trajtimin e barabartë të operatorëve ekonomikë.</w:t>
      </w:r>
    </w:p>
    <w:p w14:paraId="0615F15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42 në nenin 47. Rregullat për përcaktimin e datës, orës dhe vendit të paraqitjes së ofertave, për njoftimin e zgjatjes së afatit, për paraqitjen e ofertave me shkrim dhe për kthimin e pahapur të ofertave të paraqitura pas afatit ruhen në thelb.</w:t>
      </w:r>
    </w:p>
    <w:p w14:paraId="12D947B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e zhvillon rregullimin duke kërkuar që në dokumentet e tenderit të përcaktohet edhe mënyra e paraqitjes së ofertave dhe duke përfshirë shprehimisht përdorimin e mjeteve elektronike. Kërkesat për nënshkrimin dhe mbylljen në zarf zbatohen për ofertat e dorëzuara dorazi ose nëpërmjet postës, ndërsa mospranimi dhe kthimi i ofertave të paraqitura pas afatit përcaktohet për procedurat që zhvillohen në formë shkresore. Gjithashtu, njoftimi për zgjatjen e afatit u drejtohet operatorëve ekonomikë që kanë marrë ose kanë </w:t>
      </w:r>
      <w:proofErr w:type="spellStart"/>
      <w:r w:rsidRPr="00A94DB4">
        <w:rPr>
          <w:rFonts w:ascii="Times New Roman" w:hAnsi="Times New Roman" w:cs="Times New Roman"/>
          <w:sz w:val="24"/>
          <w:szCs w:val="24"/>
        </w:rPr>
        <w:t>aksesuar</w:t>
      </w:r>
      <w:proofErr w:type="spellEnd"/>
      <w:r w:rsidRPr="00A94DB4">
        <w:rPr>
          <w:rFonts w:ascii="Times New Roman" w:hAnsi="Times New Roman" w:cs="Times New Roman"/>
          <w:sz w:val="24"/>
          <w:szCs w:val="24"/>
        </w:rPr>
        <w:t xml:space="preserve"> dokumentet e tenderit,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përditësohet referenca e brendshme te neni 31 i projektligjit.</w:t>
      </w:r>
    </w:p>
    <w:p w14:paraId="34A1038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47 përbën një rregullim procedural kombëtar për mënyrën e paraqitjes dhe të pranimit të ofertave.</w:t>
      </w:r>
    </w:p>
    <w:p w14:paraId="2011604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48</w:t>
      </w:r>
      <w:r w:rsidRPr="00A94DB4">
        <w:rPr>
          <w:rFonts w:ascii="Times New Roman" w:hAnsi="Times New Roman" w:cs="Times New Roman"/>
          <w:sz w:val="24"/>
          <w:szCs w:val="24"/>
        </w:rPr>
        <w:t xml:space="preserve"> rregullon hapjen e ofertave.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hap të gjitha ofertat në datën dhe orën e përcaktuar në dokumentet e tenderit, pas përfundimit të afatit për paraqitjen e tyre ose të afatit të zgjatur, sipas rastit. Kur ofertat dorëzohen dorazi ose nëpërmjet postës, në dokumentet e tenderit përcaktohet edhe vendi ku do të kryhet hapja e tyre.</w:t>
      </w:r>
    </w:p>
    <w:p w14:paraId="55A6946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Kur ofertat dorëzohen dorazi ose nëpërmjet postës, ofertuesit ose përfaqësuesit e tyre të autorizuar ftohen të marrin pjesë në hapjen e ofertave. Mosparaqitja e tyre nuk pengon zhvillimin e procesit. Kur ofertat dorëzohen me mjete elektronike, hapja kryhet në sistemin e prokurimit elektronik, sipas rregullave të përcaktuara në projektligj dhe në rregullat e prokurimit në fushën e mbrojtjes dhe të sigurisë.</w:t>
      </w:r>
    </w:p>
    <w:p w14:paraId="7296FCE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Në procedurat që zhvillohen me mjete elektronike,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hap ofertat dhe kërkesat për pjesëmarrje pas përfundimit të afatit për paraqitjen e tyre ose të afatit të zgjatur. Hapja kryhet në datën, vendin dhe orën e përcaktuar në dokumentet e tenderit dhe në përputhje me procedurat e parashikuara në këto dokumente. Ky rregullim siguron që hapja të kryhet në të njëjtin moment dhe sipas kushteve të bëra të njohura paraprakisht për operatorët ekonomikë.</w:t>
      </w:r>
    </w:p>
    <w:p w14:paraId="2570A4C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procedurat që zhvillohen në formë shkresore, procesi i hapjes dokumentohet nëpërmjet mbajtjes së një procesverbali. Emri dhe adresa e ofertuesit, dokumentacioni ligjor dhe çdo dokument tjetër i kërkuar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si dhe çmimi i çdo oferte, lexohen me zë të lartë për personat e pranishëm dhe regjistrohen në procesverbal. Procesverbali i vihet menjëherë në dispozicion çdo ofertuesi që e kërkon, ndërsa ofertuesit që nuk është i pranishëm ose i përfaqësuar gjatë hapjes i dërgohet për njoftim.</w:t>
      </w:r>
    </w:p>
    <w:p w14:paraId="6D6D1F3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43 në nenin 48. Rregullat për hapjen e ofertave pas përfundimit të afatit, pjesëmarrjen e ofertuesve ose të përfaqësuesve të tyre, leximin e të dhënave të ofertave, regjistrimin e tyre në procesverbal dhe vënien e procesverbalit në dispozicion të ofertuesve ruhen në thelb.</w:t>
      </w:r>
    </w:p>
    <w:p w14:paraId="0E531CB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e zhvillon rregullimin duke bërë dallimin ndërmjet procedurave që zhvillohen në formë shkresore dhe atyre që zhvillohen me mjete elektronike. Për procedurat elektronike parashikohet hapja në sistemin e prokurimit elektronik e ofertave dhe e kërkesave për pjesëmarrje, ndërsa për procedurat shkresore ruhet dokumentimi i procesit nëpërmjet procesverbalit. Përcaktohet gjithashtu se mosparaqitja e ofertuesve ose e përfaqësuesve të tyre nuk e pengon hapjen e ofertave dhe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2581075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48 përbën një rregullim procedural kombëtar për zhvillimin dhe dokumentimin e procesit të hapjes së ofertave.</w:t>
      </w:r>
    </w:p>
    <w:p w14:paraId="6202BE2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49</w:t>
      </w:r>
      <w:r w:rsidRPr="00A94DB4">
        <w:rPr>
          <w:rFonts w:ascii="Times New Roman" w:hAnsi="Times New Roman" w:cs="Times New Roman"/>
          <w:sz w:val="24"/>
          <w:szCs w:val="24"/>
        </w:rPr>
        <w:t xml:space="preserve"> rregullon shqyrtimin e ofertave dhe veprimet që mund të kryejë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vlerësimin dhe krahasimin sa më të drejtë të tyre. Kur e vlerëson të nevojshme,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t’u kërkojë ofertuesve sqarime për ofertat e paraqitura. Sqarimet nuk mund të përdoren për të ndryshuar përmbajtjen ose çmimin e ofertës dhe as për të kthyer një ofertë të pavlefshme në një ofertë të vlefshme. Ky kufizim garanton që shqyrtimi të kryhet mbi bazën e ofertës së paraqitur brenda afatit dhe pa cenuar trajtimin e barabartë të ofertuesve.</w:t>
      </w:r>
    </w:p>
    <w:p w14:paraId="1E452D6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Gjatë shqyrtimit,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korrigjon vetëm gabimet aritmetike të konstatuara në ofertë, me kusht që ato të mos jenë bërë për qëllime mashtrimi. Për korrigjimin njoftohet menjëherë ofertuesi që ka paraqitur ofertën. Në këtë mënyrë, korrigjimi kufizohet në gabime objektivisht të </w:t>
      </w:r>
      <w:proofErr w:type="spellStart"/>
      <w:r w:rsidRPr="00A94DB4">
        <w:rPr>
          <w:rFonts w:ascii="Times New Roman" w:hAnsi="Times New Roman" w:cs="Times New Roman"/>
          <w:sz w:val="24"/>
          <w:szCs w:val="24"/>
        </w:rPr>
        <w:t>verifikueshme</w:t>
      </w:r>
      <w:proofErr w:type="spellEnd"/>
      <w:r w:rsidRPr="00A94DB4">
        <w:rPr>
          <w:rFonts w:ascii="Times New Roman" w:hAnsi="Times New Roman" w:cs="Times New Roman"/>
          <w:sz w:val="24"/>
          <w:szCs w:val="24"/>
        </w:rPr>
        <w:t xml:space="preserve"> dhe nuk sjell ndryshimin e elementeve thelbësore të ofertës.</w:t>
      </w:r>
    </w:p>
    <w:p w14:paraId="5EEB25A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Një ofertë vlerësohet e vlefshme kur përputhet me të gjitha kërkesat dhe specifikimet e përcaktuara në njoftimin e kontratës dhe në dokumentet e tenderit. Oferta mund të vlerësohet e vlefshme edhe kur përmban devijime të vogla dhe të argumentuara, të cilat nuk ndryshojnë </w:t>
      </w:r>
      <w:proofErr w:type="spellStart"/>
      <w:r w:rsidRPr="00A94DB4">
        <w:rPr>
          <w:rFonts w:ascii="Times New Roman" w:hAnsi="Times New Roman" w:cs="Times New Roman"/>
          <w:sz w:val="24"/>
          <w:szCs w:val="24"/>
        </w:rPr>
        <w:t>thelbësisht</w:t>
      </w:r>
      <w:proofErr w:type="spellEnd"/>
      <w:r w:rsidRPr="00A94DB4">
        <w:rPr>
          <w:rFonts w:ascii="Times New Roman" w:hAnsi="Times New Roman" w:cs="Times New Roman"/>
          <w:sz w:val="24"/>
          <w:szCs w:val="24"/>
        </w:rPr>
        <w:t xml:space="preserve"> karakteristikat, kushtet ose kërkesat e tjera të përcaktuara, si dhe gabime shtypi që mund të korrigjohen pa cenuar përmbajtjen e saj. Ky rregullim mundëson që vlerësimi të përqendrohet në përmbajtjen reale të ofertës dhe jo në mangësi formale të parëndësishme.</w:t>
      </w:r>
    </w:p>
    <w:p w14:paraId="7E1046B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e pranon ofertën kur ofertuesi nuk plotëson kriteret e kualifikimit, kur nuk pranon korrigjimin e gabimit aritmetik ose kur oferta nuk përputhet me specifikimet e përcaktuara në dokumentet e tenderit. Këto raste përcaktojnë kufirin ndërmjet gabimeve ose devijimeve që mund të trajtohen gjatë shqyrtimit dhe mospërputhjeve që ndikojnë në vlefshmërinë e ofertës.</w:t>
      </w:r>
    </w:p>
    <w:p w14:paraId="5175CC8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parashikon gjithashtu të drejtën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t’i ftuar operatorët ekonomikë të plotësojnë ose të sqarojnë certifikatat dhe dokumentet e paraqitura në zbatim të neneve 41 deri në 46 të projektligjit. Kjo mundësi përfshin dokumentacionin që lidhet me kriteret e kualifikimit, mbështetjen në kapacitetet e subjekteve të tjera, shkaqet e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përshtatshmërinë profesionale dhe standardet e menaxhimit të cilësisë dhe të mjedisit. Plotësimi ose sqarimi i dokumentacionit synon që vlerësimi të mbështetet në të dhëna të plota dhe të qarta, pa ndryshuar përmbajtjen thelbësore të ofertës.</w:t>
      </w:r>
    </w:p>
    <w:p w14:paraId="2F33F5D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44 në nenin 49. Rregullat për kërkimin e sqarimeve mbi ofertën, korrigjimin e gabimeve aritmetike, vlerësimin e devijimeve të vogla dhe të gabimeve të shtypit, si dhe rastet e mospranimit të ofertës ruhen në thelb dhe shtrihen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776B05A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Ndryshimi kryesor është shtimi i mundësisë për plotësimin ose sqarimin e certifikatave dhe dokumenteve të paraqitura për përmbushjen e kërkesave të kualifikimit. Ky rregull i ri plotëson kuadrin për shqyrtimin e ofertave, duke dalluar sqarimin e dokumentacionit provues nga ndryshimi i përmbajtjes së ofertës.</w:t>
      </w:r>
    </w:p>
    <w:p w14:paraId="5FC5D67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pika 6 e nenit 49 siguron përafrim të plotë me nenin 45 të Direktivës 2009/81/KE, të ndryshuar. Ajo pasqyron të drejtën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t’i ftuar operatorët ekonomikë të plotësojnë ose të sqarojnë certifikatat dhe dokumentet e paraqitura sipas dispozitave për gjendjen personale, përshtatshmërinë profesionale, kapacitetin ekonomik dhe financiar, aftësinë teknike e profesionale dhe standardet e menaxhimit. Pikat 1 deri në 5 përbëjnë rregullime procedurale kombëtare për shqyrtimin, sqarimin dhe vlerësimin e vlefshmërisë së ofertave.</w:t>
      </w:r>
    </w:p>
    <w:p w14:paraId="43C1E04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50</w:t>
      </w:r>
      <w:r w:rsidRPr="00A94DB4">
        <w:rPr>
          <w:rFonts w:ascii="Times New Roman" w:hAnsi="Times New Roman" w:cs="Times New Roman"/>
          <w:sz w:val="24"/>
          <w:szCs w:val="24"/>
        </w:rPr>
        <w:t xml:space="preserve"> rregullon kriteret për përcaktimin e ofertës fituese.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ta japë kontratën mbi bazën e çmimit më të ulët ose të ofertës ekonomikisht më të favorshme. Në rastin e çmimit më të ulët, oferta duhet të përmbushë kërkesat dhe kriteret e përcaktuara në dokumentet e tenderit dhe të ofrojë çmimin më të ulët për objektin e prokurimit.</w:t>
      </w:r>
    </w:p>
    <w:p w14:paraId="7FC7164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kontrata jepet mbi bazën e ofertës ekonomikisht më të favorshme, vlerësimi mbështetet në kritere të ndryshme që lidhen me objektin e kontratës. Këto mund të përfshijnë cilësinë, çmimin, cilësitë teknike, karakteristikat estetike, funksionale dhe mjedisore, kostot e funksionimit dhe kostot gjatë ciklit jetësor, </w:t>
      </w:r>
      <w:proofErr w:type="spellStart"/>
      <w:r w:rsidRPr="00A94DB4">
        <w:rPr>
          <w:rFonts w:ascii="Times New Roman" w:hAnsi="Times New Roman" w:cs="Times New Roman"/>
          <w:sz w:val="24"/>
          <w:szCs w:val="24"/>
        </w:rPr>
        <w:t>efektshmërinë</w:t>
      </w:r>
      <w:proofErr w:type="spellEnd"/>
      <w:r w:rsidRPr="00A94DB4">
        <w:rPr>
          <w:rFonts w:ascii="Times New Roman" w:hAnsi="Times New Roman" w:cs="Times New Roman"/>
          <w:sz w:val="24"/>
          <w:szCs w:val="24"/>
        </w:rPr>
        <w:t xml:space="preserve"> ekonomike, shërbimin pas shitjes dhe asistencën teknike, afatet e lëvrimit ose të ekzekutimit, sigurinë e furnizimit, </w:t>
      </w:r>
      <w:proofErr w:type="spellStart"/>
      <w:r w:rsidRPr="00A94DB4">
        <w:rPr>
          <w:rFonts w:ascii="Times New Roman" w:hAnsi="Times New Roman" w:cs="Times New Roman"/>
          <w:sz w:val="24"/>
          <w:szCs w:val="24"/>
        </w:rPr>
        <w:t>ndërveprueshmërinë</w:t>
      </w:r>
      <w:proofErr w:type="spellEnd"/>
      <w:r w:rsidRPr="00A94DB4">
        <w:rPr>
          <w:rFonts w:ascii="Times New Roman" w:hAnsi="Times New Roman" w:cs="Times New Roman"/>
          <w:sz w:val="24"/>
          <w:szCs w:val="24"/>
        </w:rPr>
        <w:t xml:space="preserve"> dhe karakteristikat </w:t>
      </w:r>
      <w:proofErr w:type="spellStart"/>
      <w:r w:rsidRPr="00A94DB4">
        <w:rPr>
          <w:rFonts w:ascii="Times New Roman" w:hAnsi="Times New Roman" w:cs="Times New Roman"/>
          <w:sz w:val="24"/>
          <w:szCs w:val="24"/>
        </w:rPr>
        <w:t>operacionale</w:t>
      </w:r>
      <w:proofErr w:type="spellEnd"/>
      <w:r w:rsidRPr="00A94DB4">
        <w:rPr>
          <w:rFonts w:ascii="Times New Roman" w:hAnsi="Times New Roman" w:cs="Times New Roman"/>
          <w:sz w:val="24"/>
          <w:szCs w:val="24"/>
        </w:rPr>
        <w:t xml:space="preserve">. Kriteret e përdorura duhet të jenë objektive,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dhe të lidhura me objektin e kontratës.</w:t>
      </w:r>
    </w:p>
    <w:p w14:paraId="13AFA5D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ofertën ekonomikisht më të favorshme,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përcakton në dokumentacionin e kontratës peshën relative që i jep secilit kriter të zgjedhur. Pesha mund të shprehet edhe nëpërmjet një diapazoni me një shpërndarje maksimale të përshtatshme. Kur </w:t>
      </w:r>
      <w:r w:rsidRPr="00A94DB4">
        <w:rPr>
          <w:rFonts w:ascii="Times New Roman" w:hAnsi="Times New Roman" w:cs="Times New Roman"/>
          <w:sz w:val="24"/>
          <w:szCs w:val="24"/>
        </w:rPr>
        <w:lastRenderedPageBreak/>
        <w:t xml:space="preserve">përcaktimi i peshës nuk është i mundur për arsye të </w:t>
      </w:r>
      <w:proofErr w:type="spellStart"/>
      <w:r w:rsidRPr="00A94DB4">
        <w:rPr>
          <w:rFonts w:ascii="Times New Roman" w:hAnsi="Times New Roman" w:cs="Times New Roman"/>
          <w:sz w:val="24"/>
          <w:szCs w:val="24"/>
        </w:rPr>
        <w:t>demonstrueshme</w:t>
      </w:r>
      <w:proofErr w:type="spellEnd"/>
      <w:r w:rsidRPr="00A94DB4">
        <w:rPr>
          <w:rFonts w:ascii="Times New Roman" w:hAnsi="Times New Roman" w:cs="Times New Roman"/>
          <w:sz w:val="24"/>
          <w:szCs w:val="24"/>
        </w:rPr>
        <w:t>, kriteret paraqiten në dokumentacionin e kontratës sipas rendit zbritës të rëndësisë. Ky rregullim u mundëson operatorëve ekonomikë të njohin paraprakisht jo vetëm kriteret e vlerësimit, por edhe rëndësinë që do t’i jepet secilit prej tyre.</w:t>
      </w:r>
    </w:p>
    <w:p w14:paraId="547A44E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vlerëson dhe krahason vetëm ofertat e vlefshme, duke zbatuar procedurat dhe kriteret e bëra të njohura në dokumentet e tenderit. Gjatë vlerësimit nuk mund të përdoret asnjë kriter që nuk është përfshirë paraprakisht në këto dokumente. Pas shqyrtimit dhe krahasimit të ofertave, përcaktohet oferta më e mirë sipas kriterit të zgjedhur për dhënien e kontratës.</w:t>
      </w:r>
    </w:p>
    <w:p w14:paraId="71B15DC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Procesi i vlerësimit dokumentohet nëpërmjet një përshkrimi të shkurtër, i cili pasqyrohet në procesverbalin e procedurës sipas nenit 39 të projektligjit. Kur prokurimi zhvillohet me mjete elektronike, sistemi administron automatikisht të dhënat, vlerësimet dhe komentet përkatëse dhe njofton ofertuesit në rrugë elektronike. Në këtë mënyrë, dispozita siguron </w:t>
      </w:r>
      <w:proofErr w:type="spellStart"/>
      <w:r w:rsidRPr="00A94DB4">
        <w:rPr>
          <w:rFonts w:ascii="Times New Roman" w:hAnsi="Times New Roman" w:cs="Times New Roman"/>
          <w:sz w:val="24"/>
          <w:szCs w:val="24"/>
        </w:rPr>
        <w:t>gjurmueshmërinë</w:t>
      </w:r>
      <w:proofErr w:type="spellEnd"/>
      <w:r w:rsidRPr="00A94DB4">
        <w:rPr>
          <w:rFonts w:ascii="Times New Roman" w:hAnsi="Times New Roman" w:cs="Times New Roman"/>
          <w:sz w:val="24"/>
          <w:szCs w:val="24"/>
        </w:rPr>
        <w:t xml:space="preserve"> e procesit dhe mundësinë e verifikimit të mënyrës së zbatimit të kritereve të shpallura.</w:t>
      </w:r>
    </w:p>
    <w:p w14:paraId="3C6786A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45 në nenin 50. Ruhen dy kriteret bazë për përcaktimin e ofertës fituese, përkatësisht çmimi më i ulët dhe oferta ekonomikisht më e favorshme, si dhe rregullat për vlerësimin e ofertave të vlefshme, ndalimin e përdorimit të kritereve të pashpallura, dokumentimin e procesit dhe përcaktimin e ofertës më të mirë. Rregullimi shtrihet gjithashtu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6AA60CD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e plotëson listën e kritereve për ofertën ekonomikisht më të favorshme duke përfshirë kostot gjatë ciklit jetësor, sigurinë e furnizimit, </w:t>
      </w:r>
      <w:proofErr w:type="spellStart"/>
      <w:r w:rsidRPr="00A94DB4">
        <w:rPr>
          <w:rFonts w:ascii="Times New Roman" w:hAnsi="Times New Roman" w:cs="Times New Roman"/>
          <w:sz w:val="24"/>
          <w:szCs w:val="24"/>
        </w:rPr>
        <w:t>ndërveprueshmërinë</w:t>
      </w:r>
      <w:proofErr w:type="spellEnd"/>
      <w:r w:rsidRPr="00A94DB4">
        <w:rPr>
          <w:rFonts w:ascii="Times New Roman" w:hAnsi="Times New Roman" w:cs="Times New Roman"/>
          <w:sz w:val="24"/>
          <w:szCs w:val="24"/>
        </w:rPr>
        <w:t xml:space="preserve"> dhe karakteristikat </w:t>
      </w:r>
      <w:proofErr w:type="spellStart"/>
      <w:r w:rsidRPr="00A94DB4">
        <w:rPr>
          <w:rFonts w:ascii="Times New Roman" w:hAnsi="Times New Roman" w:cs="Times New Roman"/>
          <w:sz w:val="24"/>
          <w:szCs w:val="24"/>
        </w:rPr>
        <w:t>operacionale</w:t>
      </w:r>
      <w:proofErr w:type="spellEnd"/>
      <w:r w:rsidRPr="00A94DB4">
        <w:rPr>
          <w:rFonts w:ascii="Times New Roman" w:hAnsi="Times New Roman" w:cs="Times New Roman"/>
          <w:sz w:val="24"/>
          <w:szCs w:val="24"/>
        </w:rPr>
        <w:t xml:space="preserve">. Shtohet gjithashtu detyrimi për përcaktimin paraprak të peshës relative të kritereve ose, kur kjo nuk është e mundur për arsye të </w:t>
      </w:r>
      <w:proofErr w:type="spellStart"/>
      <w:r w:rsidRPr="00A94DB4">
        <w:rPr>
          <w:rFonts w:ascii="Times New Roman" w:hAnsi="Times New Roman" w:cs="Times New Roman"/>
          <w:sz w:val="24"/>
          <w:szCs w:val="24"/>
        </w:rPr>
        <w:t>demonstrueshme</w:t>
      </w:r>
      <w:proofErr w:type="spellEnd"/>
      <w:r w:rsidRPr="00A94DB4">
        <w:rPr>
          <w:rFonts w:ascii="Times New Roman" w:hAnsi="Times New Roman" w:cs="Times New Roman"/>
          <w:sz w:val="24"/>
          <w:szCs w:val="24"/>
        </w:rPr>
        <w:t>, paraqitjen e tyre sipas rendit zbritës të rëndësisë. Këto elemente sigurojnë një metodologji më të qartë dhe të parashikueshme për vlerësimin e ofertës ekonomikisht më të favorshme.</w:t>
      </w:r>
    </w:p>
    <w:p w14:paraId="7F4748D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50 siguron përafrim të plotë me nenin 47 të Direktivës 2009/81/KE, të ndryshuar. Dispozita pasqyron alternativën ndërmjet ofertës ekonomikisht më të favorshme dhe çmimit më të ulët, kriteret që mund të përdoren për vlerësimin e ofertës ekonomikisht më të favorshme, kërkesën që ato të lidhen me objektin e kontratës, si dhe detyrimin për përcaktimin e peshës relative të tyre ose renditjen sipas rëndësisë kur peshimi nuk është i mundur për arsye të </w:t>
      </w:r>
      <w:proofErr w:type="spellStart"/>
      <w:r w:rsidRPr="00A94DB4">
        <w:rPr>
          <w:rFonts w:ascii="Times New Roman" w:hAnsi="Times New Roman" w:cs="Times New Roman"/>
          <w:sz w:val="24"/>
          <w:szCs w:val="24"/>
        </w:rPr>
        <w:t>demonstrueshme</w:t>
      </w:r>
      <w:proofErr w:type="spellEnd"/>
      <w:r w:rsidRPr="00A94DB4">
        <w:rPr>
          <w:rFonts w:ascii="Times New Roman" w:hAnsi="Times New Roman" w:cs="Times New Roman"/>
          <w:sz w:val="24"/>
          <w:szCs w:val="24"/>
        </w:rPr>
        <w:t>.</w:t>
      </w:r>
    </w:p>
    <w:p w14:paraId="6CC2CE9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51</w:t>
      </w:r>
      <w:r w:rsidRPr="00A94DB4">
        <w:rPr>
          <w:rFonts w:ascii="Times New Roman" w:hAnsi="Times New Roman" w:cs="Times New Roman"/>
          <w:sz w:val="24"/>
          <w:szCs w:val="24"/>
        </w:rPr>
        <w:t xml:space="preserve"> rregullon përdorimin dhe zhvillimin e ankandit elektronik në procedurat e prokurimit në fushën e mbrojtjes dhe të sigurisë.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mund ta përdorin këtë instrument për paraqitjen e çmimeve të reja, të rishikuara në ulje, ose të vlerave të reja që lidhen me elemente të caktuara të ofertave, pas kryerjes së vlerësimit të plotë fillestar të tyre. Kontratat e shërbimeve dhe kontratat e punëve që kanë si objekt </w:t>
      </w:r>
      <w:proofErr w:type="spellStart"/>
      <w:r w:rsidRPr="00A94DB4">
        <w:rPr>
          <w:rFonts w:ascii="Times New Roman" w:hAnsi="Times New Roman" w:cs="Times New Roman"/>
          <w:sz w:val="24"/>
          <w:szCs w:val="24"/>
        </w:rPr>
        <w:t>performanca</w:t>
      </w:r>
      <w:proofErr w:type="spellEnd"/>
      <w:r w:rsidRPr="00A94DB4">
        <w:rPr>
          <w:rFonts w:ascii="Times New Roman" w:hAnsi="Times New Roman" w:cs="Times New Roman"/>
          <w:sz w:val="24"/>
          <w:szCs w:val="24"/>
        </w:rPr>
        <w:t xml:space="preserve"> intelektuale, si projektimi i punimeve, nuk mund t’i nënshtrohen ankandit elektronik kur elementet e ofertave nuk mund të renditen nëpërmjet metodave automatike të vlerësimit.</w:t>
      </w:r>
    </w:p>
    <w:p w14:paraId="087CCA1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Ankandi elektronik mund të përdoret në procedurën e kufizuar dhe në procedurën me negocim me shpallje paraprake të njoftimit të kontratës, kur specifikimet e kontratës mund të </w:t>
      </w:r>
      <w:r w:rsidRPr="00A94DB4">
        <w:rPr>
          <w:rFonts w:ascii="Times New Roman" w:hAnsi="Times New Roman" w:cs="Times New Roman"/>
          <w:sz w:val="24"/>
          <w:szCs w:val="24"/>
        </w:rPr>
        <w:lastRenderedPageBreak/>
        <w:t>përcaktohen me saktësi. Në të njëjtat kushte, ai mund të përdoret edhe gjatë rihapjes së konkurrencës ndërmjet operatorëve ekonomikë që janë palë në një marrëveshje kuadër, sipas nenit 30 të projektligjit. Përdorimi i ankandit lidhet, në këtë mënyrë, me mundësinë që elementet e ofertave të maten, të krahasohen dhe të renditen automatikisht.</w:t>
      </w:r>
    </w:p>
    <w:p w14:paraId="36613CE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Kur kontrata jepet mbi bazën e çmimit më të ulët, ankandi elektronik zhvillohet vetëm mbi çmimin. Kur zbatohet kriteri i ofertës ekonomikisht më të favorshme, ankandi mund të zhvillohet mbi çmimin dhe mbi vlerat e reja të karakteristikave të ofertave të përcaktuara në dokumentet e kontratës. Kjo mundëson përdorimin e ankandit edhe kur vlerësimi nuk kufizohet vetëm te çmimi, me kusht që karakteristikat përkatëse të jenë të matshme dhe të përshtatshme për renditje automatike.</w:t>
      </w:r>
    </w:p>
    <w:p w14:paraId="4B6A496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që vendos të përdorë ankandin elektronik duhet ta bëjë të njohur këtë fakt në njoftimin e kontratës. Dokumentet e kontratës duhet të përcaktojnë karakteristikat që do t’i nënshtrohen ankandit, kufizimet e vlerave që mund të paraqiten, informacionin që do t’u vihet në dispozicion ofertuesve gjatë zhvillimit të tij, rregullat e procesit, kushtet e paraqitjes së çmimeve ose vlerave të reja dhe ndryshimet minimale që mund të kërkohen ndërmjet </w:t>
      </w:r>
      <w:proofErr w:type="spellStart"/>
      <w:r w:rsidRPr="00A94DB4">
        <w:rPr>
          <w:rFonts w:ascii="Times New Roman" w:hAnsi="Times New Roman" w:cs="Times New Roman"/>
          <w:sz w:val="24"/>
          <w:szCs w:val="24"/>
        </w:rPr>
        <w:t>ofertimeve</w:t>
      </w:r>
      <w:proofErr w:type="spellEnd"/>
      <w:r w:rsidRPr="00A94DB4">
        <w:rPr>
          <w:rFonts w:ascii="Times New Roman" w:hAnsi="Times New Roman" w:cs="Times New Roman"/>
          <w:sz w:val="24"/>
          <w:szCs w:val="24"/>
        </w:rPr>
        <w:t>. Në dokumente përfshihen edhe të dhënat për pajisjet elektronike, rregullimet teknike dhe specifikimet e nevojshme për lidhjen me sistemin.</w:t>
      </w:r>
    </w:p>
    <w:p w14:paraId="478DD17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Përpara fillimit të ankandit,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kryen një vlerësim të plotë fillestar të ofertave, sipas kritereve të dhënies së kontratës dhe peshës së përcaktuar për secilin prej tyre. Të gjithë ofertuesit që kanë paraqitur oferta të pranueshme ftohen njëkohësisht, me mjete elektronike, për të paraqitur çmime ose vlera të reja. Ftesa përmban informacionin për lidhjen individuale me pajisjet elektronike dhe datën e orën e fillimit të ankandit. Ankandi mund të zhvillohet në disa faza të njëpasnjëshme dhe nuk mund të fillojë më herët se dy ditë pune nga data e dërgimit të ftesave.</w:t>
      </w:r>
    </w:p>
    <w:p w14:paraId="26A8FFF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kontrata jepet mbi bazën e ofertës ekonomikisht më të favorshme, ftesa shoqërohet me rezultatin e vlerësimit të plotë fillestar të ofertës përkatëse. Në të përcaktohet edhe formula matematikore që do të përdoret për </w:t>
      </w:r>
      <w:proofErr w:type="spellStart"/>
      <w:r w:rsidRPr="00A94DB4">
        <w:rPr>
          <w:rFonts w:ascii="Times New Roman" w:hAnsi="Times New Roman" w:cs="Times New Roman"/>
          <w:sz w:val="24"/>
          <w:szCs w:val="24"/>
        </w:rPr>
        <w:t>rirenditjen</w:t>
      </w:r>
      <w:proofErr w:type="spellEnd"/>
      <w:r w:rsidRPr="00A94DB4">
        <w:rPr>
          <w:rFonts w:ascii="Times New Roman" w:hAnsi="Times New Roman" w:cs="Times New Roman"/>
          <w:sz w:val="24"/>
          <w:szCs w:val="24"/>
        </w:rPr>
        <w:t xml:space="preserve"> automatike të ofertave në bazë të çmimeve ose vlerave të reja. Formula duhet të përfshijë peshën e të gjitha kritereve të shpallura, ndërsa çdo diapazon i peshave duhet të reduktohet paraprakisht në një vlerë të përcaktuar. Kur janë lejuar variante, duhet të parashikohet një formulë e veçantë për secilin variant.</w:t>
      </w:r>
    </w:p>
    <w:p w14:paraId="3C719D9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Gjatë çdo faze të ankandit,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u komunikon menjëherë ofertuesve informacionin e nevojshëm për të përcaktuar renditjen e tyre relative. Kur është parashikuar në dokumentet e kontratës, mund të komunikohen edhe të dhëna të tjera për çmimet ose vlerat e paraqitura, si dhe numri i pjesëmarrësve në fazën përkatëse. Identiteti i ofertuesve nuk bëhet i njohur gjatë zhvillimit të ankandit, duke ruajtur </w:t>
      </w:r>
      <w:proofErr w:type="spellStart"/>
      <w:r w:rsidRPr="00A94DB4">
        <w:rPr>
          <w:rFonts w:ascii="Times New Roman" w:hAnsi="Times New Roman" w:cs="Times New Roman"/>
          <w:sz w:val="24"/>
          <w:szCs w:val="24"/>
        </w:rPr>
        <w:t>konfidencialitetin</w:t>
      </w:r>
      <w:proofErr w:type="spellEnd"/>
      <w:r w:rsidRPr="00A94DB4">
        <w:rPr>
          <w:rFonts w:ascii="Times New Roman" w:hAnsi="Times New Roman" w:cs="Times New Roman"/>
          <w:sz w:val="24"/>
          <w:szCs w:val="24"/>
        </w:rPr>
        <w:t xml:space="preserve"> dhe duke shmangur ndikimin ndërmjet pjesëmarrësve.</w:t>
      </w:r>
    </w:p>
    <w:p w14:paraId="6DB7C6C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Ankandi elektronik mbyllet në datën dhe orën e përcaktuar në ftesë, kur nuk paraqiten më çmime ose vlera të reja që përmbushin kërkesat për ndryshimet minimale, ose pas përfundimit të </w:t>
      </w:r>
      <w:proofErr w:type="spellStart"/>
      <w:r w:rsidRPr="00A94DB4">
        <w:rPr>
          <w:rFonts w:ascii="Times New Roman" w:hAnsi="Times New Roman" w:cs="Times New Roman"/>
          <w:sz w:val="24"/>
          <w:szCs w:val="24"/>
        </w:rPr>
        <w:t>të</w:t>
      </w:r>
      <w:proofErr w:type="spellEnd"/>
      <w:r w:rsidRPr="00A94DB4">
        <w:rPr>
          <w:rFonts w:ascii="Times New Roman" w:hAnsi="Times New Roman" w:cs="Times New Roman"/>
          <w:sz w:val="24"/>
          <w:szCs w:val="24"/>
        </w:rPr>
        <w:t xml:space="preserve"> gjitha fazave të parashikuara. Kur mbyllja lidhet me përfundimin e fazave ose me mungesën e </w:t>
      </w:r>
      <w:proofErr w:type="spellStart"/>
      <w:r w:rsidRPr="00A94DB4">
        <w:rPr>
          <w:rFonts w:ascii="Times New Roman" w:hAnsi="Times New Roman" w:cs="Times New Roman"/>
          <w:sz w:val="24"/>
          <w:szCs w:val="24"/>
        </w:rPr>
        <w:t>ofertimeve</w:t>
      </w:r>
      <w:proofErr w:type="spellEnd"/>
      <w:r w:rsidRPr="00A94DB4">
        <w:rPr>
          <w:rFonts w:ascii="Times New Roman" w:hAnsi="Times New Roman" w:cs="Times New Roman"/>
          <w:sz w:val="24"/>
          <w:szCs w:val="24"/>
        </w:rPr>
        <w:t xml:space="preserve"> të reja, ftesa duhet të përcaktojë afatet dhe kalendarin përkatës. Pas mbylljes së ankandit, kontrata jepet sipas kritereve të nenit 50 dhe në bazë të rezultateve të përftuara. Ankandi nuk mund të përdoret në mënyrë të parregullt, për të parandaluar, kufizuar </w:t>
      </w:r>
      <w:r w:rsidRPr="00A94DB4">
        <w:rPr>
          <w:rFonts w:ascii="Times New Roman" w:hAnsi="Times New Roman" w:cs="Times New Roman"/>
          <w:sz w:val="24"/>
          <w:szCs w:val="24"/>
        </w:rPr>
        <w:lastRenderedPageBreak/>
        <w:t>ose shtrembëruar konkurrencën, apo për të ndryshuar objektin e kontratës të përcaktuar në njoftimin dhe dokumentet e kontratës.</w:t>
      </w:r>
    </w:p>
    <w:p w14:paraId="3E50C19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51 përbën një rregullim të ri dhe të posaçëm. Ligji në fuqi kalon nga neni 45, për kriteret e përcaktimit të ofertës fituese, drejtpërdrejt te neni 46, për ofertat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të ulëta, pa parashikuar përdorimin dhe zhvillimin e ankandit elektronik. Projektligji përfshin në nivel ligjor të gjithë ciklin e këtij procesi, duke filluar nga kushtet e përdorimit dhe njoftimi paraprak, vijuar me vlerësimin fillestar, ftesën dhe zhvillimin në faza, deri te mbyllja e ankandit dhe dhënia e kontratës.</w:t>
      </w:r>
    </w:p>
    <w:p w14:paraId="3B1F91D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51 siguron përafrim të plotë me nenin 48 të Direktivës 2009/81/KE, të ndryshuar. Ai pasqyron mundësinë e përdorimit të ankandeve elektronike, procedurat në të cilat ato mund të zhvillohen, kriteret mbi të cilat mund të bazohen, informacionin që duhet të përmbajnë njoftimi dhe dokumentet e kontratës, vlerësimin fillestar të ofertave, ftesën e njëkohshme të ofertuesve, formulën e </w:t>
      </w:r>
      <w:proofErr w:type="spellStart"/>
      <w:r w:rsidRPr="00A94DB4">
        <w:rPr>
          <w:rFonts w:ascii="Times New Roman" w:hAnsi="Times New Roman" w:cs="Times New Roman"/>
          <w:sz w:val="24"/>
          <w:szCs w:val="24"/>
        </w:rPr>
        <w:t>rirenditjes</w:t>
      </w:r>
      <w:proofErr w:type="spellEnd"/>
      <w:r w:rsidRPr="00A94DB4">
        <w:rPr>
          <w:rFonts w:ascii="Times New Roman" w:hAnsi="Times New Roman" w:cs="Times New Roman"/>
          <w:sz w:val="24"/>
          <w:szCs w:val="24"/>
        </w:rPr>
        <w:t xml:space="preserve"> automatike, informacionin që komunikohet gjatë procesit, mënyrat e mbylljes dhe ndalimin e përdorimit të ankandit në mënyrë që cenon konkurrencën ose ndryshon objektin e kontratës.</w:t>
      </w:r>
    </w:p>
    <w:p w14:paraId="452B236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52</w:t>
      </w:r>
      <w:r w:rsidRPr="00A94DB4">
        <w:rPr>
          <w:rFonts w:ascii="Times New Roman" w:hAnsi="Times New Roman" w:cs="Times New Roman"/>
          <w:sz w:val="24"/>
          <w:szCs w:val="24"/>
        </w:rPr>
        <w:t xml:space="preserve"> rregullon shqyrtimin e ofertave që paraqiten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të ulëta në raport me mallrat, punët ose shërbimet objekt prokurimi.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konstaton se një ose më shumë oferta paraqiten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të ulëta, përpara marrjes së vendimit për refuzimin e tyre, duhet t’i kërkojë ofertuesit përkatës sqarime me shkrim për elementet e ofertës që konsiderohen të rëndësishme. Në këtë mënyrë, oferta nuk mund të refuzohet vetëm mbi bazën e nivelit të ulët të çmimit, pa i dhënë më parë ofertuesit mundësinë për të argumentuar mënyrën e formimit dhe rregullsinë e saj.</w:t>
      </w:r>
    </w:p>
    <w:p w14:paraId="22FACE2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Afati për paraqitjen e sqarimeve duhet të jetë i mjaftueshëm dhe proporcional me </w:t>
      </w:r>
      <w:proofErr w:type="spellStart"/>
      <w:r w:rsidRPr="00A94DB4">
        <w:rPr>
          <w:rFonts w:ascii="Times New Roman" w:hAnsi="Times New Roman" w:cs="Times New Roman"/>
          <w:sz w:val="24"/>
          <w:szCs w:val="24"/>
        </w:rPr>
        <w:t>kompleksitetin</w:t>
      </w:r>
      <w:proofErr w:type="spellEnd"/>
      <w:r w:rsidRPr="00A94DB4">
        <w:rPr>
          <w:rFonts w:ascii="Times New Roman" w:hAnsi="Times New Roman" w:cs="Times New Roman"/>
          <w:sz w:val="24"/>
          <w:szCs w:val="24"/>
        </w:rPr>
        <w:t xml:space="preserve"> e kontratës dhe me natyrën e shpjegimeve të kërkuara. Ky rregull i mundëson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ta përcaktojë afatin duke marrë në konsideratë rrethanat konkrete të procedurës, vëllimin e informacionit që duhet të paraqitet dhe shkallën e vështirësisë së verifikimit të elementeve të ofertës.</w:t>
      </w:r>
    </w:p>
    <w:p w14:paraId="0AC3D24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Sqarimet mund të lidhen veçanërisht me ekonominë e metodës së ndërtimit, procesit të prodhimit ose të shërbimeve të ofruara, zgjidhjet teknike të përzgjedhura dhe kushtet jashtëzakonisht të favorshme që disponon ofertuesi, origjinalitetin e punëve, mallrave ose shërbimeve të propozuara, respektimin e detyrimeve për mbrojtjen e punësimit dhe kushtet e punës, si dhe mundësinë që ofertuesi të ketë përfituar ndihmë shtetërore. Këto elemente i mundësojnë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të vlerësojë nëse çmimi i ulët mbështetet në avantazhe të ligjshme ekonomike ose teknike dhe nëse oferta mund të zbatohet në përputhje me kërkesat e kontratës.</w:t>
      </w:r>
    </w:p>
    <w:p w14:paraId="1566263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verifikon elementet e ofertës në konsultim me ofertuesin dhe merr në konsideratë shpjegimet dhe provat e paraqitura prej tij. Oferta mund të refuzohet kur, edhe pas përfundimit të këtij procesi,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bindet për rregullsinë e saj. Dispozita vendos kështu një proces shqyrtimi kontradiktor, në të cilin vendimi mbështetet në vlerësimin e të dhënave konkrete dhe jo vetëm në diferencën ndërmjet çmimit të ofertuar dhe vlerës së përllogaritur të kontratës.</w:t>
      </w:r>
    </w:p>
    <w:p w14:paraId="0AD5BA1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Kur çmimi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i ulët lidhet me përfitimin e ndihmës shtetërore, oferta mund të refuzohet vetëm pasi ofertuesit t’i jetë dhënë mundësia të provojë se ndihma është dhënë në mënyrë të ligjshme.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i cakton ofertuesit një afat të mjaftueshëm për paraqitjen e provave përkatëse. Kur oferta refuzohet për shkak se ligjshmëria e ndihmës shtetërore nuk është provuar,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informon Komisionin Evropian.</w:t>
      </w:r>
    </w:p>
    <w:p w14:paraId="4450EC9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46 në nenin 52. Ruhen rregullat për kërkimin e sqarimeve lidhur me ekonominë e metodës së ndërtimit ose të prodhimit, zgjidhjet teknike, kushtet e favorshme që disponon ofertuesi, origjinalitetin e ofertës dhe respektimin e detyrimeve për mbrojtjen dhe kushtet e punës. Ruhet gjithashtu verifikimi i këtyre elementeve në konsultim me ofertuesin dhe mundësia e refuzimit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bindet për rregullsinë e ofertës.</w:t>
      </w:r>
    </w:p>
    <w:p w14:paraId="6F90DD0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e zhvillon rregullimin duke përcaktuar se sqarimet kërkohen përpara refuzimit të ofertës dhe duke zëvendësuar afatin e pandryshueshëm prej tri ditësh pune me një afat të mjaftueshëm dhe proporcional me </w:t>
      </w:r>
      <w:proofErr w:type="spellStart"/>
      <w:r w:rsidRPr="00A94DB4">
        <w:rPr>
          <w:rFonts w:ascii="Times New Roman" w:hAnsi="Times New Roman" w:cs="Times New Roman"/>
          <w:sz w:val="24"/>
          <w:szCs w:val="24"/>
        </w:rPr>
        <w:t>kompleksitetin</w:t>
      </w:r>
      <w:proofErr w:type="spellEnd"/>
      <w:r w:rsidRPr="00A94DB4">
        <w:rPr>
          <w:rFonts w:ascii="Times New Roman" w:hAnsi="Times New Roman" w:cs="Times New Roman"/>
          <w:sz w:val="24"/>
          <w:szCs w:val="24"/>
        </w:rPr>
        <w:t xml:space="preserve"> e kontratës dhe natyrën e shpjegimeve të kërkuara. Shtohet mundësia e përfitimit të ndihmës shtetërore ndër elementet që mund të kërkojnë sqarim, si dhe procedura e posaçme për verifikimin e ligjshmërisë së kësaj ndihme dhe refuzimin e ofertës kur ligjshmëria e saj nuk provohet. Rregullimi shtrihet gjithashtu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237B572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Detyrimi për informimin e Komisionit Evropian, kur oferta refuzohet për shkak të ndihmës shtetërore, zbatohet nga data e anëtarësimit të Republikës së Shqipërisë në Bashkimin Evropian. Deri në atë moment zbatohen rregullat kombëtare për kërkimin e sqarimeve, konsultimin me ofertuesin, shqyrtimin e provave dhe marrjen e vendimit për pranimin ose refuzimin e ofertës.</w:t>
      </w:r>
    </w:p>
    <w:p w14:paraId="4DCAC99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52 siguron përafrim të plotë me nenin 49 të Direktivës 2009/81/KE, të ndryshuar. Ai pasqyron detyrimin për kërkimin e shpjegimeve përpara refuzimit të një oferte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të ulët, elementet që mund të jenë objekt sqarimi, verifikimin e tyre në konsultim me ofertuesin, si dhe trajtimin e posaçëm të ofertave që mbështeten në ndihmë shtetërore dhe informimin e Komisionit Evropian kur oferta refuzohet për këtë shkak.</w:t>
      </w:r>
    </w:p>
    <w:p w14:paraId="77A43A3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53</w:t>
      </w:r>
      <w:r w:rsidRPr="00A94DB4">
        <w:rPr>
          <w:rFonts w:ascii="Times New Roman" w:hAnsi="Times New Roman" w:cs="Times New Roman"/>
          <w:sz w:val="24"/>
          <w:szCs w:val="24"/>
        </w:rPr>
        <w:t xml:space="preserve"> rregullon sigurimin e ofertës dhe sigurimin e kontratës në procedurat e prokurimit në fushën e mbrojtjes dhe të sigurisë.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kërkon nga ofertuesit sigurimin e ofertës dhe nga </w:t>
      </w:r>
      <w:proofErr w:type="spellStart"/>
      <w:r w:rsidRPr="00A94DB4">
        <w:rPr>
          <w:rFonts w:ascii="Times New Roman" w:hAnsi="Times New Roman" w:cs="Times New Roman"/>
          <w:sz w:val="24"/>
          <w:szCs w:val="24"/>
        </w:rPr>
        <w:t>kontraktori</w:t>
      </w:r>
      <w:proofErr w:type="spellEnd"/>
      <w:r w:rsidRPr="00A94DB4">
        <w:rPr>
          <w:rFonts w:ascii="Times New Roman" w:hAnsi="Times New Roman" w:cs="Times New Roman"/>
          <w:sz w:val="24"/>
          <w:szCs w:val="24"/>
        </w:rPr>
        <w:t xml:space="preserve"> sigurimin e kontratës. Rastet dhe mënyra e zbatimit të këtyre sigurimeve përcaktohen më tej në rregullat e prokurimit në fushën e mbrojtjes dhe të sigurisë, të miratuara me vendim të Këshillit të Ministrave.</w:t>
      </w:r>
    </w:p>
    <w:p w14:paraId="725AF93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Sigurimi i ofertës synon të mbrojë autoritetin ose entin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nga veprime të papërgjegjshme të ofertuesit gjatë zhvillimit të procedurës. Këtu përfshihen tërheqja ose ndryshimi i ofertës pas përfundimit të afatit për paraqitjen e saj, si dhe refuzimi për të nënshkruar kontratën e prokurimit kur ofertuesi është përzgjedhur fitues dhe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kërkon lidhjen e kontratës. Në këtë mënyrë, sigurimi i ofertës garanton seriozitetin e pjesëmarrjes së operatorit ekonomik dhe qëndrueshmërinë e angazhimeve të marra nëpërmjet ofertës.</w:t>
      </w:r>
    </w:p>
    <w:p w14:paraId="2717C91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Sigurimi i kontratës mbron autoritetin ose entin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nga rreziku i shkeljes së detyrimeve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Ofertuesi i përzgjedhur si fitues duhet të paraqesë një sigurim kontrate në masën 10 për qind të vlerës së saj. Sigurimi mund të paraqitet në formën e një depozite ose të një garancie të lëshuar nga një bankë apo shoqëri sigurimi e licencuar për ushtrimin e kësaj veprimtarie. Ky instrument krijon një garanci financiare për përmbushjen e rregullt të detyrimeve që rrjedhin nga kontrata.</w:t>
      </w:r>
    </w:p>
    <w:p w14:paraId="56893E0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47 në nenin 53. Ruhen në thelb detyrimi për kërkimin e sigurimit të ofertës dhe të kontratës, delegimi i përcaktimit të rasteve përkatëse në rregullat e prokurimit, rastet që mbulohen nga sigurimi i ofertës, masa prej 10 për qind e sigurimit të kontratës dhe format në të cilat ai mund të paraqitet.</w:t>
      </w:r>
    </w:p>
    <w:p w14:paraId="6A1E97B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e shtrin zbatimin e dispozitës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duke siguruar që të njëjtat garanci financiare të zbatohen nga të gjitha autoritetet dhe entet që zhvillojnë procedura prokurimi në fushën e mbrojtjes dhe të sigurisë.</w:t>
      </w:r>
    </w:p>
    <w:p w14:paraId="32AF589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53 përbën një rregullim kombëtar për garantimin e seriozitetit të ofertës dhe të përmbushjes së detyrimeve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0BE7790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54</w:t>
      </w:r>
      <w:r w:rsidRPr="00A94DB4">
        <w:rPr>
          <w:rFonts w:ascii="Times New Roman" w:hAnsi="Times New Roman" w:cs="Times New Roman"/>
          <w:sz w:val="24"/>
          <w:szCs w:val="24"/>
        </w:rPr>
        <w:t xml:space="preserve"> rregullon kushtet e veçanta që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përcaktojë për kryerjen e kontratës. Këto kushte duhet të lidhen me objektin e kontratës, të jenë në përputhje me legjislacionin në fuqi dhe të mos kenë karakter drejtpërdrejt ose tërthorazi diskriminues. Në këtë mënyrë,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i njihet mundësia për të përshtatur kërkesat e zbatimit me natyrën dhe veçoritë e kontratës, duke respektuar njëkohësisht parimet e barazisë dhe të </w:t>
      </w:r>
      <w:proofErr w:type="spellStart"/>
      <w:r w:rsidRPr="00A94DB4">
        <w:rPr>
          <w:rFonts w:ascii="Times New Roman" w:hAnsi="Times New Roman" w:cs="Times New Roman"/>
          <w:sz w:val="24"/>
          <w:szCs w:val="24"/>
        </w:rPr>
        <w:t>mosdiskriminimit</w:t>
      </w:r>
      <w:proofErr w:type="spellEnd"/>
      <w:r w:rsidRPr="00A94DB4">
        <w:rPr>
          <w:rFonts w:ascii="Times New Roman" w:hAnsi="Times New Roman" w:cs="Times New Roman"/>
          <w:sz w:val="24"/>
          <w:szCs w:val="24"/>
        </w:rPr>
        <w:t>.</w:t>
      </w:r>
    </w:p>
    <w:p w14:paraId="4A1A839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Kushtet e veçanta duhet të bëhen të njohura paraprakisht në njoftimin e kontratës, në dokumentet e kontratës, në dokumentet përshkruese ose në dokumentet mbështetëse. Ky detyrim siguron që operatorët ekonomikë të njihen që në fazën e përgatitjes së ofertës me kërkesat që do të zbatohen gjatë realizimit të kontratës dhe të marrin në konsideratë ndikimin e tyre teknik, organizativ dhe financiar.</w:t>
      </w:r>
    </w:p>
    <w:p w14:paraId="763627D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Kushtet e veçanta mund të lidhen, në veçanti, me </w:t>
      </w:r>
      <w:proofErr w:type="spellStart"/>
      <w:r w:rsidRPr="00A94DB4">
        <w:rPr>
          <w:rFonts w:ascii="Times New Roman" w:hAnsi="Times New Roman" w:cs="Times New Roman"/>
          <w:sz w:val="24"/>
          <w:szCs w:val="24"/>
        </w:rPr>
        <w:t>nënkontraktimin</w:t>
      </w:r>
      <w:proofErr w:type="spellEnd"/>
      <w:r w:rsidRPr="00A94DB4">
        <w:rPr>
          <w:rFonts w:ascii="Times New Roman" w:hAnsi="Times New Roman" w:cs="Times New Roman"/>
          <w:sz w:val="24"/>
          <w:szCs w:val="24"/>
        </w:rPr>
        <w:t xml:space="preserve"> ose të synojnë garantimin e sigurisë së informacionit të klasifikuar dhe të sigurisë së furnizimit. Për këto raste, dispozita u referohet rregullave të posaçme të projektligjit për mbrojtjen e informacionit të klasifikuar gjatë procedurës dhe zbatimit të kontratës, si dhe për kërkesat që lidhen me sigurinë dhe vazhdimësinë e furnizimit.</w:t>
      </w:r>
    </w:p>
    <w:p w14:paraId="16A35EF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përfshijë gjithashtu kushte që marrin në konsideratë aspekte mjedisore ose sociale. Këto kushte mund të përdoren për të siguruar që mënyra e zbatimit të kontratës të respektojë kërkesat përkatëse mjedisore, sociale dhe të punësimit, me kusht që të lidhen me objektin e kontratës dhe të jenë bërë të njohura paraprakisht në dokumentacionin përkatës.</w:t>
      </w:r>
    </w:p>
    <w:p w14:paraId="147EE6F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48 në nenin 54. Ligji në fuqi lejon përcaktimin e kushteve të veçanta të lidhura me objektin e kontratës dhe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kërkon publikimin e tyre në dokumentacionin e kontratës dhe i orienton këto kushte në mënyrë të posaçme drejt mbrojtjes së sigurisë së informacionit të klasifikuar.</w:t>
      </w:r>
    </w:p>
    <w:p w14:paraId="636EBB1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Projektligji e zhvillon këtë rregullim duke përcaktuar shprehimisht se kushtet duhet të jenë në përputhje me legjislacionin në fuqi dhe duke zgjeruar fushat që mund të mbulohen prej tyre. Përveç sigurisë së informacionit të klasifikuar, parashikohen </w:t>
      </w:r>
      <w:proofErr w:type="spellStart"/>
      <w:r w:rsidRPr="00A94DB4">
        <w:rPr>
          <w:rFonts w:ascii="Times New Roman" w:hAnsi="Times New Roman" w:cs="Times New Roman"/>
          <w:sz w:val="24"/>
          <w:szCs w:val="24"/>
        </w:rPr>
        <w:t>nënkontraktimi</w:t>
      </w:r>
      <w:proofErr w:type="spellEnd"/>
      <w:r w:rsidRPr="00A94DB4">
        <w:rPr>
          <w:rFonts w:ascii="Times New Roman" w:hAnsi="Times New Roman" w:cs="Times New Roman"/>
          <w:sz w:val="24"/>
          <w:szCs w:val="24"/>
        </w:rPr>
        <w:t xml:space="preserve">, siguria e furnizimit dhe aspektet mjedisore ose sociale. Rregullimi shtrihet gjithashtu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referencat e brendshme përshtaten me nenet 10, 58 dhe 59 të projektligjit.</w:t>
      </w:r>
    </w:p>
    <w:p w14:paraId="2A0D224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54 siguron përafrim të plotë me nenin 20 të Direktivës 2009/81/KE, të ndryshuar. Ai pasqyron të drejtën e autoriteteve 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për të përcaktuar kushte të veçanta për kryerjen e kontratës, detyrimin për përfshirjen e tyre në dokumentacionin e kontratës, si dhe mundësinë që këto kushte të lidhen me </w:t>
      </w:r>
      <w:proofErr w:type="spellStart"/>
      <w:r w:rsidRPr="00A94DB4">
        <w:rPr>
          <w:rFonts w:ascii="Times New Roman" w:hAnsi="Times New Roman" w:cs="Times New Roman"/>
          <w:sz w:val="24"/>
          <w:szCs w:val="24"/>
        </w:rPr>
        <w:t>nënkontraktimin</w:t>
      </w:r>
      <w:proofErr w:type="spellEnd"/>
      <w:r w:rsidRPr="00A94DB4">
        <w:rPr>
          <w:rFonts w:ascii="Times New Roman" w:hAnsi="Times New Roman" w:cs="Times New Roman"/>
          <w:sz w:val="24"/>
          <w:szCs w:val="24"/>
        </w:rPr>
        <w:t>, sigurinë e informacionit të klasifikuar, sigurinë e furnizimit dhe konsideratat mjedisore ose sociale.</w:t>
      </w:r>
    </w:p>
    <w:p w14:paraId="54E8AFF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55</w:t>
      </w:r>
      <w:r w:rsidRPr="00A94DB4">
        <w:rPr>
          <w:rFonts w:ascii="Times New Roman" w:hAnsi="Times New Roman" w:cs="Times New Roman"/>
          <w:sz w:val="24"/>
          <w:szCs w:val="24"/>
        </w:rPr>
        <w:t xml:space="preserve"> rregullon dhënien e informacionit për detyrimet që lidhen me taksat, mbrojtjen e mjedisit, mbrojtjen e punësimit dhe kushtet e punës, të cilat duhet të respektohen gjatë zbatimit të kontratës.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përcaktojë në dokumentet e kontratës organin ose organet pranë të cilave kandidatët dhe ofertuesit mund të marrin informacionin e nevojshëm për këto detyrime.</w:t>
      </w:r>
    </w:p>
    <w:p w14:paraId="7DB497E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Informacioni duhet të lidhet me rregullat në fuqi në shtetin, rajonin ose zonën ku do të kryhen punimet ose do të ofrohen shërbimet. Dispozita përfshin edhe rastet kur kontrata ekzekutohet në një shtet të tretë, duke u mundësuar operatorëve ekonomikë të njihen paraprakisht me detyrimet ligjore që do të zbatohen në vendin konkret të realizimit të kontratës.</w:t>
      </w:r>
    </w:p>
    <w:p w14:paraId="1435A4E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jep këtë informacion, ai u kërkon ofertuesve të deklarojnë se gjatë hartimit të ofertës kanë marrë parasysh detyrimet që lidhen me mbrojtjen e punësimit dhe kushtet e punës në vendin ku do të kryhen punimet ose do të ofrohen shërbimet. Ky parashikim synon që kostot dhe angazhimet që rrjedhin nga zbatimi i legjislacionit përkatës të përfshihen që në përgatitjen e ofertës dhe të mos cenohen gjatë zbatimit të kontratës.</w:t>
      </w:r>
    </w:p>
    <w:p w14:paraId="6904468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Deklarimi i ofertuesit nuk zëvendëson shqyrtimin e ofertës dhe nuk pengon zbatimin e rregullave për ofertat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të ulëta. Kur çmimi i ofertës krijon dyshime se detyrimet për mbrojtjen e punësimit ose kushtet e punës nuk janë marrë parasysh,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vijon me procedurën e sqarimit dhe të verifikimit të parashikuar në nenin 52 të projektligjit.</w:t>
      </w:r>
    </w:p>
    <w:p w14:paraId="64117DC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Në raport me ligjin nr. 36/2020, neni 55 përbën një rregullim të ri. Ligji në fuqi, pas dispozitës për kushtet e veçanta të kryerjes së kontratës, vijon me rregullat për mbrojtjen e sigurisë së informacionit të klasifikuar, pa parashikuar një dispozitë të posaçme për informimin mbi detyrimet që lidhen me taksat, mbrojtjen e mjedisit, mbrojtjen e punësimit dhe kushtet e punës. Projektligji e plotëson kuadrin ligjor duke sistemuar në një nen të veçantë dhënien e këtij informacioni dhe deklarimin përkatës të ofertuesve.</w:t>
      </w:r>
    </w:p>
    <w:p w14:paraId="0E124C7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55 siguron përafrim të plotë me nenin 24 të Direktivës 2009/81/KE, të ndryshuar. </w:t>
      </w:r>
    </w:p>
    <w:p w14:paraId="6F0CA55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56</w:t>
      </w:r>
      <w:r w:rsidRPr="00A94DB4">
        <w:rPr>
          <w:rFonts w:ascii="Times New Roman" w:hAnsi="Times New Roman" w:cs="Times New Roman"/>
          <w:sz w:val="24"/>
          <w:szCs w:val="24"/>
        </w:rPr>
        <w:t xml:space="preserve"> rregullon mbikëqyrjen e zbatimit të kontratës në fushën e mbrojtjes dhe të sigurisë.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përcaktojë kushte të veçanta për zbatimin e kontratës, </w:t>
      </w:r>
      <w:r w:rsidRPr="00A94DB4">
        <w:rPr>
          <w:rFonts w:ascii="Times New Roman" w:hAnsi="Times New Roman" w:cs="Times New Roman"/>
          <w:sz w:val="24"/>
          <w:szCs w:val="24"/>
        </w:rPr>
        <w:lastRenderedPageBreak/>
        <w:t xml:space="preserve">me kusht që ato të jenë të ligjshme, të përfshihen në njoftimin e kontratës ose në dokumentet e tenderit dhe të jenë në përputhje me specifikimet teknike dhe </w:t>
      </w:r>
      <w:proofErr w:type="spellStart"/>
      <w:r w:rsidRPr="00A94DB4">
        <w:rPr>
          <w:rFonts w:ascii="Times New Roman" w:hAnsi="Times New Roman" w:cs="Times New Roman"/>
          <w:sz w:val="24"/>
          <w:szCs w:val="24"/>
        </w:rPr>
        <w:t>operacionale</w:t>
      </w:r>
      <w:proofErr w:type="spellEnd"/>
      <w:r w:rsidRPr="00A94DB4">
        <w:rPr>
          <w:rFonts w:ascii="Times New Roman" w:hAnsi="Times New Roman" w:cs="Times New Roman"/>
          <w:sz w:val="24"/>
          <w:szCs w:val="24"/>
        </w:rPr>
        <w:t xml:space="preserve"> të projektit ose të kontratës. Kushtet e zbatimit duhet të kenë natyrë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dhe të lidhen me objektin e kontratës. </w:t>
      </w:r>
    </w:p>
    <w:p w14:paraId="5330875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Përcaktimi paraprak i këtyre kushteve u mundëson operatorëve ekonomikë të njohin, që në fazën e përgatitjes së ofertës, kërkesat që do të zbatohen gjatë realizimit të kontratës. Njëkohësisht, lidhja e tyre me objektin e kontratës dhe karakteri </w:t>
      </w:r>
      <w:proofErr w:type="spellStart"/>
      <w:r w:rsidRPr="00A94DB4">
        <w:rPr>
          <w:rFonts w:ascii="Times New Roman" w:hAnsi="Times New Roman" w:cs="Times New Roman"/>
          <w:sz w:val="24"/>
          <w:szCs w:val="24"/>
        </w:rPr>
        <w:t>jodiskriminues</w:t>
      </w:r>
      <w:proofErr w:type="spellEnd"/>
      <w:r w:rsidRPr="00A94DB4">
        <w:rPr>
          <w:rFonts w:ascii="Times New Roman" w:hAnsi="Times New Roman" w:cs="Times New Roman"/>
          <w:sz w:val="24"/>
          <w:szCs w:val="24"/>
        </w:rPr>
        <w:t xml:space="preserve"> garantojnë trajtimin e barabartë të operatorëve ekonomikë gjatë zbatimit të saj.</w:t>
      </w:r>
    </w:p>
    <w:p w14:paraId="07C6365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Gjatë zbatimit të kontratës,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dhe organet e tjera shtetërore të autorizuara me ligj mund të mbikëqyrin veprimtarinë e </w:t>
      </w:r>
      <w:proofErr w:type="spellStart"/>
      <w:r w:rsidRPr="00A94DB4">
        <w:rPr>
          <w:rFonts w:ascii="Times New Roman" w:hAnsi="Times New Roman" w:cs="Times New Roman"/>
          <w:sz w:val="24"/>
          <w:szCs w:val="24"/>
        </w:rPr>
        <w:t>kontraktorit</w:t>
      </w:r>
      <w:proofErr w:type="spellEnd"/>
      <w:r w:rsidRPr="00A94DB4">
        <w:rPr>
          <w:rFonts w:ascii="Times New Roman" w:hAnsi="Times New Roman" w:cs="Times New Roman"/>
          <w:sz w:val="24"/>
          <w:szCs w:val="24"/>
        </w:rPr>
        <w:t xml:space="preserve"> ose të </w:t>
      </w:r>
      <w:proofErr w:type="spellStart"/>
      <w:r w:rsidRPr="00A94DB4">
        <w:rPr>
          <w:rFonts w:ascii="Times New Roman" w:hAnsi="Times New Roman" w:cs="Times New Roman"/>
          <w:sz w:val="24"/>
          <w:szCs w:val="24"/>
        </w:rPr>
        <w:t>nënkontraktorit</w:t>
      </w:r>
      <w:proofErr w:type="spellEnd"/>
      <w:r w:rsidRPr="00A94DB4">
        <w:rPr>
          <w:rFonts w:ascii="Times New Roman" w:hAnsi="Times New Roman" w:cs="Times New Roman"/>
          <w:sz w:val="24"/>
          <w:szCs w:val="24"/>
        </w:rPr>
        <w:t xml:space="preserve">. Mbikëqyrja përfshin vendin e zbatimit, respektimin e afateve dhe cilësinë e punëve, mallrave ose shërbimeve dhe ushtrohet në përputhje me kushtet e kontratës, legjislacionin në fuqi dhe nivelin e klasifikimit të informacionit. </w:t>
      </w:r>
    </w:p>
    <w:p w14:paraId="5A1F272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Përmbushja e detyrimeve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mbikëqyrja e zbatimit të kontratës në tërësi i ngarkohen strukturës ose sektorit të krijuar pranë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këtë qëllim. Kjo strukturë vlerëson zbatimin e detyrimeve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sipas fazave të realizimit të kontratës dhe përgatit raportin përkatës për titullarin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duke pasqyruar ecurinë dhe nivelin e përmbushjes së detyrimeve.</w:t>
      </w:r>
    </w:p>
    <w:p w14:paraId="782DFFE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Gjatë zbatimit të kontratës, struktura përgjegjëse raporton edhe pranë autoriteteve kompetente për transferimet e mallrave dhe pajisjeve ushtarake dhe me përdorim të dyfishtë. Raportimi kryhet brenda pesë ditëve nga marrja e informacionit me shkrim nga përdoruesi përfundimtar ose nga strukturat vartëse. Ky detyrim siguron përcjelljen në kohë të informacionit tek autoritetet kompetente për kontrollin e transferimeve. </w:t>
      </w:r>
    </w:p>
    <w:p w14:paraId="17BFEB2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përfundim të kontratës, struktura ose sektori përgjegjës përgatit një raport përmbledhës për titullarin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mbi korrektësinë dhe cilësinë e zbatimit të saj. Një kopje e raportit i vihet në dispozicion edhe </w:t>
      </w:r>
      <w:proofErr w:type="spellStart"/>
      <w:r w:rsidRPr="00A94DB4">
        <w:rPr>
          <w:rFonts w:ascii="Times New Roman" w:hAnsi="Times New Roman" w:cs="Times New Roman"/>
          <w:sz w:val="24"/>
          <w:szCs w:val="24"/>
        </w:rPr>
        <w:t>kontraktorit</w:t>
      </w:r>
      <w:proofErr w:type="spellEnd"/>
      <w:r w:rsidRPr="00A94DB4">
        <w:rPr>
          <w:rFonts w:ascii="Times New Roman" w:hAnsi="Times New Roman" w:cs="Times New Roman"/>
          <w:sz w:val="24"/>
          <w:szCs w:val="24"/>
        </w:rPr>
        <w:t xml:space="preserve">, me kërkesën e tij. Raporti përfundimtar dokumenton mënyrën e realizimit të kontratës dhe përmbushjen e detyrimeve të marra përsipër nga </w:t>
      </w:r>
      <w:proofErr w:type="spellStart"/>
      <w:r w:rsidRPr="00A94DB4">
        <w:rPr>
          <w:rFonts w:ascii="Times New Roman" w:hAnsi="Times New Roman" w:cs="Times New Roman"/>
          <w:sz w:val="24"/>
          <w:szCs w:val="24"/>
        </w:rPr>
        <w:t>kontraktori</w:t>
      </w:r>
      <w:proofErr w:type="spellEnd"/>
      <w:r w:rsidRPr="00A94DB4">
        <w:rPr>
          <w:rFonts w:ascii="Times New Roman" w:hAnsi="Times New Roman" w:cs="Times New Roman"/>
          <w:sz w:val="24"/>
          <w:szCs w:val="24"/>
        </w:rPr>
        <w:t>.</w:t>
      </w:r>
    </w:p>
    <w:p w14:paraId="38AC4E7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kontrollin dhe testimin e mallrave,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blejë shërbime </w:t>
      </w:r>
      <w:proofErr w:type="spellStart"/>
      <w:r w:rsidRPr="00A94DB4">
        <w:rPr>
          <w:rFonts w:ascii="Times New Roman" w:hAnsi="Times New Roman" w:cs="Times New Roman"/>
          <w:sz w:val="24"/>
          <w:szCs w:val="24"/>
        </w:rPr>
        <w:t>konsulence</w:t>
      </w:r>
      <w:proofErr w:type="spellEnd"/>
      <w:r w:rsidRPr="00A94DB4">
        <w:rPr>
          <w:rFonts w:ascii="Times New Roman" w:hAnsi="Times New Roman" w:cs="Times New Roman"/>
          <w:sz w:val="24"/>
          <w:szCs w:val="24"/>
        </w:rPr>
        <w:t xml:space="preserve"> nga struktura të pavarura, me përvojë dhe të licencuara në fushën përkatëse. Ky parashikim mundëson përdorimin e ekspertizës së specializuar për verifikimin e cilësisë dhe të përputhshmërisë së mallrave me kërkesat teknike dhe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454C1B2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56 vijon përmbajtjen e nenit 51 të ligjit në fuqi, me titull “Kushtet për zbatimin e kontratës”. Në projektligj, dispozita emërtohet “Mbikëqyrja e zbatimit të kontratës”, duke pasqyruar më qartë përmbajtjen e saj, e cila lidhet me kontrollin, ndjekjen, raportimin dhe dokumentimin e përmbushjes së detyrimeve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w:t>
      </w:r>
    </w:p>
    <w:p w14:paraId="13B9954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Ruhen në thelb rregullat për përcaktimin e kushteve të zbatimit të kontratës, karakterin e tyre </w:t>
      </w:r>
      <w:proofErr w:type="spellStart"/>
      <w:r w:rsidRPr="00A94DB4">
        <w:rPr>
          <w:rFonts w:ascii="Times New Roman" w:hAnsi="Times New Roman" w:cs="Times New Roman"/>
          <w:sz w:val="24"/>
          <w:szCs w:val="24"/>
        </w:rPr>
        <w:t>jodiskriminues</w:t>
      </w:r>
      <w:proofErr w:type="spellEnd"/>
      <w:r w:rsidRPr="00A94DB4">
        <w:rPr>
          <w:rFonts w:ascii="Times New Roman" w:hAnsi="Times New Roman" w:cs="Times New Roman"/>
          <w:sz w:val="24"/>
          <w:szCs w:val="24"/>
        </w:rPr>
        <w:t xml:space="preserve">, mbikëqyrjen e </w:t>
      </w:r>
      <w:proofErr w:type="spellStart"/>
      <w:r w:rsidRPr="00A94DB4">
        <w:rPr>
          <w:rFonts w:ascii="Times New Roman" w:hAnsi="Times New Roman" w:cs="Times New Roman"/>
          <w:sz w:val="24"/>
          <w:szCs w:val="24"/>
        </w:rPr>
        <w:t>kontraktorit</w:t>
      </w:r>
      <w:proofErr w:type="spellEnd"/>
      <w:r w:rsidRPr="00A94DB4">
        <w:rPr>
          <w:rFonts w:ascii="Times New Roman" w:hAnsi="Times New Roman" w:cs="Times New Roman"/>
          <w:sz w:val="24"/>
          <w:szCs w:val="24"/>
        </w:rPr>
        <w:t xml:space="preserve"> dhe të </w:t>
      </w:r>
      <w:proofErr w:type="spellStart"/>
      <w:r w:rsidRPr="00A94DB4">
        <w:rPr>
          <w:rFonts w:ascii="Times New Roman" w:hAnsi="Times New Roman" w:cs="Times New Roman"/>
          <w:sz w:val="24"/>
          <w:szCs w:val="24"/>
        </w:rPr>
        <w:t>nënkontraktorit</w:t>
      </w:r>
      <w:proofErr w:type="spellEnd"/>
      <w:r w:rsidRPr="00A94DB4">
        <w:rPr>
          <w:rFonts w:ascii="Times New Roman" w:hAnsi="Times New Roman" w:cs="Times New Roman"/>
          <w:sz w:val="24"/>
          <w:szCs w:val="24"/>
        </w:rPr>
        <w:t xml:space="preserve">, kontrollin e vendit të zbatimit, afateve dhe cilësisë, përgjegjësitë e strukturës së posaçme, raportimin për transferimet e mallrave dhe pajisjeve ushtarake dhe me përdorim të dyfishtë, përgatitjen e raportit </w:t>
      </w:r>
      <w:r w:rsidRPr="00A94DB4">
        <w:rPr>
          <w:rFonts w:ascii="Times New Roman" w:hAnsi="Times New Roman" w:cs="Times New Roman"/>
          <w:sz w:val="24"/>
          <w:szCs w:val="24"/>
        </w:rPr>
        <w:lastRenderedPageBreak/>
        <w:t xml:space="preserve">përfundimtar dhe përdorimin e </w:t>
      </w:r>
      <w:proofErr w:type="spellStart"/>
      <w:r w:rsidRPr="00A94DB4">
        <w:rPr>
          <w:rFonts w:ascii="Times New Roman" w:hAnsi="Times New Roman" w:cs="Times New Roman"/>
          <w:sz w:val="24"/>
          <w:szCs w:val="24"/>
        </w:rPr>
        <w:t>konsulencës</w:t>
      </w:r>
      <w:proofErr w:type="spellEnd"/>
      <w:r w:rsidRPr="00A94DB4">
        <w:rPr>
          <w:rFonts w:ascii="Times New Roman" w:hAnsi="Times New Roman" w:cs="Times New Roman"/>
          <w:sz w:val="24"/>
          <w:szCs w:val="24"/>
        </w:rPr>
        <w:t xml:space="preserve"> së specializuar për kontrollin dhe testimin e mallrave. Projektligji e shtrin zbatimin e këtyre rregullave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përshtat terminologjinë përkatëse. </w:t>
      </w:r>
    </w:p>
    <w:p w14:paraId="51A0D24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pikat 1 dhe 2 të nenit 56 lidhen me nenin 20 të Direktivës 2009/81/KE, të ndryshuar, për sa i përket mundësisë së përcaktimit të kushteve të veçanta për zbatimin e kontratës, përfshirjes paraprake të tyre në njoftimin e kontratës ose në dokumentet e tenderit, lidhjes me objektin e kontratës dhe karakterit </w:t>
      </w:r>
      <w:proofErr w:type="spellStart"/>
      <w:r w:rsidRPr="00A94DB4">
        <w:rPr>
          <w:rFonts w:ascii="Times New Roman" w:hAnsi="Times New Roman" w:cs="Times New Roman"/>
          <w:sz w:val="24"/>
          <w:szCs w:val="24"/>
        </w:rPr>
        <w:t>jodiskriminues</w:t>
      </w:r>
      <w:proofErr w:type="spellEnd"/>
      <w:r w:rsidRPr="00A94DB4">
        <w:rPr>
          <w:rFonts w:ascii="Times New Roman" w:hAnsi="Times New Roman" w:cs="Times New Roman"/>
          <w:sz w:val="24"/>
          <w:szCs w:val="24"/>
        </w:rPr>
        <w:t>. Pikat 3 deri në 5 përbëjnë rregullim procedural kombëtar për organizimin e mbikëqyrjes, raportimin e zbatimit të kontratës dhe përdorimin e ekspertizës së specializuar për kontrollin dhe testimin e mallrave.</w:t>
      </w:r>
    </w:p>
    <w:p w14:paraId="21AF056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57</w:t>
      </w:r>
      <w:r w:rsidRPr="00A94DB4">
        <w:rPr>
          <w:rFonts w:ascii="Times New Roman" w:hAnsi="Times New Roman" w:cs="Times New Roman"/>
          <w:sz w:val="24"/>
          <w:szCs w:val="24"/>
        </w:rPr>
        <w:t xml:space="preserve"> rregullon mbrojtjen e sigurisë së informacionit të klasifikuar gjatë zbatimit të kontratës në fushën e mbrojtjes dhe të sigurisë. Dispozita përcakton detyrimet që duhet të respektohen nga palët gjatë gjithë periudhës së zbatimit të kontratës, si dhe pasojat që sjell </w:t>
      </w:r>
      <w:proofErr w:type="spellStart"/>
      <w:r w:rsidRPr="00A94DB4">
        <w:rPr>
          <w:rFonts w:ascii="Times New Roman" w:hAnsi="Times New Roman" w:cs="Times New Roman"/>
          <w:sz w:val="24"/>
          <w:szCs w:val="24"/>
        </w:rPr>
        <w:t>mospërmbushja</w:t>
      </w:r>
      <w:proofErr w:type="spellEnd"/>
      <w:r w:rsidRPr="00A94DB4">
        <w:rPr>
          <w:rFonts w:ascii="Times New Roman" w:hAnsi="Times New Roman" w:cs="Times New Roman"/>
          <w:sz w:val="24"/>
          <w:szCs w:val="24"/>
        </w:rPr>
        <w:t xml:space="preserve"> e kërkesave, standardeve dhe masave të sigurisë.</w:t>
      </w:r>
    </w:p>
    <w:p w14:paraId="526FB2B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Palët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janë të detyruara të zbatojnë tërësinë e masave për sigurinë e informacionit të klasifikuar, në përputhje me kërkesat e legjislacionit në fuqi. Ky detyrim shtrihet në të gjitha fazat e zbatimit të kontratës dhe synon të garantojë që informacioni i klasifikuar, tek i cili palët kanë </w:t>
      </w:r>
      <w:proofErr w:type="spellStart"/>
      <w:r w:rsidRPr="00A94DB4">
        <w:rPr>
          <w:rFonts w:ascii="Times New Roman" w:hAnsi="Times New Roman" w:cs="Times New Roman"/>
          <w:sz w:val="24"/>
          <w:szCs w:val="24"/>
        </w:rPr>
        <w:t>akses</w:t>
      </w:r>
      <w:proofErr w:type="spellEnd"/>
      <w:r w:rsidRPr="00A94DB4">
        <w:rPr>
          <w:rFonts w:ascii="Times New Roman" w:hAnsi="Times New Roman" w:cs="Times New Roman"/>
          <w:sz w:val="24"/>
          <w:szCs w:val="24"/>
        </w:rPr>
        <w:t xml:space="preserve"> ose të cilin e administrojnë gjatë realizimit të detyrimeve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të mbrohet sipas nivelit përkatës të klasifikimit. </w:t>
      </w:r>
    </w:p>
    <w:p w14:paraId="2228C079" w14:textId="77777777" w:rsidR="00B87429" w:rsidRPr="00A94DB4" w:rsidRDefault="00B87429" w:rsidP="00B87429">
      <w:pPr>
        <w:jc w:val="both"/>
        <w:rPr>
          <w:rFonts w:ascii="Times New Roman" w:hAnsi="Times New Roman" w:cs="Times New Roman"/>
          <w:sz w:val="24"/>
          <w:szCs w:val="24"/>
        </w:rPr>
      </w:pPr>
      <w:proofErr w:type="spellStart"/>
      <w:r w:rsidRPr="00A94DB4">
        <w:rPr>
          <w:rFonts w:ascii="Times New Roman" w:hAnsi="Times New Roman" w:cs="Times New Roman"/>
          <w:sz w:val="24"/>
          <w:szCs w:val="24"/>
        </w:rPr>
        <w:t>Mospërmbushja</w:t>
      </w:r>
      <w:proofErr w:type="spellEnd"/>
      <w:r w:rsidRPr="00A94DB4">
        <w:rPr>
          <w:rFonts w:ascii="Times New Roman" w:hAnsi="Times New Roman" w:cs="Times New Roman"/>
          <w:sz w:val="24"/>
          <w:szCs w:val="24"/>
        </w:rPr>
        <w:t xml:space="preserve"> nga </w:t>
      </w:r>
      <w:proofErr w:type="spellStart"/>
      <w:r w:rsidRPr="00A94DB4">
        <w:rPr>
          <w:rFonts w:ascii="Times New Roman" w:hAnsi="Times New Roman" w:cs="Times New Roman"/>
          <w:sz w:val="24"/>
          <w:szCs w:val="24"/>
        </w:rPr>
        <w:t>kontraktori</w:t>
      </w:r>
      <w:proofErr w:type="spellEnd"/>
      <w:r w:rsidRPr="00A94DB4">
        <w:rPr>
          <w:rFonts w:ascii="Times New Roman" w:hAnsi="Times New Roman" w:cs="Times New Roman"/>
          <w:sz w:val="24"/>
          <w:szCs w:val="24"/>
        </w:rPr>
        <w:t xml:space="preserve"> ose </w:t>
      </w:r>
      <w:proofErr w:type="spellStart"/>
      <w:r w:rsidRPr="00A94DB4">
        <w:rPr>
          <w:rFonts w:ascii="Times New Roman" w:hAnsi="Times New Roman" w:cs="Times New Roman"/>
          <w:sz w:val="24"/>
          <w:szCs w:val="24"/>
        </w:rPr>
        <w:t>nënkontraktori</w:t>
      </w:r>
      <w:proofErr w:type="spellEnd"/>
      <w:r w:rsidRPr="00A94DB4">
        <w:rPr>
          <w:rFonts w:ascii="Times New Roman" w:hAnsi="Times New Roman" w:cs="Times New Roman"/>
          <w:sz w:val="24"/>
          <w:szCs w:val="24"/>
        </w:rPr>
        <w:t xml:space="preserve"> e detyrimeve që lidhen me sigurinë e informacionit të klasifikuar përbën shkak për zgjidhjen e njëanshme dhe të menjëhershme të kontratës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Ky parashikim lidh vazhdimësinë e marrëdhënies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me respektimin e detyrimeve të sigurisë dhe i mundëson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të ndërpresë menjëherë kontratën kur cenohen kërkesat për mbrojtjen e informacionit të klasifikuar.</w:t>
      </w:r>
    </w:p>
    <w:p w14:paraId="106CA43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Të njëjtën pasojë sjell edhe </w:t>
      </w:r>
      <w:proofErr w:type="spellStart"/>
      <w:r w:rsidRPr="00A94DB4">
        <w:rPr>
          <w:rFonts w:ascii="Times New Roman" w:hAnsi="Times New Roman" w:cs="Times New Roman"/>
          <w:sz w:val="24"/>
          <w:szCs w:val="24"/>
        </w:rPr>
        <w:t>mospërmbushja</w:t>
      </w:r>
      <w:proofErr w:type="spellEnd"/>
      <w:r w:rsidRPr="00A94DB4">
        <w:rPr>
          <w:rFonts w:ascii="Times New Roman" w:hAnsi="Times New Roman" w:cs="Times New Roman"/>
          <w:sz w:val="24"/>
          <w:szCs w:val="24"/>
        </w:rPr>
        <w:t xml:space="preserve"> e standardeve dhe masave të sigurisë të përcaktuara paraprakisht në </w:t>
      </w:r>
      <w:proofErr w:type="spellStart"/>
      <w:r w:rsidRPr="00A94DB4">
        <w:rPr>
          <w:rFonts w:ascii="Times New Roman" w:hAnsi="Times New Roman" w:cs="Times New Roman"/>
          <w:sz w:val="24"/>
          <w:szCs w:val="24"/>
        </w:rPr>
        <w:t>dakordësi</w:t>
      </w:r>
      <w:proofErr w:type="spellEnd"/>
      <w:r w:rsidRPr="00A94DB4">
        <w:rPr>
          <w:rFonts w:ascii="Times New Roman" w:hAnsi="Times New Roman" w:cs="Times New Roman"/>
          <w:sz w:val="24"/>
          <w:szCs w:val="24"/>
        </w:rPr>
        <w:t xml:space="preserve"> me operatorët ekonomikë. Këto standarde dhe masa konkretizojnë kërkesat që duhet të respektohen gjatë zbatimit të kontratës dhe përbëjnë pjesë të detyrimeve të marra përsipër nga </w:t>
      </w:r>
      <w:proofErr w:type="spellStart"/>
      <w:r w:rsidRPr="00A94DB4">
        <w:rPr>
          <w:rFonts w:ascii="Times New Roman" w:hAnsi="Times New Roman" w:cs="Times New Roman"/>
          <w:sz w:val="24"/>
          <w:szCs w:val="24"/>
        </w:rPr>
        <w:t>kontraktori</w:t>
      </w:r>
      <w:proofErr w:type="spellEnd"/>
      <w:r w:rsidRPr="00A94DB4">
        <w:rPr>
          <w:rFonts w:ascii="Times New Roman" w:hAnsi="Times New Roman" w:cs="Times New Roman"/>
          <w:sz w:val="24"/>
          <w:szCs w:val="24"/>
        </w:rPr>
        <w:t xml:space="preserve">. Mosrespektimi i tyre i jep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të drejtën të zgjidhë kontratën në mënyrë të njëanshme dhe të menjëhershme. </w:t>
      </w:r>
    </w:p>
    <w:p w14:paraId="32E3DB8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rregullon në mënyrë të posaçme edhe rastin kur </w:t>
      </w:r>
      <w:proofErr w:type="spellStart"/>
      <w:r w:rsidRPr="00A94DB4">
        <w:rPr>
          <w:rFonts w:ascii="Times New Roman" w:hAnsi="Times New Roman" w:cs="Times New Roman"/>
          <w:sz w:val="24"/>
          <w:szCs w:val="24"/>
        </w:rPr>
        <w:t>kontraktorit</w:t>
      </w:r>
      <w:proofErr w:type="spellEnd"/>
      <w:r w:rsidRPr="00A94DB4">
        <w:rPr>
          <w:rFonts w:ascii="Times New Roman" w:hAnsi="Times New Roman" w:cs="Times New Roman"/>
          <w:sz w:val="24"/>
          <w:szCs w:val="24"/>
        </w:rPr>
        <w:t xml:space="preserve"> i hiqet CSI-ja nga autoriteti ose enti kompetent i sigurisë gjatë zbatimit të kontratës. Heqja e CSI-së sjell zgjidhjen e njëanshme dhe të menjëhershme të kontratës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pavarësisht fazës në të cilën ndodhet zbatimi i saj. Ky rregull siguron që kontrata që përmban informacion të klasifikuar të mos vijojë të zbatohet nga një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që nuk disponon më certifikimin e kërkuar të sigurisë.</w:t>
      </w:r>
    </w:p>
    <w:p w14:paraId="6A69507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Zgjidhja e njëanshme dhe e menjëhershme e kontratës zbatohet edhe kur </w:t>
      </w:r>
      <w:proofErr w:type="spellStart"/>
      <w:r w:rsidRPr="00A94DB4">
        <w:rPr>
          <w:rFonts w:ascii="Times New Roman" w:hAnsi="Times New Roman" w:cs="Times New Roman"/>
          <w:sz w:val="24"/>
          <w:szCs w:val="24"/>
        </w:rPr>
        <w:t>kontraktorit</w:t>
      </w:r>
      <w:proofErr w:type="spellEnd"/>
      <w:r w:rsidRPr="00A94DB4">
        <w:rPr>
          <w:rFonts w:ascii="Times New Roman" w:hAnsi="Times New Roman" w:cs="Times New Roman"/>
          <w:sz w:val="24"/>
          <w:szCs w:val="24"/>
        </w:rPr>
        <w:t xml:space="preserve"> i përfundon afati i vlefshmërisë së CSI-së dhe autoriteti kompetent i sigurisë nuk lëshon një CSI të re. Në këtë rast, mungesa e certifikimit të vlefshëm përbën pengesë për vazhdimin e zbatimit të kontratës që përmban informacion të klasifikuar, në çdo fazë të realizimit të saj. </w:t>
      </w:r>
    </w:p>
    <w:p w14:paraId="654196B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49 në nenin 57. Ruhen në thelb detyrimi i palëve për zbatimin e masave të sigurisë, zgjidhja e njëanshme dhe e menjëhershme e kontratës për </w:t>
      </w:r>
      <w:proofErr w:type="spellStart"/>
      <w:r w:rsidRPr="00A94DB4">
        <w:rPr>
          <w:rFonts w:ascii="Times New Roman" w:hAnsi="Times New Roman" w:cs="Times New Roman"/>
          <w:sz w:val="24"/>
          <w:szCs w:val="24"/>
        </w:rPr>
        <w:t>mospërmbushjen</w:t>
      </w:r>
      <w:proofErr w:type="spellEnd"/>
      <w:r w:rsidRPr="00A94DB4">
        <w:rPr>
          <w:rFonts w:ascii="Times New Roman" w:hAnsi="Times New Roman" w:cs="Times New Roman"/>
          <w:sz w:val="24"/>
          <w:szCs w:val="24"/>
        </w:rPr>
        <w:t xml:space="preserve"> e detyrimeve, standardeve dhe masave të sigurisë, si dhe rastet e heqjes, përfundimit të vlefshmërisë dhe </w:t>
      </w:r>
      <w:proofErr w:type="spellStart"/>
      <w:r w:rsidRPr="00A94DB4">
        <w:rPr>
          <w:rFonts w:ascii="Times New Roman" w:hAnsi="Times New Roman" w:cs="Times New Roman"/>
          <w:sz w:val="24"/>
          <w:szCs w:val="24"/>
        </w:rPr>
        <w:t>mosrinovimit</w:t>
      </w:r>
      <w:proofErr w:type="spellEnd"/>
      <w:r w:rsidRPr="00A94DB4">
        <w:rPr>
          <w:rFonts w:ascii="Times New Roman" w:hAnsi="Times New Roman" w:cs="Times New Roman"/>
          <w:sz w:val="24"/>
          <w:szCs w:val="24"/>
        </w:rPr>
        <w:t xml:space="preserve"> të CSI-së. </w:t>
      </w:r>
    </w:p>
    <w:p w14:paraId="203FB30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e shtrin zbatimin e dispozitës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përshtat terminologjinë duke iu referuar kontratës në fushën e mbrojtjes dhe të sigurisë që përmban informacion të klasifikuar. Në këtë mënyrë, pasojat e parashikuara zbatohen mbi bazën e përmbajtjes së informacionit të klasifikuar në kontratë dhe të detyrimeve të sigurisë që lidhen me të.</w:t>
      </w:r>
    </w:p>
    <w:p w14:paraId="46C34D5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pika 1 e nenit 57 lidhet me nenin 22 të Direktivës 2009/81/KE, të ndryshuar, për sa i përket detyrimit për ruajtjen dhe mbrojtjen e informacionit të klasifikuar gjatë zbatimit të kontratës dhe respektimit të këtij detyrimi nga </w:t>
      </w:r>
      <w:proofErr w:type="spellStart"/>
      <w:r w:rsidRPr="00A94DB4">
        <w:rPr>
          <w:rFonts w:ascii="Times New Roman" w:hAnsi="Times New Roman" w:cs="Times New Roman"/>
          <w:sz w:val="24"/>
          <w:szCs w:val="24"/>
        </w:rPr>
        <w:t>kontraktori</w:t>
      </w:r>
      <w:proofErr w:type="spellEnd"/>
      <w:r w:rsidRPr="00A94DB4">
        <w:rPr>
          <w:rFonts w:ascii="Times New Roman" w:hAnsi="Times New Roman" w:cs="Times New Roman"/>
          <w:sz w:val="24"/>
          <w:szCs w:val="24"/>
        </w:rPr>
        <w:t xml:space="preserve"> dhe </w:t>
      </w:r>
      <w:proofErr w:type="spellStart"/>
      <w:r w:rsidRPr="00A94DB4">
        <w:rPr>
          <w:rFonts w:ascii="Times New Roman" w:hAnsi="Times New Roman" w:cs="Times New Roman"/>
          <w:sz w:val="24"/>
          <w:szCs w:val="24"/>
        </w:rPr>
        <w:t>nënkontraktorët</w:t>
      </w:r>
      <w:proofErr w:type="spellEnd"/>
      <w:r w:rsidRPr="00A94DB4">
        <w:rPr>
          <w:rFonts w:ascii="Times New Roman" w:hAnsi="Times New Roman" w:cs="Times New Roman"/>
          <w:sz w:val="24"/>
          <w:szCs w:val="24"/>
        </w:rPr>
        <w:t xml:space="preserve">. Dispozita plotëson zbatimin gjatë fazës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të masave dhe angazhimeve për sigurinë e informacionit të klasifikuar të përcaktuara në nenin 10 të projektligjit. </w:t>
      </w:r>
    </w:p>
    <w:p w14:paraId="4D7AAE8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Pikat 2 deri në 5 përbëjnë rregullim procedural kombëtar për pasojat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të </w:t>
      </w:r>
      <w:proofErr w:type="spellStart"/>
      <w:r w:rsidRPr="00A94DB4">
        <w:rPr>
          <w:rFonts w:ascii="Times New Roman" w:hAnsi="Times New Roman" w:cs="Times New Roman"/>
          <w:sz w:val="24"/>
          <w:szCs w:val="24"/>
        </w:rPr>
        <w:t>mospërmbushjes</w:t>
      </w:r>
      <w:proofErr w:type="spellEnd"/>
      <w:r w:rsidRPr="00A94DB4">
        <w:rPr>
          <w:rFonts w:ascii="Times New Roman" w:hAnsi="Times New Roman" w:cs="Times New Roman"/>
          <w:sz w:val="24"/>
          <w:szCs w:val="24"/>
        </w:rPr>
        <w:t xml:space="preserve"> së kërkesave të sigurisë, </w:t>
      </w:r>
      <w:proofErr w:type="spellStart"/>
      <w:r w:rsidRPr="00A94DB4">
        <w:rPr>
          <w:rFonts w:ascii="Times New Roman" w:hAnsi="Times New Roman" w:cs="Times New Roman"/>
          <w:sz w:val="24"/>
          <w:szCs w:val="24"/>
        </w:rPr>
        <w:t>mospërmbushjes</w:t>
      </w:r>
      <w:proofErr w:type="spellEnd"/>
      <w:r w:rsidRPr="00A94DB4">
        <w:rPr>
          <w:rFonts w:ascii="Times New Roman" w:hAnsi="Times New Roman" w:cs="Times New Roman"/>
          <w:sz w:val="24"/>
          <w:szCs w:val="24"/>
        </w:rPr>
        <w:t xml:space="preserve"> së standardeve dhe masave të </w:t>
      </w:r>
      <w:proofErr w:type="spellStart"/>
      <w:r w:rsidRPr="00A94DB4">
        <w:rPr>
          <w:rFonts w:ascii="Times New Roman" w:hAnsi="Times New Roman" w:cs="Times New Roman"/>
          <w:sz w:val="24"/>
          <w:szCs w:val="24"/>
        </w:rPr>
        <w:t>dakordësuara</w:t>
      </w:r>
      <w:proofErr w:type="spellEnd"/>
      <w:r w:rsidRPr="00A94DB4">
        <w:rPr>
          <w:rFonts w:ascii="Times New Roman" w:hAnsi="Times New Roman" w:cs="Times New Roman"/>
          <w:sz w:val="24"/>
          <w:szCs w:val="24"/>
        </w:rPr>
        <w:t>, heqjes së CSI-së dhe përfundimit të vlefshmërisë së saj pa u rinovuar.</w:t>
      </w:r>
    </w:p>
    <w:p w14:paraId="7685C25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58</w:t>
      </w:r>
      <w:r w:rsidRPr="00A94DB4">
        <w:rPr>
          <w:rFonts w:ascii="Times New Roman" w:hAnsi="Times New Roman" w:cs="Times New Roman"/>
          <w:sz w:val="24"/>
          <w:szCs w:val="24"/>
        </w:rPr>
        <w:t xml:space="preserve"> rregullon kërkesat për sigurinë e furnizimit në procedurat e prokurimit në fushën e mbrojtjes dhe të sigurisë.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t’i përcaktojë këto kërkesa në njoftimin e kontratës, në dokumentet e kontratës, në dokumentet përshkruese ose në dokumentet mbështetëse. Përcaktimi paraprak i kërkesave u mundëson ofertuesve të njohin kushtet që duhet të plotësojnë për garantimin e furnizimit gjatë gjithë periudhës së zbatimit të kontratës.</w:t>
      </w:r>
    </w:p>
    <w:p w14:paraId="047E3D6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të kërkojë që oferta të përmbajë dokumentacion që provon në mënyrë të pranueshme aftësinë e ofertuesit për të përmbushur detyrimet që lidhen me eksportin, transferimin dhe </w:t>
      </w:r>
      <w:proofErr w:type="spellStart"/>
      <w:r w:rsidRPr="00A94DB4">
        <w:rPr>
          <w:rFonts w:ascii="Times New Roman" w:hAnsi="Times New Roman" w:cs="Times New Roman"/>
          <w:sz w:val="24"/>
          <w:szCs w:val="24"/>
        </w:rPr>
        <w:t>tranzitimin</w:t>
      </w:r>
      <w:proofErr w:type="spellEnd"/>
      <w:r w:rsidRPr="00A94DB4">
        <w:rPr>
          <w:rFonts w:ascii="Times New Roman" w:hAnsi="Times New Roman" w:cs="Times New Roman"/>
          <w:sz w:val="24"/>
          <w:szCs w:val="24"/>
        </w:rPr>
        <w:t xml:space="preserve"> e mallrave objekt kontrate. Oferta mund të përmbajë gjithashtu të dhëna për kufizimet që mund të ndikojnë në zbulimin, transferimin ose përdorimin e produkteve, shërbimeve ose rezultateve të tyre, si pasojë e kontrolleve të eksportit ose e masave të sigurisë.</w:t>
      </w:r>
    </w:p>
    <w:p w14:paraId="7A068D8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Dokumentacioni i kërkuar mund të lidhet edhe me organizimin dhe vendndodhjen e zinxhirit të furnizimit të operatorit ekonomik. Nëpërmjet tij duhet të provohet se zinxhiri i furnizimit mundëson respektimin e kërkesave të përcaktuara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dhe se ndryshimet që mund të ndodhin në këtë zinxhir gjatë zbatimit të kontratës nuk do të ndikojnë negativisht në përmbushjen e këtyre kërkesave.</w:t>
      </w:r>
    </w:p>
    <w:p w14:paraId="6870709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Ofertuesit mund t’i kërkohet të angazhohet për krijimin ose ruajtjen e kapaciteteve të nevojshme për përmbushjen e nevojave shtesë të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në rast krize. Për këtë qëllim, mund të kërkohen edhe dokumente mbështetëse të lëshuara nga autoritetet kombëtare të ofertuesit, të cilat lidhen me aftësinë për përmbushjen e këtyre nevojave sipas termave dhe kushteve të </w:t>
      </w:r>
      <w:proofErr w:type="spellStart"/>
      <w:r w:rsidRPr="00A94DB4">
        <w:rPr>
          <w:rFonts w:ascii="Times New Roman" w:hAnsi="Times New Roman" w:cs="Times New Roman"/>
          <w:sz w:val="24"/>
          <w:szCs w:val="24"/>
        </w:rPr>
        <w:t>dakordësuara</w:t>
      </w:r>
      <w:proofErr w:type="spellEnd"/>
      <w:r w:rsidRPr="00A94DB4">
        <w:rPr>
          <w:rFonts w:ascii="Times New Roman" w:hAnsi="Times New Roman" w:cs="Times New Roman"/>
          <w:sz w:val="24"/>
          <w:szCs w:val="24"/>
        </w:rPr>
        <w:t>.</w:t>
      </w:r>
    </w:p>
    <w:p w14:paraId="3C9B8D0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Kërkesat për sigurinë e furnizimit mund të përfshijnë edhe angazhimin e ofertuesit për kryerjen e mirëmbajtjes, modernizimit ose përshtatjes së furnizimeve të mbuluara nga kontrata. Ofertuesi mund të detyrohet gjithashtu të informojë në kohën e duhur autoritetin ose entin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çdo ndryshim në organizimin e tij, në zinxhirin e furnizimit ose në strategjinë industriale, kur këto ndryshime mund të ndikojnë në përmbushjen e detyrimeve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367ED07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parashikon edhe mundësinë që ofertuesi të angazhohet për t’i vënë në dispozicion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mjetet e posaçme të nevojshme për prodhimin e pjesëve të këmbimit, pjesëve përbërëse dhe pajisjeve të veçanta të testimit. Këto mjete mund të përfshijnë vizatimet teknike, skicimet, licencat dhe udhëzimet e përdorimit dhe synojnë të sigurojnë vazhdimësinë e furnizimit në rastin e parashikuar nga dispozita kur këto furnizime nuk mund të ofrohen.</w:t>
      </w:r>
    </w:p>
    <w:p w14:paraId="3A0F32A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vlerëson se ofertuesi nuk i përmbush kërkesat për sigurinë e furnizimit, ai mund të vendosë, sipas rastit, </w:t>
      </w:r>
      <w:proofErr w:type="spellStart"/>
      <w:r w:rsidRPr="00A94DB4">
        <w:rPr>
          <w:rFonts w:ascii="Times New Roman" w:hAnsi="Times New Roman" w:cs="Times New Roman"/>
          <w:sz w:val="24"/>
          <w:szCs w:val="24"/>
        </w:rPr>
        <w:t>skualifikimin</w:t>
      </w:r>
      <w:proofErr w:type="spellEnd"/>
      <w:r w:rsidRPr="00A94DB4">
        <w:rPr>
          <w:rFonts w:ascii="Times New Roman" w:hAnsi="Times New Roman" w:cs="Times New Roman"/>
          <w:sz w:val="24"/>
          <w:szCs w:val="24"/>
        </w:rPr>
        <w:t xml:space="preserve"> e ofertuesit nga procedura ose zgjidhjen e kontratës. Vendimi duhet të përmbajë arsyet mbi të cilat mbështetet, duke lidhur masën e marrë me kërkesat konkrete të sigurisë së furnizimit që nuk janë përmbushur.</w:t>
      </w:r>
    </w:p>
    <w:p w14:paraId="7417F67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Ofertuesit nuk mund t’i kërkohet të sigurojë një angazhim nga një shtet, kur një angazhim i tillë do të cenonte lirinë e atij shteti për të zbatuar kriteret e veta kombëtare për licencimin e eksportit, transferimit ose </w:t>
      </w:r>
      <w:proofErr w:type="spellStart"/>
      <w:r w:rsidRPr="00A94DB4">
        <w:rPr>
          <w:rFonts w:ascii="Times New Roman" w:hAnsi="Times New Roman" w:cs="Times New Roman"/>
          <w:sz w:val="24"/>
          <w:szCs w:val="24"/>
        </w:rPr>
        <w:t>tranzitit</w:t>
      </w:r>
      <w:proofErr w:type="spellEnd"/>
      <w:r w:rsidRPr="00A94DB4">
        <w:rPr>
          <w:rFonts w:ascii="Times New Roman" w:hAnsi="Times New Roman" w:cs="Times New Roman"/>
          <w:sz w:val="24"/>
          <w:szCs w:val="24"/>
        </w:rPr>
        <w:t>. Zbatimi i këtij rregulli lidhet me të drejtën ndërkombëtare ose të Bashkimit Evropian, sipas rastit, dhe me rrethanat që ekzistojnë në momentin e marrjes së vendimit për licencim.</w:t>
      </w:r>
    </w:p>
    <w:p w14:paraId="5656B7A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50 në nenin 58. Ruhen kërkesat që lidhen me eksportin, transferimin dhe </w:t>
      </w:r>
      <w:proofErr w:type="spellStart"/>
      <w:r w:rsidRPr="00A94DB4">
        <w:rPr>
          <w:rFonts w:ascii="Times New Roman" w:hAnsi="Times New Roman" w:cs="Times New Roman"/>
          <w:sz w:val="24"/>
          <w:szCs w:val="24"/>
        </w:rPr>
        <w:t>tranzitimin</w:t>
      </w:r>
      <w:proofErr w:type="spellEnd"/>
      <w:r w:rsidRPr="00A94DB4">
        <w:rPr>
          <w:rFonts w:ascii="Times New Roman" w:hAnsi="Times New Roman" w:cs="Times New Roman"/>
          <w:sz w:val="24"/>
          <w:szCs w:val="24"/>
        </w:rPr>
        <w:t xml:space="preserve"> e mallrave, kufizimet që rrjedhin nga kontrolli i eksportit ose masat e sigurisë, organizimin e zinxhirit të furnizimit, përmbushjen e nevojave shtesë në rast krize, mirëmbajtjen dhe modernizimin e furnizimeve, detyrimin për informim dhe sigurimin e mjeteve të nevojshme për prodhimin e pjesëve të këmbimit dhe pajisjeve të testimit. Ruhet gjithashtu mundësia e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xml:space="preserve"> ose e zgjidhjes së kontratës kur kërkesat për sigurinë e furnizimit nuk përmbushen.</w:t>
      </w:r>
    </w:p>
    <w:p w14:paraId="57D050B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e zhvillon rregullimin duke e përcaktuar si detyrim vendosjen e kërkesave për sigurinë e furnizimit në dokumentacionin e kontratës, ndërsa ligji nr. 36/2020 e parashikon këtë si mundësi të autoritetit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Shtohet rregulli për mbrojtjen e lirisë së shteteve në zbatimin e kritereve kombëtare për licencimin e eksportit, transferimit dhe </w:t>
      </w:r>
      <w:proofErr w:type="spellStart"/>
      <w:r w:rsidRPr="00A94DB4">
        <w:rPr>
          <w:rFonts w:ascii="Times New Roman" w:hAnsi="Times New Roman" w:cs="Times New Roman"/>
          <w:sz w:val="24"/>
          <w:szCs w:val="24"/>
        </w:rPr>
        <w:t>tranzitit</w:t>
      </w:r>
      <w:proofErr w:type="spellEnd"/>
      <w:r w:rsidRPr="00A94DB4">
        <w:rPr>
          <w:rFonts w:ascii="Times New Roman" w:hAnsi="Times New Roman" w:cs="Times New Roman"/>
          <w:sz w:val="24"/>
          <w:szCs w:val="24"/>
        </w:rPr>
        <w:t xml:space="preserve">. Rregullimi shtrihet gjithashtu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6DB56E8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58 siguron përafrim të plotë me nenin 23 të Direktivës 2009/81/KE, të ndryshuar. </w:t>
      </w:r>
    </w:p>
    <w:p w14:paraId="645DCFB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59</w:t>
      </w:r>
      <w:r w:rsidRPr="00A94DB4">
        <w:rPr>
          <w:rFonts w:ascii="Times New Roman" w:hAnsi="Times New Roman" w:cs="Times New Roman"/>
          <w:sz w:val="24"/>
          <w:szCs w:val="24"/>
        </w:rPr>
        <w:t xml:space="preserve"> rregullon </w:t>
      </w:r>
      <w:proofErr w:type="spellStart"/>
      <w:r w:rsidRPr="00A94DB4">
        <w:rPr>
          <w:rFonts w:ascii="Times New Roman" w:hAnsi="Times New Roman" w:cs="Times New Roman"/>
          <w:sz w:val="24"/>
          <w:szCs w:val="24"/>
        </w:rPr>
        <w:t>nënkontraktimin</w:t>
      </w:r>
      <w:proofErr w:type="spellEnd"/>
      <w:r w:rsidRPr="00A94DB4">
        <w:rPr>
          <w:rFonts w:ascii="Times New Roman" w:hAnsi="Times New Roman" w:cs="Times New Roman"/>
          <w:sz w:val="24"/>
          <w:szCs w:val="24"/>
        </w:rPr>
        <w:t xml:space="preserve"> në kontratat në fushën e mbrojtjes dhe të sigurisë. Ofertuesi fitues është i lirë të zgjedhë </w:t>
      </w:r>
      <w:proofErr w:type="spellStart"/>
      <w:r w:rsidRPr="00A94DB4">
        <w:rPr>
          <w:rFonts w:ascii="Times New Roman" w:hAnsi="Times New Roman" w:cs="Times New Roman"/>
          <w:sz w:val="24"/>
          <w:szCs w:val="24"/>
        </w:rPr>
        <w:t>nënkontraktorët</w:t>
      </w:r>
      <w:proofErr w:type="spellEnd"/>
      <w:r w:rsidRPr="00A94DB4">
        <w:rPr>
          <w:rFonts w:ascii="Times New Roman" w:hAnsi="Times New Roman" w:cs="Times New Roman"/>
          <w:sz w:val="24"/>
          <w:szCs w:val="24"/>
        </w:rPr>
        <w:t xml:space="preserve"> për nënkontratat që nuk përfshihen në kërkesën e detyrueshme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 xml:space="preserve"> të vendosur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Në ushtrimin e kësaj të drejte respektohen rregullat për miratimin e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dhe ndalimi i diskriminimit të tyre për shkak të kombësisë.</w:t>
      </w:r>
    </w:p>
    <w:p w14:paraId="7DF5780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përcakton në njoftimin e kontratës ose në dokumentet e tenderit detyrimin që ofertuesit të tregojnë në ofertë pjesën e kontratës, të shprehur në përqindje, që synojnë t’ua nënkontraktojnë palëve të treta. Krahas kësaj, ofertuesit duhet të identifikojnë </w:t>
      </w:r>
      <w:proofErr w:type="spellStart"/>
      <w:r w:rsidRPr="00A94DB4">
        <w:rPr>
          <w:rFonts w:ascii="Times New Roman" w:hAnsi="Times New Roman" w:cs="Times New Roman"/>
          <w:sz w:val="24"/>
          <w:szCs w:val="24"/>
        </w:rPr>
        <w:t>nënkontraktorët</w:t>
      </w:r>
      <w:proofErr w:type="spellEnd"/>
      <w:r w:rsidRPr="00A94DB4">
        <w:rPr>
          <w:rFonts w:ascii="Times New Roman" w:hAnsi="Times New Roman" w:cs="Times New Roman"/>
          <w:sz w:val="24"/>
          <w:szCs w:val="24"/>
        </w:rPr>
        <w:t xml:space="preserve"> e propozuar dhe objektin e nënkontratave për të cilat ata propozohen.</w:t>
      </w:r>
    </w:p>
    <w:p w14:paraId="4D0A0C9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vendos detyrimin që një pjesë e kontratës të nënkontraktohet, përqindja minimale e kërkuar shprehet në formën e një intervali që përmban një përqindje minimale dhe një përqindje maksimale. Kufiri maksimal i intervalit nuk mund të tejkalojë 30 për qind të vlerës së kontratës. Intervali duhet të jetë proporcional me objektin dhe vlerën e kontratës, si dhe me natyrën e sektorit industrial përkatës, duke marrë në konsideratë nivelin e konkurrencës në treg dhe kapacitetet teknike të bazës industriale.</w:t>
      </w:r>
    </w:p>
    <w:p w14:paraId="1590EBB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Çdo përqindje </w:t>
      </w:r>
      <w:proofErr w:type="spellStart"/>
      <w:r w:rsidRPr="00A94DB4">
        <w:rPr>
          <w:rFonts w:ascii="Times New Roman" w:hAnsi="Times New Roman" w:cs="Times New Roman"/>
          <w:sz w:val="24"/>
          <w:szCs w:val="24"/>
        </w:rPr>
        <w:t>nënkontraktimi</w:t>
      </w:r>
      <w:proofErr w:type="spellEnd"/>
      <w:r w:rsidRPr="00A94DB4">
        <w:rPr>
          <w:rFonts w:ascii="Times New Roman" w:hAnsi="Times New Roman" w:cs="Times New Roman"/>
          <w:sz w:val="24"/>
          <w:szCs w:val="24"/>
        </w:rPr>
        <w:t xml:space="preserve"> që përfshihet brenda intervalit të përcaktuar konsiderohet se përmbush kërkesën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Ofertuesi mund të propozojë </w:t>
      </w:r>
      <w:proofErr w:type="spellStart"/>
      <w:r w:rsidRPr="00A94DB4">
        <w:rPr>
          <w:rFonts w:ascii="Times New Roman" w:hAnsi="Times New Roman" w:cs="Times New Roman"/>
          <w:sz w:val="24"/>
          <w:szCs w:val="24"/>
        </w:rPr>
        <w:t>nënkontraktimin</w:t>
      </w:r>
      <w:proofErr w:type="spellEnd"/>
      <w:r w:rsidRPr="00A94DB4">
        <w:rPr>
          <w:rFonts w:ascii="Times New Roman" w:hAnsi="Times New Roman" w:cs="Times New Roman"/>
          <w:sz w:val="24"/>
          <w:szCs w:val="24"/>
        </w:rPr>
        <w:t xml:space="preserve"> e një pjese të vlerës së përgjithshme të kontratës që tejkalon intervalin e kërkuar. Ofertuesi fitues duhet të lidhë nënkontrata që korrespondojnë me përqindjen që i është kërkuar të nënkontraktojë, në përputhje me dispozitat e kreut për </w:t>
      </w:r>
      <w:proofErr w:type="spellStart"/>
      <w:r w:rsidRPr="00A94DB4">
        <w:rPr>
          <w:rFonts w:ascii="Times New Roman" w:hAnsi="Times New Roman" w:cs="Times New Roman"/>
          <w:sz w:val="24"/>
          <w:szCs w:val="24"/>
        </w:rPr>
        <w:t>nënkontraktimin</w:t>
      </w:r>
      <w:proofErr w:type="spellEnd"/>
      <w:r w:rsidRPr="00A94DB4">
        <w:rPr>
          <w:rFonts w:ascii="Times New Roman" w:hAnsi="Times New Roman" w:cs="Times New Roman"/>
          <w:sz w:val="24"/>
          <w:szCs w:val="24"/>
        </w:rPr>
        <w:t>.</w:t>
      </w:r>
    </w:p>
    <w:p w14:paraId="73AFD1E6" w14:textId="77777777" w:rsidR="00B87429" w:rsidRPr="00A94DB4" w:rsidRDefault="00B87429" w:rsidP="00B87429">
      <w:pPr>
        <w:jc w:val="both"/>
        <w:rPr>
          <w:rFonts w:ascii="Times New Roman" w:hAnsi="Times New Roman" w:cs="Times New Roman"/>
          <w:sz w:val="24"/>
          <w:szCs w:val="24"/>
        </w:rPr>
      </w:pPr>
      <w:proofErr w:type="spellStart"/>
      <w:r w:rsidRPr="00A94DB4">
        <w:rPr>
          <w:rFonts w:ascii="Times New Roman" w:hAnsi="Times New Roman" w:cs="Times New Roman"/>
          <w:sz w:val="24"/>
          <w:szCs w:val="24"/>
        </w:rPr>
        <w:t>Nënkontraktorët</w:t>
      </w:r>
      <w:proofErr w:type="spellEnd"/>
      <w:r w:rsidRPr="00A94DB4">
        <w:rPr>
          <w:rFonts w:ascii="Times New Roman" w:hAnsi="Times New Roman" w:cs="Times New Roman"/>
          <w:sz w:val="24"/>
          <w:szCs w:val="24"/>
        </w:rPr>
        <w:t xml:space="preserve"> e propozuar miratohen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përpara lidhjes së nënkontratës me ofertuesin fitues.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refuzon miratimin e një </w:t>
      </w:r>
      <w:proofErr w:type="spellStart"/>
      <w:r w:rsidRPr="00A94DB4">
        <w:rPr>
          <w:rFonts w:ascii="Times New Roman" w:hAnsi="Times New Roman" w:cs="Times New Roman"/>
          <w:sz w:val="24"/>
          <w:szCs w:val="24"/>
        </w:rPr>
        <w:t>nënkontraktori</w:t>
      </w:r>
      <w:proofErr w:type="spellEnd"/>
      <w:r w:rsidRPr="00A94DB4">
        <w:rPr>
          <w:rFonts w:ascii="Times New Roman" w:hAnsi="Times New Roman" w:cs="Times New Roman"/>
          <w:sz w:val="24"/>
          <w:szCs w:val="24"/>
        </w:rPr>
        <w:t xml:space="preserve">, vendimi mbështetet vetëm në kriteret e zbatuara për përzgjedhjen e ofertuesve për kontratën kryesore. Në këtë mënyrë, vlerësimi i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kryhet mbi bazën e kritereve objektive të përdorura në procedurën kryesore të prokurimit.</w:t>
      </w:r>
    </w:p>
    <w:p w14:paraId="3B145F83" w14:textId="77777777" w:rsidR="00B87429" w:rsidRPr="00A94DB4" w:rsidRDefault="00B87429" w:rsidP="00B87429">
      <w:pPr>
        <w:jc w:val="both"/>
        <w:rPr>
          <w:rFonts w:ascii="Times New Roman" w:hAnsi="Times New Roman" w:cs="Times New Roman"/>
          <w:sz w:val="24"/>
          <w:szCs w:val="24"/>
        </w:rPr>
      </w:pPr>
      <w:proofErr w:type="spellStart"/>
      <w:r w:rsidRPr="00A94DB4">
        <w:rPr>
          <w:rFonts w:ascii="Times New Roman" w:hAnsi="Times New Roman" w:cs="Times New Roman"/>
          <w:sz w:val="24"/>
          <w:szCs w:val="24"/>
        </w:rPr>
        <w:t>Nënkontraktimi</w:t>
      </w:r>
      <w:proofErr w:type="spellEnd"/>
      <w:r w:rsidRPr="00A94DB4">
        <w:rPr>
          <w:rFonts w:ascii="Times New Roman" w:hAnsi="Times New Roman" w:cs="Times New Roman"/>
          <w:sz w:val="24"/>
          <w:szCs w:val="24"/>
        </w:rPr>
        <w:t xml:space="preserve"> nuk prek përgjegjësinë e operatorit ekonomik kryesor ndaj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w:t>
      </w:r>
      <w:proofErr w:type="spellStart"/>
      <w:r w:rsidRPr="00A94DB4">
        <w:rPr>
          <w:rFonts w:ascii="Times New Roman" w:hAnsi="Times New Roman" w:cs="Times New Roman"/>
          <w:sz w:val="24"/>
          <w:szCs w:val="24"/>
        </w:rPr>
        <w:t>Nënkontraktorët</w:t>
      </w:r>
      <w:proofErr w:type="spellEnd"/>
      <w:r w:rsidRPr="00A94DB4">
        <w:rPr>
          <w:rFonts w:ascii="Times New Roman" w:hAnsi="Times New Roman" w:cs="Times New Roman"/>
          <w:sz w:val="24"/>
          <w:szCs w:val="24"/>
        </w:rPr>
        <w:t xml:space="preserve"> mbeten palë të treta në raport me marrëdhënien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ndërmjet operatorit ekonomik fitues dhe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rrjedhojë, operatori ekonomik kryesor vazhdon të jetë përgjegjës për zbatimin e të gjithë kontratës, pavarësisht se një pjesë e saj realizohet nga </w:t>
      </w:r>
      <w:proofErr w:type="spellStart"/>
      <w:r w:rsidRPr="00A94DB4">
        <w:rPr>
          <w:rFonts w:ascii="Times New Roman" w:hAnsi="Times New Roman" w:cs="Times New Roman"/>
          <w:sz w:val="24"/>
          <w:szCs w:val="24"/>
        </w:rPr>
        <w:t>nënkontraktorët</w:t>
      </w:r>
      <w:proofErr w:type="spellEnd"/>
      <w:r w:rsidRPr="00A94DB4">
        <w:rPr>
          <w:rFonts w:ascii="Times New Roman" w:hAnsi="Times New Roman" w:cs="Times New Roman"/>
          <w:sz w:val="24"/>
          <w:szCs w:val="24"/>
        </w:rPr>
        <w:t>.</w:t>
      </w:r>
    </w:p>
    <w:p w14:paraId="17A1014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52 në nenin 59. Projektligji zhvillon mënyrën e përcaktimit të pjesës së detyrueshme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 duke parashikuar një interval me përqindje minimale dhe maksimale, në vend të përcaktimit të një përqindjeje të vetme. Përcaktimi i intervalit lidhet me objektin dhe vlerën e kontratës, natyrën e sektorit industrial, nivelin e konkurrencës dhe kapacitetet teknike të bazës industriale.</w:t>
      </w:r>
    </w:p>
    <w:p w14:paraId="16BACEB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Shtohen gjithashtu e drejta e ofertuesit për të propozuar një përqindje </w:t>
      </w:r>
      <w:proofErr w:type="spellStart"/>
      <w:r w:rsidRPr="00A94DB4">
        <w:rPr>
          <w:rFonts w:ascii="Times New Roman" w:hAnsi="Times New Roman" w:cs="Times New Roman"/>
          <w:sz w:val="24"/>
          <w:szCs w:val="24"/>
        </w:rPr>
        <w:t>nënkontraktimi</w:t>
      </w:r>
      <w:proofErr w:type="spellEnd"/>
      <w:r w:rsidRPr="00A94DB4">
        <w:rPr>
          <w:rFonts w:ascii="Times New Roman" w:hAnsi="Times New Roman" w:cs="Times New Roman"/>
          <w:sz w:val="24"/>
          <w:szCs w:val="24"/>
        </w:rPr>
        <w:t xml:space="preserve"> mbi intervalin e kërkuar, detyrimi i ofertuesit fitues për të lidhur nënkontratat që korrespondojnë me përqindjen e vendosur dhe rregulli që refuzimi i një </w:t>
      </w:r>
      <w:proofErr w:type="spellStart"/>
      <w:r w:rsidRPr="00A94DB4">
        <w:rPr>
          <w:rFonts w:ascii="Times New Roman" w:hAnsi="Times New Roman" w:cs="Times New Roman"/>
          <w:sz w:val="24"/>
          <w:szCs w:val="24"/>
        </w:rPr>
        <w:t>nënkontraktori</w:t>
      </w:r>
      <w:proofErr w:type="spellEnd"/>
      <w:r w:rsidRPr="00A94DB4">
        <w:rPr>
          <w:rFonts w:ascii="Times New Roman" w:hAnsi="Times New Roman" w:cs="Times New Roman"/>
          <w:sz w:val="24"/>
          <w:szCs w:val="24"/>
        </w:rPr>
        <w:t xml:space="preserve"> të mbështetet vetëm në kriteret e përdorura për përzgjedhjen e ofertuesve për kontratën kryesore.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17993F1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59 lidhet me nenin 21 të Direktivës 2009/81/KE, të ndryshuar, për lirinë e zgjedhjes së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ndalimin e diskriminimit për shkak të kombësisë, deklarimin e pjesës që synohet të nënkontraktohet, vendosjen e një intervali të detyrueshëm </w:t>
      </w:r>
      <w:proofErr w:type="spellStart"/>
      <w:r w:rsidRPr="00A94DB4">
        <w:rPr>
          <w:rFonts w:ascii="Times New Roman" w:hAnsi="Times New Roman" w:cs="Times New Roman"/>
          <w:sz w:val="24"/>
          <w:szCs w:val="24"/>
        </w:rPr>
        <w:t>nënkontraktimi</w:t>
      </w:r>
      <w:proofErr w:type="spellEnd"/>
      <w:r w:rsidRPr="00A94DB4">
        <w:rPr>
          <w:rFonts w:ascii="Times New Roman" w:hAnsi="Times New Roman" w:cs="Times New Roman"/>
          <w:sz w:val="24"/>
          <w:szCs w:val="24"/>
        </w:rPr>
        <w:t xml:space="preserve"> me kufi maksimal 30 për qind, vlerësimin e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sipas kritereve të kontratës kryesore dhe ruajtjen e përgjegjësisë së operatorit ekonomik kryesor për zbatimin e kontratës.</w:t>
      </w:r>
    </w:p>
    <w:p w14:paraId="6D160B7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lastRenderedPageBreak/>
        <w:t>Neni 60</w:t>
      </w:r>
      <w:r w:rsidRPr="00A94DB4">
        <w:rPr>
          <w:rFonts w:ascii="Times New Roman" w:hAnsi="Times New Roman" w:cs="Times New Roman"/>
          <w:sz w:val="24"/>
          <w:szCs w:val="24"/>
        </w:rPr>
        <w:t xml:space="preserve"> përcakton rregullat që zbatohen kur ofertuesi fitues nuk është autoritet ose ent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dhe u jep nënkontrata palëve të treta. Në këto raste, ofertuesi fitues duhet të zbatojë dispozitat e neneve 61 deri në 63 të projektligjit, të cilat rregullojnë parimet e dhënies së nënkontratave, pragjet monetare dhe publikimin, si dhe kriteret për përzgjedhjen cilësore të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w:t>
      </w:r>
    </w:p>
    <w:p w14:paraId="01C2408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zbatimin e këtyre rregullave, nuk konsiderohen palë të treta bashkimet e operatorëve ekonomikë të krijuara për marrjen e kontratës dhe ndërmarrjet e lidhura me to. Ky përcaktim dallon subjektet që janë pjesë e organizimit ekonomik të ofertuesit fitues nga operatorët e tjerë ekonomikë, të cilëve mund t’u jepen nënkontrata sipas procedurave të posaçme të këtij kreu.</w:t>
      </w:r>
    </w:p>
    <w:p w14:paraId="1432375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Ofertuesi fitues duhet të përfshijë në ofertë listën e plotë të bashkimeve të operatorëve ekonomikë dhe të ndërmarrjeve të lidhura që nuk konsiderohen palë të treta. Lista duhet të përditësohet sa herë ndryshojnë marrëdhëniet ndërmjet këtyre ndërmarrjeve, duke siguruar identifikimin e vazhdueshëm të subjekteve që përfshihen në këtë kategori.</w:t>
      </w:r>
    </w:p>
    <w:p w14:paraId="6582A6B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60 përbën një rregullim të ri. Ligji në fuqi parashikon në nenin 52 vetëm rregullat e përgjithshme për </w:t>
      </w:r>
      <w:proofErr w:type="spellStart"/>
      <w:r w:rsidRPr="00A94DB4">
        <w:rPr>
          <w:rFonts w:ascii="Times New Roman" w:hAnsi="Times New Roman" w:cs="Times New Roman"/>
          <w:sz w:val="24"/>
          <w:szCs w:val="24"/>
        </w:rPr>
        <w:t>nënkontraktimin</w:t>
      </w:r>
      <w:proofErr w:type="spellEnd"/>
      <w:r w:rsidRPr="00A94DB4">
        <w:rPr>
          <w:rFonts w:ascii="Times New Roman" w:hAnsi="Times New Roman" w:cs="Times New Roman"/>
          <w:sz w:val="24"/>
          <w:szCs w:val="24"/>
        </w:rPr>
        <w:t xml:space="preserve"> dhe nuk përmban një regjim të posaçëm për dhënien e nënkontratave nga ofertuesit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Projektligji krijon këtë regjim të posaçëm dhe e lidh zbatimin e tij me rregullat e detajuara të neneve 61 deri në 63.</w:t>
      </w:r>
    </w:p>
    <w:p w14:paraId="60432A6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60 siguron përafrim të plotë me nenin 50 të Direktivës 2009/81/KE, të ndryshuar. Përafrimi lidhet me detyrimin e ofertuesve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për të zbatuar rregullat e posaçme gjatë dhënies së nënkontratave palëve të treta, me përjashtimin nga koncepti i palës së tretë të bashkimeve të krijuara për marrjen e kontratës dhe ndërmarrjeve të lidhura me to, si dhe me paraqitjen dhe përditësimin e listës së plotë të këtyre ndërmarrjeve.</w:t>
      </w:r>
    </w:p>
    <w:p w14:paraId="0BBE7C6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61</w:t>
      </w:r>
      <w:r w:rsidRPr="00A94DB4">
        <w:rPr>
          <w:rFonts w:ascii="Times New Roman" w:hAnsi="Times New Roman" w:cs="Times New Roman"/>
          <w:sz w:val="24"/>
          <w:szCs w:val="24"/>
        </w:rPr>
        <w:t xml:space="preserve"> përcakton parimet që duhet të respektojë ofertuesi fitues, i cili nuk është autoritet ose ent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gjatë dhënies së nënkontratave palëve të treta. Ai duhet të veprojë në mënyrë transparente dhe t’i trajtojë të gjithë </w:t>
      </w:r>
      <w:proofErr w:type="spellStart"/>
      <w:r w:rsidRPr="00A94DB4">
        <w:rPr>
          <w:rFonts w:ascii="Times New Roman" w:hAnsi="Times New Roman" w:cs="Times New Roman"/>
          <w:sz w:val="24"/>
          <w:szCs w:val="24"/>
        </w:rPr>
        <w:t>nënkontraktorët</w:t>
      </w:r>
      <w:proofErr w:type="spellEnd"/>
      <w:r w:rsidRPr="00A94DB4">
        <w:rPr>
          <w:rFonts w:ascii="Times New Roman" w:hAnsi="Times New Roman" w:cs="Times New Roman"/>
          <w:sz w:val="24"/>
          <w:szCs w:val="24"/>
        </w:rPr>
        <w:t xml:space="preserve"> në mënyrë të barabartë dhe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Këto parime zbatohen gjatë përzgjedhjes dhe dhënies së nënkontratave sipas rregullave të posaçme të këtij kreu.</w:t>
      </w:r>
    </w:p>
    <w:p w14:paraId="25B80E4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61 përbën një rregullim të ri. Ligji në fuqi nuk parashikon një regjim të posaçëm për nënkontratat e dhëna nga ofertuesit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pasi pas nenit 52 për </w:t>
      </w:r>
      <w:proofErr w:type="spellStart"/>
      <w:r w:rsidRPr="00A94DB4">
        <w:rPr>
          <w:rFonts w:ascii="Times New Roman" w:hAnsi="Times New Roman" w:cs="Times New Roman"/>
          <w:sz w:val="24"/>
          <w:szCs w:val="24"/>
        </w:rPr>
        <w:t>nënkontraktimin</w:t>
      </w:r>
      <w:proofErr w:type="spellEnd"/>
      <w:r w:rsidRPr="00A94DB4">
        <w:rPr>
          <w:rFonts w:ascii="Times New Roman" w:hAnsi="Times New Roman" w:cs="Times New Roman"/>
          <w:sz w:val="24"/>
          <w:szCs w:val="24"/>
        </w:rPr>
        <w:t xml:space="preserve"> vijon me dispozitat për procedurat e ankimit administrativ.</w:t>
      </w:r>
    </w:p>
    <w:p w14:paraId="2107B75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61 siguron përafrim të plotë me nenin 51 të Direktivës 2009/81/KE, të ndryshuar, për zbatimin e parimeve të transparencës, trajtimit të barabartë dhe </w:t>
      </w:r>
      <w:proofErr w:type="spellStart"/>
      <w:r w:rsidRPr="00A94DB4">
        <w:rPr>
          <w:rFonts w:ascii="Times New Roman" w:hAnsi="Times New Roman" w:cs="Times New Roman"/>
          <w:sz w:val="24"/>
          <w:szCs w:val="24"/>
        </w:rPr>
        <w:t>mosdiskriminimit</w:t>
      </w:r>
      <w:proofErr w:type="spellEnd"/>
      <w:r w:rsidRPr="00A94DB4">
        <w:rPr>
          <w:rFonts w:ascii="Times New Roman" w:hAnsi="Times New Roman" w:cs="Times New Roman"/>
          <w:sz w:val="24"/>
          <w:szCs w:val="24"/>
        </w:rPr>
        <w:t xml:space="preserve"> gjatë dhënies së nënkontratave nga ofertuesit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40117BB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62</w:t>
      </w:r>
      <w:r w:rsidRPr="00A94DB4">
        <w:rPr>
          <w:rFonts w:ascii="Times New Roman" w:hAnsi="Times New Roman" w:cs="Times New Roman"/>
          <w:sz w:val="24"/>
          <w:szCs w:val="24"/>
        </w:rPr>
        <w:t xml:space="preserve"> rregullon pragjet monetare dhe publikimin e nënkontratave të dhëna nga ofertuesit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Kur vlera e përllogaritur e nënkontratës, pa TVSH, është e barabartë ose më e lartë se kufiri i lartë monetar i përcaktuar sipas nenit 20 të </w:t>
      </w:r>
      <w:r w:rsidRPr="00A94DB4">
        <w:rPr>
          <w:rFonts w:ascii="Times New Roman" w:hAnsi="Times New Roman" w:cs="Times New Roman"/>
          <w:sz w:val="24"/>
          <w:szCs w:val="24"/>
        </w:rPr>
        <w:lastRenderedPageBreak/>
        <w:t xml:space="preserve">projektligjit, ofertuesi fitues duhet ta bëjë të njohur qëllimin për dhënien e saj nëpërmjet publikimit të një njoftimi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w:t>
      </w:r>
    </w:p>
    <w:p w14:paraId="79C4FA8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Njoftimi përmban informacionin që përcaktohet me vendim të Këshillit të Ministrave dhe çdo informacion tjetër që ofertuesi fitues e konsideron të dobishëm, kur është e nevojshme me miratimin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Njoftimi hartohet sipas formularit standard të miratuar nga Komisioni Evropian dhe publikohet në përputhje me rregullat e nenit 35 të projektligjit. Dispozita parashikon gjithashtu rastet kur njoftimi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 xml:space="preserve"> nuk kërkohet, si dhe mundësinë e publikimit vullnetar të njoftimeve për të cilat publikimi nuk është i detyrueshëm.</w:t>
      </w:r>
    </w:p>
    <w:p w14:paraId="14CB99A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Ofertuesi fitues mund ta përmbushë kërkesën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 xml:space="preserve"> të parashikuar në nenin 59 duke dhënë nënkontrata në bazë të një marrëveshjeje kuadër. Në këtë rast, nënkontratat jepen brenda kufijve dhe kushteve të marrëveshjes kuadër dhe vetëm operatorëve ekonomikë që kanë qenë palë në të që nga fillimi. Kushtet e nënkontratave duhet të jenë në përputhje me kushtet e marrëveshjes kuadër.</w:t>
      </w:r>
    </w:p>
    <w:p w14:paraId="61D1A31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Kohëzgjatja e marrëveshjes kuadër nuk mund të kalojë shtatë vjet. Përjashtim bëjnë rrethanat e jashtëzakonshme që lidhen me jetëgjatësinë e pritshme të mallrave, instalimeve ose sistemeve dhe me vështirësitë teknike që mund të shkaktojë ndryshimi i furnizuesit. Marrëveshja kuadër nuk mund të përdoret për të penguar, kufizuar ose shtrembëruar konkurrencën.</w:t>
      </w:r>
    </w:p>
    <w:p w14:paraId="426B390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nënkontratat me vlerë më të ulët se kufiri i lartë monetar, ofertuesi fitues zbaton parimet e transparencës dhe konkurrencës të parashikuara në nenin 3 të projektligjit. Përllogaritja e vlerës së parashikuar të nënkontratave bëhet sipas rregullave të nenit 21.</w:t>
      </w:r>
    </w:p>
    <w:p w14:paraId="26784CF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62 përbën një rregullim të ri. Ligji në fuqi nuk parashikon rregulla të posaçme për pragjet monetare, publikimin e njoftimeve dhe përdorimin e marrëveshjeve kuadër për nënkontratat e dhëna nga ofertuesit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Pas rregullimit të përgjithshëm të </w:t>
      </w:r>
      <w:proofErr w:type="spellStart"/>
      <w:r w:rsidRPr="00A94DB4">
        <w:rPr>
          <w:rFonts w:ascii="Times New Roman" w:hAnsi="Times New Roman" w:cs="Times New Roman"/>
          <w:sz w:val="24"/>
          <w:szCs w:val="24"/>
        </w:rPr>
        <w:t>nënkontraktimit</w:t>
      </w:r>
      <w:proofErr w:type="spellEnd"/>
      <w:r w:rsidRPr="00A94DB4">
        <w:rPr>
          <w:rFonts w:ascii="Times New Roman" w:hAnsi="Times New Roman" w:cs="Times New Roman"/>
          <w:sz w:val="24"/>
          <w:szCs w:val="24"/>
        </w:rPr>
        <w:t xml:space="preserve"> në nenin 52, ligji vijon me procedurat e ankimit administrativ.</w:t>
      </w:r>
    </w:p>
    <w:p w14:paraId="702D5DC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62 lidhet me nenin 52 të Direktivës 2009/81/KE, të ndryshuar, për publikimin e njoftimit kur nënkontrata arrin pragun monetar përkatës, përmbajtjen dhe formën e njoftimit, rastet e publikimit të detyrueshëm ose vullnetar, përdorimin e marrëveshjeve kuadër për dhënien e nënkontratave, zbatimin e parimeve të transparencës dhe konkurrencës për nënkontratat nën prag dhe përllogaritjen e vlerës së tyre të parashikuar.</w:t>
      </w:r>
    </w:p>
    <w:p w14:paraId="177337B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63</w:t>
      </w:r>
      <w:r w:rsidRPr="00A94DB4">
        <w:rPr>
          <w:rFonts w:ascii="Times New Roman" w:hAnsi="Times New Roman" w:cs="Times New Roman"/>
          <w:sz w:val="24"/>
          <w:szCs w:val="24"/>
        </w:rPr>
        <w:t xml:space="preserve"> rregullon kriteret për përzgjedhjen cilësore të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kur nënkontratat jepen nga ofertues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3A2C552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njoftimin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 xml:space="preserve">, ofertuesi fitues duhet të përcaktojë kriteret e përzgjedhjes cilësore të vendosura nga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si dhe çdo kriter tjetër që synon të zbatojë për përzgjedhjen e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Kriteret duhet të jenë objektive,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dhe në përputhje me kriteret e përdorura për përzgjedhjen e ofertuesve për kontratën kryesore.</w:t>
      </w:r>
    </w:p>
    <w:p w14:paraId="51CB501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Kapacitetet që u kërkohen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duhet të lidhen drejtpërdrejt me objektin e nënkontratës, ndërsa niveli i aftësive të kërkuara duhet të jetë proporcional me të. Ky rregull </w:t>
      </w:r>
      <w:r w:rsidRPr="00A94DB4">
        <w:rPr>
          <w:rFonts w:ascii="Times New Roman" w:hAnsi="Times New Roman" w:cs="Times New Roman"/>
          <w:sz w:val="24"/>
          <w:szCs w:val="24"/>
        </w:rPr>
        <w:lastRenderedPageBreak/>
        <w:t xml:space="preserve">siguron që kërkesat e përzgjedhjes të përshtaten me natyrën, përmasat dhe </w:t>
      </w:r>
      <w:proofErr w:type="spellStart"/>
      <w:r w:rsidRPr="00A94DB4">
        <w:rPr>
          <w:rFonts w:ascii="Times New Roman" w:hAnsi="Times New Roman" w:cs="Times New Roman"/>
          <w:sz w:val="24"/>
          <w:szCs w:val="24"/>
        </w:rPr>
        <w:t>kompleksitetin</w:t>
      </w:r>
      <w:proofErr w:type="spellEnd"/>
      <w:r w:rsidRPr="00A94DB4">
        <w:rPr>
          <w:rFonts w:ascii="Times New Roman" w:hAnsi="Times New Roman" w:cs="Times New Roman"/>
          <w:sz w:val="24"/>
          <w:szCs w:val="24"/>
        </w:rPr>
        <w:t xml:space="preserve"> e pjesës së kontratës që do të realizohet nga </w:t>
      </w:r>
      <w:proofErr w:type="spellStart"/>
      <w:r w:rsidRPr="00A94DB4">
        <w:rPr>
          <w:rFonts w:ascii="Times New Roman" w:hAnsi="Times New Roman" w:cs="Times New Roman"/>
          <w:sz w:val="24"/>
          <w:szCs w:val="24"/>
        </w:rPr>
        <w:t>nënkontraktori</w:t>
      </w:r>
      <w:proofErr w:type="spellEnd"/>
      <w:r w:rsidRPr="00A94DB4">
        <w:rPr>
          <w:rFonts w:ascii="Times New Roman" w:hAnsi="Times New Roman" w:cs="Times New Roman"/>
          <w:sz w:val="24"/>
          <w:szCs w:val="24"/>
        </w:rPr>
        <w:t>.</w:t>
      </w:r>
    </w:p>
    <w:p w14:paraId="7FCC98E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Ofertuesi fitues nuk detyrohet të nënkontraktojë kur provon, në mënyrë të pranueshme për autoritetin ose entin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se asnjë prej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pjesëmarrës në konkurrim ose ofertave të paraqitura prej tyre nuk përmbush kriteret e përcaktuara në njoftimin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 xml:space="preserve">. Ky përjashtim zbatohet kur përzgjedhja e këtyre </w:t>
      </w:r>
      <w:proofErr w:type="spellStart"/>
      <w:r w:rsidRPr="00A94DB4">
        <w:rPr>
          <w:rFonts w:ascii="Times New Roman" w:hAnsi="Times New Roman" w:cs="Times New Roman"/>
          <w:sz w:val="24"/>
          <w:szCs w:val="24"/>
        </w:rPr>
        <w:t>nënkontraktorëve</w:t>
      </w:r>
      <w:proofErr w:type="spellEnd"/>
      <w:r w:rsidRPr="00A94DB4">
        <w:rPr>
          <w:rFonts w:ascii="Times New Roman" w:hAnsi="Times New Roman" w:cs="Times New Roman"/>
          <w:sz w:val="24"/>
          <w:szCs w:val="24"/>
        </w:rPr>
        <w:t xml:space="preserve"> do ta pengonte ofertuesin fitues të përmbushte kërkesat e kontratës kryesore.</w:t>
      </w:r>
    </w:p>
    <w:p w14:paraId="6712131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63 përbën një rregullim të ri, si pjesë e regjimit të posaçëm për nënkontratat e dhëna nga ofertuesit fitues që nuk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Ligji në fuqi, pas rregullimit të përgjithshëm të </w:t>
      </w:r>
      <w:proofErr w:type="spellStart"/>
      <w:r w:rsidRPr="00A94DB4">
        <w:rPr>
          <w:rFonts w:ascii="Times New Roman" w:hAnsi="Times New Roman" w:cs="Times New Roman"/>
          <w:sz w:val="24"/>
          <w:szCs w:val="24"/>
        </w:rPr>
        <w:t>nënkontraktimit</w:t>
      </w:r>
      <w:proofErr w:type="spellEnd"/>
      <w:r w:rsidRPr="00A94DB4">
        <w:rPr>
          <w:rFonts w:ascii="Times New Roman" w:hAnsi="Times New Roman" w:cs="Times New Roman"/>
          <w:sz w:val="24"/>
          <w:szCs w:val="24"/>
        </w:rPr>
        <w:t xml:space="preserve"> në nenin 52, vijon me dispozitat për ankimin administrativ.</w:t>
      </w:r>
    </w:p>
    <w:p w14:paraId="3B72E59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63 siguron përafrim të plotë me nenin 53 të Direktivës 2009/81/KE, të ndryshuar, për kriteret objektive, </w:t>
      </w:r>
      <w:proofErr w:type="spellStart"/>
      <w:r w:rsidRPr="00A94DB4">
        <w:rPr>
          <w:rFonts w:ascii="Times New Roman" w:hAnsi="Times New Roman" w:cs="Times New Roman"/>
          <w:sz w:val="24"/>
          <w:szCs w:val="24"/>
        </w:rPr>
        <w:t>jodiskriminuese</w:t>
      </w:r>
      <w:proofErr w:type="spellEnd"/>
      <w:r w:rsidRPr="00A94DB4">
        <w:rPr>
          <w:rFonts w:ascii="Times New Roman" w:hAnsi="Times New Roman" w:cs="Times New Roman"/>
          <w:sz w:val="24"/>
          <w:szCs w:val="24"/>
        </w:rPr>
        <w:t xml:space="preserve"> dhe të harmonizuara me kriteret e kontratës kryesore, lidhjen dhe </w:t>
      </w:r>
      <w:proofErr w:type="spellStart"/>
      <w:r w:rsidRPr="00A94DB4">
        <w:rPr>
          <w:rFonts w:ascii="Times New Roman" w:hAnsi="Times New Roman" w:cs="Times New Roman"/>
          <w:sz w:val="24"/>
          <w:szCs w:val="24"/>
        </w:rPr>
        <w:t>proporcionalitetin</w:t>
      </w:r>
      <w:proofErr w:type="spellEnd"/>
      <w:r w:rsidRPr="00A94DB4">
        <w:rPr>
          <w:rFonts w:ascii="Times New Roman" w:hAnsi="Times New Roman" w:cs="Times New Roman"/>
          <w:sz w:val="24"/>
          <w:szCs w:val="24"/>
        </w:rPr>
        <w:t xml:space="preserve"> e kapaciteteve të kërkuara me objektin e nënkontratës, si dhe përjashtimin nga detyrimi për </w:t>
      </w:r>
      <w:proofErr w:type="spellStart"/>
      <w:r w:rsidRPr="00A94DB4">
        <w:rPr>
          <w:rFonts w:ascii="Times New Roman" w:hAnsi="Times New Roman" w:cs="Times New Roman"/>
          <w:sz w:val="24"/>
          <w:szCs w:val="24"/>
        </w:rPr>
        <w:t>nënkontraktim</w:t>
      </w:r>
      <w:proofErr w:type="spellEnd"/>
      <w:r w:rsidRPr="00A94DB4">
        <w:rPr>
          <w:rFonts w:ascii="Times New Roman" w:hAnsi="Times New Roman" w:cs="Times New Roman"/>
          <w:sz w:val="24"/>
          <w:szCs w:val="24"/>
        </w:rPr>
        <w:t xml:space="preserve"> kur kandidatët ose ofertat e tyre nuk plotësojnë kriteret dhe rrezikojnë përmbushjen e kontratës kryesore.</w:t>
      </w:r>
    </w:p>
    <w:p w14:paraId="41DDDCD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64</w:t>
      </w:r>
      <w:r w:rsidRPr="00A94DB4">
        <w:rPr>
          <w:rFonts w:ascii="Times New Roman" w:hAnsi="Times New Roman" w:cs="Times New Roman"/>
          <w:sz w:val="24"/>
          <w:szCs w:val="24"/>
        </w:rPr>
        <w:t xml:space="preserve"> përcakton rregullat që zbatohen për nënkontratat e dhëna nga ofertuesit fitues që kanë cilësinë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Kur këto subjekte japin nënkontrata, ato duhet të zbatojnë dispozitat e neneve 1 deri në 59 të projektligjit, të cilat rregullojnë dhënien e kontratave kryesore.</w:t>
      </w:r>
    </w:p>
    <w:p w14:paraId="776D226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këtë mënyrë, dhënia e nënkontratës nga një ofertues fitues që është vetë autoritet ose ent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i nënshtrohet të njëjtit kuadër ligjor që zbatohet për procedurat e kontratave kryesore. Kjo përfshin rregullat për parimet e prokurimit, procedurat konkurruese, dokumentacionin, publikimin, përzgjedhjen e operatorëve ekonomikë, vlerësimin e ofertave dhe kushtet e zbatimit të kontratës.</w:t>
      </w:r>
    </w:p>
    <w:p w14:paraId="30CDB98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neni 64 përbën një rregullim të ri. Ligji në fuqi përmban vetëm rregullat e përgjithshme të </w:t>
      </w:r>
      <w:proofErr w:type="spellStart"/>
      <w:r w:rsidRPr="00A94DB4">
        <w:rPr>
          <w:rFonts w:ascii="Times New Roman" w:hAnsi="Times New Roman" w:cs="Times New Roman"/>
          <w:sz w:val="24"/>
          <w:szCs w:val="24"/>
        </w:rPr>
        <w:t>nënkontraktimit</w:t>
      </w:r>
      <w:proofErr w:type="spellEnd"/>
      <w:r w:rsidRPr="00A94DB4">
        <w:rPr>
          <w:rFonts w:ascii="Times New Roman" w:hAnsi="Times New Roman" w:cs="Times New Roman"/>
          <w:sz w:val="24"/>
          <w:szCs w:val="24"/>
        </w:rPr>
        <w:t xml:space="preserve"> në nenin 52 dhe më pas vijon me procedurat e ankimit administrativ, pa parashikuar një regjim të posaçëm për nënkontratat e dhëna nga ofertuesit fitues që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5F52A63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sa i përket përafrimit me legjislacionin e Bashkimit Evropian, neni 64 siguron përafrim të plotë me nenin 54 të Direktivës 2009/81/KE, të ndryshuar, duke kërkuar që ofertuesit fitues që janë autoritete ose ente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të zbatojnë rregullat për kontratat kryesore kur japin nënkontrata.</w:t>
      </w:r>
    </w:p>
    <w:p w14:paraId="00C04F3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65</w:t>
      </w:r>
      <w:r w:rsidRPr="00A94DB4">
        <w:rPr>
          <w:rFonts w:ascii="Times New Roman" w:hAnsi="Times New Roman" w:cs="Times New Roman"/>
          <w:sz w:val="24"/>
          <w:szCs w:val="24"/>
        </w:rPr>
        <w:t xml:space="preserve"> rregullon procedurën e ankimit administrativ në prokurimet në fushën e mbrojtjes dhe të sigurisë. Të drejtën për t’iu drejtuar Komisionit të Prokurimit Publik e ka çdo operator ekonomik që ka ose ka pasur interes në një procedurë prokurimi dhe që është dëmtuar ose rrezikon të dëmtohet nga një vendim i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të cilin pretendon se është marrë në kundërshtim me ligjin. Kandidatët konsiderohen palë të interesuara edhe kur </w:t>
      </w:r>
      <w:r w:rsidRPr="00A94DB4">
        <w:rPr>
          <w:rFonts w:ascii="Times New Roman" w:hAnsi="Times New Roman" w:cs="Times New Roman"/>
          <w:sz w:val="24"/>
          <w:szCs w:val="24"/>
        </w:rPr>
        <w:lastRenderedPageBreak/>
        <w:t>nuk u janë bërë të ditura arsyet e refuzimit të kërkesës për pjesëmarrje përpara njoftimit të fituesit.</w:t>
      </w:r>
    </w:p>
    <w:p w14:paraId="6CAC081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ankesat që lidhen me dokumentet e tenderit në procedurat mbi kufirin e lartë monetar parashikohet një afat prej 10 ditësh. Për fazën e parë të </w:t>
      </w:r>
      <w:proofErr w:type="spellStart"/>
      <w:r w:rsidRPr="00A94DB4">
        <w:rPr>
          <w:rFonts w:ascii="Times New Roman" w:hAnsi="Times New Roman" w:cs="Times New Roman"/>
          <w:sz w:val="24"/>
          <w:szCs w:val="24"/>
        </w:rPr>
        <w:t>parakualifikimit</w:t>
      </w:r>
      <w:proofErr w:type="spellEnd"/>
      <w:r w:rsidRPr="00A94DB4">
        <w:rPr>
          <w:rFonts w:ascii="Times New Roman" w:hAnsi="Times New Roman" w:cs="Times New Roman"/>
          <w:sz w:val="24"/>
          <w:szCs w:val="24"/>
        </w:rPr>
        <w:t>, afati fillon nga dita pasardhëse e publikimit të njoftimit të kontratës, ndërsa për fazën e dytë fillon nga dita pasardhëse e dërgimit të ftesës për ofertë ose e njohjes me dokumentet e tenderit. Në procedurat nën kufirin e lartë monetar afati i ankimit është 7 ditë.</w:t>
      </w:r>
    </w:p>
    <w:p w14:paraId="1EC0022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Afati prej 10 ditësh zbatohet edhe për ankesat ndaj vlerësimit të kërkesave për pjesëmarrje në fazën e parë, vlerësimit të ofertave në fazën e dytë dhe anulimit të procedurës. Afati fillon nga dita pasardhëse e marrjes dijeni për vendimin e vlerësimit të kërkesave për pjesëmarrje ose nga dita pasardhëse e publikimit të njoftimit të fituesit apo të anulimit. Për procedurat nën kufirin e lartë monetar parashikohet afati 7-ditor.</w:t>
      </w:r>
    </w:p>
    <w:p w14:paraId="47203BD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Një kopje e ankesës i dërgohet edhe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Me marrjen dijeni për ankimin,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pezullon vazhdimin e procedurës deri në shqyrtimin e plotë të ankesës dhe nxjerrjen e vendimit nga Komisioni i Prokurimit Publik. Ky rregull garanton që procedura të mos vijojë përpara se organi administrativ i shqyrtimit të shprehet për pretendimet e ngritura nga operatori ekonomik.</w:t>
      </w:r>
    </w:p>
    <w:p w14:paraId="3AA533A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Ankesa paraqitet me shkrim, sipas formularit përkatës, dhe duhet të përmbajë të dhënat e ankuesit, referimin e procedurës konkrete, bazën ligjore dhe pretendimet për shkeljet e kryera. Ajo shoqërohet me dokumentacionin dhe provat ku mbështeten pretendimet, pasi këto elemente janë të nevojshme për shqyrtimin e saj.</w:t>
      </w:r>
    </w:p>
    <w:p w14:paraId="6EBB412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Komisioni i Prokurimit Publik verifikon plotësimin e elementeve formale të ankesës dhe përgjigjet me shkrim brenda 5 ditëve, duke filluar nga dita pasardhëse e punës. Pas konstatimit të plotësimit të këtyre elementeve, Komisioni i kërkon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informacionin dhe dokumentacionin përkatës, ndërsa ky i fundit duhet të përgjigjet brenda 5 ditëve nga marrja e kërkesës.</w:t>
      </w:r>
    </w:p>
    <w:p w14:paraId="20BEFA1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Vendimi për ankimin merret jo më vonë se 20 ditë pas marrjes së informacionit ose dokumentacionit të kërkuar. Kur, për shkaqe të ligjshme, vendimi nuk mund të merret brenda këtij afati, palëve u bëhen të ditura arsyet dhe Komisioni duhet të nxjerrë vendimin përfundimtar brenda 15 ditëve të tjera.</w:t>
      </w:r>
    </w:p>
    <w:p w14:paraId="598E041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Procedura e rishikimit administrativ dhe vendimmarrja e Komisionit të Prokurimit Publik zhvillohen në përputhje me projektligjin, legjislacionin për prokurimin publik dhe legjislacionin përkatës në fushën e mbrojtjes dhe të sigurisë. Gjatë shqyrtimit duhet të respektohen detyrimet ligjore për trajtimin e informacionit të klasifikuar.</w:t>
      </w:r>
    </w:p>
    <w:p w14:paraId="383F291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Komisioni i Prokurimit Publik duhet të garantojë </w:t>
      </w:r>
      <w:proofErr w:type="spellStart"/>
      <w:r w:rsidRPr="00A94DB4">
        <w:rPr>
          <w:rFonts w:ascii="Times New Roman" w:hAnsi="Times New Roman" w:cs="Times New Roman"/>
          <w:sz w:val="24"/>
          <w:szCs w:val="24"/>
        </w:rPr>
        <w:t>konfidencialitetin</w:t>
      </w:r>
      <w:proofErr w:type="spellEnd"/>
      <w:r w:rsidRPr="00A94DB4">
        <w:rPr>
          <w:rFonts w:ascii="Times New Roman" w:hAnsi="Times New Roman" w:cs="Times New Roman"/>
          <w:sz w:val="24"/>
          <w:szCs w:val="24"/>
        </w:rPr>
        <w:t xml:space="preserve"> e informacionit të klasifikuar dhe të informacionit tjetër që përmbajnë dosjet e transmetuara nga palët, duke vepruar në përputhje me interesat e mbrojtjes dhe të sigurisë. </w:t>
      </w:r>
      <w:proofErr w:type="spellStart"/>
      <w:r w:rsidRPr="00A94DB4">
        <w:rPr>
          <w:rFonts w:ascii="Times New Roman" w:hAnsi="Times New Roman" w:cs="Times New Roman"/>
          <w:sz w:val="24"/>
          <w:szCs w:val="24"/>
        </w:rPr>
        <w:t>Aksesi</w:t>
      </w:r>
      <w:proofErr w:type="spellEnd"/>
      <w:r w:rsidRPr="00A94DB4">
        <w:rPr>
          <w:rFonts w:ascii="Times New Roman" w:hAnsi="Times New Roman" w:cs="Times New Roman"/>
          <w:sz w:val="24"/>
          <w:szCs w:val="24"/>
        </w:rPr>
        <w:t xml:space="preserve"> në këtë informacion u lejohet vetëm personave të autorizuar. Për regjistrimin e ankesave, marrjen e dokumenteve dhe ruajtjen e dosjeve zbatohen masa të posaçme sigurie, duke respektuar njëkohësisht të drejtën e palëve për mbrojtje dhe për një proces të rregullt ligjor.</w:t>
      </w:r>
    </w:p>
    <w:p w14:paraId="6A1734A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Vendimi i Komisionit të Prokurimit Publik mund të </w:t>
      </w:r>
      <w:proofErr w:type="spellStart"/>
      <w:r w:rsidRPr="00A94DB4">
        <w:rPr>
          <w:rFonts w:ascii="Times New Roman" w:hAnsi="Times New Roman" w:cs="Times New Roman"/>
          <w:sz w:val="24"/>
          <w:szCs w:val="24"/>
        </w:rPr>
        <w:t>ankimohet</w:t>
      </w:r>
      <w:proofErr w:type="spellEnd"/>
      <w:r w:rsidRPr="00A94DB4">
        <w:rPr>
          <w:rFonts w:ascii="Times New Roman" w:hAnsi="Times New Roman" w:cs="Times New Roman"/>
          <w:sz w:val="24"/>
          <w:szCs w:val="24"/>
        </w:rPr>
        <w:t xml:space="preserve"> nga palët dhe personat e interesuar në gjykatën kompetente për mosmarrëveshjet administrative. Ankimi gjyqësor nuk pezullon procedurën konkurruese, lidhjen e kontratës ose ekzekutimin e detyrimeve ndërmjet palëve. Paraqitja e ankesës në Komisionin e Prokurimit Publik bëhet kundrejt pagesës, ndërsa rregullat dhe tarifat përcaktohen me vendim të Këshillit të Ministrave.</w:t>
      </w:r>
    </w:p>
    <w:p w14:paraId="174D10A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53 në nenin 65. Projektligji përcakton afate të diferencuara sipas vlerës së procedurës, duke vendosur afatin 10-ditor për procedurat mbi kufirin e lartë monetar dhe afatin 7-ditor për procedurat nën këtë kufi, në vend të afatit të përgjithshëm 15-ditor dhe shkurtimit të tij për procedurat elektronike.</w:t>
      </w:r>
    </w:p>
    <w:p w14:paraId="0285239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Afatet dhe momentet e fillimit të tyre përshtaten me zhvillimin e procedurave në dy faza, duke dalluar ankesat për dokumentet e fazës së </w:t>
      </w:r>
      <w:proofErr w:type="spellStart"/>
      <w:r w:rsidRPr="00A94DB4">
        <w:rPr>
          <w:rFonts w:ascii="Times New Roman" w:hAnsi="Times New Roman" w:cs="Times New Roman"/>
          <w:sz w:val="24"/>
          <w:szCs w:val="24"/>
        </w:rPr>
        <w:t>parakualifikimit</w:t>
      </w:r>
      <w:proofErr w:type="spellEnd"/>
      <w:r w:rsidRPr="00A94DB4">
        <w:rPr>
          <w:rFonts w:ascii="Times New Roman" w:hAnsi="Times New Roman" w:cs="Times New Roman"/>
          <w:sz w:val="24"/>
          <w:szCs w:val="24"/>
        </w:rPr>
        <w:t xml:space="preserve">, dokumentet e fazës së </w:t>
      </w:r>
      <w:proofErr w:type="spellStart"/>
      <w:r w:rsidRPr="00A94DB4">
        <w:rPr>
          <w:rFonts w:ascii="Times New Roman" w:hAnsi="Times New Roman" w:cs="Times New Roman"/>
          <w:sz w:val="24"/>
          <w:szCs w:val="24"/>
        </w:rPr>
        <w:t>ofertimit</w:t>
      </w:r>
      <w:proofErr w:type="spellEnd"/>
      <w:r w:rsidRPr="00A94DB4">
        <w:rPr>
          <w:rFonts w:ascii="Times New Roman" w:hAnsi="Times New Roman" w:cs="Times New Roman"/>
          <w:sz w:val="24"/>
          <w:szCs w:val="24"/>
        </w:rPr>
        <w:t>, vlerësimin e kërkesave për pjesëmarrje dhe vlerësimin e ofertave. Në objektin e ankimit përfshihet shprehimisht edhe vendimi për anulimin e procedurës.</w:t>
      </w:r>
    </w:p>
    <w:p w14:paraId="48B3764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Shtohet rregullimi i hollësishëm për garantimin e </w:t>
      </w:r>
      <w:proofErr w:type="spellStart"/>
      <w:r w:rsidRPr="00A94DB4">
        <w:rPr>
          <w:rFonts w:ascii="Times New Roman" w:hAnsi="Times New Roman" w:cs="Times New Roman"/>
          <w:sz w:val="24"/>
          <w:szCs w:val="24"/>
        </w:rPr>
        <w:t>konfidencialitetit</w:t>
      </w:r>
      <w:proofErr w:type="spellEnd"/>
      <w:r w:rsidRPr="00A94DB4">
        <w:rPr>
          <w:rFonts w:ascii="Times New Roman" w:hAnsi="Times New Roman" w:cs="Times New Roman"/>
          <w:sz w:val="24"/>
          <w:szCs w:val="24"/>
        </w:rPr>
        <w:t xml:space="preserve"> të informacionit të klasifikuar, kufizimin e </w:t>
      </w:r>
      <w:proofErr w:type="spellStart"/>
      <w:r w:rsidRPr="00A94DB4">
        <w:rPr>
          <w:rFonts w:ascii="Times New Roman" w:hAnsi="Times New Roman" w:cs="Times New Roman"/>
          <w:sz w:val="24"/>
          <w:szCs w:val="24"/>
        </w:rPr>
        <w:t>aksesit</w:t>
      </w:r>
      <w:proofErr w:type="spellEnd"/>
      <w:r w:rsidRPr="00A94DB4">
        <w:rPr>
          <w:rFonts w:ascii="Times New Roman" w:hAnsi="Times New Roman" w:cs="Times New Roman"/>
          <w:sz w:val="24"/>
          <w:szCs w:val="24"/>
        </w:rPr>
        <w:t xml:space="preserve"> vetëm për personat e autorizuar dhe zbatimin e masave të posaçme për administrimin e ankesave dhe dosjeve. Rregullimi shtrihet gjithashtu edhe ndaj vendimmarrjes së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27CC750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65 lidhet me nenet 55, 56 dhe 59 të Direktivës 2009/81/KE, të ndryshuar. Pika 1 lidhet me të drejtën e ankimit të çdo personi që ka ose ka pasur interes në marrjen e kontratës dhe që është dëmtuar ose rrezikon të dëmtohet nga një shkelje. Pikat 2 dhe 3, për procedurat mbi kufirin e lartë monetar, lidhen me afatin e ankimit të parashikuar në nenin 59 të Direktivës.</w:t>
      </w:r>
    </w:p>
    <w:p w14:paraId="69B18C9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 4 lidhet me efektin </w:t>
      </w:r>
      <w:proofErr w:type="spellStart"/>
      <w:r w:rsidRPr="00A94DB4">
        <w:rPr>
          <w:rFonts w:ascii="Times New Roman" w:hAnsi="Times New Roman" w:cs="Times New Roman"/>
          <w:sz w:val="24"/>
          <w:szCs w:val="24"/>
        </w:rPr>
        <w:t>pezullues</w:t>
      </w:r>
      <w:proofErr w:type="spellEnd"/>
      <w:r w:rsidRPr="00A94DB4">
        <w:rPr>
          <w:rFonts w:ascii="Times New Roman" w:hAnsi="Times New Roman" w:cs="Times New Roman"/>
          <w:sz w:val="24"/>
          <w:szCs w:val="24"/>
        </w:rPr>
        <w:t xml:space="preserve"> të ankimit deri në marrjen e vendimit nga organi i pavarur i shqyrtimit. Pikat 8 dhe 9 lidhen me kërkesat e nenit 56 të Direktivës për ruajtjen e </w:t>
      </w:r>
      <w:proofErr w:type="spellStart"/>
      <w:r w:rsidRPr="00A94DB4">
        <w:rPr>
          <w:rFonts w:ascii="Times New Roman" w:hAnsi="Times New Roman" w:cs="Times New Roman"/>
          <w:sz w:val="24"/>
          <w:szCs w:val="24"/>
        </w:rPr>
        <w:t>konfidencialitetit</w:t>
      </w:r>
      <w:proofErr w:type="spellEnd"/>
      <w:r w:rsidRPr="00A94DB4">
        <w:rPr>
          <w:rFonts w:ascii="Times New Roman" w:hAnsi="Times New Roman" w:cs="Times New Roman"/>
          <w:sz w:val="24"/>
          <w:szCs w:val="24"/>
        </w:rPr>
        <w:t xml:space="preserve"> të informacionit të klasifikuar, kufizimin e </w:t>
      </w:r>
      <w:proofErr w:type="spellStart"/>
      <w:r w:rsidRPr="00A94DB4">
        <w:rPr>
          <w:rFonts w:ascii="Times New Roman" w:hAnsi="Times New Roman" w:cs="Times New Roman"/>
          <w:sz w:val="24"/>
          <w:szCs w:val="24"/>
        </w:rPr>
        <w:t>aksesit</w:t>
      </w:r>
      <w:proofErr w:type="spellEnd"/>
      <w:r w:rsidRPr="00A94DB4">
        <w:rPr>
          <w:rFonts w:ascii="Times New Roman" w:hAnsi="Times New Roman" w:cs="Times New Roman"/>
          <w:sz w:val="24"/>
          <w:szCs w:val="24"/>
        </w:rPr>
        <w:t xml:space="preserve"> te personat e autorizuar, zbatimin e masave të posaçme të sigurisë dhe respektimin e së drejtës për mbrojtje dhe proces të rregullt. Pika 10 lidhet me garantimin e kontrollit gjyqësor ndaj vendimmarrjes së organit administrativ të shqyrtimit.</w:t>
      </w:r>
    </w:p>
    <w:p w14:paraId="5B6B65E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Afati 7-ditor për procedurat nën kufirin e lartë monetar, kërkesat formale të ankesës, afatet e administrimit të saj, referimi te legjislacioni kombëtar dhe tarifa e ankimit përbëjnë rregullim procedural kombëtar.</w:t>
      </w:r>
    </w:p>
    <w:p w14:paraId="4231421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66</w:t>
      </w:r>
      <w:r w:rsidRPr="00A94DB4">
        <w:rPr>
          <w:rFonts w:ascii="Times New Roman" w:hAnsi="Times New Roman" w:cs="Times New Roman"/>
          <w:sz w:val="24"/>
          <w:szCs w:val="24"/>
        </w:rPr>
        <w:t xml:space="preserve"> rregullon periudhën e pritjes që duhet të respektohet ndërmjet përfundimit të procedurës së prokurimit dhe nënshkrimit të kontratës. Kjo periudhë u siguron ofertuesve dhe kandidatëve të interesuar kohën e nevojshme për të ushtruar të drejtën e ankimit përpara krijimit të marrëdhënies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76C1006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mund ta nënshkruajë kontratën me ofertuesin fitues pa kaluar një periudhë prej të paktën 10 ditësh kalendarike për procedurat mbi kufirin e lartë monetar, 7 ditësh kalendarike për procedurat nën këtë kufi dhe 7 ditësh kalendarike për prokurimet e thjeshtuara.</w:t>
      </w:r>
    </w:p>
    <w:p w14:paraId="653A963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Ofertues konsiderohet i interesuar kur nuk është përjashtuar përfundimisht nga procedura. Përjashtimi është përfundimtar kur i është njoftuar ofertuesit dhe është konsideruar i ligjshëm nga një organ i pavarur shqyrtimi ose kur nuk mund t’i nënshtrohet më një procedure shqyrtimi. Kandidati konsiderohet i interesuar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i ka vënë në dispozicion informacionin për refuzimin e kërkesës së tij për pjesëmarrje përpara komunikimit të vendimit për dhënien e kontratës.</w:t>
      </w:r>
    </w:p>
    <w:p w14:paraId="13A27C0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Komunikimi i vendimit për dhënien e kontratës duhet të shoqërohet me një përmbledhje të arsyeve përkatëse, sipas nenit 39 të projektligjit, si dhe me përcaktimin e periudhës së pritjes që zbatohet. Ky informacion u mundëson ofertuesve dhe kandidatëve të interesuar të njihen me arsyet e vendimmarrjes dhe me afatin brenda të cilit kontrata nuk mund të lidhet.</w:t>
      </w:r>
    </w:p>
    <w:p w14:paraId="5B7BDDA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Periudha e pritjes nuk zbatohet në procedurat me negocim pa shpallje paraprake të njoftimit të kontratës, kur ofertuesi fitues është i vetmi ofertues i interesuar dhe nuk ka kandidatë të interesuar, si dhe për kontratat e bazuara në një marrëveshje kuadër.</w:t>
      </w:r>
    </w:p>
    <w:p w14:paraId="39F3E8E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Kur zbatohet përjashtimi për kontratat e bazuara në një marrëveshje kuadër, kontrata konsiderohet e pavlefshme sipas nenit 70, nëse janë shkelur rregullat për rihapjen e konkurrencës dhe vlera e parashikuar e kontratës është e barabartë ose më e lartë se kufiri i lartë monetar. Ky parashikim lidh përjashtimin nga periudha e pritjes me respektimin e rregullave të konkurrimit ndërmjet operatorëve ekonomikë që janë palë në marrëveshjen kuadër.</w:t>
      </w:r>
    </w:p>
    <w:p w14:paraId="5D39A79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54 në nenin 66. Projektligji zëvendëson afatin e përgjithshëm prej 15 ditësh kalendarike dhe shkurtimin e tij për procedurat elektronike me afate të diferencuara sipas kufirit monetar dhe llojit të procedurës.</w:t>
      </w:r>
    </w:p>
    <w:p w14:paraId="07DF8AB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Shtohen përcaktimet për ofertuesit dhe kandidatët e interesuar, si dhe detyrimi që komunikimi i vendimit për dhënien e kontratës të përmbajë përmbledhjen e arsyeve dhe periudhën konkrete të pritjes. Përjashtimi për procedurat me një ofertues lidhet me kushtin që ofertuesi fitues të jetë i vetmi ofertues i interesuar dhe të mos ketë kandidatë të interesuar. Për kontratat e bazuara në marrëveshje kuadër shtohen kushtet që sjellin pavlefshmërinë e kontratës kur përjashtimi nga periudha e pritjes është zbatuar.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25D8C10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pikat 1 dhe 2 të nenit 66 lidhen me nenin 57 të Direktivës 2009/81/KE, të ndryshuar, për periudhën minimale të pritjes në procedurat mbi kufirin e lartë monetar, përcaktimin e ofertuesve dhe kandidatëve të interesuar dhe informacionin që duhet të shoqërojë komunikimin e vendimit për dhënien e kontratës.</w:t>
      </w:r>
    </w:p>
    <w:p w14:paraId="0771244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Pikat 3 dhe 4 lidhen me nenin 58 të Direktivës, për rastet e përjashtimit nga periudha e pritjes dhe pavlefshmërinë e kontratave të bazuara në marrëveshje kuadër kur shkelen rregullat për rihapjen e konkurrencës dhe kontrata arrin kufirin monetar përkatës. Afatet 7-ditore për procedurat nën kufirin e lartë monetar dhe për prokurimet e thjeshtuara përbëjnë rregullim procedural kombëtar.</w:t>
      </w:r>
    </w:p>
    <w:p w14:paraId="1A88596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lastRenderedPageBreak/>
        <w:t>Neni 67</w:t>
      </w:r>
      <w:r w:rsidRPr="00A94DB4">
        <w:rPr>
          <w:rFonts w:ascii="Times New Roman" w:hAnsi="Times New Roman" w:cs="Times New Roman"/>
          <w:sz w:val="24"/>
          <w:szCs w:val="24"/>
        </w:rPr>
        <w:t xml:space="preserve"> përcakton kompetencat e Komisionit të Prokurimit Publik gjatë shqyrtimit administrativ të ankesave, duke dalluar masat që mund të merren përpara lidhjes së kontratës nga kompetencat që ushtrohen pasi kontrata është lidhur.</w:t>
      </w:r>
    </w:p>
    <w:p w14:paraId="7BDAC06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Me marrjen e ankesës, Komisioni i Prokurimit Publik verifikon nëse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e ka pezulluar procedurën e prokurimit. Pas shqyrtimit paraprak të ankesës, Komisioni vendos nëse duhet të nxjerrë një urdhër të ndërmjetëm dhe njofton për këtë autoritetin ose entin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w:t>
      </w:r>
    </w:p>
    <w:p w14:paraId="1214E0A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Përpara marrjes së vendimit përfundimtar, Komisioni mund ta lejojë autoritetin ose entin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të vazhdojë procedurën, kur të dhënat paraprake tregojnë se ankuesi nuk pritet të ketë sukses ose kur pezullimi cenon interesin publik, autoritetin ose entin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apo ofertuesit. Ky vlerësim bëhet nëpërmjet një urdhri të ndërmjetëm dhe përpara lidhjes së kontratës.</w:t>
      </w:r>
    </w:p>
    <w:p w14:paraId="45FC26F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Kur, përpara lidhjes së kontratës, konstatohet se një vendim ose veprim është marrë në kundërshtim me projektligjin, Komisioni mund të interpretojë rregullat dhe parimet ligjore që zbatohen për çështjen, të anulojë plotësisht ose pjesërisht vendimin apo veprimin e paligjshëm, të heqë specifikimet që bien në kundërshtim me ligjin, të urdhërojë korrigjimin e shkeljeve dhe vazhdimin e procedurës ose të urdhërojë anulimin e procedurës së dhënies së kontratës.</w:t>
      </w:r>
    </w:p>
    <w:p w14:paraId="75707F1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Pas lidhjes së kontratës, Komisioni mund të japë interpretim për rregullat ose parimet ligjore të zbatueshme dhe të marrë një vendim deklarativ, mbi bazën e të cilit gjykata mund të dëmshpërblejë ankuesin për humbjet ose dëmet e shkaktuara nga shkelja. Kur konstatohet se një punonjës i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ka kryer me dashje një shkelje që prek parimet dhe qëllimin e ligjit, Komisioni mund të bëjë kallëzim penal në organet kompetente.</w:t>
      </w:r>
    </w:p>
    <w:p w14:paraId="77C8849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55 në nenin 67. Projektligji ruan kompetencat e Komisionit të Prokurimit Publik për masat e ndërmjetme, anulimin dhe korrigjimin e vendimeve të paligjshme, anulimin e procedurës, vendimmarrjen pas lidhjes së kontratës dhe kallëzimin penal. Ndryshimi lidhet me shtrirjen e këtyre rregullave edhe ndaj veprimeve dhe vendimeve të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6294BDE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pikat 1 deri në 4 të nenit 67 lidhen me nenin 56 të Direktivës 2009/81/KE, të ndryshuar. Pikat 1 dhe 2 lidhen me pezullimin e procedurës, masat e ndërmjetme dhe vlerësimin e pasojave të tyre mbi interesat e përfshira dhe interesin publik. Pika 3 lidhet me kompetencat për korrigjimin e shkeljeve dhe anulimin e vendimeve të paligjshme përpara lidhjes së kontratës. Pika 4 lidhet me kompetencat pas lidhjes së kontratës dhe mundësinë e dëmshpërblimit të personave të dëmtuar nga shkelja.</w:t>
      </w:r>
    </w:p>
    <w:p w14:paraId="7F46F1C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 5 përbën rregullim procedural kombëtar për kallëzimin penal kur konstatohet një shkelje e qëllimshme nga punonjësi i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w:t>
      </w:r>
    </w:p>
    <w:p w14:paraId="5FB75B5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68</w:t>
      </w:r>
      <w:r w:rsidRPr="00A94DB4">
        <w:rPr>
          <w:rFonts w:ascii="Times New Roman" w:hAnsi="Times New Roman" w:cs="Times New Roman"/>
          <w:sz w:val="24"/>
          <w:szCs w:val="24"/>
        </w:rPr>
        <w:t xml:space="preserve"> përcakton vendimet që mund të marrë Komisioni i Prokurimit Publik pas përfundimit të shqyrtimit administrativ, afatin për zbatimin e tyre dhe veprimet që ndërmerren kur konstatohet një shkelje e qëllimshme nga zyrtarët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w:t>
      </w:r>
    </w:p>
    <w:p w14:paraId="18378A2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Komisioni mund të vendosë marrjen e masave për korrigjimin e shkeljes së pretenduar ose parandalimin e dëmtimit të mëtejshëm të interesave të përfshirë. Këto masa përfshijnë edhe </w:t>
      </w:r>
      <w:r w:rsidRPr="00A94DB4">
        <w:rPr>
          <w:rFonts w:ascii="Times New Roman" w:hAnsi="Times New Roman" w:cs="Times New Roman"/>
          <w:sz w:val="24"/>
          <w:szCs w:val="24"/>
        </w:rPr>
        <w:lastRenderedPageBreak/>
        <w:t xml:space="preserve">pezullimin e procedurës së prokurimit ose të zbatimit të një vendimi të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deri në marrjen e vendimit përfundimtar.</w:t>
      </w:r>
    </w:p>
    <w:p w14:paraId="25BB851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Kur konstaton se një vendim është marrë në mënyrë të paligjshme, Komisioni mund ta anulojë atë dhe të kërkojë ndryshimin e specifikimeve teknike, kritereve ekonomike ose financiare diskriminuese dhe dokumenteve të tjera të procedurës. Ai mund të vendosë edhe masa të tjera për korrigjimin e shkeljes dhe parandalimin e dëmit, përfshirë pagesën e një shume të caktuar dhe dëmshpërblimin e personave të prekur nga shkelja.</w:t>
      </w:r>
    </w:p>
    <w:p w14:paraId="25EE4A9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Komisioni vendos pushimin e shqyrtimit kur veprimet ose mosveprimet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përbëjnë shkelje të projektligjit apo të dispozitave administrative ose penale. Në këtë rast, ankuesit i bëhen të ditura me shkrim arsyet e pushimit.</w:t>
      </w:r>
    </w:p>
    <w:p w14:paraId="41AFED9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ta zbatojë vendimin e Komisionit të Prokurimit Publik brenda 10 ditëve nga data e njoftimit të tij. Kur Komisioni konstaton se një zyrtar ka kryer një shkelje të qëllimshme të projektligjit, shkelja i raportohet autoritetit ose entit përkatës.</w:t>
      </w:r>
    </w:p>
    <w:p w14:paraId="153A0A2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56 në nenin 68. Projektligji përcakton vetëm detyrimin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 zbatimin e vendimit të Komisionit brenda 10 ditëve, ndërsa ligji nr. 36/2020 parashikon edhe mundësinë e kërkimit të rishikimit të vendimit brenda këtij afati. Nuk ruhet parashikimi sipas të cilit, kur veprimet kanë sjellë pasoja, Komisioni këshillon personat e dëmtuar të paraqesin padi ose të bëjnë kallëzim penal.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zyrtarëve të tyre.</w:t>
      </w:r>
    </w:p>
    <w:p w14:paraId="6EA352C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pika 1 e nenit 68 lidhet me nenin 56 të Direktivës 2009/81/KE, të ndryshuar, për kompetencat e organit të shqyrtimit për marrjen e masave të ndërmjetme, korrigjimin e shkeljeve, anulimin e vendimeve të paligjshme dhe dëmshpërblimin e personave të dëmtuar. Detyrimi për arsyetimin me shkrim të pushimit lidhet me kërkesën për vendimmarrje të arsyetuar të organit administrativ të shqyrtimit.</w:t>
      </w:r>
    </w:p>
    <w:p w14:paraId="0AAB7E6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 2 lidhet me nenin 56 të Direktivës për garantimin e zbatimit efektiv të vendimeve të organit të shqyrtimit, ndërsa afati konkret 10-ditor për zbatimin e vendimit përbën rregullim procedural kombëtar. Pika 3 përbën rregullim procedural kombëtar për raportimin e shkeljeve të qëllimshme të kryera nga zyrtarët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w:t>
      </w:r>
    </w:p>
    <w:p w14:paraId="701BF9D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69</w:t>
      </w:r>
      <w:r w:rsidRPr="00A94DB4">
        <w:rPr>
          <w:rFonts w:ascii="Times New Roman" w:hAnsi="Times New Roman" w:cs="Times New Roman"/>
          <w:sz w:val="24"/>
          <w:szCs w:val="24"/>
        </w:rPr>
        <w:t xml:space="preserve"> rregullon publikimin vullnetar të njoftimit të transparencës paraprake për kontratat që synohen të jepen pa shpallje paraprake të njoftimit të kontratës.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mund ta publikojë këtë njoftim përpara dhënies së kontratës dhe duhet të respektojë një periudhë prej të paktën 10 ditësh kalendarike përpara lidhjes së saj. Kjo periudhë fillon pas publikimit të njoftimit dhe krijon mundësinë që vendimi për dhënien e kontratës të bëhet i njohur përpara krijimit të marrëdhënies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7C4DC76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Njoftimi duhet të përmbajë emrin dhe të dhënat e kontaktit të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përshkrimin e objektit të kontratës dhe arsyetimin e vendimit për dhënien e saj pa publikim paraprak të njoftimit të kontratës në Gazetën Zyrtare të Bashkimit Evropian. Në të identifikohet gjithashtu operatori ekonomik në favor të </w:t>
      </w:r>
      <w:proofErr w:type="spellStart"/>
      <w:r w:rsidRPr="00A94DB4">
        <w:rPr>
          <w:rFonts w:ascii="Times New Roman" w:hAnsi="Times New Roman" w:cs="Times New Roman"/>
          <w:sz w:val="24"/>
          <w:szCs w:val="24"/>
        </w:rPr>
        <w:t>të</w:t>
      </w:r>
      <w:proofErr w:type="spellEnd"/>
      <w:r w:rsidRPr="00A94DB4">
        <w:rPr>
          <w:rFonts w:ascii="Times New Roman" w:hAnsi="Times New Roman" w:cs="Times New Roman"/>
          <w:sz w:val="24"/>
          <w:szCs w:val="24"/>
        </w:rPr>
        <w:t xml:space="preserve"> cilit është marrë vendimi për dhënien e kontratës dhe, sipas rastit, përfshihet çdo informacion tjetër që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e konsideron të dobishëm.</w:t>
      </w:r>
    </w:p>
    <w:p w14:paraId="4EE7FA7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Publikimi i njoftimit në Gazetën Zyrtare të Bashkimit Evropian do të fillojë të zbatohet me anëtarësimin e Republikës së Shqipërisë në Bashkimin Evropian.</w:t>
      </w:r>
    </w:p>
    <w:p w14:paraId="3480495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Në raport me ligjin nr. 36/2020, neni 69 përbën një rregullim të ri. Ligji në fuqi, pas dispozitës për vendimet e Komisionit të Prokurimit Publik, vijon drejtpërdrejt me pavlefshmërinë e kontratave dhe nuk parashikon publikimin e një njoftimi vullnetar të transparencës përpara lidhjes së kontratës.</w:t>
      </w:r>
    </w:p>
    <w:p w14:paraId="3889C16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pika 1 e nenit 69, në pjesën që parashikon publikimin e njoftimit vullnetar dhe respektimin e periudhës së paktën 10-ditore përpara lidhjes së kontratës, lidhet me nenin 60, pika 4, të Direktivës 2009/81/KE, të ndryshuar.</w:t>
      </w:r>
    </w:p>
    <w:p w14:paraId="17CE6F5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Përmbajtja e njoftimit siguron përafrim me nenin 64 të Direktivës, për identifikimin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dhe operatorit ekonomik, përshkrimin e objektit, arsyetimin e dhënies së kontratës pa publikim paraprak dhe përfshirjen e informacioneve të tjera të dobishme. Pika 2 përbën rregullim tranzitor për fillimin e publikimit në Gazetën Zyrtare të Bashkimit Evropian me anëtarësimin e Shqipërisë në Bashkimin Evropian.</w:t>
      </w:r>
    </w:p>
    <w:p w14:paraId="6592BA1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70</w:t>
      </w:r>
      <w:r w:rsidRPr="00A94DB4">
        <w:rPr>
          <w:rFonts w:ascii="Times New Roman" w:hAnsi="Times New Roman" w:cs="Times New Roman"/>
          <w:sz w:val="24"/>
          <w:szCs w:val="24"/>
        </w:rPr>
        <w:t xml:space="preserve"> përcakton rastet kur kontrata konsiderohet e pavlefshme, afatet për paraqitjen e kërkesës, kushtet kur efektet e kontratës mund të ruhen dhe masat alternative që vendosen nga Komisioni i Prokurimit Publik.</w:t>
      </w:r>
    </w:p>
    <w:p w14:paraId="48FA01D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Kontrata konsiderohet e pavlefshme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e ka lidhur pa publikuar paraprakisht njoftimin e kontratës, në kundërshtim me projektligjin. Pavlefshmëria zbatohet gjithashtu kur shkelja e rregullave të ankimit i ka privuar personat e interesuar nga ushtrimi i kësaj të drejte, shkelja shoqërohet me një shkelje tjetër të dispozitave për dhënien e kontratës dhe ka ndikuar në mundësinë e ofertuesit ankues për ta fituar atë. Rasti i tretë lidhet me kontratat e bazuara në marrëveshje kuadër, sipas kushteve të nenit 66, pika 4.</w:t>
      </w:r>
    </w:p>
    <w:p w14:paraId="3A26384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Kërkesa për shpalljen e pavlefshmërisë paraqitet brenda 30 ditëve kalendarike nga dita pasardhëse e publikimit të njoftimit për nënshkrimin e kontratës, kur njoftimi përmban arsyetimin e dhënies së saj pa publikim paraprak. I njëjti afat zbatohet nga dita pasardhëse e njoftimit të ofertuesve dhe kandidatëve të interesuar për lidhjen e kontratës, kur njoftimi shoqërohet me përmbledhjen e arsyeve përkatëse. Në rastet e tjera, kërkesa paraqitet brenda 6 muajve nga dita pasardhëse e lidhjes së kontratës.</w:t>
      </w:r>
    </w:p>
    <w:p w14:paraId="6749D01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Komisioni i Prokurimit Publik, pas shqyrtimit të </w:t>
      </w:r>
      <w:proofErr w:type="spellStart"/>
      <w:r w:rsidRPr="00A94DB4">
        <w:rPr>
          <w:rFonts w:ascii="Times New Roman" w:hAnsi="Times New Roman" w:cs="Times New Roman"/>
          <w:sz w:val="24"/>
          <w:szCs w:val="24"/>
        </w:rPr>
        <w:t>të</w:t>
      </w:r>
      <w:proofErr w:type="spellEnd"/>
      <w:r w:rsidRPr="00A94DB4">
        <w:rPr>
          <w:rFonts w:ascii="Times New Roman" w:hAnsi="Times New Roman" w:cs="Times New Roman"/>
          <w:sz w:val="24"/>
          <w:szCs w:val="24"/>
        </w:rPr>
        <w:t xml:space="preserve"> gjitha rrethanave, mund të vendosë ruajtjen e efekteve të kontratës kur këtë e kërkojnë arsye mbizotëruese të interesit të përgjithshëm, veçanërisht interesat e mbrojtjes ose të sigurisë. Interesat ekonomikë mund të merren në konsideratë vetëm kur pavlefshmëria do të sillte pasoja </w:t>
      </w:r>
      <w:proofErr w:type="spellStart"/>
      <w:r w:rsidRPr="00A94DB4">
        <w:rPr>
          <w:rFonts w:ascii="Times New Roman" w:hAnsi="Times New Roman" w:cs="Times New Roman"/>
          <w:sz w:val="24"/>
          <w:szCs w:val="24"/>
        </w:rPr>
        <w:t>joproporcionale</w:t>
      </w:r>
      <w:proofErr w:type="spellEnd"/>
      <w:r w:rsidRPr="00A94DB4">
        <w:rPr>
          <w:rFonts w:ascii="Times New Roman" w:hAnsi="Times New Roman" w:cs="Times New Roman"/>
          <w:sz w:val="24"/>
          <w:szCs w:val="24"/>
        </w:rPr>
        <w:t>. Kostot që lidhen drejtpërdrejt me kontratën, si vonesa në zbatim, zhvillimi i një procedure të re, ndryshimi i operatorit ekonomik ose detyrimet që rrjedhin nga pavlefshmëria, nuk konsiderohen arsye mbizotëruese të interesit të përgjithshëm. Kontrata mund të ruhet edhe kur pavlefshmëria do të rrezikonte seriozisht ekzistencën e politikës së përgjithshme të mbrojtjes ose të sigurisë, thelbësore për interesat e sigurisë së shtetit.</w:t>
      </w:r>
    </w:p>
    <w:p w14:paraId="15C0C31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Kontrata mund të mos shpallet e pavlefshme edhe kur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ka vlerësuar se dhënia e saj pa publikim paraprak lejohet nga ligji, ka publikuar njoftimin vullnetar të </w:t>
      </w:r>
      <w:r w:rsidRPr="00A94DB4">
        <w:rPr>
          <w:rFonts w:ascii="Times New Roman" w:hAnsi="Times New Roman" w:cs="Times New Roman"/>
          <w:sz w:val="24"/>
          <w:szCs w:val="24"/>
        </w:rPr>
        <w:lastRenderedPageBreak/>
        <w:t>transparencës sipas nenit 69 dhe ka respektuar një afat prej të paktën 10 ditësh kalendarike nga dita pasardhëse e publikimit të njoftimit përpara lidhjes së kontratës.</w:t>
      </w:r>
    </w:p>
    <w:p w14:paraId="1F09472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Kur efektet e kontratës ruhen për arsye të interesit publik, Komisioni vendos masa alternative efektive, proporcionale dhe </w:t>
      </w:r>
      <w:proofErr w:type="spellStart"/>
      <w:r w:rsidRPr="00A94DB4">
        <w:rPr>
          <w:rFonts w:ascii="Times New Roman" w:hAnsi="Times New Roman" w:cs="Times New Roman"/>
          <w:sz w:val="24"/>
          <w:szCs w:val="24"/>
        </w:rPr>
        <w:t>shkurajuese</w:t>
      </w:r>
      <w:proofErr w:type="spellEnd"/>
      <w:r w:rsidRPr="00A94DB4">
        <w:rPr>
          <w:rFonts w:ascii="Times New Roman" w:hAnsi="Times New Roman" w:cs="Times New Roman"/>
          <w:sz w:val="24"/>
          <w:szCs w:val="24"/>
        </w:rPr>
        <w:t xml:space="preserve">, duke vlerësuar rëndësinë e shkeljes, sjelljen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dhe masën në të cilën kontrata mbetet në fuqi. Masat konsistojnë në gjobë në përpjesëtim me vlerën e kontratës, por jo më shumë se 10 për qind të saj, ose në shkurtimin e kohëzgjatjes së kontratës. Dëmshpërblimi nuk konsiderohet masë alternative.</w:t>
      </w:r>
    </w:p>
    <w:p w14:paraId="41FBC8C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57 në nenin 70. Projektligji e kushtëzon pavlefshmërinë për shkeljen e procedurave të ankimit me ekzistencën e një shkeljeje tjetër që ka ndikuar në mundësinë e ofertuesit ankues për të marrë kontratën. Shtohen afatet 30-ditore dhe 6-mujore për paraqitjen e kërkesës, të cilat nuk parashikohen në ligjin në fuqi.</w:t>
      </w:r>
    </w:p>
    <w:p w14:paraId="7351A4A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Riformulohet vlerësimi i interesit publik, duke përcaktuar arsyet mbizotëruese të interesit të përgjithshëm, trajtimin e interesave ekonomikë dhe rastet që lidhen me mbrojtjen dhe sigurinë. Shtohet përjashtimi që lidhet me publikimin e njoftimit vullnetar të transparencës dhe respektimin e afatit 10-ditor. Masat alternative përcaktohen si efektive, proporcionale dhe </w:t>
      </w:r>
      <w:proofErr w:type="spellStart"/>
      <w:r w:rsidRPr="00A94DB4">
        <w:rPr>
          <w:rFonts w:ascii="Times New Roman" w:hAnsi="Times New Roman" w:cs="Times New Roman"/>
          <w:sz w:val="24"/>
          <w:szCs w:val="24"/>
        </w:rPr>
        <w:t>shkurajuese</w:t>
      </w:r>
      <w:proofErr w:type="spellEnd"/>
      <w:r w:rsidRPr="00A94DB4">
        <w:rPr>
          <w:rFonts w:ascii="Times New Roman" w:hAnsi="Times New Roman" w:cs="Times New Roman"/>
          <w:sz w:val="24"/>
          <w:szCs w:val="24"/>
        </w:rPr>
        <w:t xml:space="preserve">, vendoset kufiri maksimal i gjobës prej 10 për qind dhe sqarohet se dëmshpërblimi nuk përbën masë alternative.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1E265CE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pika 1 e nenit 70 lidhet me nenin 60, pika 1, të Direktivës 2009/81/KE, të ndryshuar, për rastet e pavlefshmërisë që lidhen me mungesën e publikimit paraprak, cenimin e mjeteve juridike para lidhjes së kontratës dhe kontratat e bazuara në marrëveshje kuadër.</w:t>
      </w:r>
    </w:p>
    <w:p w14:paraId="40C6F9A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Pika 2 lidhet me nenin 62 të Direktivës, për afatin 30-ditor dhe afatin maksimal 6-mujor për paraqitjen e kërkesës. Pikat 3 dhe 4 lidhen me nenin 60, pikat 3 dhe 4, për ruajtjen e efekteve të kontratës për arsye mbizotëruese të interesit të përgjithshëm dhe për rastin e publikimit të njoftimit vullnetar të transparencës të shoqëruar me periudhën 10-ditore.</w:t>
      </w:r>
    </w:p>
    <w:p w14:paraId="2C63B56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 5 lidhet me nenin 61 të Direktivës, për vendosjen e masave alternative efektive, proporcionale dhe </w:t>
      </w:r>
      <w:proofErr w:type="spellStart"/>
      <w:r w:rsidRPr="00A94DB4">
        <w:rPr>
          <w:rFonts w:ascii="Times New Roman" w:hAnsi="Times New Roman" w:cs="Times New Roman"/>
          <w:sz w:val="24"/>
          <w:szCs w:val="24"/>
        </w:rPr>
        <w:t>shkurajuese</w:t>
      </w:r>
      <w:proofErr w:type="spellEnd"/>
      <w:r w:rsidRPr="00A94DB4">
        <w:rPr>
          <w:rFonts w:ascii="Times New Roman" w:hAnsi="Times New Roman" w:cs="Times New Roman"/>
          <w:sz w:val="24"/>
          <w:szCs w:val="24"/>
        </w:rPr>
        <w:t xml:space="preserve">, në formën e gjobës ose shkurtimit të kohëzgjatjes së kontratës, si dhe për </w:t>
      </w:r>
      <w:proofErr w:type="spellStart"/>
      <w:r w:rsidRPr="00A94DB4">
        <w:rPr>
          <w:rFonts w:ascii="Times New Roman" w:hAnsi="Times New Roman" w:cs="Times New Roman"/>
          <w:sz w:val="24"/>
          <w:szCs w:val="24"/>
        </w:rPr>
        <w:t>moskonsiderimin</w:t>
      </w:r>
      <w:proofErr w:type="spellEnd"/>
      <w:r w:rsidRPr="00A94DB4">
        <w:rPr>
          <w:rFonts w:ascii="Times New Roman" w:hAnsi="Times New Roman" w:cs="Times New Roman"/>
          <w:sz w:val="24"/>
          <w:szCs w:val="24"/>
        </w:rPr>
        <w:t xml:space="preserve"> e dëmshpërblimit si masë alternative. Kufiri maksimal i gjobës prej 10 për qind përbën rregullim procedural kombëtar.</w:t>
      </w:r>
    </w:p>
    <w:p w14:paraId="0832624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71</w:t>
      </w:r>
      <w:r w:rsidRPr="00A94DB4">
        <w:rPr>
          <w:rFonts w:ascii="Times New Roman" w:hAnsi="Times New Roman" w:cs="Times New Roman"/>
          <w:sz w:val="24"/>
          <w:szCs w:val="24"/>
        </w:rPr>
        <w:t xml:space="preserve"> rregullon kontrollin administrativ të procedurave të prokurimit në fushën e mbrojtjes dhe të sigurisë pas nënshkrimit të kontratës. Autoriteti i Prokurimit Publik verifikon zbatimin e procedurës brenda një afati që, në çdo rast, nuk mund të jetë më i gjatë se 3 vjet nga data e nënshkrimit të kontratës.</w:t>
      </w:r>
    </w:p>
    <w:p w14:paraId="0FF0B99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Gjatë hetimit administrativ, Autoriteti i Prokurimit Publik mund t’u kërkojë autoriteteve ose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që kanë zhvilluar procedurën informacion, shpjegime dhe materialet e nevojshme që lidhen me objektin e hetimit. Ushtrimi i kësaj kompetence bëhet në përputhje me legjislacionin përkatës në fushën e mbrojtjes dhe të sigurisë.</w:t>
      </w:r>
    </w:p>
    <w:p w14:paraId="210CF5D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Autoriteti i Prokurimit Publik cakton afatin brenda të cilit duhet të jepet përgjigjja ose të dorëzohen dokumentet e kërkuara. Përcaktimi i afatit bëhet sipas legjislacionit që rregullon procedurat administrative dhe legjislacionit të posaçëm në fushën e mbrojtjes dhe të sigurisë.</w:t>
      </w:r>
    </w:p>
    <w:p w14:paraId="093F984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njoftojë personat përgjegjës që përfshihen në hetimin administrativ të nisur nga Autoriteti i Prokurimit Publik dhe të dokumentojë kryerjen e këtij njoftimi. Kjo siguron marrjen dijeni nga personat e përfshirë dhe dokumentimin e veprimeve procedurale të kryera gjatë hetimit.</w:t>
      </w:r>
    </w:p>
    <w:p w14:paraId="67C2134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Gjatë gjithë procedurës së hetimit administrativ duhet të respektohen detyrimet ligjore për trajtimin e informacionit të klasifikuar. Ky detyrim zbatohet gjatë kërkimit, marrjes, administrimit dhe shqyrtimit të informacionit ose dokumentacionit që lidhet me procedurën e hetuar.</w:t>
      </w:r>
    </w:p>
    <w:p w14:paraId="1B6AF7D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58 në nenin 71. Projektligji ruan afatin maksimal 3-vjeçar, kompetencat për kërkimin e informacionit dhe dokumentacionit, caktimin e afateve, njoftimin e personave përgjegjës dhe detyrimin për mbrojtjen e informacionit të klasifikuar. Ndryshimet lidhen me emërtimin e organit përgjegjës si Autoriteti i Prokurimit Publik dhe me shtrirjen e detyrimeve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71B3CE6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Neni 71 përbën rregullim procedural kombëtar për kontrollin administrativ pas nënshkrimit të kontratës, kompetencat hetimore të Autoritetit të Prokurimit Publik, bashkëpunimin e autoriteteve 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administrimin e informacionit të klasifikuar.</w:t>
      </w:r>
    </w:p>
    <w:p w14:paraId="1A01F53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72</w:t>
      </w:r>
      <w:r w:rsidRPr="00A94DB4">
        <w:rPr>
          <w:rFonts w:ascii="Times New Roman" w:hAnsi="Times New Roman" w:cs="Times New Roman"/>
          <w:sz w:val="24"/>
          <w:szCs w:val="24"/>
        </w:rPr>
        <w:t xml:space="preserve"> përcakton vendimet që mund të marrë Autoriteti i Prokurimit Publik pas përfundimit të hetimit administrativ.</w:t>
      </w:r>
    </w:p>
    <w:p w14:paraId="5829615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Autoriteti mbyll hetimin kur veprimet ose mosveprimet e autoritetit apo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nuk përbëjnë shkelje të projektligjit. Kur gjatë hetimit konstatohen shkelje, ai mund të propozojë marrjen e masës disiplinore ose të vendosë gjobë sipas nenit 76 të projektligjit.</w:t>
      </w:r>
    </w:p>
    <w:p w14:paraId="468884C6"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Palët njoftohen me shkrim për vendimin e marrë.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t’ua komunikojë vendimin personave përgjegjës të përfshirë në hetimin administrativ dhe të dokumentojë kryerjen e njoftimit.</w:t>
      </w:r>
    </w:p>
    <w:p w14:paraId="7E5A79E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59 në nenin 72. Projektligji ruan alternativat e mbylljes së hetimit, propozimit të masës disiplinore ose vendosjes së gjobës, si dhe detyrimin për njoftimin me shkrim të palëve dhe personave përgjegjës. Ndryshimet lidhen me emërtimin e organit përgjegjës si Autoriteti i Prokurimit Publik, shtrirjen e rregullimit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referimin e masave te neni 76 i projektligjit.</w:t>
      </w:r>
    </w:p>
    <w:p w14:paraId="70040BF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Neni 72 përbën rregullim procedural kombëtar për përfundimin e hetimit administrativ, vendimmarrjen e Autoritetit të Prokurimit Publik, marrjen e masave për shkeljet e konstatuara dhe njoftimin e subjekteve të përfshira.</w:t>
      </w:r>
    </w:p>
    <w:p w14:paraId="664C6D5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73</w:t>
      </w:r>
      <w:r w:rsidRPr="00A94DB4">
        <w:rPr>
          <w:rFonts w:ascii="Times New Roman" w:hAnsi="Times New Roman" w:cs="Times New Roman"/>
          <w:sz w:val="24"/>
          <w:szCs w:val="24"/>
        </w:rPr>
        <w:t xml:space="preserve"> përcakton detyrimin për bashkëpunim gjatë hetimit administrativ. Nëpunësi civil, funksionari dhe autoriteti ose enti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duhet të japin informacionin dhe të paraqesin </w:t>
      </w:r>
      <w:r w:rsidRPr="00A94DB4">
        <w:rPr>
          <w:rFonts w:ascii="Times New Roman" w:hAnsi="Times New Roman" w:cs="Times New Roman"/>
          <w:sz w:val="24"/>
          <w:szCs w:val="24"/>
        </w:rPr>
        <w:lastRenderedPageBreak/>
        <w:t>dokumentacionin që lidhet me procedurën nën hetim, duke respektuar legjislacionin në fushën e mbrojtjes dhe të sigurisë.</w:t>
      </w:r>
    </w:p>
    <w:p w14:paraId="1D0B24E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Refuzimi për të përmbushur këtë detyrim përbën shkak që Komisioni i Prokurimit Publik ose Autoriteti i Prokurimit Publik të kërkojë marrjen e masave disiplinore ndaj personave përgjegjës. Dispozita synon të sigurojë administrimin e plotë të informacionit dhe dokumentacionit të nevojshëm për zhvillimin e hetimit administrativ.</w:t>
      </w:r>
    </w:p>
    <w:p w14:paraId="4F948A2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60 në nenin 73. Projektligji ruan detyrimin për bashkëpunim dhe pasojën disiplinore të refuzimit, ndërsa rregullimi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dhe emërtimi “Agjencia e Prokurimit Publik” zëvendësohet me “Autoriteti i Prokurimit Publik”.</w:t>
      </w:r>
    </w:p>
    <w:p w14:paraId="10844C17"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Neni 73 përbën rregullim procedural kombëtar për sigurimin e bashkëpunimit gjatë hetimit administrativ dhe kërkimin e masave disiplinore në rast refuzimi për të dhënë informacion ose dokumentacion.</w:t>
      </w:r>
    </w:p>
    <w:p w14:paraId="3E67CCF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74</w:t>
      </w:r>
      <w:r w:rsidRPr="00A94DB4">
        <w:rPr>
          <w:rFonts w:ascii="Times New Roman" w:hAnsi="Times New Roman" w:cs="Times New Roman"/>
          <w:sz w:val="24"/>
          <w:szCs w:val="24"/>
        </w:rPr>
        <w:t xml:space="preserve"> përcakton detyrimin e Autoritetit të Prokurimit Publik për përgatitjen dhe transmetimin e raportit statistikor vjetor pranë Komisionit Evropian. Raporti synon të mundësojë vlerësimin e rezultateve të zbatimit të ligjit dhe përfshin kontratat e furnizimit, shërbimeve dhe punëve të dhëna nga autoritetet dhe entet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gjatë vitit paraardhës. Përmbajtja e tij hartohet në përputhje me nenin 75 të projektligjit.</w:t>
      </w:r>
    </w:p>
    <w:p w14:paraId="2F3026C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Raporti duhet t’i transmetohet Komisionit Evropian jo më vonë se data 31 tetor e çdo viti. Detyrimi për përgatitjen dhe dërgimin e tij fillon të zbatohet nga data e anëtarësimit të Republikës së Shqipërisë në Bashkimin Evropian.</w:t>
      </w:r>
    </w:p>
    <w:p w14:paraId="654C9FD2"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Në raport me ligjin nr. 36/2020, neni 74 përbën një rregullim të ri. Ligji në fuqi nuk parashikon detyrimin për përgatitjen dhe transmetimin e një raporti statistikor vjetor pranë Komisionit Evropian, pasi pas dispozitave për hetimin administrativ vijon me kundërvajtjet administrative dhe dispozitat e fundit.</w:t>
      </w:r>
    </w:p>
    <w:p w14:paraId="479C1AF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74 siguron përafrim të plotë me nenin 65 të Direktivës 2009/81/KE, të ndryshuar, për detyrimin e transmetimit pranë Komisionit Evropian, jo më vonë se data 31 tetor e çdo viti, të raportit statistikor për kontratat e furnizimit, shërbimeve dhe punëve të dhëna gjatë vitit paraardhës. Parashikimi që ky detyrim zbatohet nga data e anëtarësimit të Shqipërisë në Bashkimin Evropian përbën rregullim tranzitor kombëtar.</w:t>
      </w:r>
    </w:p>
    <w:p w14:paraId="4AC39A9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75</w:t>
      </w:r>
      <w:r w:rsidRPr="00A94DB4">
        <w:rPr>
          <w:rFonts w:ascii="Times New Roman" w:hAnsi="Times New Roman" w:cs="Times New Roman"/>
          <w:sz w:val="24"/>
          <w:szCs w:val="24"/>
        </w:rPr>
        <w:t xml:space="preserve"> përcakton përmbajtjen e raportit statistikor që Autoriteti i Prokurimit Publik i transmeton Komisionit Evropian sipas nenit 74 të projektligjit.</w:t>
      </w:r>
    </w:p>
    <w:p w14:paraId="4D0DC441"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Raporti duhet të përmbajë numrin dhe vlerën e kontratave të dhëna, të klasifikuara sipas shtetit anëtar të Bashkimit Evropian ose shtetit të tretë ku është vendosur ofertuesi fitues. Të dhënat paraqiten veçmas për kontratat e furnizimit, kontratat e shërbimeve dhe kontratat e punëve.</w:t>
      </w:r>
    </w:p>
    <w:p w14:paraId="242EDD1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Të dhënat ndahen më tej sipas llojit të procedurës së prokurimit të përdorur. Për çdo procedurë identifikohen furnizimet, shërbimet dhe punët sipas grupeve përkatëse të Fjalorit të Përbashkët të Prokurimit. Kur kontrata është dhënë nëpërmjet procedurës me negocim pa shpallje </w:t>
      </w:r>
      <w:r w:rsidRPr="00A94DB4">
        <w:rPr>
          <w:rFonts w:ascii="Times New Roman" w:hAnsi="Times New Roman" w:cs="Times New Roman"/>
          <w:sz w:val="24"/>
          <w:szCs w:val="24"/>
        </w:rPr>
        <w:lastRenderedPageBreak/>
        <w:t>paraprake të njoftimit të kontratës, informacioni klasifikohet edhe sipas rrethanave ligjore që kanë justifikuar përdorimin e kësaj procedure, të përcaktuara në nenin 29 të projektligjit.</w:t>
      </w:r>
    </w:p>
    <w:p w14:paraId="34E3746C"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Në raport me ligjin nr. 36/2020, neni 75 përbën një rregullim të ri. Ligji në fuqi nuk parashikon përmbajtjen dhe mënyrën e strukturimit të një raporti statistikor për kontratat në fushën e mbrojtjes dhe të sigurisë, pasi pas dispozitave për hetimin administrativ vijon me kundërvajtjet administrative dhe dispozitat përfundimtare.</w:t>
      </w:r>
    </w:p>
    <w:p w14:paraId="14F62343"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sa i përket përafrimit me legjislacionin e Bashkimit Evropian, neni 75 siguron përafrim të plotë me nenin 66 të Direktivës 2009/81/KE, të ndryshuar, për paraqitjen në raport të numrit dhe vlerës së kontratave sipas vendit ku është vendosur ofertuesi fitues, ndarjen ndërmjet kontratave të furnizimit, shërbimeve dhe punëve, klasifikimin sipas procedurës së përdorur dhe grupeve të Fjalorit të Përbashkët të Prokurimit, si dhe evidentimin e rrethanave përkatëse kur përdoret procedura me negocim pa shpallje paraprake.</w:t>
      </w:r>
    </w:p>
    <w:p w14:paraId="41B3748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76</w:t>
      </w:r>
      <w:r w:rsidRPr="00A94DB4">
        <w:rPr>
          <w:rFonts w:ascii="Times New Roman" w:hAnsi="Times New Roman" w:cs="Times New Roman"/>
          <w:sz w:val="24"/>
          <w:szCs w:val="24"/>
        </w:rPr>
        <w:t xml:space="preserve"> përcakton përgjegjësinë administrative të personave përgjegjës për shkeljen e detyrimeve të parashikuara në projektligj. Kur shkelja nuk përbën vepër penale, ajo cilësohet kundërvajtje administrative dhe dënohet me gjobë brenda intervalit të përcaktuar për secilin rast.</w:t>
      </w:r>
    </w:p>
    <w:p w14:paraId="1C89C81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 1 lidh përgjegjësinë administrative me </w:t>
      </w:r>
      <w:proofErr w:type="spellStart"/>
      <w:r w:rsidRPr="00A94DB4">
        <w:rPr>
          <w:rFonts w:ascii="Times New Roman" w:hAnsi="Times New Roman" w:cs="Times New Roman"/>
          <w:sz w:val="24"/>
          <w:szCs w:val="24"/>
        </w:rPr>
        <w:t>mospërmbushjen</w:t>
      </w:r>
      <w:proofErr w:type="spellEnd"/>
      <w:r w:rsidRPr="00A94DB4">
        <w:rPr>
          <w:rFonts w:ascii="Times New Roman" w:hAnsi="Times New Roman" w:cs="Times New Roman"/>
          <w:sz w:val="24"/>
          <w:szCs w:val="24"/>
        </w:rPr>
        <w:t xml:space="preserve"> e detyrimeve të përcaktuara në dispozitat për fushën e zbatimit dhe kontratat e përziera, fshehtësinë e procesit dhe sigurinë e informacionit të klasifikuar, specifikimet teknike, përllogaritjen e vlerës së kontratës, ftesën për ofertë dhe njoftimet e prokurimit. Gjithashtu, përgjegjësia shtrihet ndaj shkeljeve që lidhen me afatet e procedurës, informacionin për kandidatët dhe ofertuesit, administrimin e procesverbaleve, kriteret e kualifikimit dhe </w:t>
      </w:r>
      <w:proofErr w:type="spellStart"/>
      <w:r w:rsidRPr="00A94DB4">
        <w:rPr>
          <w:rFonts w:ascii="Times New Roman" w:hAnsi="Times New Roman" w:cs="Times New Roman"/>
          <w:sz w:val="24"/>
          <w:szCs w:val="24"/>
        </w:rPr>
        <w:t>skualifikimit</w:t>
      </w:r>
      <w:proofErr w:type="spellEnd"/>
      <w:r w:rsidRPr="00A94DB4">
        <w:rPr>
          <w:rFonts w:ascii="Times New Roman" w:hAnsi="Times New Roman" w:cs="Times New Roman"/>
          <w:sz w:val="24"/>
          <w:szCs w:val="24"/>
        </w:rPr>
        <w:t xml:space="preserve">, shqyrtimin e ofertave, ofertat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të ulëta dhe procedurën e ankimit administrativ.</w:t>
      </w:r>
    </w:p>
    <w:p w14:paraId="6CCEEA68"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Për secilën nga këto shkelje përcaktohet një interval i posaçëm gjobe, i cili </w:t>
      </w:r>
      <w:proofErr w:type="spellStart"/>
      <w:r w:rsidRPr="00A94DB4">
        <w:rPr>
          <w:rFonts w:ascii="Times New Roman" w:hAnsi="Times New Roman" w:cs="Times New Roman"/>
          <w:sz w:val="24"/>
          <w:szCs w:val="24"/>
        </w:rPr>
        <w:t>varion</w:t>
      </w:r>
      <w:proofErr w:type="spellEnd"/>
      <w:r w:rsidRPr="00A94DB4">
        <w:rPr>
          <w:rFonts w:ascii="Times New Roman" w:hAnsi="Times New Roman" w:cs="Times New Roman"/>
          <w:sz w:val="24"/>
          <w:szCs w:val="24"/>
        </w:rPr>
        <w:t xml:space="preserve"> nga 20 000 deri në 500 000 lekë, në varësi të detyrimit të </w:t>
      </w:r>
      <w:proofErr w:type="spellStart"/>
      <w:r w:rsidRPr="00A94DB4">
        <w:rPr>
          <w:rFonts w:ascii="Times New Roman" w:hAnsi="Times New Roman" w:cs="Times New Roman"/>
          <w:sz w:val="24"/>
          <w:szCs w:val="24"/>
        </w:rPr>
        <w:t>papërmbushur</w:t>
      </w:r>
      <w:proofErr w:type="spellEnd"/>
      <w:r w:rsidRPr="00A94DB4">
        <w:rPr>
          <w:rFonts w:ascii="Times New Roman" w:hAnsi="Times New Roman" w:cs="Times New Roman"/>
          <w:sz w:val="24"/>
          <w:szCs w:val="24"/>
        </w:rPr>
        <w:t>. Masa konkrete e gjobës caktohet në raport me vlerën e përllogaritur të kontratës dhe sipas përcaktimeve të rregullave të prokurimit në fushën e mbrojtjes dhe të sigurisë, të miratuara me vendim të Këshillit të Ministrave.</w:t>
      </w:r>
    </w:p>
    <w:p w14:paraId="59038ADF"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Gjoba vendoset nga Autoriteti i Prokurimit Publik. Masa konkrete e saj caktohet në raport me vlerën e përllogaritur të kontratës dhe sipas rregullave të prokurimit në fushën e mbrojtjes dhe të sigurisë, të miratuara me vendim të Këshillit të Ministrave. Ky rregull mundëson individualizimin e gjobës brenda kufijve të përcaktuar në pikën 1.</w:t>
      </w:r>
    </w:p>
    <w:p w14:paraId="77F366D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Për shkeljet e dispozitave të projektligjit që nuk shoqërohen me vendosjen e gjobës, kërkohet marrja e masave disiplinore ndaj personave përgjegjës. Kjo zbatohet si për rastet e përmendura në pikën 1, ashtu edhe për shkelje të tjera të dispozitave të projektligjit.</w:t>
      </w:r>
    </w:p>
    <w:p w14:paraId="4FBD8AD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Personat e interesuar kanë të drejtë ta </w:t>
      </w:r>
      <w:proofErr w:type="spellStart"/>
      <w:r w:rsidRPr="00A94DB4">
        <w:rPr>
          <w:rFonts w:ascii="Times New Roman" w:hAnsi="Times New Roman" w:cs="Times New Roman"/>
          <w:sz w:val="24"/>
          <w:szCs w:val="24"/>
        </w:rPr>
        <w:t>ankimojnë</w:t>
      </w:r>
      <w:proofErr w:type="spellEnd"/>
      <w:r w:rsidRPr="00A94DB4">
        <w:rPr>
          <w:rFonts w:ascii="Times New Roman" w:hAnsi="Times New Roman" w:cs="Times New Roman"/>
          <w:sz w:val="24"/>
          <w:szCs w:val="24"/>
        </w:rPr>
        <w:t xml:space="preserve"> vendimin për dënimin me gjobë në gjykatën kompetente. Paraqitja e ankimit pezullon pagimin e gjobës deri në dhënien e vendimit gjyqësor të formës së prerë. Vjelja e gjobës është përgjegjësi e autoritetit ose entit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w:t>
      </w:r>
    </w:p>
    <w:p w14:paraId="35854030"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Në raport me ligjin nr. 36/2020, dispozita zhvendoset dhe </w:t>
      </w:r>
      <w:proofErr w:type="spellStart"/>
      <w:r w:rsidRPr="00A94DB4">
        <w:rPr>
          <w:rFonts w:ascii="Times New Roman" w:hAnsi="Times New Roman" w:cs="Times New Roman"/>
          <w:sz w:val="24"/>
          <w:szCs w:val="24"/>
        </w:rPr>
        <w:t>rinumërtohet</w:t>
      </w:r>
      <w:proofErr w:type="spellEnd"/>
      <w:r w:rsidRPr="00A94DB4">
        <w:rPr>
          <w:rFonts w:ascii="Times New Roman" w:hAnsi="Times New Roman" w:cs="Times New Roman"/>
          <w:sz w:val="24"/>
          <w:szCs w:val="24"/>
        </w:rPr>
        <w:t xml:space="preserve"> nga neni 61 në nenin 76. Ruhet skema e përgjegjësisë administrative, duke përfshirë cilësimin e shkeljes si </w:t>
      </w:r>
      <w:r w:rsidRPr="00A94DB4">
        <w:rPr>
          <w:rFonts w:ascii="Times New Roman" w:hAnsi="Times New Roman" w:cs="Times New Roman"/>
          <w:sz w:val="24"/>
          <w:szCs w:val="24"/>
        </w:rPr>
        <w:lastRenderedPageBreak/>
        <w:t>kundërvajtje kur ajo nuk përbën vepër penale, intervalet e gjobave, kompetencën e organit të prokurimit për vendosjen e tyre, përcaktimin e masës në raport me vlerën e kontratës, masat disiplinore, ankimin gjyqësor dhe pezullimin e pagimit të gjobës.</w:t>
      </w:r>
    </w:p>
    <w:p w14:paraId="53FC4D99"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përcakton rastet e kundërvajtjeve administrative nëpërmjet referimit te dispozitat përkatëse, </w:t>
      </w:r>
      <w:proofErr w:type="spellStart"/>
      <w:r w:rsidRPr="00A94DB4">
        <w:rPr>
          <w:rFonts w:ascii="Times New Roman" w:hAnsi="Times New Roman" w:cs="Times New Roman"/>
          <w:sz w:val="24"/>
          <w:szCs w:val="24"/>
        </w:rPr>
        <w:t>mospërmbushja</w:t>
      </w:r>
      <w:proofErr w:type="spellEnd"/>
      <w:r w:rsidRPr="00A94DB4">
        <w:rPr>
          <w:rFonts w:ascii="Times New Roman" w:hAnsi="Times New Roman" w:cs="Times New Roman"/>
          <w:sz w:val="24"/>
          <w:szCs w:val="24"/>
        </w:rPr>
        <w:t xml:space="preserve"> e të cilave dënohet me gjobë. Emërtimi ‘Agjencia e Prokurimit Publik’ zëvendësohet me ‘Autoriteti i Prokurimit Publik’, ndërsa përgjegjësia për vjeljen e gjobave shtrihet edhe ndaj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1139D07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Neni 76 përbën rregullim kombëtar për kundërvajtjet administrative, përcaktimin dhe individualizimin e gjobave, masat disiplinore, ankimin gjyqësor dhe vjeljen e gjobave.</w:t>
      </w:r>
    </w:p>
    <w:p w14:paraId="71FEE53A"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77</w:t>
      </w:r>
      <w:r w:rsidRPr="00A94DB4">
        <w:rPr>
          <w:rFonts w:ascii="Times New Roman" w:hAnsi="Times New Roman" w:cs="Times New Roman"/>
          <w:sz w:val="24"/>
          <w:szCs w:val="24"/>
        </w:rPr>
        <w:t xml:space="preserve"> ngarkon Këshillin e Ministrave me nxjerrjen e akteve nënligjore të nevojshme për zbatimin e projektligjit. Këto akte duhet të miratohen brenda 6 muajve nga hyrja në fuqi e ligjit, duke përcaktuar kështu organin kompetent dhe afatin për plotësimin e kuadrit rregullator.</w:t>
      </w:r>
    </w:p>
    <w:p w14:paraId="5AACE245"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Aktet nënligjore do të nxirren për çështjet e deleguara shprehimisht në pikat e dispozitave të renditura në nenin 77.</w:t>
      </w:r>
    </w:p>
    <w:p w14:paraId="3571692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78</w:t>
      </w:r>
      <w:r w:rsidRPr="00A94DB4">
        <w:rPr>
          <w:rFonts w:ascii="Times New Roman" w:hAnsi="Times New Roman" w:cs="Times New Roman"/>
          <w:sz w:val="24"/>
          <w:szCs w:val="24"/>
        </w:rPr>
        <w:t xml:space="preserve"> rregullon kalimin nga kuadri aktual ligjor dhe nënligjor në regjimin e ri të prokurimeve në fushën e mbrojtjes dhe të sigurisë. Aktet nënligjore ekzistuese do të vazhdojnë të zbatohen deri në nxjerrjen e akteve të reja nënligjore, por vetëm për aq kohë sa nuk bien në kundërshtim me projektligjin. Ky rregull garanton vijimësinë e zbatimit të procedurave dhe shmang krijimin e një boshllëku rregullator gjatë periudhës së hartimit të akteve të reja. </w:t>
      </w:r>
    </w:p>
    <w:p w14:paraId="5ADCC3B4"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Procedurat e prokurimit të nisura përpara hyrjes në fuqi të ligjit do të vazhdojnë sipas dispozitave ligjore dhe nënligjore që kanë qenë në fuqi në momentin e fillimit të tyre. Në këtë mënyrë, regjimi juridik i procedurës përcaktohet nga legjislacioni në fuqi në çastin e nisjes së saj dhe nuk ndryshon gjatë zhvillimit të procedurës.</w:t>
      </w:r>
    </w:p>
    <w:p w14:paraId="624CC0DB"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Dispozita parashikon gjithashtu shfuqizimin e çdo akti tjetër nënligjor që bie në kundërshtim me ligjin e ri, duke siguruar përputhjen e kuadrit nënligjor me rregullimet e reja. </w:t>
      </w:r>
    </w:p>
    <w:p w14:paraId="358F840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79</w:t>
      </w:r>
      <w:r w:rsidRPr="00A94DB4">
        <w:rPr>
          <w:rFonts w:ascii="Times New Roman" w:hAnsi="Times New Roman" w:cs="Times New Roman"/>
          <w:sz w:val="24"/>
          <w:szCs w:val="24"/>
        </w:rPr>
        <w:t xml:space="preserve"> parashikon shfuqizimin e ligjit nr. 36, datë 16.4.2020, “Për prokurimet në fushën e mbrojtjes dhe të sigurisë”. </w:t>
      </w:r>
    </w:p>
    <w:p w14:paraId="5DC9AF2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b/>
          <w:bCs/>
          <w:sz w:val="24"/>
          <w:szCs w:val="24"/>
        </w:rPr>
        <w:t>Neni 80</w:t>
      </w:r>
      <w:r w:rsidRPr="00A94DB4">
        <w:rPr>
          <w:rFonts w:ascii="Times New Roman" w:hAnsi="Times New Roman" w:cs="Times New Roman"/>
          <w:sz w:val="24"/>
          <w:szCs w:val="24"/>
        </w:rPr>
        <w:t xml:space="preserve"> përcakton momentin e hyrjes në fuqi dhe fillimin e efekteve juridike të ligjit. Ligji hyn në fuqi 15 ditë pas botimit në Fletoren Zyrtare, ndërsa fillon të prodhojë efekte 6 muaj pas hyrjes në fuqi. Periudha 6-mujore krijon kohën e nevojshme për nxjerrjen e akteve nënligjore, përshtatjen e procedurave dhe përgatitjen e autoriteteve dhe enteve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për zbatimin e kuadrit të ri. </w:t>
      </w:r>
    </w:p>
    <w:p w14:paraId="1D5243FE"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t xml:space="preserve">Pika 2 përcakton se disa dispozita, zbatimi i të cilave lidhet me anëtarësimin e Republikës së Shqipërisë në Bashkimin Evropian, do të fillojnë të zbatohen nga data e anëtarësimit. Këtu përfshihen detyrimet për njoftimin e Komisionit Evropian në lidhje me programet e bashkëpunimit ndërshtetëror për kërkimin dhe zhvillimin, dërgimin dhe publikimin e njoftimeve sipas formateve dhe standardeve të Bashkimit Evropian, si dhe komunikimin e procesverbaleve Komisionit Evropian. </w:t>
      </w:r>
    </w:p>
    <w:p w14:paraId="7807174D" w14:textId="77777777" w:rsidR="00B87429" w:rsidRPr="00A94DB4" w:rsidRDefault="00B87429" w:rsidP="00B87429">
      <w:pPr>
        <w:jc w:val="both"/>
        <w:rPr>
          <w:rFonts w:ascii="Times New Roman" w:hAnsi="Times New Roman" w:cs="Times New Roman"/>
          <w:sz w:val="24"/>
          <w:szCs w:val="24"/>
        </w:rPr>
      </w:pPr>
      <w:r w:rsidRPr="00A94DB4">
        <w:rPr>
          <w:rFonts w:ascii="Times New Roman" w:hAnsi="Times New Roman" w:cs="Times New Roman"/>
          <w:sz w:val="24"/>
          <w:szCs w:val="24"/>
        </w:rPr>
        <w:lastRenderedPageBreak/>
        <w:t xml:space="preserve">Nga data e anëtarësimit do të zbatohen gjithashtu detyrimi për të informuar Komisionin Evropian kur një ofertë </w:t>
      </w:r>
      <w:proofErr w:type="spellStart"/>
      <w:r w:rsidRPr="00A94DB4">
        <w:rPr>
          <w:rFonts w:ascii="Times New Roman" w:hAnsi="Times New Roman" w:cs="Times New Roman"/>
          <w:sz w:val="24"/>
          <w:szCs w:val="24"/>
        </w:rPr>
        <w:t>anomalisht</w:t>
      </w:r>
      <w:proofErr w:type="spellEnd"/>
      <w:r w:rsidRPr="00A94DB4">
        <w:rPr>
          <w:rFonts w:ascii="Times New Roman" w:hAnsi="Times New Roman" w:cs="Times New Roman"/>
          <w:sz w:val="24"/>
          <w:szCs w:val="24"/>
        </w:rPr>
        <w:t xml:space="preserve"> e ulët refuzohet për shkak të ndihmës shtetërore, publikimi në Gazetën Zyrtare të Bashkimit Evropian i njoftimit vullnetar të transparencës dhe detyrimet për përgatitjen dhe transmetimin e raporteve statistikore vjetore. </w:t>
      </w:r>
    </w:p>
    <w:p w14:paraId="00F24B35" w14:textId="00FDB27A" w:rsidR="00346BCC" w:rsidRPr="00A94DB4" w:rsidRDefault="00346BCC" w:rsidP="00A5352C">
      <w:pPr>
        <w:tabs>
          <w:tab w:val="left" w:pos="360"/>
        </w:tabs>
        <w:autoSpaceDE w:val="0"/>
        <w:autoSpaceDN w:val="0"/>
        <w:adjustRightInd w:val="0"/>
        <w:spacing w:after="0"/>
        <w:jc w:val="both"/>
        <w:rPr>
          <w:rFonts w:ascii="Times New Roman" w:hAnsi="Times New Roman" w:cs="Times New Roman"/>
          <w:b/>
          <w:bCs/>
          <w:sz w:val="24"/>
          <w:szCs w:val="24"/>
        </w:rPr>
      </w:pPr>
    </w:p>
    <w:p w14:paraId="6A3BD20B" w14:textId="77777777" w:rsidR="008C7A9C" w:rsidRPr="00A94DB4" w:rsidRDefault="008C7A9C" w:rsidP="00A5352C">
      <w:pPr>
        <w:pStyle w:val="ListParagraph"/>
        <w:numPr>
          <w:ilvl w:val="0"/>
          <w:numId w:val="1"/>
        </w:numPr>
        <w:spacing w:after="0"/>
        <w:ind w:left="709" w:hanging="709"/>
        <w:jc w:val="both"/>
        <w:rPr>
          <w:rFonts w:ascii="Times New Roman" w:hAnsi="Times New Roman" w:cs="Times New Roman"/>
          <w:b/>
          <w:bCs/>
          <w:sz w:val="24"/>
          <w:szCs w:val="24"/>
        </w:rPr>
      </w:pPr>
      <w:r w:rsidRPr="00A94DB4">
        <w:rPr>
          <w:rFonts w:ascii="Times New Roman" w:hAnsi="Times New Roman" w:cs="Times New Roman"/>
          <w:b/>
          <w:bCs/>
          <w:sz w:val="24"/>
          <w:szCs w:val="24"/>
        </w:rPr>
        <w:t xml:space="preserve">INSTITUCIONET DHE ORGANET QË NGARKOHEN PËR ZBATIMIN E </w:t>
      </w:r>
      <w:r w:rsidR="006D048D" w:rsidRPr="00A94DB4">
        <w:rPr>
          <w:rFonts w:ascii="Times New Roman" w:hAnsi="Times New Roman" w:cs="Times New Roman"/>
          <w:b/>
          <w:bCs/>
          <w:sz w:val="24"/>
          <w:szCs w:val="24"/>
        </w:rPr>
        <w:t>PROJEKT</w:t>
      </w:r>
      <w:r w:rsidRPr="00A94DB4">
        <w:rPr>
          <w:rFonts w:ascii="Times New Roman" w:hAnsi="Times New Roman" w:cs="Times New Roman"/>
          <w:b/>
          <w:bCs/>
          <w:sz w:val="24"/>
          <w:szCs w:val="24"/>
        </w:rPr>
        <w:t>AKTIT</w:t>
      </w:r>
    </w:p>
    <w:p w14:paraId="13F5ED21" w14:textId="77777777" w:rsidR="008C7A9C" w:rsidRPr="00A94DB4" w:rsidRDefault="008C7A9C" w:rsidP="00A5352C">
      <w:pPr>
        <w:pStyle w:val="ListParagraph"/>
        <w:spacing w:after="0"/>
        <w:ind w:left="360" w:hanging="360"/>
        <w:rPr>
          <w:rFonts w:ascii="Times New Roman" w:hAnsi="Times New Roman" w:cs="Times New Roman"/>
          <w:bCs/>
          <w:sz w:val="24"/>
          <w:szCs w:val="24"/>
        </w:rPr>
      </w:pPr>
    </w:p>
    <w:p w14:paraId="5C96D6F7" w14:textId="0D3285F6" w:rsidR="008C7A9C" w:rsidRPr="00A94DB4" w:rsidRDefault="008C7A9C" w:rsidP="00A5352C">
      <w:pPr>
        <w:pStyle w:val="ListParagraph"/>
        <w:spacing w:after="0"/>
        <w:ind w:left="0"/>
        <w:jc w:val="both"/>
        <w:rPr>
          <w:rFonts w:ascii="Times New Roman" w:hAnsi="Times New Roman" w:cs="Times New Roman"/>
          <w:bCs/>
          <w:sz w:val="24"/>
          <w:szCs w:val="24"/>
        </w:rPr>
      </w:pPr>
      <w:r w:rsidRPr="00A94DB4">
        <w:rPr>
          <w:rFonts w:ascii="Times New Roman" w:hAnsi="Times New Roman" w:cs="Times New Roman"/>
          <w:bCs/>
          <w:sz w:val="24"/>
          <w:szCs w:val="24"/>
        </w:rPr>
        <w:t>Për zbatimin e këtij ligji</w:t>
      </w:r>
      <w:r w:rsidR="00812019" w:rsidRPr="00A94DB4">
        <w:rPr>
          <w:rFonts w:ascii="Times New Roman" w:hAnsi="Times New Roman" w:cs="Times New Roman"/>
          <w:bCs/>
          <w:sz w:val="24"/>
          <w:szCs w:val="24"/>
        </w:rPr>
        <w:t>, sipas fushës së përgjegjësisë dhe kompetencave të përcaktuara në të,</w:t>
      </w:r>
      <w:r w:rsidRPr="00A94DB4">
        <w:rPr>
          <w:rFonts w:ascii="Times New Roman" w:hAnsi="Times New Roman" w:cs="Times New Roman"/>
          <w:bCs/>
          <w:sz w:val="24"/>
          <w:szCs w:val="24"/>
        </w:rPr>
        <w:t xml:space="preserve"> </w:t>
      </w:r>
      <w:r w:rsidR="00DE05EE" w:rsidRPr="00A94DB4">
        <w:rPr>
          <w:rFonts w:ascii="Times New Roman" w:hAnsi="Times New Roman" w:cs="Times New Roman"/>
          <w:bCs/>
          <w:sz w:val="24"/>
          <w:szCs w:val="24"/>
        </w:rPr>
        <w:t>ngarkohen</w:t>
      </w:r>
      <w:r w:rsidR="007A7307" w:rsidRPr="00A94DB4">
        <w:rPr>
          <w:rFonts w:ascii="Times New Roman" w:hAnsi="Times New Roman" w:cs="Times New Roman"/>
          <w:bCs/>
          <w:sz w:val="24"/>
          <w:szCs w:val="24"/>
        </w:rPr>
        <w:t xml:space="preserve"> </w:t>
      </w:r>
      <w:r w:rsidR="00812019" w:rsidRPr="00A94DB4">
        <w:rPr>
          <w:rFonts w:ascii="Times New Roman" w:hAnsi="Times New Roman" w:cs="Times New Roman"/>
          <w:bCs/>
          <w:sz w:val="24"/>
          <w:szCs w:val="24"/>
        </w:rPr>
        <w:t xml:space="preserve">Këshilli i Ministrave, Agjencia e Prokurimit Publik, Komisioni i Prokurimit Publik, autoriteti përgjegjës për sigurinë e informacionit të klasifikuar, autoritetet/entet </w:t>
      </w:r>
      <w:proofErr w:type="spellStart"/>
      <w:r w:rsidR="00812019" w:rsidRPr="00A94DB4">
        <w:rPr>
          <w:rFonts w:ascii="Times New Roman" w:hAnsi="Times New Roman" w:cs="Times New Roman"/>
          <w:bCs/>
          <w:sz w:val="24"/>
          <w:szCs w:val="24"/>
        </w:rPr>
        <w:t>kontraktore</w:t>
      </w:r>
      <w:proofErr w:type="spellEnd"/>
      <w:r w:rsidR="00812019" w:rsidRPr="00A94DB4">
        <w:rPr>
          <w:rFonts w:ascii="Times New Roman" w:hAnsi="Times New Roman" w:cs="Times New Roman"/>
          <w:bCs/>
          <w:sz w:val="24"/>
          <w:szCs w:val="24"/>
        </w:rPr>
        <w:t xml:space="preserve"> dhe organet qendrore blerëse.</w:t>
      </w:r>
    </w:p>
    <w:p w14:paraId="21C1A29D" w14:textId="77777777" w:rsidR="008C7A9C" w:rsidRPr="00A94DB4" w:rsidRDefault="008C7A9C" w:rsidP="00A5352C">
      <w:pPr>
        <w:pStyle w:val="ListParagraph"/>
        <w:spacing w:after="0"/>
        <w:ind w:left="360" w:hanging="360"/>
        <w:rPr>
          <w:rFonts w:ascii="Times New Roman" w:hAnsi="Times New Roman" w:cs="Times New Roman"/>
          <w:bCs/>
          <w:sz w:val="24"/>
          <w:szCs w:val="24"/>
        </w:rPr>
      </w:pPr>
    </w:p>
    <w:p w14:paraId="1C88358F" w14:textId="77777777" w:rsidR="008C7A9C" w:rsidRPr="00A94DB4" w:rsidRDefault="008C7A9C" w:rsidP="00A5352C">
      <w:pPr>
        <w:pStyle w:val="ListParagraph"/>
        <w:numPr>
          <w:ilvl w:val="0"/>
          <w:numId w:val="1"/>
        </w:numPr>
        <w:spacing w:after="0"/>
        <w:ind w:left="709" w:hanging="709"/>
        <w:jc w:val="both"/>
        <w:rPr>
          <w:rFonts w:ascii="Times New Roman" w:hAnsi="Times New Roman" w:cs="Times New Roman"/>
          <w:b/>
          <w:bCs/>
          <w:sz w:val="24"/>
          <w:szCs w:val="24"/>
        </w:rPr>
      </w:pPr>
      <w:r w:rsidRPr="00A94DB4">
        <w:rPr>
          <w:rFonts w:ascii="Times New Roman" w:hAnsi="Times New Roman" w:cs="Times New Roman"/>
          <w:b/>
          <w:bCs/>
          <w:sz w:val="24"/>
          <w:szCs w:val="24"/>
        </w:rPr>
        <w:t>PERSONAT DHE INSTITUCIONET QË KANË KONTRIUBUAR NË HARTIMIN E PROJEKTAKTIT</w:t>
      </w:r>
    </w:p>
    <w:p w14:paraId="307B5E3B" w14:textId="77777777" w:rsidR="008C7A9C" w:rsidRPr="00A94DB4" w:rsidRDefault="008C7A9C" w:rsidP="00A5352C">
      <w:pPr>
        <w:pStyle w:val="ListParagraph"/>
        <w:spacing w:after="0"/>
        <w:ind w:left="360" w:hanging="360"/>
        <w:rPr>
          <w:rFonts w:ascii="Times New Roman" w:hAnsi="Times New Roman" w:cs="Times New Roman"/>
          <w:b/>
          <w:bCs/>
          <w:sz w:val="24"/>
          <w:szCs w:val="24"/>
        </w:rPr>
      </w:pPr>
    </w:p>
    <w:p w14:paraId="07DAC884" w14:textId="34D068B5" w:rsidR="003607D8" w:rsidRPr="00A94DB4" w:rsidRDefault="006D048D" w:rsidP="00A5352C">
      <w:pPr>
        <w:spacing w:after="0"/>
        <w:jc w:val="both"/>
        <w:rPr>
          <w:rFonts w:ascii="Times New Roman" w:hAnsi="Times New Roman" w:cs="Times New Roman"/>
          <w:sz w:val="24"/>
          <w:szCs w:val="24"/>
        </w:rPr>
      </w:pPr>
      <w:r w:rsidRPr="00A94DB4">
        <w:rPr>
          <w:rFonts w:ascii="Times New Roman" w:hAnsi="Times New Roman" w:cs="Times New Roman"/>
          <w:sz w:val="24"/>
          <w:szCs w:val="24"/>
        </w:rPr>
        <w:t xml:space="preserve">Ky projektligj është hartuar nga </w:t>
      </w:r>
      <w:r w:rsidR="00223883" w:rsidRPr="00A94DB4">
        <w:rPr>
          <w:rFonts w:ascii="Times New Roman" w:hAnsi="Times New Roman" w:cs="Times New Roman"/>
          <w:sz w:val="24"/>
          <w:szCs w:val="24"/>
        </w:rPr>
        <w:t>Grupi i Punës i ngritur me urdhrin nr. 383, datë 06.03.2025 të Ministrit të Mbrojtjes</w:t>
      </w:r>
      <w:r w:rsidR="003607D8" w:rsidRPr="00A94DB4">
        <w:rPr>
          <w:rFonts w:ascii="Times New Roman" w:hAnsi="Times New Roman" w:cs="Times New Roman"/>
          <w:sz w:val="24"/>
          <w:szCs w:val="24"/>
        </w:rPr>
        <w:t>, në bashkëpunim me</w:t>
      </w:r>
      <w:r w:rsidR="004438E9" w:rsidRPr="00A94DB4">
        <w:rPr>
          <w:rFonts w:ascii="Times New Roman" w:hAnsi="Times New Roman" w:cs="Times New Roman"/>
          <w:sz w:val="24"/>
          <w:szCs w:val="24"/>
        </w:rPr>
        <w:t xml:space="preserve"> Agjencin</w:t>
      </w:r>
      <w:r w:rsidR="007A5E8D" w:rsidRPr="00A94DB4">
        <w:rPr>
          <w:rFonts w:ascii="Times New Roman" w:hAnsi="Times New Roman" w:cs="Times New Roman"/>
          <w:sz w:val="24"/>
          <w:szCs w:val="24"/>
        </w:rPr>
        <w:t>ë</w:t>
      </w:r>
      <w:r w:rsidR="004438E9" w:rsidRPr="00A94DB4">
        <w:rPr>
          <w:rFonts w:ascii="Times New Roman" w:hAnsi="Times New Roman" w:cs="Times New Roman"/>
          <w:sz w:val="24"/>
          <w:szCs w:val="24"/>
        </w:rPr>
        <w:t xml:space="preserve"> e Prokurimit Publik, Komisionin e Prokurimit Publik, Autoritetin Kombëtar për Sigurinë e Informacionit të Klasifikuar dhe Byron</w:t>
      </w:r>
      <w:r w:rsidR="007A5E8D" w:rsidRPr="00A94DB4">
        <w:rPr>
          <w:rFonts w:ascii="Times New Roman" w:hAnsi="Times New Roman" w:cs="Times New Roman"/>
          <w:sz w:val="24"/>
          <w:szCs w:val="24"/>
        </w:rPr>
        <w:t>ë</w:t>
      </w:r>
      <w:r w:rsidR="004438E9" w:rsidRPr="00A94DB4">
        <w:rPr>
          <w:rFonts w:ascii="Times New Roman" w:hAnsi="Times New Roman" w:cs="Times New Roman"/>
          <w:sz w:val="24"/>
          <w:szCs w:val="24"/>
        </w:rPr>
        <w:t xml:space="preserve"> Komb</w:t>
      </w:r>
      <w:r w:rsidR="007A5E8D" w:rsidRPr="00A94DB4">
        <w:rPr>
          <w:rFonts w:ascii="Times New Roman" w:hAnsi="Times New Roman" w:cs="Times New Roman"/>
          <w:sz w:val="24"/>
          <w:szCs w:val="24"/>
        </w:rPr>
        <w:t>ë</w:t>
      </w:r>
      <w:r w:rsidR="004438E9" w:rsidRPr="00A94DB4">
        <w:rPr>
          <w:rFonts w:ascii="Times New Roman" w:hAnsi="Times New Roman" w:cs="Times New Roman"/>
          <w:sz w:val="24"/>
          <w:szCs w:val="24"/>
        </w:rPr>
        <w:t>tare t</w:t>
      </w:r>
      <w:r w:rsidR="007A5E8D" w:rsidRPr="00A94DB4">
        <w:rPr>
          <w:rFonts w:ascii="Times New Roman" w:hAnsi="Times New Roman" w:cs="Times New Roman"/>
          <w:sz w:val="24"/>
          <w:szCs w:val="24"/>
        </w:rPr>
        <w:t>ë</w:t>
      </w:r>
      <w:r w:rsidR="004438E9" w:rsidRPr="00A94DB4">
        <w:rPr>
          <w:rFonts w:ascii="Times New Roman" w:hAnsi="Times New Roman" w:cs="Times New Roman"/>
          <w:sz w:val="24"/>
          <w:szCs w:val="24"/>
        </w:rPr>
        <w:t xml:space="preserve"> Hetimit</w:t>
      </w:r>
      <w:r w:rsidR="003607D8" w:rsidRPr="00A94DB4">
        <w:rPr>
          <w:rFonts w:ascii="Times New Roman" w:hAnsi="Times New Roman" w:cs="Times New Roman"/>
          <w:sz w:val="24"/>
          <w:szCs w:val="24"/>
        </w:rPr>
        <w:t xml:space="preserve">. </w:t>
      </w:r>
    </w:p>
    <w:p w14:paraId="6F4B2393" w14:textId="77777777" w:rsidR="003607D8" w:rsidRPr="00A94DB4" w:rsidRDefault="003607D8" w:rsidP="00A5352C">
      <w:pPr>
        <w:spacing w:after="0"/>
        <w:jc w:val="both"/>
        <w:rPr>
          <w:rFonts w:ascii="Times New Roman" w:hAnsi="Times New Roman" w:cs="Times New Roman"/>
          <w:sz w:val="24"/>
          <w:szCs w:val="24"/>
        </w:rPr>
      </w:pPr>
    </w:p>
    <w:p w14:paraId="30A0C460" w14:textId="34A7AD98" w:rsidR="003607D8" w:rsidRPr="00A94DB4" w:rsidRDefault="003607D8" w:rsidP="00A5352C">
      <w:pPr>
        <w:spacing w:after="0"/>
        <w:jc w:val="both"/>
        <w:rPr>
          <w:rFonts w:ascii="Times New Roman" w:hAnsi="Times New Roman" w:cs="Times New Roman"/>
          <w:sz w:val="24"/>
          <w:szCs w:val="24"/>
        </w:rPr>
      </w:pPr>
      <w:r w:rsidRPr="00A94DB4">
        <w:rPr>
          <w:rFonts w:ascii="Times New Roman" w:hAnsi="Times New Roman" w:cs="Times New Roman"/>
          <w:sz w:val="24"/>
          <w:szCs w:val="24"/>
        </w:rPr>
        <w:t xml:space="preserve">Projektligji </w:t>
      </w:r>
      <w:r w:rsidR="00040181" w:rsidRPr="00A94DB4">
        <w:rPr>
          <w:rFonts w:ascii="Times New Roman" w:hAnsi="Times New Roman" w:cs="Times New Roman"/>
          <w:sz w:val="24"/>
          <w:szCs w:val="24"/>
        </w:rPr>
        <w:t>iu dërgua</w:t>
      </w:r>
      <w:r w:rsidR="008D2547" w:rsidRPr="00A94DB4">
        <w:rPr>
          <w:rFonts w:ascii="Times New Roman" w:hAnsi="Times New Roman" w:cs="Times New Roman"/>
          <w:sz w:val="24"/>
          <w:szCs w:val="24"/>
        </w:rPr>
        <w:t xml:space="preserve"> </w:t>
      </w:r>
      <w:r w:rsidR="00450B9C" w:rsidRPr="00A94DB4">
        <w:rPr>
          <w:rFonts w:ascii="Times New Roman" w:hAnsi="Times New Roman" w:cs="Times New Roman"/>
          <w:sz w:val="24"/>
          <w:szCs w:val="24"/>
        </w:rPr>
        <w:t>për mendim</w:t>
      </w:r>
      <w:r w:rsidRPr="00A94DB4">
        <w:rPr>
          <w:rFonts w:ascii="Times New Roman" w:hAnsi="Times New Roman" w:cs="Times New Roman"/>
          <w:sz w:val="24"/>
          <w:szCs w:val="24"/>
        </w:rPr>
        <w:t xml:space="preserve"> </w:t>
      </w:r>
      <w:r w:rsidR="00450B9C" w:rsidRPr="00A94DB4">
        <w:rPr>
          <w:rFonts w:ascii="Times New Roman" w:hAnsi="Times New Roman" w:cs="Times New Roman"/>
          <w:sz w:val="24"/>
          <w:szCs w:val="24"/>
        </w:rPr>
        <w:t>Ministrisë s</w:t>
      </w:r>
      <w:r w:rsidR="00FC728E" w:rsidRPr="00A94DB4">
        <w:rPr>
          <w:rFonts w:ascii="Times New Roman" w:hAnsi="Times New Roman" w:cs="Times New Roman"/>
          <w:sz w:val="24"/>
          <w:szCs w:val="24"/>
        </w:rPr>
        <w:t>ë</w:t>
      </w:r>
      <w:r w:rsidR="008A6FDA" w:rsidRPr="00A94DB4">
        <w:rPr>
          <w:rFonts w:ascii="Times New Roman" w:hAnsi="Times New Roman" w:cs="Times New Roman"/>
          <w:sz w:val="24"/>
          <w:szCs w:val="24"/>
        </w:rPr>
        <w:t xml:space="preserve"> Drejtësisë,</w:t>
      </w:r>
      <w:r w:rsidRPr="00A94DB4">
        <w:rPr>
          <w:rFonts w:ascii="Times New Roman" w:hAnsi="Times New Roman" w:cs="Times New Roman"/>
          <w:sz w:val="24"/>
          <w:szCs w:val="24"/>
        </w:rPr>
        <w:t xml:space="preserve"> Minis</w:t>
      </w:r>
      <w:r w:rsidR="00450B9C" w:rsidRPr="00A94DB4">
        <w:rPr>
          <w:rFonts w:ascii="Times New Roman" w:hAnsi="Times New Roman" w:cs="Times New Roman"/>
          <w:sz w:val="24"/>
          <w:szCs w:val="24"/>
        </w:rPr>
        <w:t>trisë s</w:t>
      </w:r>
      <w:r w:rsidR="00FC728E" w:rsidRPr="00A94DB4">
        <w:rPr>
          <w:rFonts w:ascii="Times New Roman" w:hAnsi="Times New Roman" w:cs="Times New Roman"/>
          <w:sz w:val="24"/>
          <w:szCs w:val="24"/>
        </w:rPr>
        <w:t>ë</w:t>
      </w:r>
      <w:r w:rsidR="008A6FDA" w:rsidRPr="00A94DB4">
        <w:rPr>
          <w:rFonts w:ascii="Times New Roman" w:hAnsi="Times New Roman" w:cs="Times New Roman"/>
          <w:sz w:val="24"/>
          <w:szCs w:val="24"/>
        </w:rPr>
        <w:t xml:space="preserve"> Financave,</w:t>
      </w:r>
      <w:r w:rsidR="00450B9C" w:rsidRPr="00A94DB4">
        <w:rPr>
          <w:rFonts w:ascii="Times New Roman" w:hAnsi="Times New Roman" w:cs="Times New Roman"/>
          <w:sz w:val="24"/>
          <w:szCs w:val="24"/>
        </w:rPr>
        <w:t xml:space="preserve"> </w:t>
      </w:r>
      <w:r w:rsidR="004438E9" w:rsidRPr="00A94DB4">
        <w:rPr>
          <w:rFonts w:ascii="Times New Roman" w:hAnsi="Times New Roman" w:cs="Times New Roman"/>
          <w:sz w:val="24"/>
          <w:szCs w:val="24"/>
        </w:rPr>
        <w:t>Ministris</w:t>
      </w:r>
      <w:r w:rsidR="007A5E8D" w:rsidRPr="00A94DB4">
        <w:rPr>
          <w:rFonts w:ascii="Times New Roman" w:hAnsi="Times New Roman" w:cs="Times New Roman"/>
          <w:sz w:val="24"/>
          <w:szCs w:val="24"/>
        </w:rPr>
        <w:t>ë</w:t>
      </w:r>
      <w:r w:rsidR="004438E9" w:rsidRPr="00A94DB4">
        <w:rPr>
          <w:rFonts w:ascii="Times New Roman" w:hAnsi="Times New Roman" w:cs="Times New Roman"/>
          <w:sz w:val="24"/>
          <w:szCs w:val="24"/>
        </w:rPr>
        <w:t xml:space="preserve"> s</w:t>
      </w:r>
      <w:r w:rsidR="007A5E8D" w:rsidRPr="00A94DB4">
        <w:rPr>
          <w:rFonts w:ascii="Times New Roman" w:hAnsi="Times New Roman" w:cs="Times New Roman"/>
          <w:sz w:val="24"/>
          <w:szCs w:val="24"/>
        </w:rPr>
        <w:t>ë</w:t>
      </w:r>
      <w:r w:rsidR="004438E9" w:rsidRPr="00A94DB4">
        <w:rPr>
          <w:rFonts w:ascii="Times New Roman" w:hAnsi="Times New Roman" w:cs="Times New Roman"/>
          <w:sz w:val="24"/>
          <w:szCs w:val="24"/>
        </w:rPr>
        <w:t xml:space="preserve"> Brendshme, </w:t>
      </w:r>
      <w:r w:rsidR="00EE28E2" w:rsidRPr="00A94DB4">
        <w:rPr>
          <w:rFonts w:ascii="Times New Roman" w:hAnsi="Times New Roman" w:cs="Times New Roman"/>
          <w:sz w:val="24"/>
          <w:szCs w:val="24"/>
        </w:rPr>
        <w:t xml:space="preserve">Ministrit të Shtetit dhe </w:t>
      </w:r>
      <w:proofErr w:type="spellStart"/>
      <w:r w:rsidR="00EE28E2" w:rsidRPr="00A94DB4">
        <w:rPr>
          <w:rFonts w:ascii="Times New Roman" w:hAnsi="Times New Roman" w:cs="Times New Roman"/>
          <w:sz w:val="24"/>
          <w:szCs w:val="24"/>
        </w:rPr>
        <w:t>Kryenegociator</w:t>
      </w:r>
      <w:proofErr w:type="spellEnd"/>
      <w:r w:rsidR="00EE28E2" w:rsidRPr="00A94DB4">
        <w:rPr>
          <w:rFonts w:ascii="Times New Roman" w:hAnsi="Times New Roman" w:cs="Times New Roman"/>
          <w:sz w:val="24"/>
          <w:szCs w:val="24"/>
        </w:rPr>
        <w:t xml:space="preserve">, </w:t>
      </w:r>
      <w:r w:rsidR="009C790A" w:rsidRPr="00A94DB4">
        <w:rPr>
          <w:rFonts w:ascii="Times New Roman" w:hAnsi="Times New Roman" w:cs="Times New Roman"/>
          <w:sz w:val="24"/>
          <w:szCs w:val="24"/>
        </w:rPr>
        <w:t xml:space="preserve">Ministrit të Shtetit </w:t>
      </w:r>
      <w:proofErr w:type="spellStart"/>
      <w:r w:rsidR="009C790A" w:rsidRPr="00A94DB4">
        <w:rPr>
          <w:rFonts w:ascii="Times New Roman" w:hAnsi="Times New Roman" w:cs="Times New Roman"/>
          <w:sz w:val="24"/>
          <w:szCs w:val="24"/>
        </w:rPr>
        <w:t>pë</w:t>
      </w:r>
      <w:proofErr w:type="spellEnd"/>
      <w:r w:rsidR="009C790A" w:rsidRPr="00A94DB4">
        <w:rPr>
          <w:rFonts w:ascii="Times New Roman" w:hAnsi="Times New Roman" w:cs="Times New Roman"/>
          <w:sz w:val="24"/>
          <w:szCs w:val="24"/>
        </w:rPr>
        <w:t xml:space="preserve"> Sipërmarrjen dhe Klimën e Biznesit, </w:t>
      </w:r>
      <w:r w:rsidR="00450B9C" w:rsidRPr="00A94DB4">
        <w:rPr>
          <w:rFonts w:ascii="Times New Roman" w:hAnsi="Times New Roman" w:cs="Times New Roman"/>
          <w:sz w:val="24"/>
          <w:szCs w:val="24"/>
        </w:rPr>
        <w:t>Agjencis</w:t>
      </w:r>
      <w:r w:rsidR="00FC728E" w:rsidRPr="00A94DB4">
        <w:rPr>
          <w:rFonts w:ascii="Times New Roman" w:hAnsi="Times New Roman" w:cs="Times New Roman"/>
          <w:sz w:val="24"/>
          <w:szCs w:val="24"/>
        </w:rPr>
        <w:t>ë</w:t>
      </w:r>
      <w:r w:rsidR="00450B9C" w:rsidRPr="00A94DB4">
        <w:rPr>
          <w:rFonts w:ascii="Times New Roman" w:hAnsi="Times New Roman" w:cs="Times New Roman"/>
          <w:sz w:val="24"/>
          <w:szCs w:val="24"/>
        </w:rPr>
        <w:t xml:space="preserve"> s</w:t>
      </w:r>
      <w:r w:rsidR="00FC728E" w:rsidRPr="00A94DB4">
        <w:rPr>
          <w:rFonts w:ascii="Times New Roman" w:hAnsi="Times New Roman" w:cs="Times New Roman"/>
          <w:sz w:val="24"/>
          <w:szCs w:val="24"/>
        </w:rPr>
        <w:t>ë</w:t>
      </w:r>
      <w:r w:rsidR="008D2547" w:rsidRPr="00A94DB4">
        <w:rPr>
          <w:rFonts w:ascii="Times New Roman" w:hAnsi="Times New Roman" w:cs="Times New Roman"/>
          <w:sz w:val="24"/>
          <w:szCs w:val="24"/>
        </w:rPr>
        <w:t xml:space="preserve"> Prokurimit Publik, Komisioni</w:t>
      </w:r>
      <w:r w:rsidR="00450B9C" w:rsidRPr="00A94DB4">
        <w:rPr>
          <w:rFonts w:ascii="Times New Roman" w:hAnsi="Times New Roman" w:cs="Times New Roman"/>
          <w:sz w:val="24"/>
          <w:szCs w:val="24"/>
        </w:rPr>
        <w:t>t t</w:t>
      </w:r>
      <w:r w:rsidR="00FC728E" w:rsidRPr="00A94DB4">
        <w:rPr>
          <w:rFonts w:ascii="Times New Roman" w:hAnsi="Times New Roman" w:cs="Times New Roman"/>
          <w:sz w:val="24"/>
          <w:szCs w:val="24"/>
        </w:rPr>
        <w:t>ë</w:t>
      </w:r>
      <w:r w:rsidR="004D07F1" w:rsidRPr="00A94DB4">
        <w:rPr>
          <w:rFonts w:ascii="Times New Roman" w:hAnsi="Times New Roman" w:cs="Times New Roman"/>
          <w:sz w:val="24"/>
          <w:szCs w:val="24"/>
        </w:rPr>
        <w:t xml:space="preserve"> P</w:t>
      </w:r>
      <w:r w:rsidR="00450B9C" w:rsidRPr="00A94DB4">
        <w:rPr>
          <w:rFonts w:ascii="Times New Roman" w:hAnsi="Times New Roman" w:cs="Times New Roman"/>
          <w:sz w:val="24"/>
          <w:szCs w:val="24"/>
        </w:rPr>
        <w:t>rokurimit Publik, Autoritetit</w:t>
      </w:r>
      <w:r w:rsidR="004D07F1" w:rsidRPr="00A94DB4">
        <w:rPr>
          <w:rFonts w:ascii="Times New Roman" w:hAnsi="Times New Roman" w:cs="Times New Roman"/>
          <w:sz w:val="24"/>
          <w:szCs w:val="24"/>
        </w:rPr>
        <w:t xml:space="preserve"> Komb</w:t>
      </w:r>
      <w:r w:rsidR="00FC728E" w:rsidRPr="00A94DB4">
        <w:rPr>
          <w:rFonts w:ascii="Times New Roman" w:hAnsi="Times New Roman" w:cs="Times New Roman"/>
          <w:sz w:val="24"/>
          <w:szCs w:val="24"/>
        </w:rPr>
        <w:t>ë</w:t>
      </w:r>
      <w:r w:rsidR="004D07F1" w:rsidRPr="00A94DB4">
        <w:rPr>
          <w:rFonts w:ascii="Times New Roman" w:hAnsi="Times New Roman" w:cs="Times New Roman"/>
          <w:sz w:val="24"/>
          <w:szCs w:val="24"/>
        </w:rPr>
        <w:t>tar p</w:t>
      </w:r>
      <w:r w:rsidR="00FC728E" w:rsidRPr="00A94DB4">
        <w:rPr>
          <w:rFonts w:ascii="Times New Roman" w:hAnsi="Times New Roman" w:cs="Times New Roman"/>
          <w:sz w:val="24"/>
          <w:szCs w:val="24"/>
        </w:rPr>
        <w:t>ë</w:t>
      </w:r>
      <w:r w:rsidR="004D07F1" w:rsidRPr="00A94DB4">
        <w:rPr>
          <w:rFonts w:ascii="Times New Roman" w:hAnsi="Times New Roman" w:cs="Times New Roman"/>
          <w:sz w:val="24"/>
          <w:szCs w:val="24"/>
        </w:rPr>
        <w:t>r Sigurin</w:t>
      </w:r>
      <w:r w:rsidR="00FC728E" w:rsidRPr="00A94DB4">
        <w:rPr>
          <w:rFonts w:ascii="Times New Roman" w:hAnsi="Times New Roman" w:cs="Times New Roman"/>
          <w:sz w:val="24"/>
          <w:szCs w:val="24"/>
        </w:rPr>
        <w:t>ë</w:t>
      </w:r>
      <w:r w:rsidR="004D07F1" w:rsidRPr="00A94DB4">
        <w:rPr>
          <w:rFonts w:ascii="Times New Roman" w:hAnsi="Times New Roman" w:cs="Times New Roman"/>
          <w:sz w:val="24"/>
          <w:szCs w:val="24"/>
        </w:rPr>
        <w:t xml:space="preserve"> e Informacionit t</w:t>
      </w:r>
      <w:r w:rsidR="00FC728E" w:rsidRPr="00A94DB4">
        <w:rPr>
          <w:rFonts w:ascii="Times New Roman" w:hAnsi="Times New Roman" w:cs="Times New Roman"/>
          <w:sz w:val="24"/>
          <w:szCs w:val="24"/>
        </w:rPr>
        <w:t>ë</w:t>
      </w:r>
      <w:r w:rsidR="004D07F1" w:rsidRPr="00A94DB4">
        <w:rPr>
          <w:rFonts w:ascii="Times New Roman" w:hAnsi="Times New Roman" w:cs="Times New Roman"/>
          <w:sz w:val="24"/>
          <w:szCs w:val="24"/>
        </w:rPr>
        <w:t xml:space="preserve"> Klasifikuar,</w:t>
      </w:r>
      <w:r w:rsidR="00D456D1" w:rsidRPr="00A94DB4">
        <w:rPr>
          <w:rFonts w:ascii="Times New Roman" w:hAnsi="Times New Roman" w:cs="Times New Roman"/>
          <w:sz w:val="24"/>
          <w:szCs w:val="24"/>
        </w:rPr>
        <w:t xml:space="preserve"> Byros</w:t>
      </w:r>
      <w:r w:rsidR="007A5E8D" w:rsidRPr="00A94DB4">
        <w:rPr>
          <w:rFonts w:ascii="Times New Roman" w:hAnsi="Times New Roman" w:cs="Times New Roman"/>
          <w:sz w:val="24"/>
          <w:szCs w:val="24"/>
        </w:rPr>
        <w:t>ë</w:t>
      </w:r>
      <w:r w:rsidR="00D456D1" w:rsidRPr="00A94DB4">
        <w:rPr>
          <w:rFonts w:ascii="Times New Roman" w:hAnsi="Times New Roman" w:cs="Times New Roman"/>
          <w:sz w:val="24"/>
          <w:szCs w:val="24"/>
        </w:rPr>
        <w:t xml:space="preserve"> Komb</w:t>
      </w:r>
      <w:r w:rsidR="007A5E8D" w:rsidRPr="00A94DB4">
        <w:rPr>
          <w:rFonts w:ascii="Times New Roman" w:hAnsi="Times New Roman" w:cs="Times New Roman"/>
          <w:sz w:val="24"/>
          <w:szCs w:val="24"/>
        </w:rPr>
        <w:t>ë</w:t>
      </w:r>
      <w:r w:rsidR="00D456D1" w:rsidRPr="00A94DB4">
        <w:rPr>
          <w:rFonts w:ascii="Times New Roman" w:hAnsi="Times New Roman" w:cs="Times New Roman"/>
          <w:sz w:val="24"/>
          <w:szCs w:val="24"/>
        </w:rPr>
        <w:t>tare t</w:t>
      </w:r>
      <w:r w:rsidR="007A5E8D" w:rsidRPr="00A94DB4">
        <w:rPr>
          <w:rFonts w:ascii="Times New Roman" w:hAnsi="Times New Roman" w:cs="Times New Roman"/>
          <w:sz w:val="24"/>
          <w:szCs w:val="24"/>
        </w:rPr>
        <w:t>ë</w:t>
      </w:r>
      <w:r w:rsidR="00D456D1" w:rsidRPr="00A94DB4">
        <w:rPr>
          <w:rFonts w:ascii="Times New Roman" w:hAnsi="Times New Roman" w:cs="Times New Roman"/>
          <w:sz w:val="24"/>
          <w:szCs w:val="24"/>
        </w:rPr>
        <w:t xml:space="preserve"> Hetimit</w:t>
      </w:r>
      <w:r w:rsidR="004D07F1" w:rsidRPr="00A94DB4">
        <w:rPr>
          <w:rFonts w:ascii="Times New Roman" w:hAnsi="Times New Roman" w:cs="Times New Roman"/>
          <w:sz w:val="24"/>
          <w:szCs w:val="24"/>
        </w:rPr>
        <w:t xml:space="preserve"> dhe për dijeni Ministrit të Shtetit për Marrëdhëniet me Parlamentin.</w:t>
      </w:r>
    </w:p>
    <w:p w14:paraId="1FBB7112" w14:textId="74ED72A3" w:rsidR="004056CD" w:rsidRPr="00A94DB4" w:rsidRDefault="004056CD" w:rsidP="00A5352C">
      <w:pPr>
        <w:spacing w:after="0"/>
        <w:jc w:val="both"/>
        <w:rPr>
          <w:rFonts w:ascii="Times New Roman" w:hAnsi="Times New Roman" w:cs="Times New Roman"/>
          <w:sz w:val="24"/>
          <w:szCs w:val="24"/>
        </w:rPr>
      </w:pPr>
    </w:p>
    <w:p w14:paraId="5453D2C5" w14:textId="441F574D" w:rsidR="004056CD" w:rsidRPr="00A94DB4" w:rsidRDefault="004056CD" w:rsidP="00A5352C">
      <w:pPr>
        <w:spacing w:after="0"/>
        <w:jc w:val="both"/>
        <w:rPr>
          <w:rFonts w:ascii="Times New Roman" w:hAnsi="Times New Roman" w:cs="Times New Roman"/>
          <w:sz w:val="24"/>
          <w:szCs w:val="24"/>
        </w:rPr>
      </w:pPr>
      <w:r w:rsidRPr="00A94DB4">
        <w:rPr>
          <w:rFonts w:ascii="Times New Roman" w:hAnsi="Times New Roman" w:cs="Times New Roman"/>
          <w:sz w:val="24"/>
          <w:szCs w:val="24"/>
        </w:rPr>
        <w:t>Projektligji u publ</w:t>
      </w:r>
      <w:r w:rsidR="005A75E3" w:rsidRPr="00A94DB4">
        <w:rPr>
          <w:rFonts w:ascii="Times New Roman" w:hAnsi="Times New Roman" w:cs="Times New Roman"/>
          <w:sz w:val="24"/>
          <w:szCs w:val="24"/>
        </w:rPr>
        <w:t>ikua në Regjistrin Elektronik pë</w:t>
      </w:r>
      <w:r w:rsidRPr="00A94DB4">
        <w:rPr>
          <w:rFonts w:ascii="Times New Roman" w:hAnsi="Times New Roman" w:cs="Times New Roman"/>
          <w:sz w:val="24"/>
          <w:szCs w:val="24"/>
        </w:rPr>
        <w:t>r Njoftimet dhe Konsultimet Publike në datë 23.07.2025 dhe procesi i konsultimit publik u mbyll në datë 20.08.2025. Gjatë këtij procesi nuk pati komente.</w:t>
      </w:r>
    </w:p>
    <w:p w14:paraId="2933B689" w14:textId="79C6C088" w:rsidR="00040181" w:rsidRPr="00A94DB4" w:rsidRDefault="00040181" w:rsidP="00A5352C">
      <w:pPr>
        <w:spacing w:after="0"/>
        <w:jc w:val="both"/>
        <w:rPr>
          <w:rFonts w:ascii="Times New Roman" w:hAnsi="Times New Roman" w:cs="Times New Roman"/>
          <w:sz w:val="24"/>
          <w:szCs w:val="24"/>
        </w:rPr>
      </w:pPr>
    </w:p>
    <w:p w14:paraId="58D521AF" w14:textId="0A1FFE91" w:rsidR="00040181" w:rsidRPr="00A94DB4" w:rsidRDefault="00040181" w:rsidP="00A5352C">
      <w:p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rmbajtjen e projekt</w:t>
      </w:r>
      <w:r w:rsidR="00E55687" w:rsidRPr="00A94DB4">
        <w:rPr>
          <w:rFonts w:ascii="Times New Roman" w:hAnsi="Times New Roman" w:cs="Times New Roman"/>
          <w:sz w:val="24"/>
          <w:szCs w:val="24"/>
        </w:rPr>
        <w:t>ligjit</w:t>
      </w:r>
      <w:r w:rsidRPr="00A94DB4">
        <w:rPr>
          <w:rFonts w:ascii="Times New Roman" w:hAnsi="Times New Roman" w:cs="Times New Roman"/>
          <w:sz w:val="24"/>
          <w:szCs w:val="24"/>
        </w:rPr>
        <w:t xml:space="preserve"> Ministria e Financ</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 Ministri i Shtetit për Sipërmarrjen dhe Klimën e Biznesit, Komisioni i Prokurimit Publik, si dhe Byroja Kombëtare e Hetimit, jan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parimisht dakord.</w:t>
      </w:r>
    </w:p>
    <w:p w14:paraId="030B1660" w14:textId="5B660404" w:rsidR="00040181" w:rsidRPr="00A94DB4" w:rsidRDefault="00040181" w:rsidP="00A5352C">
      <w:pPr>
        <w:spacing w:after="0"/>
        <w:jc w:val="both"/>
        <w:rPr>
          <w:rFonts w:ascii="Times New Roman" w:hAnsi="Times New Roman" w:cs="Times New Roman"/>
          <w:sz w:val="24"/>
          <w:szCs w:val="24"/>
        </w:rPr>
      </w:pPr>
    </w:p>
    <w:p w14:paraId="73B4EE8F" w14:textId="1BDB5369" w:rsidR="00040181" w:rsidRPr="00A94DB4" w:rsidRDefault="00040181" w:rsidP="00A5352C">
      <w:pPr>
        <w:spacing w:after="0"/>
        <w:jc w:val="both"/>
        <w:rPr>
          <w:rFonts w:ascii="Times New Roman" w:hAnsi="Times New Roman" w:cs="Times New Roman"/>
          <w:sz w:val="24"/>
          <w:szCs w:val="24"/>
        </w:rPr>
      </w:pPr>
      <w:r w:rsidRPr="00A94DB4">
        <w:rPr>
          <w:rFonts w:ascii="Times New Roman" w:hAnsi="Times New Roman" w:cs="Times New Roman"/>
          <w:b/>
          <w:sz w:val="24"/>
          <w:szCs w:val="24"/>
        </w:rPr>
        <w:t>Ministria e Drejt</w:t>
      </w:r>
      <w:r w:rsidR="005F6563" w:rsidRPr="00A94DB4">
        <w:rPr>
          <w:rFonts w:ascii="Times New Roman" w:hAnsi="Times New Roman" w:cs="Times New Roman"/>
          <w:b/>
          <w:sz w:val="24"/>
          <w:szCs w:val="24"/>
        </w:rPr>
        <w:t>ë</w:t>
      </w:r>
      <w:r w:rsidRPr="00A94DB4">
        <w:rPr>
          <w:rFonts w:ascii="Times New Roman" w:hAnsi="Times New Roman" w:cs="Times New Roman"/>
          <w:b/>
          <w:sz w:val="24"/>
          <w:szCs w:val="24"/>
        </w:rPr>
        <w:t>sis</w:t>
      </w:r>
      <w:r w:rsidR="005F6563" w:rsidRPr="00A94DB4">
        <w:rPr>
          <w:rFonts w:ascii="Times New Roman" w:hAnsi="Times New Roman" w:cs="Times New Roman"/>
          <w:b/>
          <w:sz w:val="24"/>
          <w:szCs w:val="24"/>
        </w:rPr>
        <w:t>ë</w:t>
      </w:r>
      <w:r w:rsidRPr="00A94DB4">
        <w:rPr>
          <w:rFonts w:ascii="Times New Roman" w:hAnsi="Times New Roman" w:cs="Times New Roman"/>
          <w:b/>
          <w:sz w:val="24"/>
          <w:szCs w:val="24"/>
        </w:rPr>
        <w:t>,</w:t>
      </w:r>
      <w:r w:rsidRPr="00A94DB4">
        <w:rPr>
          <w:rFonts w:ascii="Times New Roman" w:hAnsi="Times New Roman" w:cs="Times New Roman"/>
          <w:sz w:val="24"/>
          <w:szCs w:val="24"/>
        </w:rPr>
        <w:t xml:space="preserv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kthim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rgjigjen e 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rguar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rmjet sistemit e-Aktet,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si 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posht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w:t>
      </w:r>
    </w:p>
    <w:p w14:paraId="4210876A" w14:textId="0F27C973" w:rsidR="00040181" w:rsidRPr="00A94DB4" w:rsidRDefault="00040181" w:rsidP="00A5352C">
      <w:pPr>
        <w:spacing w:after="0"/>
        <w:jc w:val="both"/>
        <w:rPr>
          <w:rFonts w:ascii="Times New Roman" w:hAnsi="Times New Roman" w:cs="Times New Roman"/>
          <w:sz w:val="24"/>
          <w:szCs w:val="24"/>
        </w:rPr>
      </w:pPr>
    </w:p>
    <w:p w14:paraId="65210B64" w14:textId="3FC6725B"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“1. Në lidhje me përputhshmërinë me Direktivën 2009/81/KE e Parlamentit Evropian dhe të Këshillit, datë 13 korrik 2009 “Mbi koordinimin e procedurave dhe dhënien e disa kontratave për punë, furnizime dhe shërbime nga autoritetet </w:t>
      </w:r>
      <w:proofErr w:type="spellStart"/>
      <w:r w:rsidRPr="00A94DB4">
        <w:rPr>
          <w:rFonts w:ascii="Times New Roman" w:hAnsi="Times New Roman" w:cs="Times New Roman"/>
          <w:i/>
          <w:sz w:val="24"/>
          <w:szCs w:val="24"/>
        </w:rPr>
        <w:t>kontraktore</w:t>
      </w:r>
      <w:proofErr w:type="spellEnd"/>
      <w:r w:rsidRPr="00A94DB4">
        <w:rPr>
          <w:rFonts w:ascii="Times New Roman" w:hAnsi="Times New Roman" w:cs="Times New Roman"/>
          <w:i/>
          <w:sz w:val="24"/>
          <w:szCs w:val="24"/>
        </w:rPr>
        <w:t xml:space="preserve"> apo ente në fushat e mbrojtjes dhe sigurisë”, sugjerojmë që përafrimi të vlerësohet si i pjesshëm pasi edhe vetë ligji në fuqi nr. 36/2020 e parashikon në këtë formë. </w:t>
      </w:r>
    </w:p>
    <w:p w14:paraId="1C9F03C3" w14:textId="77777777" w:rsidR="00040181" w:rsidRPr="00A94DB4" w:rsidRDefault="00040181" w:rsidP="00A5352C">
      <w:pPr>
        <w:spacing w:after="0"/>
        <w:jc w:val="both"/>
        <w:rPr>
          <w:rFonts w:ascii="Times New Roman" w:hAnsi="Times New Roman" w:cs="Times New Roman"/>
          <w:i/>
          <w:sz w:val="24"/>
          <w:szCs w:val="24"/>
        </w:rPr>
      </w:pPr>
    </w:p>
    <w:p w14:paraId="4FA2529F"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2. Në lidhje me nenin 1, të projektligjit sugjerojmë: </w:t>
      </w:r>
    </w:p>
    <w:p w14:paraId="56F20995"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lastRenderedPageBreak/>
        <w:t xml:space="preserve">a. Të </w:t>
      </w:r>
      <w:proofErr w:type="spellStart"/>
      <w:r w:rsidRPr="00A94DB4">
        <w:rPr>
          <w:rFonts w:ascii="Times New Roman" w:hAnsi="Times New Roman" w:cs="Times New Roman"/>
          <w:i/>
          <w:sz w:val="24"/>
          <w:szCs w:val="24"/>
        </w:rPr>
        <w:t>rishihet</w:t>
      </w:r>
      <w:proofErr w:type="spellEnd"/>
      <w:r w:rsidRPr="00A94DB4">
        <w:rPr>
          <w:rFonts w:ascii="Times New Roman" w:hAnsi="Times New Roman" w:cs="Times New Roman"/>
          <w:i/>
          <w:sz w:val="24"/>
          <w:szCs w:val="24"/>
        </w:rPr>
        <w:t xml:space="preserve"> ndarja e tij në pika të veçanta për secilin ndryshim për të shmangur paqartësitë.</w:t>
      </w:r>
    </w:p>
    <w:p w14:paraId="43C60845"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b. Për sa i përket togfjalëshit “prokurim i klasifikuar” i përmendur në këtë nen, sugjerojmë të specifikohet se ku është përdor përgjatë ligjit në fuqi dhe ku synohet të ndryshohet pasi në përmbajtjen e ligjit në fuqi nuk gjendet një formulim i tillë. </w:t>
      </w:r>
    </w:p>
    <w:p w14:paraId="12E744B7" w14:textId="77777777" w:rsidR="0014164F" w:rsidRPr="00A94DB4" w:rsidRDefault="0014164F" w:rsidP="00A5352C">
      <w:pPr>
        <w:spacing w:after="0"/>
        <w:jc w:val="both"/>
        <w:rPr>
          <w:rFonts w:ascii="Times New Roman" w:hAnsi="Times New Roman" w:cs="Times New Roman"/>
          <w:i/>
          <w:sz w:val="24"/>
          <w:szCs w:val="24"/>
        </w:rPr>
      </w:pPr>
    </w:p>
    <w:p w14:paraId="45799574" w14:textId="3258C76C"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3. Për sa i përket nenit 4, të projektligjit sugjerojmë që të </w:t>
      </w:r>
      <w:proofErr w:type="spellStart"/>
      <w:r w:rsidRPr="00A94DB4">
        <w:rPr>
          <w:rFonts w:ascii="Times New Roman" w:hAnsi="Times New Roman" w:cs="Times New Roman"/>
          <w:i/>
          <w:sz w:val="24"/>
          <w:szCs w:val="24"/>
        </w:rPr>
        <w:t>rishihet</w:t>
      </w:r>
      <w:proofErr w:type="spellEnd"/>
      <w:r w:rsidRPr="00A94DB4">
        <w:rPr>
          <w:rFonts w:ascii="Times New Roman" w:hAnsi="Times New Roman" w:cs="Times New Roman"/>
          <w:i/>
          <w:sz w:val="24"/>
          <w:szCs w:val="24"/>
        </w:rPr>
        <w:t xml:space="preserve"> pika e parë e tij. E japim këtë sugjerim pasi përmbajtja e tij është përsëritje e nenit 1, të projektligjit. Neni 1 parashikon pikërisht zëvendësimin e togfjalëshit “sigurim i informacionit të klasifikuar” me togfjalëshin “sigurinë e informacionit të klasifikuar” kudo në përmbajtjen e ligjit. Pikërisht përsëritja e këtij ndryshimi për nene specifike duhet </w:t>
      </w:r>
      <w:proofErr w:type="spellStart"/>
      <w:r w:rsidRPr="00A94DB4">
        <w:rPr>
          <w:rFonts w:ascii="Times New Roman" w:hAnsi="Times New Roman" w:cs="Times New Roman"/>
          <w:i/>
          <w:sz w:val="24"/>
          <w:szCs w:val="24"/>
        </w:rPr>
        <w:t>riparë</w:t>
      </w:r>
      <w:proofErr w:type="spellEnd"/>
      <w:r w:rsidRPr="00A94DB4">
        <w:rPr>
          <w:rFonts w:ascii="Times New Roman" w:hAnsi="Times New Roman" w:cs="Times New Roman"/>
          <w:i/>
          <w:sz w:val="24"/>
          <w:szCs w:val="24"/>
        </w:rPr>
        <w:t xml:space="preserve">. </w:t>
      </w:r>
    </w:p>
    <w:p w14:paraId="6DA8CC5E" w14:textId="77777777" w:rsidR="00040181" w:rsidRPr="00A94DB4" w:rsidRDefault="00040181" w:rsidP="00A5352C">
      <w:pPr>
        <w:spacing w:after="0"/>
        <w:jc w:val="both"/>
        <w:rPr>
          <w:rFonts w:ascii="Times New Roman" w:hAnsi="Times New Roman" w:cs="Times New Roman"/>
          <w:i/>
          <w:sz w:val="24"/>
          <w:szCs w:val="24"/>
        </w:rPr>
      </w:pPr>
    </w:p>
    <w:p w14:paraId="651A3B49"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4. Për sa i përket rregullimeve të parashikuara në nenin 5 të projektligjit sugjerojmë të </w:t>
      </w:r>
      <w:proofErr w:type="spellStart"/>
      <w:r w:rsidRPr="00A94DB4">
        <w:rPr>
          <w:rFonts w:ascii="Times New Roman" w:hAnsi="Times New Roman" w:cs="Times New Roman"/>
          <w:i/>
          <w:sz w:val="24"/>
          <w:szCs w:val="24"/>
        </w:rPr>
        <w:t>rishihen</w:t>
      </w:r>
      <w:proofErr w:type="spellEnd"/>
      <w:r w:rsidRPr="00A94DB4">
        <w:rPr>
          <w:rFonts w:ascii="Times New Roman" w:hAnsi="Times New Roman" w:cs="Times New Roman"/>
          <w:i/>
          <w:sz w:val="24"/>
          <w:szCs w:val="24"/>
        </w:rPr>
        <w:t xml:space="preserve"> duke mbajtur në konsideratë se objekti i ligjit 36/2020 dhe subjektet që përfshihen në fushën e veprimit të tij duhet të jenë në përputhje me direktivën 2009/81. Sugjerojmë të mbahen parasysh rregullimet e parashikuara nga neni 2 i direktivës. Gjithashtu formulimi i deritanishëm i shkronjës “c”, të pikës 2, të nenit 12, të ligjit 36/2020 parashikon që në rastet kur përputhet objekti, subjektet mund të jenë të çfarëdoshme, duke i përfshirë edhe agjencitë e parashikuara në nenin 5 të projektligjit. </w:t>
      </w:r>
    </w:p>
    <w:p w14:paraId="41F5ECA9" w14:textId="77777777" w:rsidR="00040181" w:rsidRPr="00A94DB4" w:rsidRDefault="00040181" w:rsidP="00A5352C">
      <w:pPr>
        <w:spacing w:after="0"/>
        <w:jc w:val="both"/>
        <w:rPr>
          <w:rFonts w:ascii="Times New Roman" w:hAnsi="Times New Roman" w:cs="Times New Roman"/>
          <w:i/>
          <w:sz w:val="24"/>
          <w:szCs w:val="24"/>
        </w:rPr>
      </w:pPr>
    </w:p>
    <w:p w14:paraId="796EA9E9"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5. Edhe në lidhje me nenin 6, të projektligjit shprehemi se ndryshimet e parashikuara në të janë përsëritje e rregullimeve të bëra nga neni 1 i projektligjit. Në vijim edhe të sugjerimit të dhënë në pikën 3 të kësaj shkrese sugjerojmë të </w:t>
      </w:r>
      <w:proofErr w:type="spellStart"/>
      <w:r w:rsidRPr="00A94DB4">
        <w:rPr>
          <w:rFonts w:ascii="Times New Roman" w:hAnsi="Times New Roman" w:cs="Times New Roman"/>
          <w:i/>
          <w:sz w:val="24"/>
          <w:szCs w:val="24"/>
        </w:rPr>
        <w:t>rishihet</w:t>
      </w:r>
      <w:proofErr w:type="spellEnd"/>
      <w:r w:rsidRPr="00A94DB4">
        <w:rPr>
          <w:rFonts w:ascii="Times New Roman" w:hAnsi="Times New Roman" w:cs="Times New Roman"/>
          <w:i/>
          <w:sz w:val="24"/>
          <w:szCs w:val="24"/>
        </w:rPr>
        <w:t xml:space="preserve"> ky nen. </w:t>
      </w:r>
    </w:p>
    <w:p w14:paraId="36EE0C8D" w14:textId="77777777" w:rsidR="00040181" w:rsidRPr="00A94DB4" w:rsidRDefault="00040181" w:rsidP="00A5352C">
      <w:pPr>
        <w:spacing w:after="0"/>
        <w:jc w:val="both"/>
        <w:rPr>
          <w:rFonts w:ascii="Times New Roman" w:hAnsi="Times New Roman" w:cs="Times New Roman"/>
          <w:i/>
          <w:sz w:val="24"/>
          <w:szCs w:val="24"/>
        </w:rPr>
      </w:pPr>
    </w:p>
    <w:p w14:paraId="55FF6BE3"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6. Për sa i përket nenit 8 të projektligjit sugjerojmë që procedurat e mundshme për prokurimet në fushën e mbrojtjes dhe sigurisë të kufizohen në ato të parashikuara nga ligji 36/2020. Në rast se synohet shtimi i procedurave dhe llojeve të tyre do duhet të ndërhyhet në të gjithë dispozitat e ligjit, fillimisht duke e përkufizuar “procedurën e thjeshtuar të prokurimit” ose në rastin e referimit në një ligj tjetër ai duhet të bëhet i plotë. </w:t>
      </w:r>
    </w:p>
    <w:p w14:paraId="5F8B6941" w14:textId="77777777" w:rsidR="00040181" w:rsidRPr="00A94DB4" w:rsidRDefault="00040181" w:rsidP="00A5352C">
      <w:pPr>
        <w:spacing w:after="0"/>
        <w:jc w:val="both"/>
        <w:rPr>
          <w:rFonts w:ascii="Times New Roman" w:hAnsi="Times New Roman" w:cs="Times New Roman"/>
          <w:i/>
          <w:sz w:val="24"/>
          <w:szCs w:val="24"/>
        </w:rPr>
      </w:pPr>
    </w:p>
    <w:p w14:paraId="146FA30C"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7. Në lidhje me nenin 10 të projektligjit shprehemi se shfuqizimi i një autorizimi ligjor dikton që kompetencat e deleguara në të, të parashikohen në vetë aktin që e delegon këtë kompetencë. Gjithashtu sugjerojmë të shoqërohet me ndryshime në nenin 62 të ligjit 36/2020. Për sa i përket arsyetimit të dhënë në relacion se “Ky ndryshim bëhet sepse është vlerësuar se ka qenë një lapsus i përfshirë në nenin përkatës të LPFMS. Ky formulim në vetvete ka qenë kundërshtues sepse shkaqet e paparashikueshme, me vetë natyrën e tyre nuk mund të përcaktohen apriori në një VKM, pasi ato ndodhin jashtë çdo parashikimi”, shprehemi se ligji parashikon se Këshilli i Ministrave parashikon me vendim parimet e barazisë dhe të transparencës mbi të cilat respektohen edhe në rastet e shkaqeve që dalin jashtë kontrollit të autoritetit </w:t>
      </w:r>
      <w:proofErr w:type="spellStart"/>
      <w:r w:rsidRPr="00A94DB4">
        <w:rPr>
          <w:rFonts w:ascii="Times New Roman" w:hAnsi="Times New Roman" w:cs="Times New Roman"/>
          <w:i/>
          <w:sz w:val="24"/>
          <w:szCs w:val="24"/>
        </w:rPr>
        <w:t>kontraktor</w:t>
      </w:r>
      <w:proofErr w:type="spellEnd"/>
      <w:r w:rsidRPr="00A94DB4">
        <w:rPr>
          <w:rFonts w:ascii="Times New Roman" w:hAnsi="Times New Roman" w:cs="Times New Roman"/>
          <w:i/>
          <w:sz w:val="24"/>
          <w:szCs w:val="24"/>
        </w:rPr>
        <w:t xml:space="preserve"> dhe jo të vetë këtyre shkaqeve.</w:t>
      </w:r>
    </w:p>
    <w:p w14:paraId="2E28CBCD" w14:textId="77777777" w:rsidR="00040181" w:rsidRPr="00A94DB4" w:rsidRDefault="00040181" w:rsidP="00A5352C">
      <w:pPr>
        <w:spacing w:after="0"/>
        <w:jc w:val="both"/>
        <w:rPr>
          <w:rFonts w:ascii="Times New Roman" w:hAnsi="Times New Roman" w:cs="Times New Roman"/>
          <w:i/>
          <w:sz w:val="24"/>
          <w:szCs w:val="24"/>
        </w:rPr>
      </w:pPr>
    </w:p>
    <w:p w14:paraId="40B9102B" w14:textId="77777777"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 8. Për sa i përket pikës 3, të nenit 11, të projektligjit sugjerojmë të </w:t>
      </w:r>
      <w:proofErr w:type="spellStart"/>
      <w:r w:rsidRPr="00A94DB4">
        <w:rPr>
          <w:rFonts w:ascii="Times New Roman" w:hAnsi="Times New Roman" w:cs="Times New Roman"/>
          <w:i/>
          <w:sz w:val="24"/>
          <w:szCs w:val="24"/>
        </w:rPr>
        <w:t>rishihet</w:t>
      </w:r>
      <w:proofErr w:type="spellEnd"/>
      <w:r w:rsidRPr="00A94DB4">
        <w:rPr>
          <w:rFonts w:ascii="Times New Roman" w:hAnsi="Times New Roman" w:cs="Times New Roman"/>
          <w:i/>
          <w:sz w:val="24"/>
          <w:szCs w:val="24"/>
        </w:rPr>
        <w:t xml:space="preserve"> si rregullim pasi kriteret e kualifikimit dhe të vlerësimit janë të ndryshme dhe duhet sqaruar në relacionin shpjegues nëse kemi të bëjmë me një zëvendësim të qëllimshëm të këtyre kritereve që do duhet të njoftohen së bashku me kontratën apo jo. </w:t>
      </w:r>
    </w:p>
    <w:p w14:paraId="3026D220" w14:textId="77777777" w:rsidR="00040181" w:rsidRPr="00A94DB4" w:rsidRDefault="00040181" w:rsidP="00A5352C">
      <w:pPr>
        <w:spacing w:after="0"/>
        <w:jc w:val="both"/>
        <w:rPr>
          <w:rFonts w:ascii="Times New Roman" w:hAnsi="Times New Roman" w:cs="Times New Roman"/>
          <w:i/>
          <w:sz w:val="24"/>
          <w:szCs w:val="24"/>
        </w:rPr>
      </w:pPr>
    </w:p>
    <w:p w14:paraId="0467EF63" w14:textId="2CB4CE14" w:rsidR="00040181" w:rsidRPr="00A94DB4" w:rsidRDefault="00040181"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lastRenderedPageBreak/>
        <w:t xml:space="preserve">9. Në lidhje me shtesën e parashikuar në pikën 3, të nenit 53 të ligjit 36/2020, konkretisht shkronja “c” e kësaj pike sugjerojmë të sqarohet në relacionin shpjegues nëse është një kompetencë e re që i jepet operatoreve ekonomike për të </w:t>
      </w:r>
      <w:proofErr w:type="spellStart"/>
      <w:r w:rsidRPr="00A94DB4">
        <w:rPr>
          <w:rFonts w:ascii="Times New Roman" w:hAnsi="Times New Roman" w:cs="Times New Roman"/>
          <w:i/>
          <w:sz w:val="24"/>
          <w:szCs w:val="24"/>
        </w:rPr>
        <w:t>ankimuar</w:t>
      </w:r>
      <w:proofErr w:type="spellEnd"/>
      <w:r w:rsidRPr="00A94DB4">
        <w:rPr>
          <w:rFonts w:ascii="Times New Roman" w:hAnsi="Times New Roman" w:cs="Times New Roman"/>
          <w:i/>
          <w:sz w:val="24"/>
          <w:szCs w:val="24"/>
        </w:rPr>
        <w:t xml:space="preserve"> vendimin e anulimit të procedurës së prokurimit, pasi ligji në fuqi nuk e parashikon shprehimisht një procedurë të tillë.”</w:t>
      </w:r>
    </w:p>
    <w:p w14:paraId="1DE098ED" w14:textId="27F248C4" w:rsidR="00040181" w:rsidRPr="00A94DB4" w:rsidRDefault="00040181" w:rsidP="00864A9C">
      <w:pPr>
        <w:pStyle w:val="ListParagraph"/>
        <w:numPr>
          <w:ilvl w:val="0"/>
          <w:numId w:val="40"/>
        </w:numPr>
        <w:spacing w:after="0"/>
        <w:jc w:val="both"/>
        <w:rPr>
          <w:rFonts w:ascii="Times New Roman" w:hAnsi="Times New Roman" w:cs="Times New Roman"/>
          <w:sz w:val="24"/>
          <w:szCs w:val="24"/>
        </w:rPr>
      </w:pPr>
      <w:r w:rsidRPr="00A94DB4">
        <w:rPr>
          <w:rFonts w:ascii="Times New Roman" w:hAnsi="Times New Roman" w:cs="Times New Roman"/>
          <w:sz w:val="24"/>
          <w:szCs w:val="24"/>
        </w:rPr>
        <w:t>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lidhje me komentet nr. 1, 2, 3, 5 dhe 6,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sip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rme, Ministria e Mbrojtjes shprehet se, </w:t>
      </w:r>
      <w:r w:rsidR="004365A5" w:rsidRPr="00A94DB4">
        <w:rPr>
          <w:rFonts w:ascii="Times New Roman" w:hAnsi="Times New Roman" w:cs="Times New Roman"/>
          <w:sz w:val="24"/>
          <w:szCs w:val="24"/>
        </w:rPr>
        <w:t>secili nga k</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to</w:t>
      </w:r>
      <w:r w:rsidRPr="00A94DB4">
        <w:rPr>
          <w:rFonts w:ascii="Times New Roman" w:hAnsi="Times New Roman" w:cs="Times New Roman"/>
          <w:sz w:val="24"/>
          <w:szCs w:val="24"/>
        </w:rPr>
        <w:t xml:space="preserve"> komente </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pranuar dhe reflektuar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tekstin e projektvendimit dhe relacionit shoq</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rues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tij </w:t>
      </w:r>
      <w:r w:rsidR="004365A5" w:rsidRPr="00A94DB4">
        <w:rPr>
          <w:rFonts w:ascii="Times New Roman" w:hAnsi="Times New Roman" w:cs="Times New Roman"/>
          <w:sz w:val="24"/>
          <w:szCs w:val="24"/>
        </w:rPr>
        <w:t>apo</w:t>
      </w:r>
      <w:r w:rsidRPr="00A94DB4">
        <w:rPr>
          <w:rFonts w:ascii="Times New Roman" w:hAnsi="Times New Roman" w:cs="Times New Roman"/>
          <w:sz w:val="24"/>
          <w:szCs w:val="24"/>
        </w:rPr>
        <w:t xml:space="preserv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w:t>
      </w:r>
      <w:r w:rsidR="004365A5" w:rsidRPr="00A94DB4">
        <w:rPr>
          <w:rFonts w:ascii="Times New Roman" w:hAnsi="Times New Roman" w:cs="Times New Roman"/>
          <w:sz w:val="24"/>
          <w:szCs w:val="24"/>
        </w:rPr>
        <w:t>tabelat e p</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rputhshm</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ris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w:t>
      </w:r>
    </w:p>
    <w:p w14:paraId="58294ED4" w14:textId="43C2123A" w:rsidR="00040181" w:rsidRPr="00A94DB4" w:rsidRDefault="00040181" w:rsidP="00A5352C">
      <w:pPr>
        <w:spacing w:after="0"/>
        <w:jc w:val="both"/>
        <w:rPr>
          <w:rFonts w:ascii="Times New Roman" w:hAnsi="Times New Roman" w:cs="Times New Roman"/>
          <w:sz w:val="24"/>
          <w:szCs w:val="24"/>
        </w:rPr>
      </w:pPr>
    </w:p>
    <w:p w14:paraId="4F742982" w14:textId="0E8BC21A" w:rsidR="006468CE" w:rsidRPr="00A94DB4" w:rsidRDefault="00040181" w:rsidP="00864A9C">
      <w:pPr>
        <w:pStyle w:val="ListParagraph"/>
        <w:numPr>
          <w:ilvl w:val="0"/>
          <w:numId w:val="39"/>
        </w:num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komentin nr. 4,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sip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rm, </w:t>
      </w:r>
      <w:r w:rsidR="006B7066" w:rsidRPr="00A94DB4">
        <w:rPr>
          <w:rFonts w:ascii="Times New Roman" w:hAnsi="Times New Roman" w:cs="Times New Roman"/>
          <w:sz w:val="24"/>
          <w:szCs w:val="24"/>
        </w:rPr>
        <w:t>shpjegojm</w:t>
      </w:r>
      <w:r w:rsidR="005F6563" w:rsidRPr="00A94DB4">
        <w:rPr>
          <w:rFonts w:ascii="Times New Roman" w:hAnsi="Times New Roman" w:cs="Times New Roman"/>
          <w:sz w:val="24"/>
          <w:szCs w:val="24"/>
        </w:rPr>
        <w:t>ë</w:t>
      </w:r>
      <w:r w:rsidR="006B7066" w:rsidRPr="00A94DB4">
        <w:rPr>
          <w:rFonts w:ascii="Times New Roman" w:hAnsi="Times New Roman" w:cs="Times New Roman"/>
          <w:sz w:val="24"/>
          <w:szCs w:val="24"/>
        </w:rPr>
        <w:t xml:space="preserve"> se,</w:t>
      </w:r>
      <w:r w:rsidR="006468CE" w:rsidRPr="00A94DB4">
        <w:rPr>
          <w:rFonts w:ascii="Times New Roman" w:hAnsi="Times New Roman" w:cs="Times New Roman"/>
          <w:sz w:val="24"/>
          <w:szCs w:val="24"/>
        </w:rPr>
        <w:t xml:space="preserve"> n</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planin material, neni 2 i  </w:t>
      </w:r>
      <w:r w:rsidR="006B7066" w:rsidRPr="00A94DB4">
        <w:rPr>
          <w:rFonts w:ascii="Times New Roman" w:hAnsi="Times New Roman" w:cs="Times New Roman"/>
          <w:sz w:val="24"/>
          <w:szCs w:val="24"/>
        </w:rPr>
        <w:t xml:space="preserve"> </w:t>
      </w:r>
      <w:r w:rsidR="006468CE" w:rsidRPr="00A94DB4">
        <w:rPr>
          <w:rFonts w:ascii="Times New Roman" w:hAnsi="Times New Roman" w:cs="Times New Roman"/>
          <w:sz w:val="24"/>
          <w:szCs w:val="24"/>
        </w:rPr>
        <w:t>Direktiv</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s 2009/81/KE dhe </w:t>
      </w:r>
      <w:r w:rsidR="001A1407" w:rsidRPr="00A94DB4">
        <w:rPr>
          <w:rFonts w:ascii="Times New Roman" w:hAnsi="Times New Roman" w:cs="Times New Roman"/>
          <w:sz w:val="24"/>
          <w:szCs w:val="24"/>
        </w:rPr>
        <w:t>neni 1, i ligjit 36/2020 n</w:t>
      </w:r>
      <w:r w:rsidR="005F6563" w:rsidRPr="00A94DB4">
        <w:rPr>
          <w:rFonts w:ascii="Times New Roman" w:hAnsi="Times New Roman" w:cs="Times New Roman"/>
          <w:sz w:val="24"/>
          <w:szCs w:val="24"/>
        </w:rPr>
        <w:t>ë</w:t>
      </w:r>
      <w:r w:rsidR="001A1407" w:rsidRPr="00A94DB4">
        <w:rPr>
          <w:rFonts w:ascii="Times New Roman" w:hAnsi="Times New Roman" w:cs="Times New Roman"/>
          <w:sz w:val="24"/>
          <w:szCs w:val="24"/>
        </w:rPr>
        <w:t xml:space="preserve"> fuqi, t</w:t>
      </w:r>
      <w:r w:rsidR="005F6563" w:rsidRPr="00A94DB4">
        <w:rPr>
          <w:rFonts w:ascii="Times New Roman" w:hAnsi="Times New Roman" w:cs="Times New Roman"/>
          <w:sz w:val="24"/>
          <w:szCs w:val="24"/>
        </w:rPr>
        <w:t>ë</w:t>
      </w:r>
      <w:r w:rsidR="001A1407" w:rsidRPr="00A94DB4">
        <w:rPr>
          <w:rFonts w:ascii="Times New Roman" w:hAnsi="Times New Roman" w:cs="Times New Roman"/>
          <w:sz w:val="24"/>
          <w:szCs w:val="24"/>
        </w:rPr>
        <w:t xml:space="preserve"> ndryshuar, p</w:t>
      </w:r>
      <w:r w:rsidR="005F6563" w:rsidRPr="00A94DB4">
        <w:rPr>
          <w:rFonts w:ascii="Times New Roman" w:hAnsi="Times New Roman" w:cs="Times New Roman"/>
          <w:sz w:val="24"/>
          <w:szCs w:val="24"/>
        </w:rPr>
        <w:t>ë</w:t>
      </w:r>
      <w:r w:rsidR="001A1407" w:rsidRPr="00A94DB4">
        <w:rPr>
          <w:rFonts w:ascii="Times New Roman" w:hAnsi="Times New Roman" w:cs="Times New Roman"/>
          <w:sz w:val="24"/>
          <w:szCs w:val="24"/>
        </w:rPr>
        <w:t>rcakto</w:t>
      </w:r>
      <w:r w:rsidR="006468CE" w:rsidRPr="00A94DB4">
        <w:rPr>
          <w:rFonts w:ascii="Times New Roman" w:hAnsi="Times New Roman" w:cs="Times New Roman"/>
          <w:sz w:val="24"/>
          <w:szCs w:val="24"/>
        </w:rPr>
        <w:t>j</w:t>
      </w:r>
      <w:r w:rsidR="001A1407" w:rsidRPr="00A94DB4">
        <w:rPr>
          <w:rFonts w:ascii="Times New Roman" w:hAnsi="Times New Roman" w:cs="Times New Roman"/>
          <w:sz w:val="24"/>
          <w:szCs w:val="24"/>
        </w:rPr>
        <w:t>n</w:t>
      </w:r>
      <w:r w:rsidR="005F6563" w:rsidRPr="00A94DB4">
        <w:rPr>
          <w:rFonts w:ascii="Times New Roman" w:hAnsi="Times New Roman" w:cs="Times New Roman"/>
          <w:sz w:val="24"/>
          <w:szCs w:val="24"/>
        </w:rPr>
        <w:t>ë</w:t>
      </w:r>
      <w:r w:rsidR="001A1407" w:rsidRPr="00A94DB4">
        <w:rPr>
          <w:rFonts w:ascii="Times New Roman" w:hAnsi="Times New Roman" w:cs="Times New Roman"/>
          <w:sz w:val="24"/>
          <w:szCs w:val="24"/>
        </w:rPr>
        <w:t xml:space="preserve"> se objekt veprimtarie e ligjit jan</w:t>
      </w:r>
      <w:r w:rsidR="005F6563" w:rsidRPr="00A94DB4">
        <w:rPr>
          <w:rFonts w:ascii="Times New Roman" w:hAnsi="Times New Roman" w:cs="Times New Roman"/>
          <w:sz w:val="24"/>
          <w:szCs w:val="24"/>
        </w:rPr>
        <w:t>ë</w:t>
      </w:r>
      <w:r w:rsidR="001A1407" w:rsidRPr="00A94DB4">
        <w:rPr>
          <w:rFonts w:ascii="Times New Roman" w:hAnsi="Times New Roman" w:cs="Times New Roman"/>
          <w:sz w:val="24"/>
          <w:szCs w:val="24"/>
        </w:rPr>
        <w:t xml:space="preserve"> kontratat që lidhen në fushat e mbrojtjes dhe të sigurisë</w:t>
      </w:r>
      <w:r w:rsidR="006468CE" w:rsidRPr="00A94DB4">
        <w:rPr>
          <w:rFonts w:ascii="Times New Roman" w:hAnsi="Times New Roman" w:cs="Times New Roman"/>
          <w:sz w:val="24"/>
          <w:szCs w:val="24"/>
        </w:rPr>
        <w:t>, p</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r q</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llimet e p</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rcaktuara n</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shkronjat “a”, “b”, “c” dhe “ç”, t</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tij. Kjo korniz</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w:t>
      </w:r>
      <w:r w:rsidR="00192F67"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rfshin</w:t>
      </w:r>
      <w:r w:rsidR="006468CE" w:rsidRPr="00A94DB4">
        <w:rPr>
          <w:rFonts w:ascii="Times New Roman" w:hAnsi="Times New Roman" w:cs="Times New Roman"/>
          <w:sz w:val="24"/>
          <w:szCs w:val="24"/>
        </w:rPr>
        <w:t xml:space="preserve"> edhe prokurimet e realizuara nga agjencit</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e zbatimit t</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ligjit n</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luft</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n kund</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r korrupsionit dhe krimit t</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organizuar, n</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 xml:space="preserve"> rastet kur </w:t>
      </w:r>
      <w:r w:rsidR="00192F67" w:rsidRPr="00A94DB4">
        <w:rPr>
          <w:rFonts w:ascii="Times New Roman" w:hAnsi="Times New Roman" w:cs="Times New Roman"/>
          <w:sz w:val="24"/>
          <w:szCs w:val="24"/>
        </w:rPr>
        <w:t>objekti p</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rputhet me k</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t</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 xml:space="preserve"> fush</w:t>
      </w:r>
      <w:r w:rsidR="005F6563" w:rsidRPr="00A94DB4">
        <w:rPr>
          <w:rFonts w:ascii="Times New Roman" w:hAnsi="Times New Roman" w:cs="Times New Roman"/>
          <w:sz w:val="24"/>
          <w:szCs w:val="24"/>
        </w:rPr>
        <w:t>ë</w:t>
      </w:r>
      <w:r w:rsidR="006468CE" w:rsidRPr="00A94DB4">
        <w:rPr>
          <w:rFonts w:ascii="Times New Roman" w:hAnsi="Times New Roman" w:cs="Times New Roman"/>
          <w:sz w:val="24"/>
          <w:szCs w:val="24"/>
        </w:rPr>
        <w:t>.</w:t>
      </w:r>
    </w:p>
    <w:p w14:paraId="269F5FBA" w14:textId="4B282375" w:rsidR="00192F67" w:rsidRPr="00A94DB4" w:rsidRDefault="00192F67" w:rsidP="00A5352C">
      <w:pPr>
        <w:spacing w:after="0"/>
        <w:jc w:val="both"/>
        <w:rPr>
          <w:rFonts w:ascii="Times New Roman" w:hAnsi="Times New Roman" w:cs="Times New Roman"/>
          <w:sz w:val="24"/>
          <w:szCs w:val="24"/>
        </w:rPr>
      </w:pPr>
    </w:p>
    <w:p w14:paraId="5DE524E1" w14:textId="56F3E9DD" w:rsidR="00192F67" w:rsidRPr="00A94DB4" w:rsidRDefault="00192F67" w:rsidP="00864A9C">
      <w:pPr>
        <w:pStyle w:val="ListParagraph"/>
        <w:spacing w:after="0"/>
        <w:jc w:val="both"/>
        <w:rPr>
          <w:rFonts w:ascii="Times New Roman" w:hAnsi="Times New Roman" w:cs="Times New Roman"/>
          <w:sz w:val="24"/>
          <w:szCs w:val="24"/>
        </w:rPr>
      </w:pPr>
      <w:r w:rsidRPr="00A94DB4">
        <w:rPr>
          <w:rFonts w:ascii="Times New Roman" w:hAnsi="Times New Roman" w:cs="Times New Roman"/>
          <w:sz w:val="24"/>
          <w:szCs w:val="24"/>
        </w:rPr>
        <w:t>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nenin 12, pika 2, shkronja “a”,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ligjit 36/2020,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rcaktohet se, autoritetet të cilave ky ligj u jep kompetencat për të ndërmarrë një procedurë për dhënien e kontratave në fushën e mbrojtjes dhe të siguris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jan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ministritë dhe institucionet shtetërore përgjegjëse për mbrojtjen, rendin publik dhe sigurinë kombëtare. Nd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rsa shkronja “c”, e pik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 2,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nenit 12,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tij ligji, ka karakter kufizues, pasi zbatohet vet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m kur,  “gjat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nj</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procedure prokurimi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rfshihen element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q</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lidhen me nj</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nga fushat e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rmendura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shkronj</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n “a”,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saj pike, duke mos e zgjeruar list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n e autoriteteve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 xml:space="preserve">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rtej atyre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shkronj</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s “a”. </w:t>
      </w:r>
    </w:p>
    <w:p w14:paraId="63D59E5A" w14:textId="1528CA8D" w:rsidR="00192F67" w:rsidRPr="00A94DB4" w:rsidRDefault="00192F67" w:rsidP="00A5352C">
      <w:pPr>
        <w:spacing w:after="0"/>
        <w:jc w:val="both"/>
        <w:rPr>
          <w:rFonts w:ascii="Times New Roman" w:hAnsi="Times New Roman" w:cs="Times New Roman"/>
          <w:sz w:val="24"/>
          <w:szCs w:val="24"/>
        </w:rPr>
      </w:pPr>
    </w:p>
    <w:p w14:paraId="58EF2D42" w14:textId="29250726" w:rsidR="00192F67" w:rsidRPr="00A94DB4" w:rsidRDefault="00864A9C" w:rsidP="00864A9C">
      <w:pPr>
        <w:pStyle w:val="ListParagraph"/>
        <w:spacing w:after="0"/>
        <w:jc w:val="both"/>
        <w:rPr>
          <w:rFonts w:ascii="Times New Roman" w:hAnsi="Times New Roman" w:cs="Times New Roman"/>
          <w:sz w:val="24"/>
          <w:szCs w:val="24"/>
        </w:rPr>
      </w:pPr>
      <w:r w:rsidRPr="00A94DB4">
        <w:rPr>
          <w:rFonts w:ascii="Times New Roman" w:hAnsi="Times New Roman" w:cs="Times New Roman"/>
          <w:sz w:val="24"/>
          <w:szCs w:val="24"/>
        </w:rPr>
        <w:t>Duke qen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a</w:t>
      </w:r>
      <w:r w:rsidR="00192F67" w:rsidRPr="00A94DB4">
        <w:rPr>
          <w:rFonts w:ascii="Times New Roman" w:hAnsi="Times New Roman" w:cs="Times New Roman"/>
          <w:sz w:val="24"/>
          <w:szCs w:val="24"/>
        </w:rPr>
        <w:t>gjencit</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 xml:space="preserve"> e zbatimit t</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 xml:space="preserve"> ligjit n</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 xml:space="preserve"> luft</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n kund</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r korrupsionit dhe krimit t</w:t>
      </w:r>
      <w:r w:rsidR="005F6563" w:rsidRPr="00A94DB4">
        <w:rPr>
          <w:rFonts w:ascii="Times New Roman" w:hAnsi="Times New Roman" w:cs="Times New Roman"/>
          <w:sz w:val="24"/>
          <w:szCs w:val="24"/>
        </w:rPr>
        <w:t>ë</w:t>
      </w:r>
      <w:r w:rsidR="00192F67" w:rsidRPr="00A94DB4">
        <w:rPr>
          <w:rFonts w:ascii="Times New Roman" w:hAnsi="Times New Roman" w:cs="Times New Roman"/>
          <w:sz w:val="24"/>
          <w:szCs w:val="24"/>
        </w:rPr>
        <w:t xml:space="preserve"> organizuar </w:t>
      </w:r>
      <w:r w:rsidRPr="00A94DB4">
        <w:rPr>
          <w:rFonts w:ascii="Times New Roman" w:hAnsi="Times New Roman" w:cs="Times New Roman"/>
          <w:sz w:val="24"/>
          <w:szCs w:val="24"/>
        </w:rPr>
        <w:t>jan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struktura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posaçme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ngritura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nj</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q</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llim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caktuar dhe nuk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rfshihen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fushat e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rcaktuara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w:t>
      </w:r>
      <w:r w:rsidR="00192F67" w:rsidRPr="00A94DB4">
        <w:rPr>
          <w:rFonts w:ascii="Times New Roman" w:hAnsi="Times New Roman" w:cs="Times New Roman"/>
          <w:sz w:val="24"/>
          <w:szCs w:val="24"/>
        </w:rPr>
        <w:t xml:space="preserve"> </w:t>
      </w:r>
      <w:r w:rsidRPr="00A94DB4">
        <w:rPr>
          <w:rFonts w:ascii="Times New Roman" w:hAnsi="Times New Roman" w:cs="Times New Roman"/>
          <w:sz w:val="24"/>
          <w:szCs w:val="24"/>
        </w:rPr>
        <w:t>nenin 12/2,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ligjit 36/2020,  si dhe duke qen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ato lidhin kontrata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fush</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n e mbrojtjes dhe siguris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e nevojshme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parashikohen shprehimisht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ligj si autoritete </w:t>
      </w:r>
      <w:proofErr w:type="spellStart"/>
      <w:r w:rsidRPr="00A94DB4">
        <w:rPr>
          <w:rFonts w:ascii="Times New Roman" w:hAnsi="Times New Roman" w:cs="Times New Roman"/>
          <w:sz w:val="24"/>
          <w:szCs w:val="24"/>
        </w:rPr>
        <w:t>kontraktore</w:t>
      </w:r>
      <w:proofErr w:type="spellEnd"/>
      <w:r w:rsidRPr="00A94DB4">
        <w:rPr>
          <w:rFonts w:ascii="Times New Roman" w:hAnsi="Times New Roman" w:cs="Times New Roman"/>
          <w:sz w:val="24"/>
          <w:szCs w:val="24"/>
        </w:rPr>
        <w:t>.</w:t>
      </w:r>
    </w:p>
    <w:p w14:paraId="3EDD3DF2" w14:textId="3EE1F415" w:rsidR="00864A9C" w:rsidRPr="00A94DB4" w:rsidRDefault="00864A9C" w:rsidP="00864A9C">
      <w:pPr>
        <w:spacing w:after="0"/>
        <w:jc w:val="both"/>
        <w:rPr>
          <w:rFonts w:ascii="Times New Roman" w:hAnsi="Times New Roman" w:cs="Times New Roman"/>
          <w:sz w:val="24"/>
          <w:szCs w:val="24"/>
        </w:rPr>
      </w:pPr>
    </w:p>
    <w:p w14:paraId="3187CE0C" w14:textId="28CA557F" w:rsidR="008730FB" w:rsidRPr="00A94DB4" w:rsidRDefault="00864A9C" w:rsidP="008730FB">
      <w:pPr>
        <w:pStyle w:val="ListParagraph"/>
        <w:numPr>
          <w:ilvl w:val="0"/>
          <w:numId w:val="39"/>
        </w:num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komentin nr. 7, 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w:t>
      </w:r>
      <w:r w:rsidR="000E1A59" w:rsidRPr="00A94DB4">
        <w:rPr>
          <w:rFonts w:ascii="Times New Roman" w:hAnsi="Times New Roman" w:cs="Times New Roman"/>
          <w:sz w:val="24"/>
          <w:szCs w:val="24"/>
        </w:rPr>
        <w:t xml:space="preserve">, </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reflektuar 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tekstin e projektligjit ndryshimi 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nenin 62, sipas k</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rkes</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s s</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b</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Sa i </w:t>
      </w:r>
      <w:proofErr w:type="spellStart"/>
      <w:r w:rsidR="000C1B06"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rker</w:t>
      </w:r>
      <w:proofErr w:type="spellEnd"/>
      <w:r w:rsidR="000C1B06" w:rsidRPr="00A94DB4">
        <w:rPr>
          <w:rFonts w:ascii="Times New Roman" w:hAnsi="Times New Roman" w:cs="Times New Roman"/>
          <w:sz w:val="24"/>
          <w:szCs w:val="24"/>
        </w:rPr>
        <w:t xml:space="preserve"> pjes</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s tjet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komentit q</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lidhen me nenin 36, pika 1, shkronja “a” i q</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ndrojm</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w:t>
      </w:r>
      <w:proofErr w:type="spellStart"/>
      <w:r w:rsidR="000C1B06" w:rsidRPr="00A94DB4">
        <w:rPr>
          <w:rFonts w:ascii="Times New Roman" w:hAnsi="Times New Roman" w:cs="Times New Roman"/>
          <w:sz w:val="24"/>
          <w:szCs w:val="24"/>
        </w:rPr>
        <w:t>arysetimit</w:t>
      </w:r>
      <w:proofErr w:type="spellEnd"/>
      <w:r w:rsidR="000C1B06" w:rsidRPr="00A94DB4">
        <w:rPr>
          <w:rFonts w:ascii="Times New Roman" w:hAnsi="Times New Roman" w:cs="Times New Roman"/>
          <w:sz w:val="24"/>
          <w:szCs w:val="24"/>
        </w:rPr>
        <w:t xml:space="preserve">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m</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parsh</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m dhe propozimit p</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 heqjen e togfjal</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shit “</w:t>
      </w:r>
      <w:r w:rsidR="000C1B06" w:rsidRPr="00A94DB4">
        <w:rPr>
          <w:rFonts w:ascii="Times New Roman" w:hAnsi="Times New Roman" w:cs="Times New Roman"/>
          <w:i/>
          <w:sz w:val="24"/>
          <w:szCs w:val="24"/>
        </w:rPr>
        <w:t>të përcaktuara me vendim të Këshillit të Ministrave</w:t>
      </w:r>
      <w:r w:rsidR="000C1B06" w:rsidRPr="00A94DB4">
        <w:rPr>
          <w:rFonts w:ascii="Times New Roman" w:hAnsi="Times New Roman" w:cs="Times New Roman"/>
          <w:sz w:val="24"/>
          <w:szCs w:val="24"/>
        </w:rPr>
        <w:t>”. Rastet q</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dalin jasht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kontrollit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autoritetit </w:t>
      </w:r>
      <w:proofErr w:type="spellStart"/>
      <w:r w:rsidR="000C1B06" w:rsidRPr="00A94DB4">
        <w:rPr>
          <w:rFonts w:ascii="Times New Roman" w:hAnsi="Times New Roman" w:cs="Times New Roman"/>
          <w:sz w:val="24"/>
          <w:szCs w:val="24"/>
        </w:rPr>
        <w:t>kontraktor</w:t>
      </w:r>
      <w:proofErr w:type="spellEnd"/>
      <w:r w:rsidR="000C1B06" w:rsidRPr="00A94DB4">
        <w:rPr>
          <w:rFonts w:ascii="Times New Roman" w:hAnsi="Times New Roman" w:cs="Times New Roman"/>
          <w:sz w:val="24"/>
          <w:szCs w:val="24"/>
        </w:rPr>
        <w:t xml:space="preserve"> dhe q</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jan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paparashikueshme nuk mund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p</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rcaktohen </w:t>
      </w:r>
      <w:proofErr w:type="spellStart"/>
      <w:r w:rsidR="000C1B06" w:rsidRPr="00A94DB4">
        <w:rPr>
          <w:rFonts w:ascii="Times New Roman" w:hAnsi="Times New Roman" w:cs="Times New Roman"/>
          <w:sz w:val="24"/>
          <w:szCs w:val="24"/>
        </w:rPr>
        <w:t>parapraktisht</w:t>
      </w:r>
      <w:proofErr w:type="spellEnd"/>
      <w:r w:rsidR="000C1B06" w:rsidRPr="00A94DB4">
        <w:rPr>
          <w:rFonts w:ascii="Times New Roman" w:hAnsi="Times New Roman" w:cs="Times New Roman"/>
          <w:sz w:val="24"/>
          <w:szCs w:val="24"/>
        </w:rPr>
        <w:t xml:space="preserve"> me nj</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akt 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nligjor, pasi kjo bie ndesh me natyr</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n e tyre si situata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paparashikueshme. P</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 me tep</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 kjo pik</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i referohet “parimeve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barazis</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dhe transparenc</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s”,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cilat tashm</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jan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sanksionuara 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nenin 3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ligjit, ndaj p</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rs</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ritja e tyre 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nj</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VKM nuk </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e nevojshme. Heqja e k</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tij togfjal</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shi e b</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n dispozit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n m</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qart</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dhe n</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 xml:space="preserve"> p</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rputhje me logjik</w:t>
      </w:r>
      <w:r w:rsidR="005F6563" w:rsidRPr="00A94DB4">
        <w:rPr>
          <w:rFonts w:ascii="Times New Roman" w:hAnsi="Times New Roman" w:cs="Times New Roman"/>
          <w:sz w:val="24"/>
          <w:szCs w:val="24"/>
        </w:rPr>
        <w:t>ë</w:t>
      </w:r>
      <w:r w:rsidR="000C1B06" w:rsidRPr="00A94DB4">
        <w:rPr>
          <w:rFonts w:ascii="Times New Roman" w:hAnsi="Times New Roman" w:cs="Times New Roman"/>
          <w:sz w:val="24"/>
          <w:szCs w:val="24"/>
        </w:rPr>
        <w:t>n e ligjit.</w:t>
      </w:r>
    </w:p>
    <w:p w14:paraId="5825E75F" w14:textId="5D84EB6C" w:rsidR="008730FB" w:rsidRPr="00A94DB4" w:rsidRDefault="008730FB" w:rsidP="008730FB">
      <w:pPr>
        <w:spacing w:after="0"/>
        <w:jc w:val="both"/>
        <w:rPr>
          <w:rFonts w:ascii="Times New Roman" w:hAnsi="Times New Roman" w:cs="Times New Roman"/>
          <w:sz w:val="24"/>
          <w:szCs w:val="24"/>
        </w:rPr>
      </w:pPr>
    </w:p>
    <w:p w14:paraId="37508EC2" w14:textId="0C571B86" w:rsidR="008730FB" w:rsidRPr="00A94DB4" w:rsidRDefault="008730FB" w:rsidP="008730FB">
      <w:pPr>
        <w:pStyle w:val="ListParagraph"/>
        <w:numPr>
          <w:ilvl w:val="0"/>
          <w:numId w:val="39"/>
        </w:num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komentin nr. 8, 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nenin 37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ligjit nr. 36/2020, objekt i tij jan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kriteret e kualifikimit dhe gabimisht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pik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n 3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tij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parashikuar kriteret e vler</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simit.  </w:t>
      </w:r>
    </w:p>
    <w:p w14:paraId="103C956C" w14:textId="6AFC6188" w:rsidR="008730FB" w:rsidRPr="00A94DB4" w:rsidRDefault="008730FB" w:rsidP="008730FB">
      <w:pPr>
        <w:spacing w:after="0"/>
        <w:ind w:left="720"/>
        <w:jc w:val="both"/>
        <w:rPr>
          <w:rFonts w:ascii="Times New Roman" w:hAnsi="Times New Roman" w:cs="Times New Roman"/>
          <w:sz w:val="24"/>
          <w:szCs w:val="24"/>
        </w:rPr>
      </w:pPr>
      <w:r w:rsidRPr="00A94DB4">
        <w:rPr>
          <w:rFonts w:ascii="Times New Roman" w:hAnsi="Times New Roman" w:cs="Times New Roman"/>
          <w:sz w:val="24"/>
          <w:szCs w:val="24"/>
        </w:rPr>
        <w:lastRenderedPageBreak/>
        <w:t>Nga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sia e nenit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e qart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q</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llimi i tij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rcaktimi i kritereve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kualifikimit dhe togfjal</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shi “kriteret e vler</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simit” nuk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rputhet me objektin e nenit.</w:t>
      </w:r>
    </w:p>
    <w:p w14:paraId="2638CC4A" w14:textId="23E01BB4" w:rsidR="008730FB" w:rsidRPr="00A94DB4" w:rsidRDefault="008730FB" w:rsidP="008730FB">
      <w:pPr>
        <w:spacing w:after="0"/>
        <w:jc w:val="both"/>
        <w:rPr>
          <w:rFonts w:ascii="Times New Roman" w:hAnsi="Times New Roman" w:cs="Times New Roman"/>
          <w:sz w:val="24"/>
          <w:szCs w:val="24"/>
        </w:rPr>
      </w:pPr>
    </w:p>
    <w:p w14:paraId="679386CE" w14:textId="4F47463F" w:rsidR="008730FB" w:rsidRPr="00A94DB4" w:rsidRDefault="008730FB" w:rsidP="004365A5">
      <w:pPr>
        <w:pStyle w:val="ListParagraph"/>
        <w:numPr>
          <w:ilvl w:val="0"/>
          <w:numId w:val="39"/>
        </w:num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komentin e fundit 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ligj nuk ishte parashikuar e drejta e operatorit ekonomik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t`u ankuar ndaj vendimit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autoritetit </w:t>
      </w:r>
      <w:proofErr w:type="spellStart"/>
      <w:r w:rsidRPr="00A94DB4">
        <w:rPr>
          <w:rFonts w:ascii="Times New Roman" w:hAnsi="Times New Roman" w:cs="Times New Roman"/>
          <w:sz w:val="24"/>
          <w:szCs w:val="24"/>
        </w:rPr>
        <w:t>kontraktor</w:t>
      </w:r>
      <w:proofErr w:type="spellEnd"/>
      <w:r w:rsidRPr="00A94DB4">
        <w:rPr>
          <w:rFonts w:ascii="Times New Roman" w:hAnsi="Times New Roman" w:cs="Times New Roman"/>
          <w:sz w:val="24"/>
          <w:szCs w:val="24"/>
        </w:rPr>
        <w:t xml:space="preserve">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anulimin e nj</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procedure dhe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to kushte me ndryshimet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fjal</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krahas ankesave </w:t>
      </w:r>
      <w:r w:rsidR="004365A5"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r dokumentet e tenderit dhe vler</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simin e ofertave apo klasifikimin e tyre, ligji iu jep t</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 xml:space="preserve"> drejt</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 xml:space="preserve"> operator</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ve ekonomik</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 xml:space="preserve"> t</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 xml:space="preserve"> ankohen edhe ndaj vendimmarrjes s</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 xml:space="preserve"> autoritetit </w:t>
      </w:r>
      <w:proofErr w:type="spellStart"/>
      <w:r w:rsidR="004365A5" w:rsidRPr="00A94DB4">
        <w:rPr>
          <w:rFonts w:ascii="Times New Roman" w:hAnsi="Times New Roman" w:cs="Times New Roman"/>
          <w:sz w:val="24"/>
          <w:szCs w:val="24"/>
        </w:rPr>
        <w:t>kontraktor</w:t>
      </w:r>
      <w:proofErr w:type="spellEnd"/>
      <w:r w:rsidR="004365A5" w:rsidRPr="00A94DB4">
        <w:rPr>
          <w:rFonts w:ascii="Times New Roman" w:hAnsi="Times New Roman" w:cs="Times New Roman"/>
          <w:sz w:val="24"/>
          <w:szCs w:val="24"/>
        </w:rPr>
        <w:t xml:space="preserve"> p</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r anulimin e nj</w:t>
      </w:r>
      <w:r w:rsidR="005F6563" w:rsidRPr="00A94DB4">
        <w:rPr>
          <w:rFonts w:ascii="Times New Roman" w:hAnsi="Times New Roman" w:cs="Times New Roman"/>
          <w:sz w:val="24"/>
          <w:szCs w:val="24"/>
        </w:rPr>
        <w:t>ë</w:t>
      </w:r>
      <w:r w:rsidR="004365A5" w:rsidRPr="00A94DB4">
        <w:rPr>
          <w:rFonts w:ascii="Times New Roman" w:hAnsi="Times New Roman" w:cs="Times New Roman"/>
          <w:sz w:val="24"/>
          <w:szCs w:val="24"/>
        </w:rPr>
        <w:t xml:space="preserve"> procedure.</w:t>
      </w:r>
    </w:p>
    <w:p w14:paraId="2FF20188" w14:textId="248ACCE9" w:rsidR="004365A5" w:rsidRPr="00A94DB4" w:rsidRDefault="004365A5" w:rsidP="004365A5">
      <w:pPr>
        <w:spacing w:after="0"/>
        <w:jc w:val="both"/>
        <w:rPr>
          <w:rFonts w:ascii="Times New Roman" w:hAnsi="Times New Roman" w:cs="Times New Roman"/>
          <w:sz w:val="24"/>
          <w:szCs w:val="24"/>
        </w:rPr>
      </w:pPr>
    </w:p>
    <w:p w14:paraId="76092B3F" w14:textId="2E1546C5" w:rsidR="004365A5" w:rsidRPr="00A94DB4" w:rsidRDefault="004365A5" w:rsidP="004365A5">
      <w:pPr>
        <w:spacing w:after="0"/>
        <w:jc w:val="both"/>
        <w:rPr>
          <w:rFonts w:ascii="Times New Roman" w:hAnsi="Times New Roman" w:cs="Times New Roman"/>
          <w:sz w:val="24"/>
          <w:szCs w:val="24"/>
        </w:rPr>
      </w:pPr>
      <w:r w:rsidRPr="00A94DB4">
        <w:rPr>
          <w:rFonts w:ascii="Times New Roman" w:hAnsi="Times New Roman" w:cs="Times New Roman"/>
          <w:b/>
          <w:sz w:val="24"/>
          <w:szCs w:val="24"/>
        </w:rPr>
        <w:t>Agjencia e Prokurimit Publik</w:t>
      </w:r>
      <w:r w:rsidRPr="00A94DB4">
        <w:rPr>
          <w:rFonts w:ascii="Times New Roman" w:hAnsi="Times New Roman" w:cs="Times New Roman"/>
          <w:sz w:val="24"/>
          <w:szCs w:val="24"/>
        </w:rPr>
        <w:t>,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kthim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rgjigjen e 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rguar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rmjet sistemit e-Aktet,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si 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posht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w:t>
      </w:r>
      <w:bookmarkStart w:id="0" w:name="_GoBack"/>
      <w:bookmarkEnd w:id="0"/>
    </w:p>
    <w:p w14:paraId="05FD55E8" w14:textId="2ED50BF9" w:rsidR="004365A5" w:rsidRPr="00A94DB4" w:rsidRDefault="009D6A1F"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w:t>
      </w:r>
      <w:r w:rsidR="004365A5" w:rsidRPr="00A94DB4">
        <w:rPr>
          <w:rFonts w:ascii="Times New Roman" w:hAnsi="Times New Roman" w:cs="Times New Roman"/>
          <w:i/>
          <w:sz w:val="24"/>
          <w:szCs w:val="24"/>
        </w:rPr>
        <w:t xml:space="preserve">Sa i takon projektligjit të dërguar për mendim, brenda fushës së saj të veprimtarisë, APP shprehet parimisht dakord, me disa komente e sugjerime, si më poshtë vijon: </w:t>
      </w:r>
    </w:p>
    <w:p w14:paraId="02D4E9FF" w14:textId="440E2110"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 Në </w:t>
      </w:r>
      <w:proofErr w:type="spellStart"/>
      <w:r w:rsidRPr="00A94DB4">
        <w:rPr>
          <w:rFonts w:ascii="Times New Roman" w:hAnsi="Times New Roman" w:cs="Times New Roman"/>
          <w:i/>
          <w:sz w:val="24"/>
          <w:szCs w:val="24"/>
        </w:rPr>
        <w:t>nënin</w:t>
      </w:r>
      <w:proofErr w:type="spellEnd"/>
      <w:r w:rsidRPr="00A94DB4">
        <w:rPr>
          <w:rFonts w:ascii="Times New Roman" w:hAnsi="Times New Roman" w:cs="Times New Roman"/>
          <w:i/>
          <w:sz w:val="24"/>
          <w:szCs w:val="24"/>
        </w:rPr>
        <w:t xml:space="preserve"> 2 të projektligjit parashikohet se: «Në nenin 1, pika 1, shkronja “ç”, ndryshon dhe bëhet, si më poshtë: “ç) punë, pajisje dhe shërbime në fushën e mbrojtjes dhe të sigurisë, të cilat për arsye të sigurisë kombëtare përfshijnë, kërkojnë dhe/ ose përmbajnë informacion të klasifikuar dhe trajtohen si punë, mallra dhe shërbime të klasifikuara” ». </w:t>
      </w:r>
    </w:p>
    <w:p w14:paraId="49D87017" w14:textId="7777777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Për sa më sipër sqarojmë se, ky ndryshim i sipërcituar, krahasuar me dispozitën ekuivalente në Direktivën 2009/81/KE, e zgjeron objektin e këtij ligji duke iu referuar “punëve, pajisjeve dhe shërbimeve në fushën e mbrojtjes dhe të sigurisë”, ndërkohë që në pikën 2 (d) të Direktivës u referohet “punëve dhe shërbimeve për qëllime specifike ushtarake ose punëve dhe shërbimeve </w:t>
      </w:r>
      <w:proofErr w:type="spellStart"/>
      <w:r w:rsidRPr="00A94DB4">
        <w:rPr>
          <w:rFonts w:ascii="Times New Roman" w:hAnsi="Times New Roman" w:cs="Times New Roman"/>
          <w:i/>
          <w:sz w:val="24"/>
          <w:szCs w:val="24"/>
        </w:rPr>
        <w:t>sensitive</w:t>
      </w:r>
      <w:proofErr w:type="spellEnd"/>
      <w:r w:rsidRPr="00A94DB4">
        <w:rPr>
          <w:rFonts w:ascii="Times New Roman" w:hAnsi="Times New Roman" w:cs="Times New Roman"/>
          <w:i/>
          <w:sz w:val="24"/>
          <w:szCs w:val="24"/>
        </w:rPr>
        <w:t xml:space="preserve">”. </w:t>
      </w:r>
    </w:p>
    <w:p w14:paraId="75EB2FD1" w14:textId="3008570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Mbi këtë bazë, vlerësojmë ndryshimin e kësaj pike, me qëllim që të jetë në përputhje me Direktivën. </w:t>
      </w:r>
    </w:p>
    <w:p w14:paraId="1C394F67" w14:textId="5D7781C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 Në nenin 3, pika 3 e projektligjit parashikohet se: «Pika 8, ndryshohet, si më poshtë: “Informacioni i klasifikuar “Sekret shtetëror” është çdo dokument ose material, pavarësisht nga forma dhe natyra e tij, i përgatitur ose që përgatitet, të cilit i është vendosur një nivel i caktuar klasifikimi dhe afat ruajtjeje klasifikimi në përputhje me këtë ligj, në interes të sigurisë kombëtare dhe mbrohet nga shkatërrimi, humbja, vjedhja, rrjedhja, përhapja e paautorizuar ose qasja nga çdolloj tjetër komprometimi sigurie”». </w:t>
      </w:r>
    </w:p>
    <w:p w14:paraId="0E015E9F" w14:textId="7777777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Për sa më sipër, shprehemi se, ky përkufizim i sipërcituar, krahasuar me përkufizim ekuivalent në Direktivën 2009/81/KE, është më kufizues, pasi ky i fundit, në nenin 1, pikën 2, për të përkufizuar informacionin e klasifikuar, përdor termat “informacion ose material”, ndërkohë që në projektligj përdoren termat “dokument ose material”. </w:t>
      </w:r>
    </w:p>
    <w:p w14:paraId="71310737" w14:textId="003F8815"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Mbi këtë bazë, vlerësojmë ndryshimin e këtij përkufizimi, me qëllim që të jetë në përputhje me Direktivën. </w:t>
      </w:r>
    </w:p>
    <w:p w14:paraId="633E86AE" w14:textId="7777777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 Lidhur me sa propozohet në nenin 4/2 të projektligjit, në shkronjën “b”, të pikës 2, të nenit 10 të ligjit, të hiqet togfjalëshi “të rinj, që do të identifikohen gjatë zbatimit të kontratës”, » APP sugjeron që, të hiqet </w:t>
      </w:r>
      <w:proofErr w:type="spellStart"/>
      <w:r w:rsidRPr="00A94DB4">
        <w:rPr>
          <w:rFonts w:ascii="Times New Roman" w:hAnsi="Times New Roman" w:cs="Times New Roman"/>
          <w:i/>
          <w:sz w:val="24"/>
          <w:szCs w:val="24"/>
        </w:rPr>
        <w:t>gërma</w:t>
      </w:r>
      <w:proofErr w:type="spellEnd"/>
      <w:r w:rsidRPr="00A94DB4">
        <w:rPr>
          <w:rFonts w:ascii="Times New Roman" w:hAnsi="Times New Roman" w:cs="Times New Roman"/>
          <w:i/>
          <w:sz w:val="24"/>
          <w:szCs w:val="24"/>
        </w:rPr>
        <w:t xml:space="preserve"> “b” pasi përmbajtja e saj është e njëjtë me </w:t>
      </w:r>
      <w:proofErr w:type="spellStart"/>
      <w:r w:rsidRPr="00A94DB4">
        <w:rPr>
          <w:rFonts w:ascii="Times New Roman" w:hAnsi="Times New Roman" w:cs="Times New Roman"/>
          <w:i/>
          <w:sz w:val="24"/>
          <w:szCs w:val="24"/>
        </w:rPr>
        <w:t>gërmën</w:t>
      </w:r>
      <w:proofErr w:type="spellEnd"/>
      <w:r w:rsidRPr="00A94DB4">
        <w:rPr>
          <w:rFonts w:ascii="Times New Roman" w:hAnsi="Times New Roman" w:cs="Times New Roman"/>
          <w:i/>
          <w:sz w:val="24"/>
          <w:szCs w:val="24"/>
        </w:rPr>
        <w:t xml:space="preserve"> « a ». </w:t>
      </w:r>
    </w:p>
    <w:p w14:paraId="50462943" w14:textId="77777777" w:rsidR="004365A5" w:rsidRPr="00A94DB4" w:rsidRDefault="004365A5" w:rsidP="004365A5">
      <w:pPr>
        <w:spacing w:after="0"/>
        <w:jc w:val="both"/>
        <w:rPr>
          <w:rFonts w:ascii="Times New Roman" w:hAnsi="Times New Roman" w:cs="Times New Roman"/>
          <w:i/>
          <w:sz w:val="24"/>
          <w:szCs w:val="24"/>
        </w:rPr>
      </w:pPr>
    </w:p>
    <w:p w14:paraId="41B1C5BB" w14:textId="7777777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 Në nenin 9, pikat 1, 2 dhe 3 të projektligjit parashikohet se: «Në nenin 32, bëhen ndryshimet, si më poshtë: </w:t>
      </w:r>
    </w:p>
    <w:p w14:paraId="55BB0947" w14:textId="7777777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1. Në pikën 2, togfjalëshi “nga data e dërgimit të njoftimit të kontratës” zëvendësohet me togfjalëshin “nga data e publikimit të njoftimit të kontratës në buletinin e njoftimeve publike”. </w:t>
      </w:r>
    </w:p>
    <w:p w14:paraId="64470161" w14:textId="77777777"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lastRenderedPageBreak/>
        <w:t xml:space="preserve">2. Në pikën 3, pas togfjalëshit “në fazën e dytë të procedurës të kufizuar”, shtohet togfjalëshi “ me negocim me shpallje paraprake, dhe dialogut konkurrues”. </w:t>
      </w:r>
    </w:p>
    <w:p w14:paraId="78EDF435" w14:textId="77777777" w:rsidR="00E55647"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3. Në pikën 4, togfjalëshi “nga data e dërgimit të ftesës për ofertë” zëvendësohet me togfjalëshin “nga data e publikimit të njoftimit të kontratës në buletinin e njoftimeve publike”. </w:t>
      </w:r>
    </w:p>
    <w:p w14:paraId="10C9DB11" w14:textId="77777777" w:rsidR="00E55647" w:rsidRPr="00A94DB4" w:rsidRDefault="00E55647" w:rsidP="004365A5">
      <w:pPr>
        <w:spacing w:after="0"/>
        <w:jc w:val="both"/>
        <w:rPr>
          <w:rFonts w:ascii="Times New Roman" w:hAnsi="Times New Roman" w:cs="Times New Roman"/>
          <w:i/>
          <w:sz w:val="24"/>
          <w:szCs w:val="24"/>
        </w:rPr>
      </w:pPr>
    </w:p>
    <w:p w14:paraId="6E874A86" w14:textId="5ABC9C6D" w:rsidR="004365A5"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Sjellim në vëmendje se, me ndryshimet e reja që ka pësuar ligji Nr. 162/2020 ‘Për prokurimin publik » të miratuara me ligjin Nr. 16/2024 të gjitha procedurat e prokurimit, përfshirë edhe ato në fushën e mbrojtjes dhe të sigurisë, do të zhvillohen në Sistemin e Prokurimit Elektronik (në vijim « SPE »), sistem i cili do të ngrihet sipas parashikimeve të dispozitave të këtij ligji. Mbi këtë bazë, vlerësojmë të hiqet togfjalëshi « në buletinin e njoftimeve publike » në pikat 1, 2 dhe 3 dhe mënyra e publikimit të njoftimeve të përcaktohet në aktet nënligjore. </w:t>
      </w:r>
    </w:p>
    <w:p w14:paraId="3F81A85D" w14:textId="77777777" w:rsidR="004365A5" w:rsidRPr="00A94DB4" w:rsidRDefault="004365A5" w:rsidP="004365A5">
      <w:pPr>
        <w:spacing w:after="0"/>
        <w:jc w:val="both"/>
        <w:rPr>
          <w:rFonts w:ascii="Times New Roman" w:hAnsi="Times New Roman" w:cs="Times New Roman"/>
          <w:i/>
          <w:sz w:val="24"/>
          <w:szCs w:val="24"/>
        </w:rPr>
      </w:pPr>
    </w:p>
    <w:p w14:paraId="4C83765C" w14:textId="77777777" w:rsidR="00E55647" w:rsidRPr="00A94DB4" w:rsidRDefault="004365A5" w:rsidP="004365A5">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 Lidhur me nenin 12 të projektligjit ku parashikohet ndryshimi i pikave 2 dhe 3 të nenit 53 të LPFMS, APP sugjeron si më poshtë vijon: </w:t>
      </w:r>
    </w:p>
    <w:p w14:paraId="1146504B" w14:textId="77777777" w:rsidR="00E55647" w:rsidRPr="00A94DB4" w:rsidRDefault="00E55647" w:rsidP="004365A5">
      <w:pPr>
        <w:spacing w:after="0"/>
        <w:jc w:val="both"/>
        <w:rPr>
          <w:rFonts w:ascii="Times New Roman" w:hAnsi="Times New Roman" w:cs="Times New Roman"/>
          <w:i/>
          <w:sz w:val="24"/>
          <w:szCs w:val="24"/>
        </w:rPr>
      </w:pPr>
    </w:p>
    <w:p w14:paraId="19D365DE" w14:textId="5DF7BE67" w:rsidR="009D6A1F" w:rsidRPr="00A94DB4" w:rsidRDefault="004365A5" w:rsidP="009D6A1F">
      <w:pPr>
        <w:pStyle w:val="ListParagraph"/>
        <w:numPr>
          <w:ilvl w:val="0"/>
          <w:numId w:val="41"/>
        </w:num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Sa i takon afateve që kanë operatorët ekonomikë për të ushtruar të drejtën e ankimit, si për dokumentet e tenderit, për vendimin e vlerësimit të ofertave apo vendimin e anulimit të procedurës, vlerësojmë se, ato duhet të përcaktohen të veçanta për procedurat kombëtare dhe ndërkombëtare. </w:t>
      </w:r>
    </w:p>
    <w:p w14:paraId="57831331"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Sipas arsyetimit të dhënë më sipër, të hiqet togfjalëshi «në buletinin e njoftimeve publike». </w:t>
      </w:r>
    </w:p>
    <w:p w14:paraId="3A6BD188" w14:textId="77777777" w:rsidR="009D6A1F" w:rsidRPr="00A94DB4" w:rsidRDefault="009D6A1F" w:rsidP="009D6A1F">
      <w:pPr>
        <w:spacing w:after="0"/>
        <w:ind w:left="360"/>
        <w:jc w:val="both"/>
        <w:rPr>
          <w:rFonts w:ascii="Times New Roman" w:hAnsi="Times New Roman" w:cs="Times New Roman"/>
          <w:i/>
          <w:sz w:val="24"/>
          <w:szCs w:val="24"/>
        </w:rPr>
      </w:pPr>
    </w:p>
    <w:p w14:paraId="492449FC"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Konkretisht, sugjerojmë, riformulimin e pikave 2 dhe 3 të nenit 53 të LPFMS, me këtë përmbajtje: “</w:t>
      </w:r>
    </w:p>
    <w:p w14:paraId="06734BEB"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2. “Në rastin e ankesave për dokumentet e tenderit në procedurat e prokurimit ndërkombëtare, operatorët ekonomikë kanë të drejtë të ankohen brenda X ditëve, nga: </w:t>
      </w:r>
    </w:p>
    <w:p w14:paraId="3A50715C"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a) dita e nesërme e publikimit të njoftimit të kontratës për fazën e parë të </w:t>
      </w:r>
      <w:proofErr w:type="spellStart"/>
      <w:r w:rsidRPr="00A94DB4">
        <w:rPr>
          <w:rFonts w:ascii="Times New Roman" w:hAnsi="Times New Roman" w:cs="Times New Roman"/>
          <w:i/>
          <w:sz w:val="24"/>
          <w:szCs w:val="24"/>
        </w:rPr>
        <w:t>parakualifikimit</w:t>
      </w:r>
      <w:proofErr w:type="spellEnd"/>
      <w:r w:rsidRPr="00A94DB4">
        <w:rPr>
          <w:rFonts w:ascii="Times New Roman" w:hAnsi="Times New Roman" w:cs="Times New Roman"/>
          <w:i/>
          <w:sz w:val="24"/>
          <w:szCs w:val="24"/>
        </w:rPr>
        <w:t xml:space="preserve">; </w:t>
      </w:r>
    </w:p>
    <w:p w14:paraId="2EB61B8F" w14:textId="10341D30"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b) dita e nesërme e dërgimit të ftesës për ofertë/njohjes me dokumentet e tenderit në kuadër të zhvillimit të fazës së dytë për secilën procedure. </w:t>
      </w:r>
    </w:p>
    <w:p w14:paraId="50B9F910"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Në procedurat e prokurimit kombëtare, ky afat është 7 ditë.</w:t>
      </w:r>
    </w:p>
    <w:p w14:paraId="2AB7C743" w14:textId="77777777" w:rsidR="009D6A1F" w:rsidRPr="00A94DB4" w:rsidRDefault="009D6A1F" w:rsidP="009D6A1F">
      <w:pPr>
        <w:spacing w:after="0"/>
        <w:ind w:left="360"/>
        <w:jc w:val="both"/>
        <w:rPr>
          <w:rFonts w:ascii="Times New Roman" w:hAnsi="Times New Roman" w:cs="Times New Roman"/>
          <w:i/>
          <w:sz w:val="24"/>
          <w:szCs w:val="24"/>
        </w:rPr>
      </w:pPr>
    </w:p>
    <w:p w14:paraId="645DA292"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 3. Në rastin e ankesave për vendimin e vlerësimit të ofertave në fazën e parë të </w:t>
      </w:r>
      <w:proofErr w:type="spellStart"/>
      <w:r w:rsidRPr="00A94DB4">
        <w:rPr>
          <w:rFonts w:ascii="Times New Roman" w:hAnsi="Times New Roman" w:cs="Times New Roman"/>
          <w:i/>
          <w:sz w:val="24"/>
          <w:szCs w:val="24"/>
        </w:rPr>
        <w:t>parakualifikimit</w:t>
      </w:r>
      <w:proofErr w:type="spellEnd"/>
      <w:r w:rsidRPr="00A94DB4">
        <w:rPr>
          <w:rFonts w:ascii="Times New Roman" w:hAnsi="Times New Roman" w:cs="Times New Roman"/>
          <w:i/>
          <w:sz w:val="24"/>
          <w:szCs w:val="24"/>
        </w:rPr>
        <w:t xml:space="preserve">/ vlerësimin e ofertave në fazën e dytë dhe në rastet e anulimit të procedurës, në procedurat e prokurimit ndërkombëtare, operatorët ekonomikë kanë të drejtë të ankohen brenda X ditëve, nga: </w:t>
      </w:r>
    </w:p>
    <w:p w14:paraId="6B5DE3B5"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a) dita e nesërme e marrjes dijeni për vendimin e autoriteti </w:t>
      </w:r>
      <w:proofErr w:type="spellStart"/>
      <w:r w:rsidRPr="00A94DB4">
        <w:rPr>
          <w:rFonts w:ascii="Times New Roman" w:hAnsi="Times New Roman" w:cs="Times New Roman"/>
          <w:i/>
          <w:sz w:val="24"/>
          <w:szCs w:val="24"/>
        </w:rPr>
        <w:t>kontraktor</w:t>
      </w:r>
      <w:proofErr w:type="spellEnd"/>
      <w:r w:rsidRPr="00A94DB4">
        <w:rPr>
          <w:rFonts w:ascii="Times New Roman" w:hAnsi="Times New Roman" w:cs="Times New Roman"/>
          <w:i/>
          <w:sz w:val="24"/>
          <w:szCs w:val="24"/>
        </w:rPr>
        <w:t xml:space="preserve"> mbi vlerësimin e ofertave për fazën e parë të </w:t>
      </w:r>
      <w:proofErr w:type="spellStart"/>
      <w:r w:rsidRPr="00A94DB4">
        <w:rPr>
          <w:rFonts w:ascii="Times New Roman" w:hAnsi="Times New Roman" w:cs="Times New Roman"/>
          <w:i/>
          <w:sz w:val="24"/>
          <w:szCs w:val="24"/>
        </w:rPr>
        <w:t>parakualifikimit</w:t>
      </w:r>
      <w:proofErr w:type="spellEnd"/>
      <w:r w:rsidRPr="00A94DB4">
        <w:rPr>
          <w:rFonts w:ascii="Times New Roman" w:hAnsi="Times New Roman" w:cs="Times New Roman"/>
          <w:i/>
          <w:sz w:val="24"/>
          <w:szCs w:val="24"/>
        </w:rPr>
        <w:t>;</w:t>
      </w:r>
    </w:p>
    <w:p w14:paraId="4E8EC3D3"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 b) dita e nesërme e publikimit të njoftimit të fituesit ose publikimit të njoftimi të anulimit të procedurës; </w:t>
      </w:r>
    </w:p>
    <w:p w14:paraId="26A0D560"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Në procedurat e prokurimit kombëtar, ky afat është 7 ditë”. </w:t>
      </w:r>
    </w:p>
    <w:p w14:paraId="7A6393D3" w14:textId="77777777" w:rsidR="009D6A1F" w:rsidRPr="00A94DB4" w:rsidRDefault="009D6A1F" w:rsidP="009D6A1F">
      <w:pPr>
        <w:spacing w:after="0"/>
        <w:ind w:left="360"/>
        <w:jc w:val="both"/>
        <w:rPr>
          <w:rFonts w:ascii="Times New Roman" w:hAnsi="Times New Roman" w:cs="Times New Roman"/>
          <w:i/>
          <w:sz w:val="24"/>
          <w:szCs w:val="24"/>
        </w:rPr>
      </w:pPr>
    </w:p>
    <w:p w14:paraId="5FC3AB4E" w14:textId="77777777" w:rsidR="009D6A1F"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Në përfundim, sjellim në vëmendje se, për propozimet për ndryshime që lidhen me legjislacionin në fushën e informacionit të klasifikuar, projektligji duhet të konsultohet edhe me Autoritetin Kombëtar për Sigurinë e Informacionit të Klasifikuar, si dhe me Komisionin e Prokurimit Publik, sa i takon propozimeve për mënyrën e paraqitjes së ankesës nga operatorët ekonomikë. </w:t>
      </w:r>
    </w:p>
    <w:p w14:paraId="549BBB06" w14:textId="77777777" w:rsidR="009D6A1F" w:rsidRPr="00A94DB4" w:rsidRDefault="009D6A1F" w:rsidP="009D6A1F">
      <w:pPr>
        <w:spacing w:after="0"/>
        <w:ind w:left="360"/>
        <w:jc w:val="both"/>
        <w:rPr>
          <w:rFonts w:ascii="Times New Roman" w:hAnsi="Times New Roman" w:cs="Times New Roman"/>
          <w:i/>
          <w:sz w:val="24"/>
          <w:szCs w:val="24"/>
        </w:rPr>
      </w:pPr>
    </w:p>
    <w:p w14:paraId="4F0E872B" w14:textId="1FD56605" w:rsidR="004365A5" w:rsidRPr="00A94DB4" w:rsidRDefault="004365A5" w:rsidP="009D6A1F">
      <w:pPr>
        <w:spacing w:after="0"/>
        <w:ind w:left="360"/>
        <w:jc w:val="both"/>
        <w:rPr>
          <w:rFonts w:ascii="Times New Roman" w:hAnsi="Times New Roman" w:cs="Times New Roman"/>
          <w:i/>
          <w:sz w:val="24"/>
          <w:szCs w:val="24"/>
        </w:rPr>
      </w:pPr>
      <w:r w:rsidRPr="00A94DB4">
        <w:rPr>
          <w:rFonts w:ascii="Times New Roman" w:hAnsi="Times New Roman" w:cs="Times New Roman"/>
          <w:i/>
          <w:sz w:val="24"/>
          <w:szCs w:val="24"/>
        </w:rPr>
        <w:t xml:space="preserve">Gjithashtu, sjellim në vëmendje se, në kuadër të angazhimit që Shqipëria ka ndërmarrë për përafrimin e legjislacionit vendas për prokurimet në fushën e mbrojtjes dhe sigurisë me Direktivën 2009/81/KE, duhet që në këtë draft të reflektohen rekomandimet e Komisionit Evropian të dërguara pas zhvillimit të Takimit Dypalësh </w:t>
      </w:r>
      <w:proofErr w:type="spellStart"/>
      <w:r w:rsidRPr="00A94DB4">
        <w:rPr>
          <w:rFonts w:ascii="Times New Roman" w:hAnsi="Times New Roman" w:cs="Times New Roman"/>
          <w:i/>
          <w:sz w:val="24"/>
          <w:szCs w:val="24"/>
        </w:rPr>
        <w:t>Screening</w:t>
      </w:r>
      <w:proofErr w:type="spellEnd"/>
      <w:r w:rsidRPr="00A94DB4">
        <w:rPr>
          <w:rFonts w:ascii="Times New Roman" w:hAnsi="Times New Roman" w:cs="Times New Roman"/>
          <w:i/>
          <w:sz w:val="24"/>
          <w:szCs w:val="24"/>
        </w:rPr>
        <w:t xml:space="preserve"> për Kapitullin 5 “Prokurimi Publik”, për të cilat institucioni juaj ka dhënë komentet përkatëse dhe të cilat po i dërgojmë dhe njëherë bashkëlidhur, si dhe ato të pasqyruara në Raportin </w:t>
      </w:r>
      <w:proofErr w:type="spellStart"/>
      <w:r w:rsidRPr="00A94DB4">
        <w:rPr>
          <w:rFonts w:ascii="Times New Roman" w:hAnsi="Times New Roman" w:cs="Times New Roman"/>
          <w:i/>
          <w:sz w:val="24"/>
          <w:szCs w:val="24"/>
        </w:rPr>
        <w:t>Screening</w:t>
      </w:r>
      <w:proofErr w:type="spellEnd"/>
      <w:r w:rsidRPr="00A94DB4">
        <w:rPr>
          <w:rFonts w:ascii="Times New Roman" w:hAnsi="Times New Roman" w:cs="Times New Roman"/>
          <w:i/>
          <w:sz w:val="24"/>
          <w:szCs w:val="24"/>
        </w:rPr>
        <w:t xml:space="preserve"> për </w:t>
      </w:r>
      <w:proofErr w:type="spellStart"/>
      <w:r w:rsidRPr="00A94DB4">
        <w:rPr>
          <w:rFonts w:ascii="Times New Roman" w:hAnsi="Times New Roman" w:cs="Times New Roman"/>
          <w:i/>
          <w:sz w:val="24"/>
          <w:szCs w:val="24"/>
        </w:rPr>
        <w:t>Grupkapitullin</w:t>
      </w:r>
      <w:proofErr w:type="spellEnd"/>
      <w:r w:rsidRPr="00A94DB4">
        <w:rPr>
          <w:rFonts w:ascii="Times New Roman" w:hAnsi="Times New Roman" w:cs="Times New Roman"/>
          <w:i/>
          <w:sz w:val="24"/>
          <w:szCs w:val="24"/>
        </w:rPr>
        <w:t xml:space="preserve"> 1 “Themeloret”, sa i takon Kapitullit 5, të cilat lidhen kryesisht me objektin dhe qëllimin e ligjit, përkufizimet, kufijtë monetarë dhe procedurat e prokurimit në fushën e mbrojtjes dhe sigurisë</w:t>
      </w:r>
      <w:r w:rsidR="009D6A1F" w:rsidRPr="00A94DB4">
        <w:rPr>
          <w:rFonts w:ascii="Times New Roman" w:hAnsi="Times New Roman" w:cs="Times New Roman"/>
          <w:i/>
          <w:sz w:val="24"/>
          <w:szCs w:val="24"/>
        </w:rPr>
        <w:t>.”</w:t>
      </w:r>
    </w:p>
    <w:p w14:paraId="58B78D81" w14:textId="14BC76D7" w:rsidR="009D6A1F" w:rsidRPr="00A94DB4" w:rsidRDefault="009D6A1F" w:rsidP="009D6A1F">
      <w:pPr>
        <w:spacing w:after="0"/>
        <w:ind w:left="360"/>
        <w:jc w:val="both"/>
        <w:rPr>
          <w:rFonts w:ascii="Times New Roman" w:hAnsi="Times New Roman" w:cs="Times New Roman"/>
          <w:i/>
          <w:sz w:val="24"/>
          <w:szCs w:val="24"/>
        </w:rPr>
      </w:pPr>
    </w:p>
    <w:p w14:paraId="2BCF5969" w14:textId="713F5410" w:rsidR="009D6A1F" w:rsidRPr="00A94DB4" w:rsidRDefault="009D6A1F" w:rsidP="00637427">
      <w:pPr>
        <w:pStyle w:val="ListParagraph"/>
        <w:numPr>
          <w:ilvl w:val="0"/>
          <w:numId w:val="39"/>
        </w:num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komentet e Agjencis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Prokurimit Publik, 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to komente jan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pranuar dhe reflektuar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projektligj si dhe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relacionin shpjegues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tij.</w:t>
      </w:r>
    </w:p>
    <w:p w14:paraId="7E14B28A" w14:textId="77777777" w:rsidR="00637427" w:rsidRPr="00A94DB4" w:rsidRDefault="00637427" w:rsidP="00637427">
      <w:pPr>
        <w:pStyle w:val="ListParagraph"/>
        <w:spacing w:after="0"/>
        <w:jc w:val="both"/>
        <w:rPr>
          <w:rFonts w:ascii="Times New Roman" w:hAnsi="Times New Roman" w:cs="Times New Roman"/>
          <w:sz w:val="24"/>
          <w:szCs w:val="24"/>
        </w:rPr>
      </w:pPr>
    </w:p>
    <w:p w14:paraId="0F589BBE" w14:textId="2A5D91CF" w:rsidR="009D6A1F" w:rsidRPr="00A94DB4" w:rsidRDefault="009D6A1F" w:rsidP="00637427">
      <w:pPr>
        <w:pStyle w:val="ListParagraph"/>
        <w:numPr>
          <w:ilvl w:val="0"/>
          <w:numId w:val="39"/>
        </w:numPr>
        <w:spacing w:after="0"/>
        <w:jc w:val="both"/>
        <w:rPr>
          <w:rFonts w:ascii="Times New Roman" w:hAnsi="Times New Roman" w:cs="Times New Roman"/>
          <w:sz w:val="24"/>
          <w:szCs w:val="24"/>
        </w:rPr>
      </w:pPr>
      <w:r w:rsidRPr="00A94DB4">
        <w:rPr>
          <w:rFonts w:ascii="Times New Roman" w:hAnsi="Times New Roman" w:cs="Times New Roman"/>
          <w:sz w:val="24"/>
          <w:szCs w:val="24"/>
        </w:rPr>
        <w:t>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projektligji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rguar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mendim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rrug</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shkresore pran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Autoritetit Komb</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tar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Sigurin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e Informacionit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Klasifikuar, i cili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kthim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rgjigje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parimisht dakord me nj</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sugjerim, si dhe pran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Komisionit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Prokurimit Publik, i cili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parimisht dakord. Megjithat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kuad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ndryshimeve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reja lidhur me nenin 3 dhe nenin 12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projektligjit, ky projektligj do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rgohet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bashk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rendim edhe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institucionet e lartp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rmendura pavar</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sisht se kan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dh</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w:t>
      </w:r>
      <w:proofErr w:type="spellStart"/>
      <w:r w:rsidRPr="00A94DB4">
        <w:rPr>
          <w:rFonts w:ascii="Times New Roman" w:hAnsi="Times New Roman" w:cs="Times New Roman"/>
          <w:sz w:val="24"/>
          <w:szCs w:val="24"/>
        </w:rPr>
        <w:t>dakord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sin</w:t>
      </w:r>
      <w:r w:rsidR="005F6563" w:rsidRPr="00A94DB4">
        <w:rPr>
          <w:rFonts w:ascii="Times New Roman" w:hAnsi="Times New Roman" w:cs="Times New Roman"/>
          <w:sz w:val="24"/>
          <w:szCs w:val="24"/>
        </w:rPr>
        <w:t>ë</w:t>
      </w:r>
      <w:proofErr w:type="spellEnd"/>
      <w:r w:rsidRPr="00A94DB4">
        <w:rPr>
          <w:rFonts w:ascii="Times New Roman" w:hAnsi="Times New Roman" w:cs="Times New Roman"/>
          <w:sz w:val="24"/>
          <w:szCs w:val="24"/>
        </w:rPr>
        <w:t xml:space="preserve"> e tyre gjat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faz</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 se mendimeve.</w:t>
      </w:r>
    </w:p>
    <w:p w14:paraId="3127D47A" w14:textId="77777777" w:rsidR="009D6A1F" w:rsidRPr="00A94DB4" w:rsidRDefault="009D6A1F" w:rsidP="009D6A1F">
      <w:pPr>
        <w:spacing w:after="0"/>
        <w:ind w:left="360"/>
        <w:jc w:val="both"/>
        <w:rPr>
          <w:rFonts w:ascii="Times New Roman" w:hAnsi="Times New Roman" w:cs="Times New Roman"/>
          <w:sz w:val="24"/>
          <w:szCs w:val="24"/>
        </w:rPr>
      </w:pPr>
    </w:p>
    <w:p w14:paraId="75EB1738" w14:textId="423F4C44" w:rsidR="00637427" w:rsidRPr="00A94DB4" w:rsidRDefault="00637427" w:rsidP="00637427">
      <w:pPr>
        <w:pStyle w:val="ListParagraph"/>
        <w:numPr>
          <w:ilvl w:val="0"/>
          <w:numId w:val="39"/>
        </w:numPr>
        <w:spacing w:after="0"/>
        <w:jc w:val="both"/>
        <w:rPr>
          <w:rFonts w:ascii="Times New Roman" w:hAnsi="Times New Roman" w:cs="Times New Roman"/>
          <w:sz w:val="24"/>
          <w:szCs w:val="24"/>
        </w:rPr>
      </w:pPr>
      <w:r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sa i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rket komentit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fundit 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paketa e plotë e këtij </w:t>
      </w:r>
      <w:proofErr w:type="spellStart"/>
      <w:r w:rsidRPr="00A94DB4">
        <w:rPr>
          <w:rFonts w:ascii="Times New Roman" w:hAnsi="Times New Roman" w:cs="Times New Roman"/>
          <w:sz w:val="24"/>
          <w:szCs w:val="24"/>
        </w:rPr>
        <w:t>projektakti</w:t>
      </w:r>
      <w:proofErr w:type="spellEnd"/>
      <w:r w:rsidRPr="00A94DB4">
        <w:rPr>
          <w:rFonts w:ascii="Times New Roman" w:hAnsi="Times New Roman" w:cs="Times New Roman"/>
          <w:sz w:val="24"/>
          <w:szCs w:val="24"/>
        </w:rPr>
        <w:t xml:space="preserve"> të përcillet në gjuhën angleze pranë Sekretariatit të Integrimit Evropian, sipas komenteve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Ministrit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Shtetit dhe </w:t>
      </w:r>
      <w:proofErr w:type="spellStart"/>
      <w:r w:rsidRPr="00A94DB4">
        <w:rPr>
          <w:rFonts w:ascii="Times New Roman" w:hAnsi="Times New Roman" w:cs="Times New Roman"/>
          <w:sz w:val="24"/>
          <w:szCs w:val="24"/>
        </w:rPr>
        <w:t>Kryenegociator</w:t>
      </w:r>
      <w:proofErr w:type="spellEnd"/>
      <w:r w:rsidRPr="00A94DB4">
        <w:rPr>
          <w:rFonts w:ascii="Times New Roman" w:hAnsi="Times New Roman" w:cs="Times New Roman"/>
          <w:sz w:val="24"/>
          <w:szCs w:val="24"/>
        </w:rPr>
        <w:t>, me q</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llim  konsultimin paraprak me shërbimet e Komisionit Evropian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kuad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angazhimit q</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Shqip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ria ka nd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rmarr</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rafrimin e legjislacionit vendas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fush</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n e mbrojtjes dhe siguris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me </w:t>
      </w:r>
      <w:proofErr w:type="spellStart"/>
      <w:r w:rsidRPr="00A94DB4">
        <w:rPr>
          <w:rFonts w:ascii="Times New Roman" w:hAnsi="Times New Roman" w:cs="Times New Roman"/>
          <w:sz w:val="24"/>
          <w:szCs w:val="24"/>
        </w:rPr>
        <w:t>Direktiven</w:t>
      </w:r>
      <w:proofErr w:type="spellEnd"/>
      <w:r w:rsidRPr="00A94DB4">
        <w:rPr>
          <w:rFonts w:ascii="Times New Roman" w:hAnsi="Times New Roman" w:cs="Times New Roman"/>
          <w:sz w:val="24"/>
          <w:szCs w:val="24"/>
        </w:rPr>
        <w:t xml:space="preserve"> 2009/81/KE, 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ndryshuar.</w:t>
      </w:r>
    </w:p>
    <w:p w14:paraId="6EDEA1BB" w14:textId="16BABC28" w:rsidR="00637427" w:rsidRPr="00A94DB4" w:rsidRDefault="00637427" w:rsidP="00637427">
      <w:pPr>
        <w:spacing w:after="0"/>
        <w:jc w:val="both"/>
        <w:rPr>
          <w:rFonts w:ascii="Times New Roman" w:hAnsi="Times New Roman" w:cs="Times New Roman"/>
          <w:sz w:val="24"/>
          <w:szCs w:val="24"/>
        </w:rPr>
      </w:pPr>
    </w:p>
    <w:p w14:paraId="14D10BCC" w14:textId="747B5E01" w:rsidR="00637427" w:rsidRPr="00A94DB4" w:rsidRDefault="00637427" w:rsidP="00637427">
      <w:pPr>
        <w:spacing w:after="0"/>
        <w:jc w:val="both"/>
        <w:rPr>
          <w:rFonts w:ascii="Times New Roman" w:hAnsi="Times New Roman" w:cs="Times New Roman"/>
          <w:sz w:val="24"/>
          <w:szCs w:val="24"/>
        </w:rPr>
      </w:pPr>
      <w:r w:rsidRPr="00A94DB4">
        <w:rPr>
          <w:rFonts w:ascii="Times New Roman" w:hAnsi="Times New Roman" w:cs="Times New Roman"/>
          <w:b/>
          <w:sz w:val="24"/>
          <w:szCs w:val="24"/>
        </w:rPr>
        <w:t>Ministria e Brendshme</w:t>
      </w:r>
      <w:r w:rsidRPr="00A94DB4">
        <w:rPr>
          <w:rFonts w:ascii="Times New Roman" w:hAnsi="Times New Roman" w:cs="Times New Roman"/>
          <w:sz w:val="24"/>
          <w:szCs w:val="24"/>
        </w:rPr>
        <w:t>,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kthim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rgjigjen e 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rguar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rmjet sistemit e-Aktet,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parimisht dakord duke sugjeruar, si 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posht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w:t>
      </w:r>
    </w:p>
    <w:p w14:paraId="623E746C" w14:textId="1105335F" w:rsidR="00637427" w:rsidRPr="00A94DB4" w:rsidRDefault="00637427" w:rsidP="00637427">
      <w:pPr>
        <w:spacing w:after="0"/>
        <w:jc w:val="both"/>
        <w:rPr>
          <w:rFonts w:ascii="Times New Roman" w:hAnsi="Times New Roman" w:cs="Times New Roman"/>
          <w:sz w:val="24"/>
          <w:szCs w:val="24"/>
        </w:rPr>
      </w:pPr>
    </w:p>
    <w:p w14:paraId="504E8B06" w14:textId="77777777" w:rsidR="00637427" w:rsidRPr="00A94DB4" w:rsidRDefault="00637427" w:rsidP="00637427">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Në nenin 32, ku përcaktohen afatet kohore për pranimin e kërkesave për pjesëmarrje dhe për dorëzimin e ofertave, të parashikohet mundësia e reduktimit të afateve të përcaktuara në pikat 2, 3, 4 dhe 5, me qëllim efektivitetin e përdorimit të fondeve sipas parashikimeve të vitit buxhetor, zhvillimin e procedurave në një kohë më të shpejtë dhe marrjen e shërbimit, furnizimin me mallra apo realizimin e punëve në kohë dhe me cilësi, përkatësisht: </w:t>
      </w:r>
    </w:p>
    <w:p w14:paraId="3C5D0BE1" w14:textId="77777777" w:rsidR="00637427" w:rsidRPr="00A94DB4" w:rsidRDefault="00637427" w:rsidP="00637427">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a) në pikën 2, afati “jo më pak se 37 ditë kalendarike” të bëhet “jo më pak se 20 ditë kalendarike”; </w:t>
      </w:r>
    </w:p>
    <w:p w14:paraId="313BBE5E" w14:textId="77777777" w:rsidR="00637427" w:rsidRPr="00A94DB4" w:rsidRDefault="00637427" w:rsidP="00637427">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b) në pikën 3, afati “jo më pak se 40 ditë kalendarike” të bëhet “jo më pak se 10 ditë kalendarike”; </w:t>
      </w:r>
    </w:p>
    <w:p w14:paraId="778A0941" w14:textId="77777777" w:rsidR="00637427" w:rsidRPr="00A94DB4" w:rsidRDefault="00637427" w:rsidP="00637427">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c) në pikën 4, afati “jo më pak se 25 ditë kalendarike” të bëhet “jo më pak se 15 ditë kalendarike”; </w:t>
      </w:r>
    </w:p>
    <w:p w14:paraId="0F9078B7" w14:textId="5C02EEA5" w:rsidR="00637427" w:rsidRPr="00A94DB4" w:rsidRDefault="00637427" w:rsidP="00637427">
      <w:pPr>
        <w:spacing w:after="0"/>
        <w:jc w:val="both"/>
        <w:rPr>
          <w:rFonts w:ascii="Times New Roman" w:hAnsi="Times New Roman" w:cs="Times New Roman"/>
          <w:i/>
          <w:sz w:val="24"/>
          <w:szCs w:val="24"/>
        </w:rPr>
      </w:pPr>
      <w:r w:rsidRPr="00A94DB4">
        <w:rPr>
          <w:rFonts w:ascii="Times New Roman" w:hAnsi="Times New Roman" w:cs="Times New Roman"/>
          <w:i/>
          <w:sz w:val="24"/>
          <w:szCs w:val="24"/>
        </w:rPr>
        <w:t>d) në pikën 5, afati “jo më pak se 15 ditë kalendarike” të bëhet “jo më pak se 10 ditë kalendarike”.</w:t>
      </w:r>
    </w:p>
    <w:p w14:paraId="06A93AF5" w14:textId="77777777" w:rsidR="00864A9C" w:rsidRPr="00A94DB4" w:rsidRDefault="00864A9C" w:rsidP="00A5352C">
      <w:pPr>
        <w:spacing w:after="0"/>
        <w:jc w:val="both"/>
        <w:rPr>
          <w:rFonts w:ascii="Times New Roman" w:hAnsi="Times New Roman" w:cs="Times New Roman"/>
          <w:sz w:val="24"/>
          <w:szCs w:val="24"/>
        </w:rPr>
      </w:pPr>
    </w:p>
    <w:p w14:paraId="7BF43D38" w14:textId="685A5F87" w:rsidR="006468CE" w:rsidRPr="00A94DB4" w:rsidRDefault="00637427" w:rsidP="00C0349D">
      <w:pPr>
        <w:pStyle w:val="ListParagraph"/>
        <w:numPr>
          <w:ilvl w:val="0"/>
          <w:numId w:val="42"/>
        </w:num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sugjerimin e Ministris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Brendshme 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w:t>
      </w:r>
      <w:r w:rsidR="00C0349D" w:rsidRPr="00A94DB4">
        <w:rPr>
          <w:rFonts w:ascii="Times New Roman" w:hAnsi="Times New Roman" w:cs="Times New Roman"/>
          <w:sz w:val="24"/>
          <w:szCs w:val="24"/>
        </w:rPr>
        <w:t>reduktimi i afateve nuk mund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pranohet, pasi bie ndesh me nenin 33,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Direktiv</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s 2009/81/KE,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ndryshuar, e cila p</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rcakton afate minimale p</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r dor</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zimin e k</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rkesave dhe ofertave dhe lejon shkurtim vet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m n</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raste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veçanta (njoftim paraprak ose urgjenc</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e justifikuar). Ulja e m</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tejshme e afateve do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krijonte mosp</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rputhje me </w:t>
      </w:r>
      <w:proofErr w:type="spellStart"/>
      <w:r w:rsidR="00C0349D" w:rsidRPr="00A94DB4">
        <w:rPr>
          <w:rFonts w:ascii="Times New Roman" w:hAnsi="Times New Roman" w:cs="Times New Roman"/>
          <w:sz w:val="24"/>
          <w:szCs w:val="24"/>
        </w:rPr>
        <w:t>acquis</w:t>
      </w:r>
      <w:proofErr w:type="spellEnd"/>
      <w:r w:rsidR="00C0349D" w:rsidRPr="00A94DB4">
        <w:rPr>
          <w:rFonts w:ascii="Times New Roman" w:hAnsi="Times New Roman" w:cs="Times New Roman"/>
          <w:sz w:val="24"/>
          <w:szCs w:val="24"/>
        </w:rPr>
        <w:t xml:space="preserve">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BE-s</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do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w:t>
      </w:r>
      <w:proofErr w:type="spellStart"/>
      <w:r w:rsidR="00C0349D" w:rsidRPr="00A94DB4">
        <w:rPr>
          <w:rFonts w:ascii="Times New Roman" w:hAnsi="Times New Roman" w:cs="Times New Roman"/>
          <w:sz w:val="24"/>
          <w:szCs w:val="24"/>
        </w:rPr>
        <w:t>c</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nonte</w:t>
      </w:r>
      <w:proofErr w:type="spellEnd"/>
      <w:r w:rsidR="00C0349D" w:rsidRPr="00A94DB4">
        <w:rPr>
          <w:rFonts w:ascii="Times New Roman" w:hAnsi="Times New Roman" w:cs="Times New Roman"/>
          <w:sz w:val="24"/>
          <w:szCs w:val="24"/>
        </w:rPr>
        <w:t xml:space="preserve"> parimet e transparenc</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s dhe barazis</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dhe do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kufizonte pjes</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marrjen efektive t</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 xml:space="preserve"> operator</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ve ekonomik</w:t>
      </w:r>
      <w:r w:rsidR="005F6563" w:rsidRPr="00A94DB4">
        <w:rPr>
          <w:rFonts w:ascii="Times New Roman" w:hAnsi="Times New Roman" w:cs="Times New Roman"/>
          <w:sz w:val="24"/>
          <w:szCs w:val="24"/>
        </w:rPr>
        <w:t>ë</w:t>
      </w:r>
      <w:r w:rsidR="00C0349D" w:rsidRPr="00A94DB4">
        <w:rPr>
          <w:rFonts w:ascii="Times New Roman" w:hAnsi="Times New Roman" w:cs="Times New Roman"/>
          <w:sz w:val="24"/>
          <w:szCs w:val="24"/>
        </w:rPr>
        <w:t>.</w:t>
      </w:r>
    </w:p>
    <w:p w14:paraId="3AEB46A4" w14:textId="4200E312" w:rsidR="00C0349D" w:rsidRPr="00A94DB4" w:rsidRDefault="00C0349D" w:rsidP="00C0349D">
      <w:pPr>
        <w:spacing w:after="0"/>
        <w:jc w:val="both"/>
        <w:rPr>
          <w:rFonts w:ascii="Times New Roman" w:hAnsi="Times New Roman" w:cs="Times New Roman"/>
          <w:sz w:val="24"/>
          <w:szCs w:val="24"/>
        </w:rPr>
      </w:pPr>
    </w:p>
    <w:p w14:paraId="2E78E206" w14:textId="1A72D0E7" w:rsidR="006B7066" w:rsidRPr="00A94DB4" w:rsidRDefault="00C0349D" w:rsidP="00A5352C">
      <w:pPr>
        <w:spacing w:after="0"/>
        <w:jc w:val="both"/>
        <w:rPr>
          <w:rFonts w:ascii="Times New Roman" w:hAnsi="Times New Roman" w:cs="Times New Roman"/>
          <w:sz w:val="24"/>
          <w:szCs w:val="24"/>
        </w:rPr>
      </w:pPr>
      <w:r w:rsidRPr="00A94DB4">
        <w:rPr>
          <w:rFonts w:ascii="Times New Roman" w:hAnsi="Times New Roman" w:cs="Times New Roman"/>
          <w:b/>
          <w:sz w:val="24"/>
          <w:szCs w:val="24"/>
        </w:rPr>
        <w:t>Autoriteti Komb</w:t>
      </w:r>
      <w:r w:rsidR="005F6563" w:rsidRPr="00A94DB4">
        <w:rPr>
          <w:rFonts w:ascii="Times New Roman" w:hAnsi="Times New Roman" w:cs="Times New Roman"/>
          <w:b/>
          <w:sz w:val="24"/>
          <w:szCs w:val="24"/>
        </w:rPr>
        <w:t>ë</w:t>
      </w:r>
      <w:r w:rsidRPr="00A94DB4">
        <w:rPr>
          <w:rFonts w:ascii="Times New Roman" w:hAnsi="Times New Roman" w:cs="Times New Roman"/>
          <w:b/>
          <w:sz w:val="24"/>
          <w:szCs w:val="24"/>
        </w:rPr>
        <w:t>tar p</w:t>
      </w:r>
      <w:r w:rsidR="005F6563" w:rsidRPr="00A94DB4">
        <w:rPr>
          <w:rFonts w:ascii="Times New Roman" w:hAnsi="Times New Roman" w:cs="Times New Roman"/>
          <w:b/>
          <w:sz w:val="24"/>
          <w:szCs w:val="24"/>
        </w:rPr>
        <w:t>ë</w:t>
      </w:r>
      <w:r w:rsidRPr="00A94DB4">
        <w:rPr>
          <w:rFonts w:ascii="Times New Roman" w:hAnsi="Times New Roman" w:cs="Times New Roman"/>
          <w:b/>
          <w:sz w:val="24"/>
          <w:szCs w:val="24"/>
        </w:rPr>
        <w:t>r Sigurin</w:t>
      </w:r>
      <w:r w:rsidR="005F6563" w:rsidRPr="00A94DB4">
        <w:rPr>
          <w:rFonts w:ascii="Times New Roman" w:hAnsi="Times New Roman" w:cs="Times New Roman"/>
          <w:b/>
          <w:sz w:val="24"/>
          <w:szCs w:val="24"/>
        </w:rPr>
        <w:t>ë</w:t>
      </w:r>
      <w:r w:rsidRPr="00A94DB4">
        <w:rPr>
          <w:rFonts w:ascii="Times New Roman" w:hAnsi="Times New Roman" w:cs="Times New Roman"/>
          <w:b/>
          <w:sz w:val="24"/>
          <w:szCs w:val="24"/>
        </w:rPr>
        <w:t xml:space="preserve"> e Informacionit t</w:t>
      </w:r>
      <w:r w:rsidR="005F6563" w:rsidRPr="00A94DB4">
        <w:rPr>
          <w:rFonts w:ascii="Times New Roman" w:hAnsi="Times New Roman" w:cs="Times New Roman"/>
          <w:b/>
          <w:sz w:val="24"/>
          <w:szCs w:val="24"/>
        </w:rPr>
        <w:t>ë</w:t>
      </w:r>
      <w:r w:rsidRPr="00A94DB4">
        <w:rPr>
          <w:rFonts w:ascii="Times New Roman" w:hAnsi="Times New Roman" w:cs="Times New Roman"/>
          <w:b/>
          <w:sz w:val="24"/>
          <w:szCs w:val="24"/>
        </w:rPr>
        <w:t xml:space="preserve"> Klasifikuar,</w:t>
      </w:r>
      <w:r w:rsidRPr="00A94DB4">
        <w:rPr>
          <w:rFonts w:ascii="Times New Roman" w:hAnsi="Times New Roman" w:cs="Times New Roman"/>
          <w:sz w:val="24"/>
          <w:szCs w:val="24"/>
        </w:rPr>
        <w:t xml:space="preserv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kthim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rgjigjen e 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rguar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rmjet sistemit e-Aktet,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si 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posht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w:t>
      </w:r>
    </w:p>
    <w:p w14:paraId="7ABA5740" w14:textId="59B21D9F" w:rsidR="00C0349D" w:rsidRPr="00A94DB4" w:rsidRDefault="00C0349D" w:rsidP="00A5352C">
      <w:pPr>
        <w:spacing w:after="0"/>
        <w:jc w:val="both"/>
        <w:rPr>
          <w:rFonts w:ascii="Times New Roman" w:hAnsi="Times New Roman" w:cs="Times New Roman"/>
          <w:sz w:val="24"/>
          <w:szCs w:val="24"/>
        </w:rPr>
      </w:pPr>
    </w:p>
    <w:p w14:paraId="3BDDB7F4" w14:textId="01C0077F" w:rsidR="00C0349D" w:rsidRPr="00A94DB4" w:rsidRDefault="00C0349D"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“AKSIK shprehet parimisht dakord me ndryshimet dhe shtesat e propozuara me an</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t</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k</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tij projektligji, duke sjell</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n</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v</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mendjen tuaj propozimin ton</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p</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r ndryshimin e nenit 5, pika 1, </w:t>
      </w:r>
      <w:proofErr w:type="spellStart"/>
      <w:r w:rsidRPr="00A94DB4">
        <w:rPr>
          <w:rFonts w:ascii="Times New Roman" w:hAnsi="Times New Roman" w:cs="Times New Roman"/>
          <w:i/>
          <w:sz w:val="24"/>
          <w:szCs w:val="24"/>
        </w:rPr>
        <w:t>g</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rma</w:t>
      </w:r>
      <w:proofErr w:type="spellEnd"/>
      <w:r w:rsidRPr="00A94DB4">
        <w:rPr>
          <w:rFonts w:ascii="Times New Roman" w:hAnsi="Times New Roman" w:cs="Times New Roman"/>
          <w:i/>
          <w:sz w:val="24"/>
          <w:szCs w:val="24"/>
        </w:rPr>
        <w:t xml:space="preserve"> “dh”, n</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npika “</w:t>
      </w:r>
      <w:proofErr w:type="spellStart"/>
      <w:r w:rsidRPr="00A94DB4">
        <w:rPr>
          <w:rFonts w:ascii="Times New Roman" w:hAnsi="Times New Roman" w:cs="Times New Roman"/>
          <w:i/>
          <w:sz w:val="24"/>
          <w:szCs w:val="24"/>
        </w:rPr>
        <w:t>iii</w:t>
      </w:r>
      <w:proofErr w:type="spellEnd"/>
      <w:r w:rsidRPr="00A94DB4">
        <w:rPr>
          <w:rFonts w:ascii="Times New Roman" w:hAnsi="Times New Roman" w:cs="Times New Roman"/>
          <w:i/>
          <w:sz w:val="24"/>
          <w:szCs w:val="24"/>
        </w:rPr>
        <w:t>”, e ligjit 36/2020, si m</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posht</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w:t>
      </w:r>
    </w:p>
    <w:p w14:paraId="09FBE882" w14:textId="77777777" w:rsidR="00C0349D" w:rsidRPr="00A94DB4" w:rsidRDefault="00C0349D" w:rsidP="00A5352C">
      <w:pPr>
        <w:spacing w:after="0"/>
        <w:jc w:val="both"/>
        <w:rPr>
          <w:rFonts w:ascii="Times New Roman" w:hAnsi="Times New Roman" w:cs="Times New Roman"/>
          <w:i/>
          <w:sz w:val="24"/>
          <w:szCs w:val="24"/>
        </w:rPr>
      </w:pPr>
    </w:p>
    <w:p w14:paraId="7C9770F1" w14:textId="7ABF8AD7" w:rsidR="00C0349D" w:rsidRPr="00A94DB4" w:rsidRDefault="00C0349D" w:rsidP="00A5352C">
      <w:pPr>
        <w:spacing w:after="0"/>
        <w:jc w:val="both"/>
        <w:rPr>
          <w:rFonts w:ascii="Times New Roman" w:hAnsi="Times New Roman" w:cs="Times New Roman"/>
          <w:i/>
          <w:sz w:val="24"/>
          <w:szCs w:val="24"/>
        </w:rPr>
      </w:pPr>
      <w:proofErr w:type="spellStart"/>
      <w:r w:rsidRPr="00A94DB4">
        <w:rPr>
          <w:rFonts w:ascii="Times New Roman" w:hAnsi="Times New Roman" w:cs="Times New Roman"/>
          <w:i/>
          <w:sz w:val="24"/>
          <w:szCs w:val="24"/>
        </w:rPr>
        <w:t>iii</w:t>
      </w:r>
      <w:proofErr w:type="spellEnd"/>
      <w:r w:rsidRPr="00A94DB4">
        <w:rPr>
          <w:rFonts w:ascii="Times New Roman" w:hAnsi="Times New Roman" w:cs="Times New Roman"/>
          <w:i/>
          <w:sz w:val="24"/>
          <w:szCs w:val="24"/>
        </w:rPr>
        <w:t>. “pun</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dhe sh</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rbime t</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 xml:space="preserve"> posaçme p</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r q</w:t>
      </w:r>
      <w:r w:rsidR="005F6563" w:rsidRPr="00A94DB4">
        <w:rPr>
          <w:rFonts w:ascii="Times New Roman" w:hAnsi="Times New Roman" w:cs="Times New Roman"/>
          <w:i/>
          <w:sz w:val="24"/>
          <w:szCs w:val="24"/>
        </w:rPr>
        <w:t>ë</w:t>
      </w:r>
      <w:r w:rsidRPr="00A94DB4">
        <w:rPr>
          <w:rFonts w:ascii="Times New Roman" w:hAnsi="Times New Roman" w:cs="Times New Roman"/>
          <w:i/>
          <w:sz w:val="24"/>
          <w:szCs w:val="24"/>
        </w:rPr>
        <w:t>llime ushtarake”.</w:t>
      </w:r>
    </w:p>
    <w:p w14:paraId="77731072" w14:textId="77777777" w:rsidR="00C0349D" w:rsidRPr="00A94DB4" w:rsidRDefault="00C0349D" w:rsidP="00A5352C">
      <w:pPr>
        <w:spacing w:after="0"/>
        <w:jc w:val="both"/>
        <w:rPr>
          <w:rFonts w:ascii="Times New Roman" w:hAnsi="Times New Roman" w:cs="Times New Roman"/>
          <w:sz w:val="24"/>
          <w:szCs w:val="24"/>
        </w:rPr>
      </w:pPr>
    </w:p>
    <w:p w14:paraId="212741D8" w14:textId="63D7CAA6" w:rsidR="00C0349D" w:rsidRPr="00A94DB4" w:rsidRDefault="00C0349D" w:rsidP="00F411CB">
      <w:pPr>
        <w:pStyle w:val="ListParagraph"/>
        <w:numPr>
          <w:ilvl w:val="0"/>
          <w:numId w:val="42"/>
        </w:numPr>
        <w:spacing w:after="0"/>
        <w:jc w:val="both"/>
        <w:rPr>
          <w:rFonts w:ascii="Times New Roman" w:hAnsi="Times New Roman" w:cs="Times New Roman"/>
          <w:sz w:val="24"/>
          <w:szCs w:val="24"/>
        </w:rPr>
      </w:pPr>
      <w:r w:rsidRPr="00A94DB4">
        <w:rPr>
          <w:rFonts w:ascii="Times New Roman" w:hAnsi="Times New Roman" w:cs="Times New Roman"/>
          <w:sz w:val="24"/>
          <w:szCs w:val="24"/>
        </w:rPr>
        <w:t>Lidhur me k</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sugjerim sqarojm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se, </w:t>
      </w:r>
      <w:r w:rsidR="00F411CB" w:rsidRPr="00A94DB4">
        <w:rPr>
          <w:rFonts w:ascii="Times New Roman" w:hAnsi="Times New Roman" w:cs="Times New Roman"/>
          <w:sz w:val="24"/>
          <w:szCs w:val="24"/>
        </w:rPr>
        <w:t>krahasuar me dispozitën ekuivalente në Direktivën 2009/81/KE</w:t>
      </w:r>
      <w:r w:rsidR="0062426E" w:rsidRPr="00A94DB4">
        <w:rPr>
          <w:rFonts w:ascii="Times New Roman" w:hAnsi="Times New Roman" w:cs="Times New Roman"/>
          <w:sz w:val="24"/>
          <w:szCs w:val="24"/>
        </w:rPr>
        <w:t>, të ndryshuar</w:t>
      </w:r>
      <w:r w:rsidR="00F411CB" w:rsidRPr="00A94DB4">
        <w:rPr>
          <w:rFonts w:ascii="Times New Roman" w:hAnsi="Times New Roman" w:cs="Times New Roman"/>
          <w:sz w:val="24"/>
          <w:szCs w:val="24"/>
        </w:rPr>
        <w:t>, konkretisht pikën 13/(f)/(</w:t>
      </w:r>
      <w:proofErr w:type="spellStart"/>
      <w:r w:rsidR="00F411CB" w:rsidRPr="00A94DB4">
        <w:rPr>
          <w:rFonts w:ascii="Times New Roman" w:hAnsi="Times New Roman" w:cs="Times New Roman"/>
          <w:sz w:val="24"/>
          <w:szCs w:val="24"/>
        </w:rPr>
        <w:t>iii</w:t>
      </w:r>
      <w:proofErr w:type="spellEnd"/>
      <w:r w:rsidR="00F411CB" w:rsidRPr="00A94DB4">
        <w:rPr>
          <w:rFonts w:ascii="Times New Roman" w:hAnsi="Times New Roman" w:cs="Times New Roman"/>
          <w:sz w:val="24"/>
          <w:szCs w:val="24"/>
        </w:rPr>
        <w:t>) u referohet “</w:t>
      </w:r>
      <w:proofErr w:type="spellStart"/>
      <w:r w:rsidR="00F411CB" w:rsidRPr="00A94DB4">
        <w:rPr>
          <w:rFonts w:ascii="Times New Roman" w:hAnsi="Times New Roman" w:cs="Times New Roman"/>
          <w:bCs/>
          <w:i/>
          <w:sz w:val="24"/>
          <w:szCs w:val="24"/>
          <w:lang w:bidi="en-US"/>
        </w:rPr>
        <w:t>iii</w:t>
      </w:r>
      <w:proofErr w:type="spellEnd"/>
      <w:r w:rsidR="00F411CB" w:rsidRPr="00A94DB4">
        <w:rPr>
          <w:rFonts w:ascii="Times New Roman" w:hAnsi="Times New Roman" w:cs="Times New Roman"/>
          <w:bCs/>
          <w:i/>
          <w:sz w:val="24"/>
          <w:szCs w:val="24"/>
          <w:lang w:bidi="en-US"/>
        </w:rPr>
        <w:t>. pun</w:t>
      </w:r>
      <w:r w:rsidR="005F6563" w:rsidRPr="00A94DB4">
        <w:rPr>
          <w:rFonts w:ascii="Times New Roman" w:hAnsi="Times New Roman" w:cs="Times New Roman"/>
          <w:bCs/>
          <w:i/>
          <w:sz w:val="24"/>
          <w:szCs w:val="24"/>
          <w:lang w:bidi="en-US"/>
        </w:rPr>
        <w:t>ë</w:t>
      </w:r>
      <w:r w:rsidR="00F411CB" w:rsidRPr="00A94DB4">
        <w:rPr>
          <w:rFonts w:ascii="Times New Roman" w:hAnsi="Times New Roman" w:cs="Times New Roman"/>
          <w:bCs/>
          <w:i/>
          <w:sz w:val="24"/>
          <w:szCs w:val="24"/>
          <w:lang w:bidi="en-US"/>
        </w:rPr>
        <w:t xml:space="preserve"> dhe sh</w:t>
      </w:r>
      <w:r w:rsidR="005F6563" w:rsidRPr="00A94DB4">
        <w:rPr>
          <w:rFonts w:ascii="Times New Roman" w:hAnsi="Times New Roman" w:cs="Times New Roman"/>
          <w:bCs/>
          <w:i/>
          <w:sz w:val="24"/>
          <w:szCs w:val="24"/>
          <w:lang w:bidi="en-US"/>
        </w:rPr>
        <w:t>ë</w:t>
      </w:r>
      <w:r w:rsidR="00F411CB" w:rsidRPr="00A94DB4">
        <w:rPr>
          <w:rFonts w:ascii="Times New Roman" w:hAnsi="Times New Roman" w:cs="Times New Roman"/>
          <w:bCs/>
          <w:i/>
          <w:sz w:val="24"/>
          <w:szCs w:val="24"/>
          <w:lang w:bidi="en-US"/>
        </w:rPr>
        <w:t>rbime p</w:t>
      </w:r>
      <w:r w:rsidR="005F6563" w:rsidRPr="00A94DB4">
        <w:rPr>
          <w:rFonts w:ascii="Times New Roman" w:hAnsi="Times New Roman" w:cs="Times New Roman"/>
          <w:bCs/>
          <w:i/>
          <w:sz w:val="24"/>
          <w:szCs w:val="24"/>
          <w:lang w:bidi="en-US"/>
        </w:rPr>
        <w:t>ë</w:t>
      </w:r>
      <w:r w:rsidR="00F411CB" w:rsidRPr="00A94DB4">
        <w:rPr>
          <w:rFonts w:ascii="Times New Roman" w:hAnsi="Times New Roman" w:cs="Times New Roman"/>
          <w:bCs/>
          <w:i/>
          <w:sz w:val="24"/>
          <w:szCs w:val="24"/>
          <w:lang w:bidi="en-US"/>
        </w:rPr>
        <w:t>r q</w:t>
      </w:r>
      <w:r w:rsidR="005F6563" w:rsidRPr="00A94DB4">
        <w:rPr>
          <w:rFonts w:ascii="Times New Roman" w:hAnsi="Times New Roman" w:cs="Times New Roman"/>
          <w:bCs/>
          <w:i/>
          <w:sz w:val="24"/>
          <w:szCs w:val="24"/>
          <w:lang w:bidi="en-US"/>
        </w:rPr>
        <w:t>ë</w:t>
      </w:r>
      <w:r w:rsidR="00F411CB" w:rsidRPr="00A94DB4">
        <w:rPr>
          <w:rFonts w:ascii="Times New Roman" w:hAnsi="Times New Roman" w:cs="Times New Roman"/>
          <w:bCs/>
          <w:i/>
          <w:sz w:val="24"/>
          <w:szCs w:val="24"/>
          <w:lang w:bidi="en-US"/>
        </w:rPr>
        <w:t>llime specifike ushtarake, ose pun</w:t>
      </w:r>
      <w:r w:rsidR="005F6563" w:rsidRPr="00A94DB4">
        <w:rPr>
          <w:rFonts w:ascii="Times New Roman" w:hAnsi="Times New Roman" w:cs="Times New Roman"/>
          <w:bCs/>
          <w:i/>
          <w:sz w:val="24"/>
          <w:szCs w:val="24"/>
          <w:lang w:bidi="en-US"/>
        </w:rPr>
        <w:t>ë</w:t>
      </w:r>
      <w:r w:rsidR="00F411CB" w:rsidRPr="00A94DB4">
        <w:rPr>
          <w:rFonts w:ascii="Times New Roman" w:hAnsi="Times New Roman" w:cs="Times New Roman"/>
          <w:bCs/>
          <w:i/>
          <w:sz w:val="24"/>
          <w:szCs w:val="24"/>
          <w:lang w:bidi="en-US"/>
        </w:rPr>
        <w:t xml:space="preserve"> dhe sh</w:t>
      </w:r>
      <w:r w:rsidR="005F6563" w:rsidRPr="00A94DB4">
        <w:rPr>
          <w:rFonts w:ascii="Times New Roman" w:hAnsi="Times New Roman" w:cs="Times New Roman"/>
          <w:bCs/>
          <w:i/>
          <w:sz w:val="24"/>
          <w:szCs w:val="24"/>
          <w:lang w:bidi="en-US"/>
        </w:rPr>
        <w:t>ë</w:t>
      </w:r>
      <w:r w:rsidR="00F411CB" w:rsidRPr="00A94DB4">
        <w:rPr>
          <w:rFonts w:ascii="Times New Roman" w:hAnsi="Times New Roman" w:cs="Times New Roman"/>
          <w:bCs/>
          <w:i/>
          <w:sz w:val="24"/>
          <w:szCs w:val="24"/>
          <w:lang w:bidi="en-US"/>
        </w:rPr>
        <w:t xml:space="preserve">rbime </w:t>
      </w:r>
      <w:proofErr w:type="spellStart"/>
      <w:r w:rsidR="00F411CB" w:rsidRPr="00A94DB4">
        <w:rPr>
          <w:rFonts w:ascii="Times New Roman" w:hAnsi="Times New Roman" w:cs="Times New Roman"/>
          <w:bCs/>
          <w:i/>
          <w:sz w:val="24"/>
          <w:szCs w:val="24"/>
          <w:lang w:bidi="en-US"/>
        </w:rPr>
        <w:t>sensitive</w:t>
      </w:r>
      <w:proofErr w:type="spellEnd"/>
      <w:r w:rsidR="00F411CB" w:rsidRPr="00A94DB4">
        <w:rPr>
          <w:rFonts w:ascii="Times New Roman" w:hAnsi="Times New Roman" w:cs="Times New Roman"/>
          <w:bCs/>
          <w:i/>
          <w:sz w:val="24"/>
          <w:szCs w:val="24"/>
          <w:lang w:bidi="en-US"/>
        </w:rPr>
        <w:t xml:space="preserve">. </w:t>
      </w:r>
      <w:r w:rsidR="00F411CB" w:rsidRPr="00A94DB4">
        <w:rPr>
          <w:rFonts w:ascii="Times New Roman" w:hAnsi="Times New Roman" w:cs="Times New Roman"/>
          <w:sz w:val="24"/>
          <w:szCs w:val="24"/>
        </w:rPr>
        <w:t xml:space="preserve">Në kuadër të angazhimit që Shqipëria ka ndërmarrë për përafrimin e legjislacionit vendas për prokurimet në fushën e mbrojtjes dhe sigurisë me </w:t>
      </w:r>
      <w:r w:rsidR="0062426E" w:rsidRPr="00A94DB4">
        <w:rPr>
          <w:rFonts w:ascii="Times New Roman" w:hAnsi="Times New Roman" w:cs="Times New Roman"/>
          <w:sz w:val="24"/>
          <w:szCs w:val="24"/>
        </w:rPr>
        <w:t>Direktivën 2009/81/KE, vlerësohet që kjo pikë të përafrohet me direktivën.</w:t>
      </w:r>
    </w:p>
    <w:p w14:paraId="0D32E4CB" w14:textId="74800799" w:rsidR="00C0349D" w:rsidRPr="00A94DB4" w:rsidRDefault="00C0349D" w:rsidP="00A5352C">
      <w:pPr>
        <w:spacing w:after="0"/>
        <w:jc w:val="both"/>
        <w:rPr>
          <w:rFonts w:ascii="Times New Roman" w:hAnsi="Times New Roman" w:cs="Times New Roman"/>
          <w:sz w:val="24"/>
          <w:szCs w:val="24"/>
        </w:rPr>
      </w:pPr>
    </w:p>
    <w:p w14:paraId="0742148A" w14:textId="36157344" w:rsidR="00040181" w:rsidRPr="00A94DB4" w:rsidRDefault="00B373A3" w:rsidP="00A5352C">
      <w:pPr>
        <w:spacing w:after="0"/>
        <w:jc w:val="both"/>
        <w:rPr>
          <w:rFonts w:ascii="Times New Roman" w:hAnsi="Times New Roman" w:cs="Times New Roman"/>
          <w:sz w:val="24"/>
          <w:szCs w:val="24"/>
        </w:rPr>
      </w:pPr>
      <w:r w:rsidRPr="00A94DB4">
        <w:rPr>
          <w:rFonts w:ascii="Times New Roman" w:hAnsi="Times New Roman" w:cs="Times New Roman"/>
          <w:b/>
          <w:sz w:val="24"/>
          <w:szCs w:val="24"/>
        </w:rPr>
        <w:t xml:space="preserve">Ministri i Shtetit dhe </w:t>
      </w:r>
      <w:proofErr w:type="spellStart"/>
      <w:r w:rsidRPr="00A94DB4">
        <w:rPr>
          <w:rFonts w:ascii="Times New Roman" w:hAnsi="Times New Roman" w:cs="Times New Roman"/>
          <w:b/>
          <w:sz w:val="24"/>
          <w:szCs w:val="24"/>
        </w:rPr>
        <w:t>Kryenegociatori</w:t>
      </w:r>
      <w:proofErr w:type="spellEnd"/>
      <w:r w:rsidRPr="00A94DB4">
        <w:rPr>
          <w:rFonts w:ascii="Times New Roman" w:hAnsi="Times New Roman" w:cs="Times New Roman"/>
          <w:b/>
          <w:sz w:val="24"/>
          <w:szCs w:val="24"/>
        </w:rPr>
        <w:t>,</w:t>
      </w:r>
      <w:r w:rsidRPr="00A94DB4">
        <w:rPr>
          <w:rFonts w:ascii="Times New Roman" w:hAnsi="Times New Roman" w:cs="Times New Roman"/>
          <w:sz w:val="24"/>
          <w:szCs w:val="24"/>
        </w:rPr>
        <w:t xml:space="preserve">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kthim 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rgjigjen e d</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rguar n</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p</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rmjet sistemit e-Aktet, </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shprehur, si m</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 xml:space="preserve"> posht</w:t>
      </w:r>
      <w:r w:rsidR="005F6563" w:rsidRPr="00A94DB4">
        <w:rPr>
          <w:rFonts w:ascii="Times New Roman" w:hAnsi="Times New Roman" w:cs="Times New Roman"/>
          <w:sz w:val="24"/>
          <w:szCs w:val="24"/>
        </w:rPr>
        <w:t>ë</w:t>
      </w:r>
      <w:r w:rsidRPr="00A94DB4">
        <w:rPr>
          <w:rFonts w:ascii="Times New Roman" w:hAnsi="Times New Roman" w:cs="Times New Roman"/>
          <w:sz w:val="24"/>
          <w:szCs w:val="24"/>
        </w:rPr>
        <w:t>:</w:t>
      </w:r>
    </w:p>
    <w:p w14:paraId="50E1B1C4" w14:textId="77777777" w:rsidR="00040181" w:rsidRPr="00A94DB4" w:rsidRDefault="00040181" w:rsidP="00A5352C">
      <w:pPr>
        <w:spacing w:after="0"/>
        <w:jc w:val="both"/>
        <w:rPr>
          <w:rFonts w:ascii="Times New Roman" w:hAnsi="Times New Roman" w:cs="Times New Roman"/>
          <w:sz w:val="24"/>
          <w:szCs w:val="24"/>
        </w:rPr>
      </w:pPr>
    </w:p>
    <w:p w14:paraId="2BC3455A" w14:textId="6D8C0D86" w:rsidR="00B373A3" w:rsidRPr="00A94DB4" w:rsidRDefault="00B373A3"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“Në përgjigje të shkresave tuaja, të ardhura nëpërmjet sistemit e-akte më datat 29.07.2025 dhe 06.08.2025, lidhur me dhënien e mendimit mbi projektligjin “Për disa shtesa dhe ndryshime në ligjin nr. 36/2020, ‘Për prokurimet në fushën e mbrojtjes dhe të sigurisë’” si dhe projektvendimin “Për disa ndryshime dhe shtesa në vendimin nr. 1170, datë 24.12.2020, të Këshillit të Ministrave, ‘Për miratimin e rregullave të prokurimit në fushën e mbrojtjes dhe të sigurisë’”, ju lutemi që paketa e plotë e këtij </w:t>
      </w:r>
      <w:proofErr w:type="spellStart"/>
      <w:r w:rsidRPr="00A94DB4">
        <w:rPr>
          <w:rFonts w:ascii="Times New Roman" w:hAnsi="Times New Roman" w:cs="Times New Roman"/>
          <w:i/>
          <w:sz w:val="24"/>
          <w:szCs w:val="24"/>
        </w:rPr>
        <w:t>projektakti</w:t>
      </w:r>
      <w:proofErr w:type="spellEnd"/>
      <w:r w:rsidRPr="00A94DB4">
        <w:rPr>
          <w:rFonts w:ascii="Times New Roman" w:hAnsi="Times New Roman" w:cs="Times New Roman"/>
          <w:i/>
          <w:sz w:val="24"/>
          <w:szCs w:val="24"/>
        </w:rPr>
        <w:t xml:space="preserve"> të përcillet në gjuhën angleze pranë Sekretariatit të Integrimit Evropian, në adresën e-</w:t>
      </w:r>
      <w:proofErr w:type="spellStart"/>
      <w:r w:rsidRPr="00A94DB4">
        <w:rPr>
          <w:rFonts w:ascii="Times New Roman" w:hAnsi="Times New Roman" w:cs="Times New Roman"/>
          <w:i/>
          <w:sz w:val="24"/>
          <w:szCs w:val="24"/>
        </w:rPr>
        <w:t>mail</w:t>
      </w:r>
      <w:proofErr w:type="spellEnd"/>
      <w:r w:rsidRPr="00A94DB4">
        <w:rPr>
          <w:rFonts w:ascii="Times New Roman" w:hAnsi="Times New Roman" w:cs="Times New Roman"/>
          <w:i/>
          <w:sz w:val="24"/>
          <w:szCs w:val="24"/>
        </w:rPr>
        <w:t xml:space="preserve">: itena.cuci@kryeministria.al. </w:t>
      </w:r>
    </w:p>
    <w:p w14:paraId="5DBBA450" w14:textId="77777777" w:rsidR="00B373A3" w:rsidRPr="00A94DB4" w:rsidRDefault="00B373A3" w:rsidP="00A5352C">
      <w:pPr>
        <w:spacing w:after="0"/>
        <w:jc w:val="both"/>
        <w:rPr>
          <w:rFonts w:ascii="Times New Roman" w:hAnsi="Times New Roman" w:cs="Times New Roman"/>
          <w:i/>
          <w:sz w:val="24"/>
          <w:szCs w:val="24"/>
        </w:rPr>
      </w:pPr>
    </w:p>
    <w:p w14:paraId="45E0A8C1" w14:textId="4C7125D8" w:rsidR="00B152F8" w:rsidRPr="00A94DB4" w:rsidRDefault="00B373A3" w:rsidP="00A5352C">
      <w:pPr>
        <w:spacing w:after="0"/>
        <w:jc w:val="both"/>
        <w:rPr>
          <w:rFonts w:ascii="Times New Roman" w:hAnsi="Times New Roman" w:cs="Times New Roman"/>
          <w:i/>
          <w:sz w:val="24"/>
          <w:szCs w:val="24"/>
        </w:rPr>
      </w:pPr>
      <w:r w:rsidRPr="00A94DB4">
        <w:rPr>
          <w:rFonts w:ascii="Times New Roman" w:hAnsi="Times New Roman" w:cs="Times New Roman"/>
          <w:i/>
          <w:sz w:val="24"/>
          <w:szCs w:val="24"/>
        </w:rPr>
        <w:t xml:space="preserve">Kjo do të mundësojë konsultimin paraprak me shërbimet e Komisionit Evropian dhe, pas përfundimit të tij, vijimin me përcjelljen për mendim pranë ministrit të Shtetit dhe </w:t>
      </w:r>
      <w:proofErr w:type="spellStart"/>
      <w:r w:rsidRPr="00A94DB4">
        <w:rPr>
          <w:rFonts w:ascii="Times New Roman" w:hAnsi="Times New Roman" w:cs="Times New Roman"/>
          <w:i/>
          <w:sz w:val="24"/>
          <w:szCs w:val="24"/>
        </w:rPr>
        <w:t>Kryenegociator</w:t>
      </w:r>
      <w:proofErr w:type="spellEnd"/>
      <w:r w:rsidRPr="00A94DB4">
        <w:rPr>
          <w:rFonts w:ascii="Times New Roman" w:hAnsi="Times New Roman" w:cs="Times New Roman"/>
          <w:i/>
          <w:sz w:val="24"/>
          <w:szCs w:val="24"/>
        </w:rPr>
        <w:t xml:space="preserve">, si dhe më tej ndërmarrjen e procedurave të nevojshme për miratimin përfundimtar të </w:t>
      </w:r>
      <w:proofErr w:type="spellStart"/>
      <w:r w:rsidRPr="00A94DB4">
        <w:rPr>
          <w:rFonts w:ascii="Times New Roman" w:hAnsi="Times New Roman" w:cs="Times New Roman"/>
          <w:i/>
          <w:sz w:val="24"/>
          <w:szCs w:val="24"/>
        </w:rPr>
        <w:t>projektaktit</w:t>
      </w:r>
      <w:proofErr w:type="spellEnd"/>
      <w:r w:rsidRPr="00A94DB4">
        <w:rPr>
          <w:rFonts w:ascii="Times New Roman" w:hAnsi="Times New Roman" w:cs="Times New Roman"/>
          <w:i/>
          <w:sz w:val="24"/>
          <w:szCs w:val="24"/>
        </w:rPr>
        <w:t>.”</w:t>
      </w:r>
    </w:p>
    <w:p w14:paraId="2BC5BEBD" w14:textId="5C332862" w:rsidR="00B73C30" w:rsidRPr="00A94DB4" w:rsidRDefault="00B73C30" w:rsidP="00A5352C">
      <w:pPr>
        <w:spacing w:after="0"/>
        <w:jc w:val="both"/>
        <w:rPr>
          <w:rFonts w:ascii="Times New Roman" w:hAnsi="Times New Roman" w:cs="Times New Roman"/>
          <w:i/>
          <w:sz w:val="24"/>
          <w:szCs w:val="24"/>
        </w:rPr>
      </w:pPr>
    </w:p>
    <w:p w14:paraId="31A11BA2" w14:textId="417155AB" w:rsidR="00B73C30" w:rsidRPr="00A94DB4" w:rsidRDefault="00D27BA2" w:rsidP="00375493">
      <w:pPr>
        <w:pStyle w:val="ListParagraph"/>
        <w:numPr>
          <w:ilvl w:val="0"/>
          <w:numId w:val="42"/>
        </w:numPr>
        <w:spacing w:after="0"/>
        <w:jc w:val="both"/>
        <w:rPr>
          <w:rFonts w:ascii="Times New Roman" w:hAnsi="Times New Roman" w:cs="Times New Roman"/>
          <w:sz w:val="24"/>
          <w:szCs w:val="24"/>
        </w:rPr>
      </w:pPr>
      <w:r w:rsidRPr="00A94DB4">
        <w:rPr>
          <w:rFonts w:ascii="Times New Roman" w:hAnsi="Times New Roman" w:cs="Times New Roman"/>
          <w:sz w:val="24"/>
          <w:szCs w:val="24"/>
        </w:rPr>
        <w:t>Në vijim të këtij komenti projektligji, pas vlerësimit të mendimeve të ministrive të linjës dhe institucioneve, reflektimit të tyre në projektligj ose argumentimit të tyre në relacionin shoqërues</w:t>
      </w:r>
      <w:r w:rsidR="00E23F07" w:rsidRPr="00A94DB4">
        <w:rPr>
          <w:rFonts w:ascii="Times New Roman" w:hAnsi="Times New Roman" w:cs="Times New Roman"/>
          <w:sz w:val="24"/>
          <w:szCs w:val="24"/>
        </w:rPr>
        <w:t>,</w:t>
      </w:r>
      <w:r w:rsidRPr="00A94DB4">
        <w:rPr>
          <w:rFonts w:ascii="Times New Roman" w:hAnsi="Times New Roman" w:cs="Times New Roman"/>
          <w:sz w:val="24"/>
          <w:szCs w:val="24"/>
        </w:rPr>
        <w:t xml:space="preserve"> </w:t>
      </w:r>
      <w:r w:rsidR="00581427" w:rsidRPr="00A94DB4">
        <w:rPr>
          <w:rFonts w:ascii="Times New Roman" w:hAnsi="Times New Roman" w:cs="Times New Roman"/>
          <w:sz w:val="24"/>
          <w:szCs w:val="24"/>
        </w:rPr>
        <w:t>Ministria e Mbrojtjes përktheu praktikën n</w:t>
      </w:r>
      <w:r w:rsidR="001404A5" w:rsidRPr="00A94DB4">
        <w:rPr>
          <w:rFonts w:ascii="Times New Roman" w:hAnsi="Times New Roman" w:cs="Times New Roman"/>
          <w:sz w:val="24"/>
          <w:szCs w:val="24"/>
        </w:rPr>
        <w:t xml:space="preserve">ë gjuhën angleze dhe </w:t>
      </w:r>
      <w:r w:rsidR="001404A5" w:rsidRPr="00A94DB4">
        <w:rPr>
          <w:rFonts w:ascii="Times New Roman" w:hAnsi="Times New Roman" w:cs="Times New Roman"/>
          <w:sz w:val="24"/>
          <w:szCs w:val="24"/>
        </w:rPr>
        <w:lastRenderedPageBreak/>
        <w:t xml:space="preserve">e përcolli në datë 03.10.2025 </w:t>
      </w:r>
      <w:r w:rsidRPr="00A94DB4">
        <w:rPr>
          <w:rFonts w:ascii="Times New Roman" w:hAnsi="Times New Roman" w:cs="Times New Roman"/>
          <w:sz w:val="24"/>
          <w:szCs w:val="24"/>
        </w:rPr>
        <w:t xml:space="preserve">nëpërmjet postës elektronike zyrtare pranë Sekretariatit të Integrimit Evropian, në adresën </w:t>
      </w:r>
      <w:r w:rsidR="00AE49F6" w:rsidRPr="00A94DB4">
        <w:rPr>
          <w:rFonts w:ascii="Times New Roman" w:hAnsi="Times New Roman" w:cs="Times New Roman"/>
          <w:sz w:val="24"/>
          <w:szCs w:val="24"/>
        </w:rPr>
        <w:t>e</w:t>
      </w:r>
      <w:r w:rsidRPr="00A94DB4">
        <w:rPr>
          <w:rFonts w:ascii="Times New Roman" w:hAnsi="Times New Roman" w:cs="Times New Roman"/>
          <w:sz w:val="24"/>
          <w:szCs w:val="24"/>
        </w:rPr>
        <w:t xml:space="preserve"> mësipërme. </w:t>
      </w:r>
      <w:r w:rsidR="00CE3D82" w:rsidRPr="00A94DB4">
        <w:rPr>
          <w:rFonts w:ascii="Times New Roman" w:hAnsi="Times New Roman" w:cs="Times New Roman"/>
          <w:sz w:val="24"/>
          <w:szCs w:val="24"/>
        </w:rPr>
        <w:t>Aktualisht, jemi në pritje të përgjigjes.</w:t>
      </w:r>
    </w:p>
    <w:p w14:paraId="1EB4795A" w14:textId="0CA035D0" w:rsidR="00B373A3" w:rsidRPr="00A94DB4" w:rsidRDefault="00B373A3" w:rsidP="00A5352C">
      <w:pPr>
        <w:spacing w:after="0"/>
        <w:jc w:val="both"/>
        <w:rPr>
          <w:rFonts w:ascii="Times New Roman" w:hAnsi="Times New Roman" w:cs="Times New Roman"/>
          <w:sz w:val="24"/>
          <w:szCs w:val="24"/>
        </w:rPr>
      </w:pPr>
    </w:p>
    <w:p w14:paraId="3E7C5B38" w14:textId="77777777" w:rsidR="00C61519" w:rsidRPr="00A94DB4" w:rsidRDefault="00C61519" w:rsidP="00C61519">
      <w:pPr>
        <w:jc w:val="both"/>
        <w:rPr>
          <w:rFonts w:ascii="Times New Roman" w:hAnsi="Times New Roman" w:cs="Times New Roman"/>
          <w:spacing w:val="-2"/>
          <w:sz w:val="24"/>
        </w:rPr>
      </w:pPr>
      <w:r w:rsidRPr="00A94DB4">
        <w:rPr>
          <w:rFonts w:ascii="Times New Roman" w:hAnsi="Times New Roman" w:cs="Times New Roman"/>
          <w:spacing w:val="-2"/>
          <w:sz w:val="24"/>
        </w:rPr>
        <w:t>Projektligji u dërgua fillimisht për bashkërendim në Ministrinë e Drejtësisë, Ministrinë e Brendshme, Agjencinë e Prokurimit Publik, Autoritetin Kombëtar për Sigurinë e Informacionit të Klasifikuar dhe Komisionin e Prokurimit Publik. Institucionet e përfshira në proces përcollën qëndrimet, komentet dhe sugjerimet e tyre lidhur me projektligjin “Për disa shtesa dhe ndryshime në ligjin nr. 36/2020 ‘Për prokurimet në fushën e mbrojtjes dhe të sigurisë’”.</w:t>
      </w:r>
    </w:p>
    <w:p w14:paraId="43C45B45" w14:textId="77777777" w:rsidR="00C61519" w:rsidRPr="00A94DB4" w:rsidRDefault="00C61519" w:rsidP="00C61519">
      <w:pPr>
        <w:jc w:val="both"/>
        <w:rPr>
          <w:rFonts w:ascii="Times New Roman" w:hAnsi="Times New Roman" w:cs="Times New Roman"/>
          <w:spacing w:val="-2"/>
          <w:sz w:val="24"/>
        </w:rPr>
      </w:pPr>
      <w:r w:rsidRPr="00A94DB4">
        <w:rPr>
          <w:rFonts w:ascii="Times New Roman" w:hAnsi="Times New Roman" w:cs="Times New Roman"/>
          <w:spacing w:val="-2"/>
          <w:sz w:val="24"/>
        </w:rPr>
        <w:t xml:space="preserve">Vlerësimi përfundimtar i këtyre komenteve nuk u krye në atë fazë, pasi u pritën komentet e shërbimeve të Komisionit Evropian për përputhshmërinë e projektligjit me </w:t>
      </w:r>
      <w:proofErr w:type="spellStart"/>
      <w:r w:rsidRPr="00A94DB4">
        <w:rPr>
          <w:rFonts w:ascii="Times New Roman" w:hAnsi="Times New Roman" w:cs="Times New Roman"/>
          <w:spacing w:val="-2"/>
          <w:sz w:val="24"/>
        </w:rPr>
        <w:t>acquis</w:t>
      </w:r>
      <w:proofErr w:type="spellEnd"/>
      <w:r w:rsidRPr="00A94DB4">
        <w:rPr>
          <w:rFonts w:ascii="Times New Roman" w:hAnsi="Times New Roman" w:cs="Times New Roman"/>
          <w:spacing w:val="-2"/>
          <w:sz w:val="24"/>
        </w:rPr>
        <w:t xml:space="preserve"> të Bashkimit Evropian. Komentet e Komisionit Evropian u përcollën në muajin prill 2026, pas të cilave u ngrit një grup pune për shqyrtimin dhe trajtimin e tyre.</w:t>
      </w:r>
    </w:p>
    <w:p w14:paraId="5EEE3D6E" w14:textId="77777777" w:rsidR="00C61519" w:rsidRPr="00A94DB4" w:rsidRDefault="00C61519" w:rsidP="00C61519">
      <w:pPr>
        <w:jc w:val="both"/>
        <w:rPr>
          <w:rFonts w:ascii="Times New Roman" w:hAnsi="Times New Roman" w:cs="Times New Roman"/>
          <w:spacing w:val="-2"/>
          <w:sz w:val="24"/>
        </w:rPr>
      </w:pPr>
      <w:r w:rsidRPr="00A94DB4">
        <w:rPr>
          <w:rFonts w:ascii="Times New Roman" w:hAnsi="Times New Roman" w:cs="Times New Roman"/>
          <w:spacing w:val="-2"/>
          <w:sz w:val="24"/>
        </w:rPr>
        <w:t xml:space="preserve">Gjatë këtij procesi u vlerësua se ndërhyrjet e nevojshme në ligjin nr. 36/2020 preknin më shumë se 50 për qind të përmbajtjes së tij. Për këtë arsye, në përputhje me kërkesat e legjislacionit në fuqi për hartimin e akteve normative, nisma u </w:t>
      </w:r>
      <w:proofErr w:type="spellStart"/>
      <w:r w:rsidRPr="00A94DB4">
        <w:rPr>
          <w:rFonts w:ascii="Times New Roman" w:hAnsi="Times New Roman" w:cs="Times New Roman"/>
          <w:spacing w:val="-2"/>
          <w:sz w:val="24"/>
        </w:rPr>
        <w:t>rikonceptua</w:t>
      </w:r>
      <w:proofErr w:type="spellEnd"/>
      <w:r w:rsidRPr="00A94DB4">
        <w:rPr>
          <w:rFonts w:ascii="Times New Roman" w:hAnsi="Times New Roman" w:cs="Times New Roman"/>
          <w:spacing w:val="-2"/>
          <w:sz w:val="24"/>
        </w:rPr>
        <w:t xml:space="preserve"> nga një projektligj ndryshues në një projektligj të ri, që parashikon shfuqizimin dhe zëvendësimin e ligjit nr. 36/2020.</w:t>
      </w:r>
    </w:p>
    <w:p w14:paraId="74B79D38" w14:textId="77777777" w:rsidR="00C61519" w:rsidRPr="00A94DB4" w:rsidRDefault="00C61519" w:rsidP="00C61519">
      <w:pPr>
        <w:jc w:val="both"/>
        <w:rPr>
          <w:rFonts w:ascii="Times New Roman" w:hAnsi="Times New Roman" w:cs="Times New Roman"/>
          <w:spacing w:val="-2"/>
          <w:sz w:val="24"/>
        </w:rPr>
      </w:pPr>
      <w:r w:rsidRPr="00A94DB4">
        <w:rPr>
          <w:rFonts w:ascii="Times New Roman" w:hAnsi="Times New Roman" w:cs="Times New Roman"/>
          <w:spacing w:val="-2"/>
          <w:sz w:val="24"/>
        </w:rPr>
        <w:t>Projektligji i ripunuar iu përcoll përsëri shërbimeve të Komisionit Evropian. Në muajin korrik 2026, Komisioni Evropian përcolli një grup të dytë komentesh, të cilat u shqyrtuan dhe, sipas rastit, u reflektuan në projektligj. Pas ripunimit, projektligji iu përcoll sërish, brenda muajit korrik 2026, shërbimeve të Komisionit Evropian për vlerësim të mëtejshëm.</w:t>
      </w:r>
    </w:p>
    <w:p w14:paraId="6DE7FEE6" w14:textId="11F9DD62" w:rsidR="00684388" w:rsidRPr="003630CD" w:rsidRDefault="00C61519" w:rsidP="003630CD">
      <w:pPr>
        <w:jc w:val="both"/>
        <w:rPr>
          <w:rFonts w:ascii="Times New Roman" w:hAnsi="Times New Roman" w:cs="Times New Roman"/>
          <w:spacing w:val="-2"/>
          <w:sz w:val="24"/>
        </w:rPr>
      </w:pPr>
      <w:r w:rsidRPr="00A94DB4">
        <w:rPr>
          <w:rFonts w:ascii="Times New Roman" w:hAnsi="Times New Roman" w:cs="Times New Roman"/>
          <w:spacing w:val="-2"/>
          <w:sz w:val="24"/>
        </w:rPr>
        <w:t>Për shkak të ndryshimit të formës, strukturës dhe përmbajtjes së nismës ligjore, komentet dhe qëndrimet e institucioneve të dhëna gjatë bashkërendimit të projektligjit ndryshues nuk mund të konsiderohen si mendime për versionin aktual të projektligjit. Për rrjedhojë, pas përfundimit të fazës së konsultimit me shërbimet e Komisionit Evropian, projektligji i ri do t’u ridërgohet për mendim dhe bashkërendim ministrive të linjës dhe institucioneve përgjegjëse, përpara vijimit të procedurave për miratimin e tij.</w:t>
      </w:r>
    </w:p>
    <w:p w14:paraId="229A6806" w14:textId="77777777" w:rsidR="007409CD" w:rsidRPr="00A94DB4" w:rsidRDefault="007409CD" w:rsidP="00A5352C">
      <w:pPr>
        <w:spacing w:after="0"/>
        <w:jc w:val="both"/>
        <w:rPr>
          <w:rFonts w:ascii="Times New Roman" w:hAnsi="Times New Roman" w:cs="Times New Roman"/>
          <w:bCs/>
          <w:sz w:val="24"/>
          <w:szCs w:val="24"/>
        </w:rPr>
      </w:pPr>
    </w:p>
    <w:p w14:paraId="18957D28" w14:textId="4BAF0B07" w:rsidR="00B44E1E" w:rsidRPr="00A94DB4" w:rsidRDefault="008C7A9C" w:rsidP="00A5352C">
      <w:pPr>
        <w:pStyle w:val="ListParagraph"/>
        <w:numPr>
          <w:ilvl w:val="0"/>
          <w:numId w:val="1"/>
        </w:numPr>
        <w:spacing w:after="0"/>
        <w:ind w:left="709" w:hanging="709"/>
        <w:jc w:val="both"/>
        <w:rPr>
          <w:rFonts w:ascii="Times New Roman" w:hAnsi="Times New Roman" w:cs="Times New Roman"/>
          <w:b/>
          <w:bCs/>
          <w:sz w:val="24"/>
          <w:szCs w:val="24"/>
        </w:rPr>
      </w:pPr>
      <w:r w:rsidRPr="00A94DB4">
        <w:rPr>
          <w:rFonts w:ascii="Times New Roman" w:hAnsi="Times New Roman" w:cs="Times New Roman"/>
          <w:b/>
          <w:bCs/>
          <w:sz w:val="24"/>
          <w:szCs w:val="24"/>
        </w:rPr>
        <w:t xml:space="preserve">RAPORTI I VLERËSIMIT TË </w:t>
      </w:r>
      <w:proofErr w:type="spellStart"/>
      <w:r w:rsidRPr="00A94DB4">
        <w:rPr>
          <w:rFonts w:ascii="Times New Roman" w:hAnsi="Times New Roman" w:cs="Times New Roman"/>
          <w:b/>
          <w:bCs/>
          <w:sz w:val="24"/>
          <w:szCs w:val="24"/>
        </w:rPr>
        <w:t>TË</w:t>
      </w:r>
      <w:proofErr w:type="spellEnd"/>
      <w:r w:rsidRPr="00A94DB4">
        <w:rPr>
          <w:rFonts w:ascii="Times New Roman" w:hAnsi="Times New Roman" w:cs="Times New Roman"/>
          <w:b/>
          <w:bCs/>
          <w:sz w:val="24"/>
          <w:szCs w:val="24"/>
        </w:rPr>
        <w:t xml:space="preserve"> ARDHURAVE DHE SHPENZIME</w:t>
      </w:r>
      <w:r w:rsidR="00BF0744" w:rsidRPr="00A94DB4">
        <w:rPr>
          <w:rFonts w:ascii="Times New Roman" w:hAnsi="Times New Roman" w:cs="Times New Roman"/>
          <w:b/>
          <w:bCs/>
          <w:sz w:val="24"/>
          <w:szCs w:val="24"/>
        </w:rPr>
        <w:t>VE</w:t>
      </w:r>
      <w:r w:rsidRPr="00A94DB4">
        <w:rPr>
          <w:rFonts w:ascii="Times New Roman" w:hAnsi="Times New Roman" w:cs="Times New Roman"/>
          <w:b/>
          <w:bCs/>
          <w:sz w:val="24"/>
          <w:szCs w:val="24"/>
        </w:rPr>
        <w:t xml:space="preserve"> BUXHETORE</w:t>
      </w:r>
    </w:p>
    <w:p w14:paraId="39EF2C3E" w14:textId="77777777" w:rsidR="006248D7" w:rsidRPr="00A94DB4" w:rsidRDefault="006248D7" w:rsidP="00A5352C">
      <w:pPr>
        <w:pStyle w:val="ListParagraph"/>
        <w:spacing w:after="0"/>
        <w:ind w:left="709"/>
        <w:jc w:val="both"/>
        <w:rPr>
          <w:rFonts w:ascii="Times New Roman" w:hAnsi="Times New Roman" w:cs="Times New Roman"/>
          <w:b/>
          <w:bCs/>
          <w:sz w:val="24"/>
          <w:szCs w:val="24"/>
        </w:rPr>
      </w:pPr>
    </w:p>
    <w:p w14:paraId="2A576293" w14:textId="656971EB" w:rsidR="004D07F1" w:rsidRPr="00A94DB4" w:rsidRDefault="004D07F1" w:rsidP="00A5352C">
      <w:pPr>
        <w:widowControl w:val="0"/>
        <w:tabs>
          <w:tab w:val="left" w:pos="284"/>
          <w:tab w:val="left" w:pos="974"/>
        </w:tabs>
        <w:autoSpaceDE w:val="0"/>
        <w:autoSpaceDN w:val="0"/>
        <w:adjustRightInd w:val="0"/>
        <w:spacing w:after="0"/>
        <w:ind w:right="10"/>
        <w:rPr>
          <w:rFonts w:ascii="Times New Roman" w:hAnsi="Times New Roman" w:cs="Times New Roman"/>
          <w:sz w:val="24"/>
          <w:szCs w:val="24"/>
          <w:shd w:val="clear" w:color="auto" w:fill="FFFFFF"/>
        </w:rPr>
      </w:pPr>
      <w:r w:rsidRPr="00A94DB4">
        <w:rPr>
          <w:rFonts w:ascii="Times New Roman" w:hAnsi="Times New Roman" w:cs="Times New Roman"/>
          <w:sz w:val="24"/>
          <w:szCs w:val="24"/>
          <w:shd w:val="clear" w:color="auto" w:fill="FFFFFF"/>
        </w:rPr>
        <w:t>Ky projektligj nuk ka efekte financiare për buxhetin e Ministrisë së Mbrojtjes.</w:t>
      </w:r>
    </w:p>
    <w:p w14:paraId="05AF3637" w14:textId="77777777" w:rsidR="00B44E1E" w:rsidRPr="00A94DB4" w:rsidRDefault="00B44E1E" w:rsidP="00A5352C">
      <w:pPr>
        <w:spacing w:after="0"/>
        <w:jc w:val="both"/>
        <w:rPr>
          <w:rFonts w:ascii="Times New Roman" w:hAnsi="Times New Roman" w:cs="Times New Roman"/>
          <w:b/>
          <w:bCs/>
          <w:sz w:val="24"/>
          <w:szCs w:val="24"/>
        </w:rPr>
      </w:pPr>
    </w:p>
    <w:p w14:paraId="2DBF8558" w14:textId="77777777" w:rsidR="008C7A9C" w:rsidRPr="00A94DB4" w:rsidRDefault="00DB2212" w:rsidP="00A5352C">
      <w:pPr>
        <w:spacing w:after="0"/>
        <w:rPr>
          <w:rFonts w:ascii="Times New Roman" w:hAnsi="Times New Roman" w:cs="Times New Roman"/>
          <w:b/>
          <w:bCs/>
          <w:sz w:val="24"/>
          <w:szCs w:val="24"/>
        </w:rPr>
      </w:pPr>
      <w:r w:rsidRPr="00A94DB4">
        <w:rPr>
          <w:rFonts w:ascii="Times New Roman" w:hAnsi="Times New Roman" w:cs="Times New Roman"/>
          <w:b/>
          <w:bCs/>
          <w:sz w:val="24"/>
          <w:szCs w:val="24"/>
        </w:rPr>
        <w:t xml:space="preserve">                                                                                                                  </w:t>
      </w:r>
    </w:p>
    <w:p w14:paraId="276B3EA3" w14:textId="77777777" w:rsidR="00DB2212" w:rsidRPr="00A94DB4" w:rsidRDefault="00E22F55" w:rsidP="00A5352C">
      <w:pPr>
        <w:tabs>
          <w:tab w:val="left" w:pos="390"/>
          <w:tab w:val="right" w:pos="9027"/>
        </w:tabs>
        <w:spacing w:after="0"/>
        <w:jc w:val="both"/>
        <w:rPr>
          <w:rFonts w:ascii="Times New Roman" w:hAnsi="Times New Roman" w:cs="Times New Roman"/>
          <w:b/>
          <w:bCs/>
          <w:sz w:val="24"/>
          <w:szCs w:val="24"/>
        </w:rPr>
      </w:pPr>
      <w:r w:rsidRPr="00A94DB4">
        <w:rPr>
          <w:rFonts w:ascii="Times New Roman" w:hAnsi="Times New Roman" w:cs="Times New Roman"/>
          <w:b/>
          <w:bCs/>
          <w:sz w:val="24"/>
          <w:szCs w:val="24"/>
        </w:rPr>
        <w:tab/>
      </w:r>
      <w:r w:rsidRPr="00A94DB4">
        <w:rPr>
          <w:rFonts w:ascii="Times New Roman" w:hAnsi="Times New Roman" w:cs="Times New Roman"/>
          <w:b/>
          <w:bCs/>
          <w:sz w:val="24"/>
          <w:szCs w:val="24"/>
        </w:rPr>
        <w:tab/>
      </w:r>
    </w:p>
    <w:p w14:paraId="584EB97F" w14:textId="77777777" w:rsidR="00636950" w:rsidRPr="00A94DB4" w:rsidRDefault="00636950" w:rsidP="00A5352C">
      <w:pPr>
        <w:spacing w:after="0"/>
        <w:jc w:val="center"/>
        <w:rPr>
          <w:rFonts w:ascii="Times New Roman" w:hAnsi="Times New Roman" w:cs="Times New Roman"/>
          <w:b/>
          <w:sz w:val="24"/>
          <w:szCs w:val="24"/>
        </w:rPr>
      </w:pPr>
    </w:p>
    <w:p w14:paraId="5F2F2583" w14:textId="77777777" w:rsidR="00636950" w:rsidRPr="00A94DB4" w:rsidRDefault="00636950" w:rsidP="00A5352C">
      <w:pPr>
        <w:spacing w:after="0"/>
        <w:jc w:val="center"/>
        <w:rPr>
          <w:rFonts w:ascii="Times New Roman" w:hAnsi="Times New Roman" w:cs="Times New Roman"/>
          <w:b/>
          <w:sz w:val="24"/>
          <w:szCs w:val="24"/>
        </w:rPr>
      </w:pPr>
      <w:r w:rsidRPr="00A94DB4">
        <w:rPr>
          <w:rFonts w:ascii="Times New Roman" w:hAnsi="Times New Roman" w:cs="Times New Roman"/>
          <w:b/>
          <w:sz w:val="24"/>
          <w:szCs w:val="24"/>
        </w:rPr>
        <w:t xml:space="preserve">                                                                                                       PROPOZUESI</w:t>
      </w:r>
    </w:p>
    <w:p w14:paraId="2EBEED68" w14:textId="77777777" w:rsidR="00636950" w:rsidRPr="00A94DB4" w:rsidRDefault="00636950" w:rsidP="00A5352C">
      <w:pPr>
        <w:spacing w:after="0"/>
        <w:jc w:val="both"/>
        <w:rPr>
          <w:rFonts w:ascii="Times New Roman" w:hAnsi="Times New Roman" w:cs="Times New Roman"/>
          <w:sz w:val="24"/>
          <w:szCs w:val="24"/>
        </w:rPr>
      </w:pPr>
    </w:p>
    <w:p w14:paraId="6DA667F3" w14:textId="77777777" w:rsidR="00636950" w:rsidRPr="00A94DB4" w:rsidRDefault="00636950" w:rsidP="00A5352C">
      <w:pPr>
        <w:spacing w:after="0"/>
        <w:jc w:val="right"/>
        <w:rPr>
          <w:rFonts w:ascii="Times New Roman" w:hAnsi="Times New Roman" w:cs="Times New Roman"/>
          <w:b/>
          <w:bCs/>
          <w:sz w:val="24"/>
          <w:szCs w:val="24"/>
        </w:rPr>
      </w:pPr>
      <w:r w:rsidRPr="00A94DB4">
        <w:rPr>
          <w:rFonts w:ascii="Times New Roman" w:hAnsi="Times New Roman" w:cs="Times New Roman"/>
          <w:b/>
          <w:bCs/>
          <w:sz w:val="24"/>
          <w:szCs w:val="24"/>
        </w:rPr>
        <w:t xml:space="preserve">                                                                                  MINISTRI I MBROJTJES                                                      </w:t>
      </w:r>
    </w:p>
    <w:p w14:paraId="23EEC5D2" w14:textId="77777777" w:rsidR="00636950" w:rsidRPr="00A94DB4" w:rsidRDefault="00636950" w:rsidP="00A5352C">
      <w:pPr>
        <w:tabs>
          <w:tab w:val="left" w:pos="1371"/>
          <w:tab w:val="center" w:pos="4513"/>
        </w:tabs>
        <w:spacing w:after="0"/>
        <w:rPr>
          <w:rFonts w:ascii="Times New Roman" w:hAnsi="Times New Roman" w:cs="Times New Roman"/>
          <w:b/>
          <w:bCs/>
          <w:sz w:val="24"/>
          <w:szCs w:val="24"/>
        </w:rPr>
      </w:pPr>
      <w:r w:rsidRPr="00A94DB4">
        <w:rPr>
          <w:rFonts w:ascii="Times New Roman" w:hAnsi="Times New Roman" w:cs="Times New Roman"/>
          <w:b/>
          <w:bCs/>
          <w:sz w:val="24"/>
          <w:szCs w:val="24"/>
        </w:rPr>
        <w:tab/>
      </w:r>
      <w:r w:rsidRPr="00A94DB4">
        <w:rPr>
          <w:rFonts w:ascii="Times New Roman" w:hAnsi="Times New Roman" w:cs="Times New Roman"/>
          <w:b/>
          <w:bCs/>
          <w:sz w:val="24"/>
          <w:szCs w:val="24"/>
        </w:rPr>
        <w:tab/>
        <w:t xml:space="preserve">                                                                                   </w:t>
      </w:r>
    </w:p>
    <w:p w14:paraId="723AD280" w14:textId="7CD946E4" w:rsidR="007B1F87" w:rsidRPr="00A94DB4" w:rsidRDefault="00636950" w:rsidP="00966474">
      <w:pPr>
        <w:tabs>
          <w:tab w:val="left" w:pos="1371"/>
          <w:tab w:val="center" w:pos="4513"/>
        </w:tabs>
        <w:spacing w:after="0"/>
        <w:rPr>
          <w:rFonts w:ascii="Times New Roman" w:hAnsi="Times New Roman" w:cs="Times New Roman"/>
          <w:b/>
          <w:bCs/>
          <w:sz w:val="24"/>
          <w:szCs w:val="24"/>
        </w:rPr>
      </w:pPr>
      <w:r w:rsidRPr="00A94DB4">
        <w:rPr>
          <w:rFonts w:ascii="Times New Roman" w:hAnsi="Times New Roman" w:cs="Times New Roman"/>
          <w:b/>
          <w:bCs/>
          <w:sz w:val="24"/>
          <w:szCs w:val="24"/>
        </w:rPr>
        <w:t xml:space="preserve">                                                                                      </w:t>
      </w:r>
      <w:r w:rsidR="00B152F8" w:rsidRPr="00A94DB4">
        <w:rPr>
          <w:rFonts w:ascii="Times New Roman" w:hAnsi="Times New Roman" w:cs="Times New Roman"/>
          <w:b/>
          <w:bCs/>
          <w:sz w:val="24"/>
          <w:szCs w:val="24"/>
        </w:rPr>
        <w:t xml:space="preserve">                              </w:t>
      </w:r>
      <w:r w:rsidR="00B36DDC" w:rsidRPr="00A94DB4">
        <w:rPr>
          <w:rFonts w:ascii="Times New Roman" w:hAnsi="Times New Roman" w:cs="Times New Roman"/>
          <w:b/>
          <w:bCs/>
          <w:sz w:val="24"/>
          <w:szCs w:val="24"/>
        </w:rPr>
        <w:t xml:space="preserve">Ermal </w:t>
      </w:r>
      <w:proofErr w:type="spellStart"/>
      <w:r w:rsidR="00B36DDC" w:rsidRPr="00A94DB4">
        <w:rPr>
          <w:rFonts w:ascii="Times New Roman" w:hAnsi="Times New Roman" w:cs="Times New Roman"/>
          <w:b/>
          <w:bCs/>
          <w:sz w:val="24"/>
          <w:szCs w:val="24"/>
        </w:rPr>
        <w:t>Nufi</w:t>
      </w:r>
      <w:proofErr w:type="spellEnd"/>
    </w:p>
    <w:p w14:paraId="74623A97" w14:textId="24F04CFA" w:rsidR="00D655A6" w:rsidRPr="00A94DB4" w:rsidRDefault="00D655A6" w:rsidP="00A5352C">
      <w:pPr>
        <w:spacing w:after="0"/>
        <w:rPr>
          <w:rFonts w:ascii="Times New Roman" w:hAnsi="Times New Roman" w:cs="Times New Roman"/>
          <w:sz w:val="32"/>
        </w:rPr>
      </w:pPr>
    </w:p>
    <w:sectPr w:rsidR="00D655A6" w:rsidRPr="00A94DB4" w:rsidSect="00DA5E1D">
      <w:footerReference w:type="default" r:id="rId8"/>
      <w:pgSz w:w="11907" w:h="16839" w:code="9"/>
      <w:pgMar w:top="907" w:right="1440" w:bottom="576"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43DE7" w14:textId="77777777" w:rsidR="00467565" w:rsidRDefault="00467565" w:rsidP="000A5766">
      <w:pPr>
        <w:spacing w:after="0" w:line="240" w:lineRule="auto"/>
      </w:pPr>
      <w:r>
        <w:separator/>
      </w:r>
    </w:p>
  </w:endnote>
  <w:endnote w:type="continuationSeparator" w:id="0">
    <w:p w14:paraId="163E626A" w14:textId="77777777" w:rsidR="00467565" w:rsidRDefault="00467565" w:rsidP="000A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panose1 w:val="02020603050405020304"/>
    <w:charset w:val="01"/>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747C" w14:textId="6BBDE259" w:rsidR="00D27BA2" w:rsidRPr="00DA5E1D" w:rsidRDefault="00966474" w:rsidP="00DA5E1D">
    <w:pPr>
      <w:pStyle w:val="Footer"/>
      <w:pBdr>
        <w:top w:val="thinThickSmallGap" w:sz="24" w:space="11" w:color="622423" w:themeColor="accent2" w:themeShade="7F"/>
      </w:pBdr>
      <w:jc w:val="both"/>
      <w:rPr>
        <w:rFonts w:ascii="Times New Roman" w:eastAsiaTheme="majorEastAsia" w:hAnsi="Times New Roman" w:cs="Times New Roman"/>
        <w:szCs w:val="24"/>
      </w:rPr>
    </w:pPr>
    <w:r>
      <w:rPr>
        <w:rFonts w:ascii="Times New Roman" w:eastAsia="Times New Roman" w:hAnsi="Times New Roman"/>
        <w:sz w:val="20"/>
      </w:rPr>
      <w:t>Relacion shpjegues për projektligjin “Për prokurimet në fushën e mbrojtjes dhe të sigurisë”</w:t>
    </w:r>
  </w:p>
  <w:p w14:paraId="543470A5" w14:textId="77777777" w:rsidR="00D27BA2" w:rsidRDefault="00D27B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F6BB0" w14:textId="77777777" w:rsidR="00467565" w:rsidRDefault="00467565" w:rsidP="000A5766">
      <w:pPr>
        <w:spacing w:after="0" w:line="240" w:lineRule="auto"/>
      </w:pPr>
      <w:r>
        <w:separator/>
      </w:r>
    </w:p>
  </w:footnote>
  <w:footnote w:type="continuationSeparator" w:id="0">
    <w:p w14:paraId="1C2A78D3" w14:textId="77777777" w:rsidR="00467565" w:rsidRDefault="00467565" w:rsidP="000A5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3393"/>
    <w:multiLevelType w:val="hybridMultilevel"/>
    <w:tmpl w:val="78921FEC"/>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 w15:restartNumberingAfterBreak="0">
    <w:nsid w:val="03881D37"/>
    <w:multiLevelType w:val="hybridMultilevel"/>
    <w:tmpl w:val="DD6298B6"/>
    <w:lvl w:ilvl="0" w:tplc="041C0001">
      <w:start w:val="1"/>
      <w:numFmt w:val="bullet"/>
      <w:lvlText w:val=""/>
      <w:lvlJc w:val="left"/>
      <w:pPr>
        <w:ind w:left="777" w:hanging="360"/>
      </w:pPr>
      <w:rPr>
        <w:rFonts w:ascii="Symbol" w:hAnsi="Symbol" w:hint="default"/>
      </w:rPr>
    </w:lvl>
    <w:lvl w:ilvl="1" w:tplc="041C0003" w:tentative="1">
      <w:start w:val="1"/>
      <w:numFmt w:val="bullet"/>
      <w:lvlText w:val="o"/>
      <w:lvlJc w:val="left"/>
      <w:pPr>
        <w:ind w:left="1497" w:hanging="360"/>
      </w:pPr>
      <w:rPr>
        <w:rFonts w:ascii="Courier New" w:hAnsi="Courier New" w:cs="Courier New" w:hint="default"/>
      </w:rPr>
    </w:lvl>
    <w:lvl w:ilvl="2" w:tplc="041C0005" w:tentative="1">
      <w:start w:val="1"/>
      <w:numFmt w:val="bullet"/>
      <w:lvlText w:val=""/>
      <w:lvlJc w:val="left"/>
      <w:pPr>
        <w:ind w:left="2217" w:hanging="360"/>
      </w:pPr>
      <w:rPr>
        <w:rFonts w:ascii="Wingdings" w:hAnsi="Wingdings" w:hint="default"/>
      </w:rPr>
    </w:lvl>
    <w:lvl w:ilvl="3" w:tplc="041C0001" w:tentative="1">
      <w:start w:val="1"/>
      <w:numFmt w:val="bullet"/>
      <w:lvlText w:val=""/>
      <w:lvlJc w:val="left"/>
      <w:pPr>
        <w:ind w:left="2937" w:hanging="360"/>
      </w:pPr>
      <w:rPr>
        <w:rFonts w:ascii="Symbol" w:hAnsi="Symbol" w:hint="default"/>
      </w:rPr>
    </w:lvl>
    <w:lvl w:ilvl="4" w:tplc="041C0003" w:tentative="1">
      <w:start w:val="1"/>
      <w:numFmt w:val="bullet"/>
      <w:lvlText w:val="o"/>
      <w:lvlJc w:val="left"/>
      <w:pPr>
        <w:ind w:left="3657" w:hanging="360"/>
      </w:pPr>
      <w:rPr>
        <w:rFonts w:ascii="Courier New" w:hAnsi="Courier New" w:cs="Courier New" w:hint="default"/>
      </w:rPr>
    </w:lvl>
    <w:lvl w:ilvl="5" w:tplc="041C0005" w:tentative="1">
      <w:start w:val="1"/>
      <w:numFmt w:val="bullet"/>
      <w:lvlText w:val=""/>
      <w:lvlJc w:val="left"/>
      <w:pPr>
        <w:ind w:left="4377" w:hanging="360"/>
      </w:pPr>
      <w:rPr>
        <w:rFonts w:ascii="Wingdings" w:hAnsi="Wingdings" w:hint="default"/>
      </w:rPr>
    </w:lvl>
    <w:lvl w:ilvl="6" w:tplc="041C0001" w:tentative="1">
      <w:start w:val="1"/>
      <w:numFmt w:val="bullet"/>
      <w:lvlText w:val=""/>
      <w:lvlJc w:val="left"/>
      <w:pPr>
        <w:ind w:left="5097" w:hanging="360"/>
      </w:pPr>
      <w:rPr>
        <w:rFonts w:ascii="Symbol" w:hAnsi="Symbol" w:hint="default"/>
      </w:rPr>
    </w:lvl>
    <w:lvl w:ilvl="7" w:tplc="041C0003" w:tentative="1">
      <w:start w:val="1"/>
      <w:numFmt w:val="bullet"/>
      <w:lvlText w:val="o"/>
      <w:lvlJc w:val="left"/>
      <w:pPr>
        <w:ind w:left="5817" w:hanging="360"/>
      </w:pPr>
      <w:rPr>
        <w:rFonts w:ascii="Courier New" w:hAnsi="Courier New" w:cs="Courier New" w:hint="default"/>
      </w:rPr>
    </w:lvl>
    <w:lvl w:ilvl="8" w:tplc="041C0005" w:tentative="1">
      <w:start w:val="1"/>
      <w:numFmt w:val="bullet"/>
      <w:lvlText w:val=""/>
      <w:lvlJc w:val="left"/>
      <w:pPr>
        <w:ind w:left="6537" w:hanging="360"/>
      </w:pPr>
      <w:rPr>
        <w:rFonts w:ascii="Wingdings" w:hAnsi="Wingdings" w:hint="default"/>
      </w:rPr>
    </w:lvl>
  </w:abstractNum>
  <w:abstractNum w:abstractNumId="2" w15:restartNumberingAfterBreak="0">
    <w:nsid w:val="04501A22"/>
    <w:multiLevelType w:val="hybridMultilevel"/>
    <w:tmpl w:val="4210F6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651DD"/>
    <w:multiLevelType w:val="hybridMultilevel"/>
    <w:tmpl w:val="967EF45E"/>
    <w:lvl w:ilvl="0" w:tplc="1870DA12">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413E"/>
    <w:multiLevelType w:val="hybridMultilevel"/>
    <w:tmpl w:val="D7DC8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348BD"/>
    <w:multiLevelType w:val="hybridMultilevel"/>
    <w:tmpl w:val="F9306F7E"/>
    <w:lvl w:ilvl="0" w:tplc="F3E2A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E05DC"/>
    <w:multiLevelType w:val="hybridMultilevel"/>
    <w:tmpl w:val="7C4CD11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0DB7588B"/>
    <w:multiLevelType w:val="hybridMultilevel"/>
    <w:tmpl w:val="E2986E02"/>
    <w:lvl w:ilvl="0" w:tplc="086EC2E8">
      <w:start w:val="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429E5"/>
    <w:multiLevelType w:val="hybridMultilevel"/>
    <w:tmpl w:val="7C4CD11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14F4008D"/>
    <w:multiLevelType w:val="hybridMultilevel"/>
    <w:tmpl w:val="9BD4BD80"/>
    <w:lvl w:ilvl="0" w:tplc="3E5CCD9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152025A4"/>
    <w:multiLevelType w:val="hybridMultilevel"/>
    <w:tmpl w:val="92E290BA"/>
    <w:lvl w:ilvl="0" w:tplc="AE30118C">
      <w:start w:val="1"/>
      <w:numFmt w:val="decimal"/>
      <w:lvlText w:val="%1."/>
      <w:lvlJc w:val="left"/>
      <w:pPr>
        <w:ind w:left="720" w:hanging="360"/>
      </w:pPr>
      <w:rPr>
        <w:rFonts w:ascii="CG Times" w:eastAsia="Times New Roman" w:hAnsi="CG Times" w:hint="default"/>
        <w:i/>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EB4297"/>
    <w:multiLevelType w:val="hybridMultilevel"/>
    <w:tmpl w:val="9E688744"/>
    <w:lvl w:ilvl="0" w:tplc="A1EAFA9A">
      <w:start w:val="1"/>
      <w:numFmt w:val="lowerLetter"/>
      <w:lvlText w:val="%1)"/>
      <w:lvlJc w:val="left"/>
      <w:pPr>
        <w:ind w:left="1080" w:hanging="360"/>
      </w:pPr>
      <w:rPr>
        <w:rFonts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BB7B6D"/>
    <w:multiLevelType w:val="hybridMultilevel"/>
    <w:tmpl w:val="FD5ECAA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1C603CB0"/>
    <w:multiLevelType w:val="hybridMultilevel"/>
    <w:tmpl w:val="CC0ED85A"/>
    <w:lvl w:ilvl="0" w:tplc="BA5CE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EC18F1"/>
    <w:multiLevelType w:val="hybridMultilevel"/>
    <w:tmpl w:val="53B23D16"/>
    <w:lvl w:ilvl="0" w:tplc="C1FEB0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4741EC"/>
    <w:multiLevelType w:val="hybridMultilevel"/>
    <w:tmpl w:val="4DDC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2472BB"/>
    <w:multiLevelType w:val="hybridMultilevel"/>
    <w:tmpl w:val="81AC38A0"/>
    <w:lvl w:ilvl="0" w:tplc="F3E2A76C">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BE24F9"/>
    <w:multiLevelType w:val="hybridMultilevel"/>
    <w:tmpl w:val="FE661676"/>
    <w:lvl w:ilvl="0" w:tplc="D28E49CA">
      <w:start w:val="1"/>
      <w:numFmt w:val="upperRoman"/>
      <w:lvlText w:val="%1."/>
      <w:lvlJc w:val="left"/>
      <w:pPr>
        <w:ind w:left="1080" w:hanging="720"/>
      </w:pPr>
      <w:rPr>
        <w:rFonts w:eastAsia="Calibri" w:hint="default"/>
      </w:rPr>
    </w:lvl>
    <w:lvl w:ilvl="1" w:tplc="04090019">
      <w:start w:val="1"/>
      <w:numFmt w:val="lowerLetter"/>
      <w:lvlText w:val="%2."/>
      <w:lvlJc w:val="left"/>
      <w:pPr>
        <w:ind w:left="1440" w:hanging="360"/>
      </w:pPr>
    </w:lvl>
    <w:lvl w:ilvl="2" w:tplc="F8289F52">
      <w:numFmt w:val="bullet"/>
      <w:lvlText w:val="•"/>
      <w:lvlJc w:val="left"/>
      <w:pPr>
        <w:ind w:left="2340" w:hanging="360"/>
      </w:pPr>
      <w:rPr>
        <w:rFonts w:ascii="Times New Roman" w:eastAsia="MS Mincho"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232380"/>
    <w:multiLevelType w:val="hybridMultilevel"/>
    <w:tmpl w:val="E24C0EE4"/>
    <w:lvl w:ilvl="0" w:tplc="A28C84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17E78"/>
    <w:multiLevelType w:val="hybridMultilevel"/>
    <w:tmpl w:val="C7C42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865F23"/>
    <w:multiLevelType w:val="hybridMultilevel"/>
    <w:tmpl w:val="3DB4AB14"/>
    <w:lvl w:ilvl="0" w:tplc="3E5CCD9C">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36F63688"/>
    <w:multiLevelType w:val="hybridMultilevel"/>
    <w:tmpl w:val="168C5D26"/>
    <w:lvl w:ilvl="0" w:tplc="071ABC44">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15:restartNumberingAfterBreak="0">
    <w:nsid w:val="373935CB"/>
    <w:multiLevelType w:val="hybridMultilevel"/>
    <w:tmpl w:val="AF8AD93E"/>
    <w:lvl w:ilvl="0" w:tplc="ED9AAD3E">
      <w:start w:val="6"/>
      <w:numFmt w:val="bullet"/>
      <w:lvlText w:val=""/>
      <w:lvlJc w:val="left"/>
      <w:pPr>
        <w:ind w:left="630" w:hanging="360"/>
      </w:pPr>
      <w:rPr>
        <w:rFonts w:ascii="Symbol" w:eastAsia="MS Mincho"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3A24392D"/>
    <w:multiLevelType w:val="hybridMultilevel"/>
    <w:tmpl w:val="52F03D52"/>
    <w:lvl w:ilvl="0" w:tplc="3E5CCD9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3CB76D23"/>
    <w:multiLevelType w:val="hybridMultilevel"/>
    <w:tmpl w:val="A22A8D4A"/>
    <w:lvl w:ilvl="0" w:tplc="EBA818BE">
      <w:start w:val="1"/>
      <w:numFmt w:val="decimal"/>
      <w:lvlText w:val="%1."/>
      <w:lvlJc w:val="left"/>
      <w:pPr>
        <w:ind w:left="720" w:hanging="360"/>
      </w:pPr>
      <w:rPr>
        <w:rFonts w:cs="Times New Roman" w:hint="default"/>
        <w: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C122EF"/>
    <w:multiLevelType w:val="hybridMultilevel"/>
    <w:tmpl w:val="D8060BD8"/>
    <w:lvl w:ilvl="0" w:tplc="C20CE7DE">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1FA597E"/>
    <w:multiLevelType w:val="hybridMultilevel"/>
    <w:tmpl w:val="F8C2B5FC"/>
    <w:lvl w:ilvl="0" w:tplc="BA5CE4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9C5EDB"/>
    <w:multiLevelType w:val="hybridMultilevel"/>
    <w:tmpl w:val="0AE67AC6"/>
    <w:lvl w:ilvl="0" w:tplc="66C4C61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5201AB"/>
    <w:multiLevelType w:val="hybridMultilevel"/>
    <w:tmpl w:val="598EF63C"/>
    <w:lvl w:ilvl="0" w:tplc="BE5EC4E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56FF4CB4"/>
    <w:multiLevelType w:val="hybridMultilevel"/>
    <w:tmpl w:val="BBA8C204"/>
    <w:lvl w:ilvl="0" w:tplc="7A6C1E0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B4207"/>
    <w:multiLevelType w:val="hybridMultilevel"/>
    <w:tmpl w:val="E9D64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9B22F0"/>
    <w:multiLevelType w:val="hybridMultilevel"/>
    <w:tmpl w:val="2E8AAD90"/>
    <w:lvl w:ilvl="0" w:tplc="74C643A6">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B171B7"/>
    <w:multiLevelType w:val="hybridMultilevel"/>
    <w:tmpl w:val="2F483376"/>
    <w:lvl w:ilvl="0" w:tplc="7CF64D42">
      <w:start w:val="2"/>
      <w:numFmt w:val="decimal"/>
      <w:lvlText w:val="%1"/>
      <w:lvlJc w:val="left"/>
      <w:pPr>
        <w:ind w:left="720" w:hanging="360"/>
      </w:pPr>
      <w:rPr>
        <w:rFonts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70474"/>
    <w:multiLevelType w:val="hybridMultilevel"/>
    <w:tmpl w:val="5BBA6290"/>
    <w:lvl w:ilvl="0" w:tplc="4F6AF9E4">
      <w:start w:val="6"/>
      <w:numFmt w:val="bullet"/>
      <w:lvlText w:val=""/>
      <w:lvlJc w:val="left"/>
      <w:pPr>
        <w:ind w:left="720" w:hanging="360"/>
      </w:pPr>
      <w:rPr>
        <w:rFonts w:ascii="Symbol" w:eastAsia="MS Mincho" w:hAnsi="Symbol"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4E12E6"/>
    <w:multiLevelType w:val="hybridMultilevel"/>
    <w:tmpl w:val="55B0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C079C1"/>
    <w:multiLevelType w:val="hybridMultilevel"/>
    <w:tmpl w:val="1A28D266"/>
    <w:lvl w:ilvl="0" w:tplc="48BEFA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C20D7A"/>
    <w:multiLevelType w:val="hybridMultilevel"/>
    <w:tmpl w:val="CB7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D22B46"/>
    <w:multiLevelType w:val="hybridMultilevel"/>
    <w:tmpl w:val="7A2A3F00"/>
    <w:lvl w:ilvl="0" w:tplc="3E5CCD9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74746064"/>
    <w:multiLevelType w:val="hybridMultilevel"/>
    <w:tmpl w:val="5C382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BB604E"/>
    <w:multiLevelType w:val="hybridMultilevel"/>
    <w:tmpl w:val="79124D8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76B67293"/>
    <w:multiLevelType w:val="hybridMultilevel"/>
    <w:tmpl w:val="BFE09288"/>
    <w:lvl w:ilvl="0" w:tplc="121AC52C">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F926D1"/>
    <w:multiLevelType w:val="hybridMultilevel"/>
    <w:tmpl w:val="C4D6D3FA"/>
    <w:lvl w:ilvl="0" w:tplc="62B42F40">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7"/>
  </w:num>
  <w:num w:numId="2">
    <w:abstractNumId w:val="7"/>
  </w:num>
  <w:num w:numId="3">
    <w:abstractNumId w:val="38"/>
  </w:num>
  <w:num w:numId="4">
    <w:abstractNumId w:val="30"/>
  </w:num>
  <w:num w:numId="5">
    <w:abstractNumId w:val="4"/>
  </w:num>
  <w:num w:numId="6">
    <w:abstractNumId w:val="27"/>
  </w:num>
  <w:num w:numId="7">
    <w:abstractNumId w:val="28"/>
  </w:num>
  <w:num w:numId="8">
    <w:abstractNumId w:val="41"/>
  </w:num>
  <w:num w:numId="9">
    <w:abstractNumId w:val="25"/>
  </w:num>
  <w:num w:numId="10">
    <w:abstractNumId w:val="31"/>
  </w:num>
  <w:num w:numId="11">
    <w:abstractNumId w:val="16"/>
  </w:num>
  <w:num w:numId="12">
    <w:abstractNumId w:val="20"/>
  </w:num>
  <w:num w:numId="13">
    <w:abstractNumId w:val="23"/>
  </w:num>
  <w:num w:numId="14">
    <w:abstractNumId w:val="9"/>
  </w:num>
  <w:num w:numId="15">
    <w:abstractNumId w:val="37"/>
  </w:num>
  <w:num w:numId="16">
    <w:abstractNumId w:val="5"/>
  </w:num>
  <w:num w:numId="17">
    <w:abstractNumId w:val="26"/>
  </w:num>
  <w:num w:numId="18">
    <w:abstractNumId w:val="12"/>
  </w:num>
  <w:num w:numId="19">
    <w:abstractNumId w:val="14"/>
  </w:num>
  <w:num w:numId="20">
    <w:abstractNumId w:val="6"/>
  </w:num>
  <w:num w:numId="21">
    <w:abstractNumId w:val="13"/>
  </w:num>
  <w:num w:numId="22">
    <w:abstractNumId w:val="1"/>
  </w:num>
  <w:num w:numId="23">
    <w:abstractNumId w:val="24"/>
  </w:num>
  <w:num w:numId="24">
    <w:abstractNumId w:val="29"/>
  </w:num>
  <w:num w:numId="25">
    <w:abstractNumId w:val="19"/>
  </w:num>
  <w:num w:numId="26">
    <w:abstractNumId w:val="10"/>
  </w:num>
  <w:num w:numId="27">
    <w:abstractNumId w:val="11"/>
  </w:num>
  <w:num w:numId="28">
    <w:abstractNumId w:val="32"/>
  </w:num>
  <w:num w:numId="29">
    <w:abstractNumId w:val="8"/>
  </w:num>
  <w:num w:numId="30">
    <w:abstractNumId w:val="39"/>
  </w:num>
  <w:num w:numId="31">
    <w:abstractNumId w:val="0"/>
  </w:num>
  <w:num w:numId="32">
    <w:abstractNumId w:val="33"/>
  </w:num>
  <w:num w:numId="33">
    <w:abstractNumId w:val="21"/>
  </w:num>
  <w:num w:numId="34">
    <w:abstractNumId w:val="22"/>
  </w:num>
  <w:num w:numId="35">
    <w:abstractNumId w:val="40"/>
  </w:num>
  <w:num w:numId="36">
    <w:abstractNumId w:val="3"/>
  </w:num>
  <w:num w:numId="37">
    <w:abstractNumId w:val="18"/>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34"/>
  </w:num>
  <w:num w:numId="41">
    <w:abstractNumId w:val="2"/>
  </w:num>
  <w:num w:numId="42">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A90"/>
    <w:rsid w:val="00006554"/>
    <w:rsid w:val="00013619"/>
    <w:rsid w:val="000143EA"/>
    <w:rsid w:val="00020F98"/>
    <w:rsid w:val="000268AA"/>
    <w:rsid w:val="00030F95"/>
    <w:rsid w:val="00031779"/>
    <w:rsid w:val="00031E16"/>
    <w:rsid w:val="000325CD"/>
    <w:rsid w:val="00032A80"/>
    <w:rsid w:val="00040181"/>
    <w:rsid w:val="0004068C"/>
    <w:rsid w:val="00041956"/>
    <w:rsid w:val="00050D06"/>
    <w:rsid w:val="00051478"/>
    <w:rsid w:val="000539A2"/>
    <w:rsid w:val="00055A51"/>
    <w:rsid w:val="0006171A"/>
    <w:rsid w:val="0006442C"/>
    <w:rsid w:val="000669A0"/>
    <w:rsid w:val="00067A46"/>
    <w:rsid w:val="00067F5F"/>
    <w:rsid w:val="000727E9"/>
    <w:rsid w:val="00073AA2"/>
    <w:rsid w:val="00086B00"/>
    <w:rsid w:val="00090C90"/>
    <w:rsid w:val="000912BB"/>
    <w:rsid w:val="00094857"/>
    <w:rsid w:val="000952B5"/>
    <w:rsid w:val="00096B24"/>
    <w:rsid w:val="000972F1"/>
    <w:rsid w:val="000A1A2F"/>
    <w:rsid w:val="000A22DF"/>
    <w:rsid w:val="000A235D"/>
    <w:rsid w:val="000A245A"/>
    <w:rsid w:val="000A46DE"/>
    <w:rsid w:val="000A4F4C"/>
    <w:rsid w:val="000A5766"/>
    <w:rsid w:val="000B0433"/>
    <w:rsid w:val="000B08E2"/>
    <w:rsid w:val="000B1660"/>
    <w:rsid w:val="000B203B"/>
    <w:rsid w:val="000B2B71"/>
    <w:rsid w:val="000B37A5"/>
    <w:rsid w:val="000B717D"/>
    <w:rsid w:val="000C027B"/>
    <w:rsid w:val="000C1B06"/>
    <w:rsid w:val="000C77A0"/>
    <w:rsid w:val="000D1295"/>
    <w:rsid w:val="000D72D6"/>
    <w:rsid w:val="000E1A59"/>
    <w:rsid w:val="000E2A12"/>
    <w:rsid w:val="000E4F45"/>
    <w:rsid w:val="000F260E"/>
    <w:rsid w:val="00103A35"/>
    <w:rsid w:val="001111DA"/>
    <w:rsid w:val="001115FB"/>
    <w:rsid w:val="00113C7D"/>
    <w:rsid w:val="00116075"/>
    <w:rsid w:val="001216BA"/>
    <w:rsid w:val="0012339E"/>
    <w:rsid w:val="0012352E"/>
    <w:rsid w:val="001258B5"/>
    <w:rsid w:val="00130952"/>
    <w:rsid w:val="00130B35"/>
    <w:rsid w:val="00140032"/>
    <w:rsid w:val="001404A5"/>
    <w:rsid w:val="0014164F"/>
    <w:rsid w:val="0014507C"/>
    <w:rsid w:val="0014784A"/>
    <w:rsid w:val="00147D2A"/>
    <w:rsid w:val="00151CA0"/>
    <w:rsid w:val="00151E1F"/>
    <w:rsid w:val="00161670"/>
    <w:rsid w:val="00163D60"/>
    <w:rsid w:val="001643AB"/>
    <w:rsid w:val="00171EEC"/>
    <w:rsid w:val="001725D9"/>
    <w:rsid w:val="001848B5"/>
    <w:rsid w:val="00185B33"/>
    <w:rsid w:val="00186CCF"/>
    <w:rsid w:val="0019063F"/>
    <w:rsid w:val="001906E0"/>
    <w:rsid w:val="0019248D"/>
    <w:rsid w:val="00192F67"/>
    <w:rsid w:val="00193EE5"/>
    <w:rsid w:val="00194A1D"/>
    <w:rsid w:val="001956C2"/>
    <w:rsid w:val="001A0109"/>
    <w:rsid w:val="001A1407"/>
    <w:rsid w:val="001A2FCD"/>
    <w:rsid w:val="001A3939"/>
    <w:rsid w:val="001A7852"/>
    <w:rsid w:val="001A7A78"/>
    <w:rsid w:val="001A7B4A"/>
    <w:rsid w:val="001B11EA"/>
    <w:rsid w:val="001B5578"/>
    <w:rsid w:val="001B781C"/>
    <w:rsid w:val="001C2386"/>
    <w:rsid w:val="001C5F47"/>
    <w:rsid w:val="001D67B2"/>
    <w:rsid w:val="001E04B0"/>
    <w:rsid w:val="001E0ACF"/>
    <w:rsid w:val="001E3E74"/>
    <w:rsid w:val="001F1F99"/>
    <w:rsid w:val="001F4C8A"/>
    <w:rsid w:val="0020394E"/>
    <w:rsid w:val="002039CD"/>
    <w:rsid w:val="00205A4D"/>
    <w:rsid w:val="00207B8E"/>
    <w:rsid w:val="00210166"/>
    <w:rsid w:val="00211A2F"/>
    <w:rsid w:val="0021250E"/>
    <w:rsid w:val="00212C7B"/>
    <w:rsid w:val="00216267"/>
    <w:rsid w:val="00220FC0"/>
    <w:rsid w:val="00223883"/>
    <w:rsid w:val="002266D0"/>
    <w:rsid w:val="002270C1"/>
    <w:rsid w:val="00230A50"/>
    <w:rsid w:val="002339E6"/>
    <w:rsid w:val="002343F7"/>
    <w:rsid w:val="00237CFC"/>
    <w:rsid w:val="00242A5B"/>
    <w:rsid w:val="00242D4E"/>
    <w:rsid w:val="00245604"/>
    <w:rsid w:val="00247C8C"/>
    <w:rsid w:val="00250AED"/>
    <w:rsid w:val="002524DB"/>
    <w:rsid w:val="002539A1"/>
    <w:rsid w:val="00263524"/>
    <w:rsid w:val="00264EE3"/>
    <w:rsid w:val="00265D09"/>
    <w:rsid w:val="0027397B"/>
    <w:rsid w:val="00274857"/>
    <w:rsid w:val="002806DC"/>
    <w:rsid w:val="002818E7"/>
    <w:rsid w:val="00282759"/>
    <w:rsid w:val="002848FD"/>
    <w:rsid w:val="00286D1D"/>
    <w:rsid w:val="002908B3"/>
    <w:rsid w:val="00291D97"/>
    <w:rsid w:val="002930F4"/>
    <w:rsid w:val="00293C53"/>
    <w:rsid w:val="00295922"/>
    <w:rsid w:val="002A22E5"/>
    <w:rsid w:val="002A237B"/>
    <w:rsid w:val="002A6A1B"/>
    <w:rsid w:val="002A6D6F"/>
    <w:rsid w:val="002B32ED"/>
    <w:rsid w:val="002B5693"/>
    <w:rsid w:val="002B6BB0"/>
    <w:rsid w:val="002C25F0"/>
    <w:rsid w:val="002C3189"/>
    <w:rsid w:val="002D1C9E"/>
    <w:rsid w:val="002E0078"/>
    <w:rsid w:val="002F6284"/>
    <w:rsid w:val="00313B18"/>
    <w:rsid w:val="00320C23"/>
    <w:rsid w:val="0032268B"/>
    <w:rsid w:val="00322A6C"/>
    <w:rsid w:val="003269BD"/>
    <w:rsid w:val="0033267A"/>
    <w:rsid w:val="00333517"/>
    <w:rsid w:val="003347C2"/>
    <w:rsid w:val="00344B4A"/>
    <w:rsid w:val="00345CAC"/>
    <w:rsid w:val="00346BCC"/>
    <w:rsid w:val="00347421"/>
    <w:rsid w:val="003534AF"/>
    <w:rsid w:val="003577F3"/>
    <w:rsid w:val="003607D8"/>
    <w:rsid w:val="003630CD"/>
    <w:rsid w:val="00364E3E"/>
    <w:rsid w:val="00375493"/>
    <w:rsid w:val="003779A5"/>
    <w:rsid w:val="00386494"/>
    <w:rsid w:val="00395461"/>
    <w:rsid w:val="00395A4A"/>
    <w:rsid w:val="0039660F"/>
    <w:rsid w:val="003A0F33"/>
    <w:rsid w:val="003A314D"/>
    <w:rsid w:val="003A3379"/>
    <w:rsid w:val="003A6400"/>
    <w:rsid w:val="003A7E06"/>
    <w:rsid w:val="003B0D81"/>
    <w:rsid w:val="003B24E3"/>
    <w:rsid w:val="003B585D"/>
    <w:rsid w:val="003C04FF"/>
    <w:rsid w:val="003C117C"/>
    <w:rsid w:val="003D428E"/>
    <w:rsid w:val="003D5FD3"/>
    <w:rsid w:val="003D61A2"/>
    <w:rsid w:val="003D73A3"/>
    <w:rsid w:val="003E0F5D"/>
    <w:rsid w:val="003E354B"/>
    <w:rsid w:val="003E3B05"/>
    <w:rsid w:val="003F27D5"/>
    <w:rsid w:val="003F4132"/>
    <w:rsid w:val="003F5473"/>
    <w:rsid w:val="003F62A2"/>
    <w:rsid w:val="0040121A"/>
    <w:rsid w:val="004056CD"/>
    <w:rsid w:val="00406685"/>
    <w:rsid w:val="00407B0D"/>
    <w:rsid w:val="00410521"/>
    <w:rsid w:val="00412A68"/>
    <w:rsid w:val="004132CD"/>
    <w:rsid w:val="00420E1A"/>
    <w:rsid w:val="00426967"/>
    <w:rsid w:val="00426A37"/>
    <w:rsid w:val="0043298F"/>
    <w:rsid w:val="004350AC"/>
    <w:rsid w:val="00435A2C"/>
    <w:rsid w:val="004365A5"/>
    <w:rsid w:val="004427CE"/>
    <w:rsid w:val="004433AA"/>
    <w:rsid w:val="004438E9"/>
    <w:rsid w:val="004463C9"/>
    <w:rsid w:val="00450B9C"/>
    <w:rsid w:val="00464FDF"/>
    <w:rsid w:val="00465069"/>
    <w:rsid w:val="00467565"/>
    <w:rsid w:val="004723A2"/>
    <w:rsid w:val="00472567"/>
    <w:rsid w:val="00476485"/>
    <w:rsid w:val="0047700B"/>
    <w:rsid w:val="00477130"/>
    <w:rsid w:val="00477DC6"/>
    <w:rsid w:val="00481A76"/>
    <w:rsid w:val="00481D44"/>
    <w:rsid w:val="0048296A"/>
    <w:rsid w:val="00483B00"/>
    <w:rsid w:val="00485D7E"/>
    <w:rsid w:val="0049187D"/>
    <w:rsid w:val="00491E97"/>
    <w:rsid w:val="004921B3"/>
    <w:rsid w:val="0049268F"/>
    <w:rsid w:val="00497600"/>
    <w:rsid w:val="004A010F"/>
    <w:rsid w:val="004A0271"/>
    <w:rsid w:val="004A41C9"/>
    <w:rsid w:val="004A6FCD"/>
    <w:rsid w:val="004B26BF"/>
    <w:rsid w:val="004C5869"/>
    <w:rsid w:val="004C5ABB"/>
    <w:rsid w:val="004D07F1"/>
    <w:rsid w:val="004D1132"/>
    <w:rsid w:val="004D2855"/>
    <w:rsid w:val="004D5F69"/>
    <w:rsid w:val="004E2BD8"/>
    <w:rsid w:val="004E4EC7"/>
    <w:rsid w:val="004F3753"/>
    <w:rsid w:val="00503BD3"/>
    <w:rsid w:val="00507D3E"/>
    <w:rsid w:val="005104BD"/>
    <w:rsid w:val="00511D70"/>
    <w:rsid w:val="00511F63"/>
    <w:rsid w:val="0051406E"/>
    <w:rsid w:val="00517F0F"/>
    <w:rsid w:val="00531132"/>
    <w:rsid w:val="005327FB"/>
    <w:rsid w:val="0053359D"/>
    <w:rsid w:val="00536189"/>
    <w:rsid w:val="00536ABD"/>
    <w:rsid w:val="005408E7"/>
    <w:rsid w:val="00541798"/>
    <w:rsid w:val="00545BEF"/>
    <w:rsid w:val="005476EA"/>
    <w:rsid w:val="00552200"/>
    <w:rsid w:val="00562A55"/>
    <w:rsid w:val="00566E83"/>
    <w:rsid w:val="0056719C"/>
    <w:rsid w:val="005722E3"/>
    <w:rsid w:val="00573EC4"/>
    <w:rsid w:val="00574524"/>
    <w:rsid w:val="00574DAE"/>
    <w:rsid w:val="00575209"/>
    <w:rsid w:val="00577C0F"/>
    <w:rsid w:val="00581427"/>
    <w:rsid w:val="00584DEF"/>
    <w:rsid w:val="00590E0F"/>
    <w:rsid w:val="00593F1E"/>
    <w:rsid w:val="00596936"/>
    <w:rsid w:val="00597159"/>
    <w:rsid w:val="00597FA8"/>
    <w:rsid w:val="005A352E"/>
    <w:rsid w:val="005A3F57"/>
    <w:rsid w:val="005A75E3"/>
    <w:rsid w:val="005B059A"/>
    <w:rsid w:val="005B23FD"/>
    <w:rsid w:val="005B4522"/>
    <w:rsid w:val="005B4950"/>
    <w:rsid w:val="005B4A24"/>
    <w:rsid w:val="005B6C0B"/>
    <w:rsid w:val="005B7E70"/>
    <w:rsid w:val="005C4213"/>
    <w:rsid w:val="005C4811"/>
    <w:rsid w:val="005C56E1"/>
    <w:rsid w:val="005C65E2"/>
    <w:rsid w:val="005C6F06"/>
    <w:rsid w:val="005D0DE0"/>
    <w:rsid w:val="005D3950"/>
    <w:rsid w:val="005D4F2F"/>
    <w:rsid w:val="005D7BFA"/>
    <w:rsid w:val="005E7F5E"/>
    <w:rsid w:val="005F4CFE"/>
    <w:rsid w:val="005F6563"/>
    <w:rsid w:val="005F750F"/>
    <w:rsid w:val="006047E4"/>
    <w:rsid w:val="006051CE"/>
    <w:rsid w:val="00615F05"/>
    <w:rsid w:val="00623368"/>
    <w:rsid w:val="0062426E"/>
    <w:rsid w:val="0062469D"/>
    <w:rsid w:val="006248D7"/>
    <w:rsid w:val="00624B87"/>
    <w:rsid w:val="0062793F"/>
    <w:rsid w:val="00631276"/>
    <w:rsid w:val="0063560C"/>
    <w:rsid w:val="00636950"/>
    <w:rsid w:val="00637427"/>
    <w:rsid w:val="006376D9"/>
    <w:rsid w:val="00642183"/>
    <w:rsid w:val="006468CE"/>
    <w:rsid w:val="00646B21"/>
    <w:rsid w:val="00647369"/>
    <w:rsid w:val="006517A5"/>
    <w:rsid w:val="0065245C"/>
    <w:rsid w:val="00653190"/>
    <w:rsid w:val="0065495E"/>
    <w:rsid w:val="0065520E"/>
    <w:rsid w:val="00655B1F"/>
    <w:rsid w:val="006607F1"/>
    <w:rsid w:val="00661B28"/>
    <w:rsid w:val="00666EBA"/>
    <w:rsid w:val="006715D4"/>
    <w:rsid w:val="0068184D"/>
    <w:rsid w:val="00681EA1"/>
    <w:rsid w:val="00681FC7"/>
    <w:rsid w:val="00683737"/>
    <w:rsid w:val="00684388"/>
    <w:rsid w:val="00684C0D"/>
    <w:rsid w:val="00685F9F"/>
    <w:rsid w:val="00687A31"/>
    <w:rsid w:val="00691170"/>
    <w:rsid w:val="00691C69"/>
    <w:rsid w:val="00697A10"/>
    <w:rsid w:val="006A6666"/>
    <w:rsid w:val="006A68EC"/>
    <w:rsid w:val="006B049B"/>
    <w:rsid w:val="006B10EB"/>
    <w:rsid w:val="006B134D"/>
    <w:rsid w:val="006B5589"/>
    <w:rsid w:val="006B7066"/>
    <w:rsid w:val="006C0AAA"/>
    <w:rsid w:val="006C2A24"/>
    <w:rsid w:val="006C47EA"/>
    <w:rsid w:val="006C7E9D"/>
    <w:rsid w:val="006D048D"/>
    <w:rsid w:val="006D11AB"/>
    <w:rsid w:val="006D219B"/>
    <w:rsid w:val="006D4EBA"/>
    <w:rsid w:val="006D53CD"/>
    <w:rsid w:val="006E06D5"/>
    <w:rsid w:val="006E3EDD"/>
    <w:rsid w:val="006F101E"/>
    <w:rsid w:val="006F280E"/>
    <w:rsid w:val="006F2DBA"/>
    <w:rsid w:val="006F33FD"/>
    <w:rsid w:val="006F4BE1"/>
    <w:rsid w:val="00701ED6"/>
    <w:rsid w:val="007032ED"/>
    <w:rsid w:val="00710287"/>
    <w:rsid w:val="007105C3"/>
    <w:rsid w:val="007135B7"/>
    <w:rsid w:val="00714A4D"/>
    <w:rsid w:val="00717385"/>
    <w:rsid w:val="00722EFC"/>
    <w:rsid w:val="0072641A"/>
    <w:rsid w:val="007409CD"/>
    <w:rsid w:val="0074110E"/>
    <w:rsid w:val="007435D2"/>
    <w:rsid w:val="00743F7E"/>
    <w:rsid w:val="00744A90"/>
    <w:rsid w:val="007465D8"/>
    <w:rsid w:val="007468FE"/>
    <w:rsid w:val="007469BB"/>
    <w:rsid w:val="007508E7"/>
    <w:rsid w:val="00755954"/>
    <w:rsid w:val="00761704"/>
    <w:rsid w:val="00763584"/>
    <w:rsid w:val="00770790"/>
    <w:rsid w:val="00771B6F"/>
    <w:rsid w:val="00773932"/>
    <w:rsid w:val="00780012"/>
    <w:rsid w:val="0078049C"/>
    <w:rsid w:val="00780CFF"/>
    <w:rsid w:val="00783478"/>
    <w:rsid w:val="00791E81"/>
    <w:rsid w:val="0079209A"/>
    <w:rsid w:val="00793E5C"/>
    <w:rsid w:val="007946CD"/>
    <w:rsid w:val="00796293"/>
    <w:rsid w:val="007A2E0A"/>
    <w:rsid w:val="007A530C"/>
    <w:rsid w:val="007A5E8D"/>
    <w:rsid w:val="007A7307"/>
    <w:rsid w:val="007B1F87"/>
    <w:rsid w:val="007B3350"/>
    <w:rsid w:val="007B58F6"/>
    <w:rsid w:val="007B69AA"/>
    <w:rsid w:val="007B7CC2"/>
    <w:rsid w:val="007C149B"/>
    <w:rsid w:val="007C3B16"/>
    <w:rsid w:val="007D4F22"/>
    <w:rsid w:val="007D5FE4"/>
    <w:rsid w:val="007E0C04"/>
    <w:rsid w:val="007E3C04"/>
    <w:rsid w:val="007F28C9"/>
    <w:rsid w:val="007F59F0"/>
    <w:rsid w:val="0080640A"/>
    <w:rsid w:val="00812019"/>
    <w:rsid w:val="008228B1"/>
    <w:rsid w:val="00823F2B"/>
    <w:rsid w:val="0082446D"/>
    <w:rsid w:val="00825A5A"/>
    <w:rsid w:val="00827938"/>
    <w:rsid w:val="008310FC"/>
    <w:rsid w:val="00831F15"/>
    <w:rsid w:val="00835565"/>
    <w:rsid w:val="00840DFC"/>
    <w:rsid w:val="00844D3B"/>
    <w:rsid w:val="00845928"/>
    <w:rsid w:val="008474B1"/>
    <w:rsid w:val="0085316A"/>
    <w:rsid w:val="00853B46"/>
    <w:rsid w:val="008562E6"/>
    <w:rsid w:val="00856D05"/>
    <w:rsid w:val="0086278A"/>
    <w:rsid w:val="0086334C"/>
    <w:rsid w:val="00864A9C"/>
    <w:rsid w:val="0086677E"/>
    <w:rsid w:val="00871F30"/>
    <w:rsid w:val="008730FB"/>
    <w:rsid w:val="00873EAA"/>
    <w:rsid w:val="0088336E"/>
    <w:rsid w:val="00885069"/>
    <w:rsid w:val="0088521C"/>
    <w:rsid w:val="008869AB"/>
    <w:rsid w:val="00886A20"/>
    <w:rsid w:val="0089017A"/>
    <w:rsid w:val="00892F19"/>
    <w:rsid w:val="008930CC"/>
    <w:rsid w:val="00893104"/>
    <w:rsid w:val="00893359"/>
    <w:rsid w:val="00894428"/>
    <w:rsid w:val="008A138D"/>
    <w:rsid w:val="008A417B"/>
    <w:rsid w:val="008A526C"/>
    <w:rsid w:val="008A6FDA"/>
    <w:rsid w:val="008A78D6"/>
    <w:rsid w:val="008B01AB"/>
    <w:rsid w:val="008B1041"/>
    <w:rsid w:val="008B18D3"/>
    <w:rsid w:val="008B4CC4"/>
    <w:rsid w:val="008B6AFC"/>
    <w:rsid w:val="008B7674"/>
    <w:rsid w:val="008C1D51"/>
    <w:rsid w:val="008C2522"/>
    <w:rsid w:val="008C2553"/>
    <w:rsid w:val="008C7A9C"/>
    <w:rsid w:val="008D1157"/>
    <w:rsid w:val="008D1FEF"/>
    <w:rsid w:val="008D2547"/>
    <w:rsid w:val="008D3BD8"/>
    <w:rsid w:val="008D69C2"/>
    <w:rsid w:val="008D77C8"/>
    <w:rsid w:val="008F0EC1"/>
    <w:rsid w:val="008F10AB"/>
    <w:rsid w:val="008F4373"/>
    <w:rsid w:val="00902228"/>
    <w:rsid w:val="00912293"/>
    <w:rsid w:val="009155C9"/>
    <w:rsid w:val="00921AAF"/>
    <w:rsid w:val="00923A49"/>
    <w:rsid w:val="00930222"/>
    <w:rsid w:val="00931720"/>
    <w:rsid w:val="0095064B"/>
    <w:rsid w:val="0095400E"/>
    <w:rsid w:val="009639A9"/>
    <w:rsid w:val="00966474"/>
    <w:rsid w:val="009664F7"/>
    <w:rsid w:val="0097185E"/>
    <w:rsid w:val="00983BB9"/>
    <w:rsid w:val="0099014D"/>
    <w:rsid w:val="009936FB"/>
    <w:rsid w:val="00997E22"/>
    <w:rsid w:val="009A0DF7"/>
    <w:rsid w:val="009A3EE2"/>
    <w:rsid w:val="009A60D1"/>
    <w:rsid w:val="009A60E2"/>
    <w:rsid w:val="009B1E71"/>
    <w:rsid w:val="009B3220"/>
    <w:rsid w:val="009B5445"/>
    <w:rsid w:val="009B75D5"/>
    <w:rsid w:val="009B7FB5"/>
    <w:rsid w:val="009C04F1"/>
    <w:rsid w:val="009C790A"/>
    <w:rsid w:val="009D0553"/>
    <w:rsid w:val="009D12EB"/>
    <w:rsid w:val="009D41EF"/>
    <w:rsid w:val="009D6A1F"/>
    <w:rsid w:val="009E16CB"/>
    <w:rsid w:val="009E7437"/>
    <w:rsid w:val="009F2ADD"/>
    <w:rsid w:val="009F768D"/>
    <w:rsid w:val="00A02386"/>
    <w:rsid w:val="00A035B9"/>
    <w:rsid w:val="00A0568A"/>
    <w:rsid w:val="00A06CE9"/>
    <w:rsid w:val="00A137A9"/>
    <w:rsid w:val="00A164A1"/>
    <w:rsid w:val="00A173B8"/>
    <w:rsid w:val="00A27150"/>
    <w:rsid w:val="00A37EA8"/>
    <w:rsid w:val="00A405EB"/>
    <w:rsid w:val="00A441E7"/>
    <w:rsid w:val="00A51BA2"/>
    <w:rsid w:val="00A52590"/>
    <w:rsid w:val="00A5352C"/>
    <w:rsid w:val="00A55731"/>
    <w:rsid w:val="00A606F7"/>
    <w:rsid w:val="00A60FE7"/>
    <w:rsid w:val="00A61D54"/>
    <w:rsid w:val="00A70826"/>
    <w:rsid w:val="00A755A0"/>
    <w:rsid w:val="00A83DA9"/>
    <w:rsid w:val="00A8564A"/>
    <w:rsid w:val="00A873E5"/>
    <w:rsid w:val="00A94DB4"/>
    <w:rsid w:val="00A97288"/>
    <w:rsid w:val="00AA1E6C"/>
    <w:rsid w:val="00AA1F07"/>
    <w:rsid w:val="00AA233A"/>
    <w:rsid w:val="00AA3ABC"/>
    <w:rsid w:val="00AA541E"/>
    <w:rsid w:val="00AB4E15"/>
    <w:rsid w:val="00AC0FE5"/>
    <w:rsid w:val="00AC46B1"/>
    <w:rsid w:val="00AC6A86"/>
    <w:rsid w:val="00AD1C09"/>
    <w:rsid w:val="00AE0B6E"/>
    <w:rsid w:val="00AE32B0"/>
    <w:rsid w:val="00AE49F6"/>
    <w:rsid w:val="00AF24E4"/>
    <w:rsid w:val="00AF259F"/>
    <w:rsid w:val="00AF49AC"/>
    <w:rsid w:val="00AF50B1"/>
    <w:rsid w:val="00B02599"/>
    <w:rsid w:val="00B042B1"/>
    <w:rsid w:val="00B148BE"/>
    <w:rsid w:val="00B152F8"/>
    <w:rsid w:val="00B215D1"/>
    <w:rsid w:val="00B2597F"/>
    <w:rsid w:val="00B27572"/>
    <w:rsid w:val="00B31690"/>
    <w:rsid w:val="00B34AF2"/>
    <w:rsid w:val="00B36DDC"/>
    <w:rsid w:val="00B373A3"/>
    <w:rsid w:val="00B41646"/>
    <w:rsid w:val="00B42B02"/>
    <w:rsid w:val="00B43726"/>
    <w:rsid w:val="00B44E1E"/>
    <w:rsid w:val="00B500F7"/>
    <w:rsid w:val="00B5018D"/>
    <w:rsid w:val="00B563D0"/>
    <w:rsid w:val="00B57DAC"/>
    <w:rsid w:val="00B6190D"/>
    <w:rsid w:val="00B710B4"/>
    <w:rsid w:val="00B735F5"/>
    <w:rsid w:val="00B73C30"/>
    <w:rsid w:val="00B751A9"/>
    <w:rsid w:val="00B812C6"/>
    <w:rsid w:val="00B84905"/>
    <w:rsid w:val="00B87429"/>
    <w:rsid w:val="00B900FB"/>
    <w:rsid w:val="00B91564"/>
    <w:rsid w:val="00B93A62"/>
    <w:rsid w:val="00B955DE"/>
    <w:rsid w:val="00B96155"/>
    <w:rsid w:val="00BB0450"/>
    <w:rsid w:val="00BB1643"/>
    <w:rsid w:val="00BB231F"/>
    <w:rsid w:val="00BB68AC"/>
    <w:rsid w:val="00BB69A9"/>
    <w:rsid w:val="00BB7A33"/>
    <w:rsid w:val="00BC22DF"/>
    <w:rsid w:val="00BD203A"/>
    <w:rsid w:val="00BD7D61"/>
    <w:rsid w:val="00BE00A2"/>
    <w:rsid w:val="00BE5056"/>
    <w:rsid w:val="00BE5829"/>
    <w:rsid w:val="00BF0744"/>
    <w:rsid w:val="00BF17C5"/>
    <w:rsid w:val="00BF2BDB"/>
    <w:rsid w:val="00BF4E0A"/>
    <w:rsid w:val="00C02CDF"/>
    <w:rsid w:val="00C0349D"/>
    <w:rsid w:val="00C0750F"/>
    <w:rsid w:val="00C10725"/>
    <w:rsid w:val="00C1178D"/>
    <w:rsid w:val="00C22349"/>
    <w:rsid w:val="00C22F26"/>
    <w:rsid w:val="00C238F1"/>
    <w:rsid w:val="00C23AFD"/>
    <w:rsid w:val="00C2441C"/>
    <w:rsid w:val="00C2760B"/>
    <w:rsid w:val="00C35255"/>
    <w:rsid w:val="00C40B24"/>
    <w:rsid w:val="00C428C5"/>
    <w:rsid w:val="00C61519"/>
    <w:rsid w:val="00C62E44"/>
    <w:rsid w:val="00C6433E"/>
    <w:rsid w:val="00C832DF"/>
    <w:rsid w:val="00C84781"/>
    <w:rsid w:val="00C87DD2"/>
    <w:rsid w:val="00CA01B7"/>
    <w:rsid w:val="00CB4994"/>
    <w:rsid w:val="00CB6407"/>
    <w:rsid w:val="00CB7538"/>
    <w:rsid w:val="00CC178A"/>
    <w:rsid w:val="00CC1C96"/>
    <w:rsid w:val="00CC3004"/>
    <w:rsid w:val="00CC5E9C"/>
    <w:rsid w:val="00CD10AE"/>
    <w:rsid w:val="00CD424C"/>
    <w:rsid w:val="00CD67F3"/>
    <w:rsid w:val="00CE201F"/>
    <w:rsid w:val="00CE3D82"/>
    <w:rsid w:val="00CE5BC6"/>
    <w:rsid w:val="00CF585B"/>
    <w:rsid w:val="00D054C5"/>
    <w:rsid w:val="00D055E2"/>
    <w:rsid w:val="00D1252B"/>
    <w:rsid w:val="00D12E18"/>
    <w:rsid w:val="00D13EE0"/>
    <w:rsid w:val="00D17006"/>
    <w:rsid w:val="00D172EB"/>
    <w:rsid w:val="00D22627"/>
    <w:rsid w:val="00D22926"/>
    <w:rsid w:val="00D27BA2"/>
    <w:rsid w:val="00D32E27"/>
    <w:rsid w:val="00D427D4"/>
    <w:rsid w:val="00D43738"/>
    <w:rsid w:val="00D456D1"/>
    <w:rsid w:val="00D4692B"/>
    <w:rsid w:val="00D516B8"/>
    <w:rsid w:val="00D6491E"/>
    <w:rsid w:val="00D655A6"/>
    <w:rsid w:val="00D6697A"/>
    <w:rsid w:val="00D70F11"/>
    <w:rsid w:val="00D71193"/>
    <w:rsid w:val="00D72862"/>
    <w:rsid w:val="00D751A0"/>
    <w:rsid w:val="00D76813"/>
    <w:rsid w:val="00D85688"/>
    <w:rsid w:val="00D875B1"/>
    <w:rsid w:val="00D90726"/>
    <w:rsid w:val="00D90905"/>
    <w:rsid w:val="00D91DD2"/>
    <w:rsid w:val="00D97895"/>
    <w:rsid w:val="00DA533A"/>
    <w:rsid w:val="00DA5E1D"/>
    <w:rsid w:val="00DA6AA5"/>
    <w:rsid w:val="00DB2212"/>
    <w:rsid w:val="00DB2E1A"/>
    <w:rsid w:val="00DB6C22"/>
    <w:rsid w:val="00DC00F3"/>
    <w:rsid w:val="00DC06F3"/>
    <w:rsid w:val="00DC2385"/>
    <w:rsid w:val="00DC23E9"/>
    <w:rsid w:val="00DC2B77"/>
    <w:rsid w:val="00DC401F"/>
    <w:rsid w:val="00DC5E7F"/>
    <w:rsid w:val="00DD135C"/>
    <w:rsid w:val="00DD7A07"/>
    <w:rsid w:val="00DE05EE"/>
    <w:rsid w:val="00DE7607"/>
    <w:rsid w:val="00DF06A9"/>
    <w:rsid w:val="00DF15FD"/>
    <w:rsid w:val="00DF18EF"/>
    <w:rsid w:val="00E00036"/>
    <w:rsid w:val="00E011F3"/>
    <w:rsid w:val="00E017B9"/>
    <w:rsid w:val="00E01D33"/>
    <w:rsid w:val="00E11727"/>
    <w:rsid w:val="00E1373C"/>
    <w:rsid w:val="00E21A5A"/>
    <w:rsid w:val="00E22F55"/>
    <w:rsid w:val="00E23F07"/>
    <w:rsid w:val="00E27FC3"/>
    <w:rsid w:val="00E30BDC"/>
    <w:rsid w:val="00E4131B"/>
    <w:rsid w:val="00E4446F"/>
    <w:rsid w:val="00E4627A"/>
    <w:rsid w:val="00E472F5"/>
    <w:rsid w:val="00E50335"/>
    <w:rsid w:val="00E50CA5"/>
    <w:rsid w:val="00E55647"/>
    <w:rsid w:val="00E55687"/>
    <w:rsid w:val="00E576E8"/>
    <w:rsid w:val="00E70F94"/>
    <w:rsid w:val="00E7372F"/>
    <w:rsid w:val="00E74ED2"/>
    <w:rsid w:val="00E7593C"/>
    <w:rsid w:val="00E774E9"/>
    <w:rsid w:val="00E846CE"/>
    <w:rsid w:val="00E90F93"/>
    <w:rsid w:val="00E91431"/>
    <w:rsid w:val="00E93BA3"/>
    <w:rsid w:val="00E95233"/>
    <w:rsid w:val="00EA1E69"/>
    <w:rsid w:val="00EA22E7"/>
    <w:rsid w:val="00EA429D"/>
    <w:rsid w:val="00EA4C79"/>
    <w:rsid w:val="00EA4D8B"/>
    <w:rsid w:val="00EB1D45"/>
    <w:rsid w:val="00EC6B60"/>
    <w:rsid w:val="00ED4A01"/>
    <w:rsid w:val="00ED6461"/>
    <w:rsid w:val="00ED77FF"/>
    <w:rsid w:val="00EE06E6"/>
    <w:rsid w:val="00EE28E2"/>
    <w:rsid w:val="00EE2BD0"/>
    <w:rsid w:val="00EE6990"/>
    <w:rsid w:val="00EF0066"/>
    <w:rsid w:val="00EF1BC1"/>
    <w:rsid w:val="00EF6C42"/>
    <w:rsid w:val="00F0406A"/>
    <w:rsid w:val="00F04C00"/>
    <w:rsid w:val="00F04C94"/>
    <w:rsid w:val="00F06BBE"/>
    <w:rsid w:val="00F10695"/>
    <w:rsid w:val="00F12671"/>
    <w:rsid w:val="00F17902"/>
    <w:rsid w:val="00F22021"/>
    <w:rsid w:val="00F258E0"/>
    <w:rsid w:val="00F275AE"/>
    <w:rsid w:val="00F35E84"/>
    <w:rsid w:val="00F36D3D"/>
    <w:rsid w:val="00F3788F"/>
    <w:rsid w:val="00F40DFE"/>
    <w:rsid w:val="00F411CB"/>
    <w:rsid w:val="00F419AA"/>
    <w:rsid w:val="00F437C0"/>
    <w:rsid w:val="00F4418B"/>
    <w:rsid w:val="00F46367"/>
    <w:rsid w:val="00F51BCC"/>
    <w:rsid w:val="00F51E95"/>
    <w:rsid w:val="00F63076"/>
    <w:rsid w:val="00F82366"/>
    <w:rsid w:val="00F8551C"/>
    <w:rsid w:val="00F872A4"/>
    <w:rsid w:val="00F970F1"/>
    <w:rsid w:val="00FA12B9"/>
    <w:rsid w:val="00FA4875"/>
    <w:rsid w:val="00FB2230"/>
    <w:rsid w:val="00FB59A0"/>
    <w:rsid w:val="00FB5DEF"/>
    <w:rsid w:val="00FC4C08"/>
    <w:rsid w:val="00FC728E"/>
    <w:rsid w:val="00FD0295"/>
    <w:rsid w:val="00FD0DBF"/>
    <w:rsid w:val="00FD67CC"/>
    <w:rsid w:val="00FE66C7"/>
    <w:rsid w:val="00FF11B9"/>
    <w:rsid w:val="00FF2DE4"/>
    <w:rsid w:val="00FF4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2F272"/>
  <w15:docId w15:val="{69C36391-5F52-4964-A41E-288AA345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A9C"/>
    <w:rPr>
      <w:rFonts w:eastAsia="MS Mincho"/>
      <w:lang w:val="sq-AL"/>
    </w:rPr>
  </w:style>
  <w:style w:type="paragraph" w:styleId="Heading2">
    <w:name w:val="heading 2"/>
    <w:basedOn w:val="Normal"/>
    <w:next w:val="Normal"/>
    <w:link w:val="Heading2Char"/>
    <w:uiPriority w:val="9"/>
    <w:unhideWhenUsed/>
    <w:qFormat/>
    <w:rsid w:val="008C7A9C"/>
    <w:pPr>
      <w:keepNext/>
      <w:spacing w:before="240" w:after="60" w:line="240" w:lineRule="auto"/>
      <w:ind w:left="7201"/>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7A9C"/>
    <w:rPr>
      <w:rFonts w:ascii="Cambria" w:eastAsia="Times New Roman" w:hAnsi="Cambria" w:cs="Times New Roman"/>
      <w:b/>
      <w:bCs/>
      <w:i/>
      <w:iCs/>
      <w:sz w:val="28"/>
      <w:szCs w:val="28"/>
      <w:lang w:val="sq-AL"/>
    </w:rPr>
  </w:style>
  <w:style w:type="paragraph" w:styleId="ListParagraph">
    <w:name w:val="List Paragraph"/>
    <w:aliases w:val="Normal 1,List Paragraph1,List Paragraph11,Dot pt,F5 List Paragraph,List Paragraph Char Char Char,Indicator Text,Numbered Para 1,Bullet 1,Bullet Points,MAIN CONTENT,Normal numbered,3,Issue Action POC,POCG Table Text"/>
    <w:basedOn w:val="Normal"/>
    <w:link w:val="ListParagraphChar"/>
    <w:uiPriority w:val="34"/>
    <w:qFormat/>
    <w:rsid w:val="008C7A9C"/>
    <w:pPr>
      <w:ind w:left="720"/>
      <w:contextualSpacing/>
    </w:pPr>
  </w:style>
  <w:style w:type="paragraph" w:styleId="BalloonText">
    <w:name w:val="Balloon Text"/>
    <w:basedOn w:val="Normal"/>
    <w:link w:val="BalloonTextChar"/>
    <w:uiPriority w:val="99"/>
    <w:semiHidden/>
    <w:unhideWhenUsed/>
    <w:rsid w:val="008C7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A9C"/>
    <w:rPr>
      <w:rFonts w:ascii="Segoe UI" w:eastAsia="MS Mincho" w:hAnsi="Segoe UI" w:cs="Segoe UI"/>
      <w:sz w:val="18"/>
      <w:szCs w:val="18"/>
    </w:rPr>
  </w:style>
  <w:style w:type="paragraph" w:styleId="Header">
    <w:name w:val="header"/>
    <w:basedOn w:val="Normal"/>
    <w:link w:val="HeaderChar"/>
    <w:uiPriority w:val="99"/>
    <w:unhideWhenUsed/>
    <w:rsid w:val="008C7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A9C"/>
    <w:rPr>
      <w:rFonts w:eastAsia="MS Mincho"/>
    </w:rPr>
  </w:style>
  <w:style w:type="paragraph" w:styleId="Footer">
    <w:name w:val="footer"/>
    <w:basedOn w:val="Normal"/>
    <w:link w:val="FooterChar"/>
    <w:uiPriority w:val="99"/>
    <w:unhideWhenUsed/>
    <w:rsid w:val="008C7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A9C"/>
    <w:rPr>
      <w:rFonts w:eastAsia="MS Mincho"/>
    </w:rPr>
  </w:style>
  <w:style w:type="paragraph" w:styleId="BodyText">
    <w:name w:val="Body Text"/>
    <w:basedOn w:val="Normal"/>
    <w:link w:val="BodyTextChar"/>
    <w:uiPriority w:val="99"/>
    <w:unhideWhenUsed/>
    <w:qFormat/>
    <w:rsid w:val="008C7A9C"/>
    <w:pPr>
      <w:tabs>
        <w:tab w:val="left" w:pos="567"/>
      </w:tabs>
      <w:spacing w:after="120" w:line="240" w:lineRule="auto"/>
    </w:pPr>
    <w:rPr>
      <w:rFonts w:ascii="Calibri" w:eastAsia="Times New Roman" w:hAnsi="Calibri" w:cs="Times New Roman"/>
      <w:szCs w:val="20"/>
      <w:lang w:val="en-GB"/>
    </w:rPr>
  </w:style>
  <w:style w:type="character" w:customStyle="1" w:styleId="BodyTextChar">
    <w:name w:val="Body Text Char"/>
    <w:basedOn w:val="DefaultParagraphFont"/>
    <w:link w:val="BodyText"/>
    <w:uiPriority w:val="99"/>
    <w:rsid w:val="008C7A9C"/>
    <w:rPr>
      <w:rFonts w:ascii="Calibri" w:eastAsia="Times New Roman" w:hAnsi="Calibri" w:cs="Times New Roman"/>
      <w:szCs w:val="20"/>
      <w:lang w:val="en-GB"/>
    </w:rPr>
  </w:style>
  <w:style w:type="character" w:styleId="Strong">
    <w:name w:val="Strong"/>
    <w:uiPriority w:val="22"/>
    <w:qFormat/>
    <w:rsid w:val="008C7A9C"/>
    <w:rPr>
      <w:b/>
      <w:bCs/>
    </w:rPr>
  </w:style>
  <w:style w:type="paragraph" w:customStyle="1" w:styleId="Default">
    <w:name w:val="Default"/>
    <w:rsid w:val="00B751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unhideWhenUsed/>
    <w:rsid w:val="00CA0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A01B7"/>
    <w:rPr>
      <w:rFonts w:ascii="Courier New" w:eastAsia="Times New Roman" w:hAnsi="Courier New" w:cs="Courier New"/>
      <w:sz w:val="20"/>
      <w:szCs w:val="20"/>
    </w:rPr>
  </w:style>
  <w:style w:type="paragraph" w:customStyle="1" w:styleId="Paragrafi">
    <w:name w:val="Paragrafi"/>
    <w:link w:val="ParagrafiChar"/>
    <w:rsid w:val="00CA01B7"/>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CA01B7"/>
    <w:rPr>
      <w:rFonts w:ascii="CG Times" w:eastAsia="MS Mincho" w:hAnsi="CG Times" w:cs="CG Times"/>
      <w:sz w:val="21"/>
    </w:rPr>
  </w:style>
  <w:style w:type="paragraph" w:styleId="Revision">
    <w:name w:val="Revision"/>
    <w:hidden/>
    <w:uiPriority w:val="99"/>
    <w:semiHidden/>
    <w:rsid w:val="00F970F1"/>
    <w:pPr>
      <w:spacing w:after="0" w:line="240" w:lineRule="auto"/>
    </w:pPr>
    <w:rPr>
      <w:lang w:val="sq-AL"/>
    </w:rPr>
  </w:style>
  <w:style w:type="paragraph" w:customStyle="1" w:styleId="ColorfulList-Accent11">
    <w:name w:val="Colorful List - Accent 11"/>
    <w:basedOn w:val="Normal"/>
    <w:uiPriority w:val="34"/>
    <w:qFormat/>
    <w:rsid w:val="00B812C6"/>
    <w:pPr>
      <w:ind w:left="720"/>
      <w:contextualSpacing/>
    </w:pPr>
    <w:rPr>
      <w:rFonts w:ascii="Calibri" w:eastAsia="Calibri" w:hAnsi="Calibri" w:cs="Times New Roman"/>
    </w:rPr>
  </w:style>
  <w:style w:type="paragraph" w:styleId="NormalWeb">
    <w:name w:val="Normal (Web)"/>
    <w:basedOn w:val="Normal"/>
    <w:uiPriority w:val="99"/>
    <w:rsid w:val="00435A2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harCharCharCharCharCharChar">
    <w:name w:val="Char Char Char Char Char Char Char"/>
    <w:basedOn w:val="Normal"/>
    <w:rsid w:val="0072641A"/>
    <w:pPr>
      <w:spacing w:after="160" w:line="240" w:lineRule="exact"/>
    </w:pPr>
    <w:rPr>
      <w:rFonts w:ascii="Tahoma" w:hAnsi="Tahoma" w:cs="Tahoma"/>
      <w:sz w:val="20"/>
      <w:szCs w:val="20"/>
    </w:rPr>
  </w:style>
  <w:style w:type="paragraph" w:styleId="NoSpacing">
    <w:name w:val="No Spacing"/>
    <w:uiPriority w:val="1"/>
    <w:qFormat/>
    <w:rsid w:val="00216267"/>
    <w:pPr>
      <w:spacing w:after="0" w:line="240" w:lineRule="auto"/>
    </w:pPr>
    <w:rPr>
      <w:rFonts w:ascii="Calibri" w:eastAsia="Calibri" w:hAnsi="Calibri" w:cs="Times New Roman"/>
      <w:lang w:val="sq-AL"/>
    </w:rPr>
  </w:style>
  <w:style w:type="paragraph" w:customStyle="1" w:styleId="Normal0">
    <w:name w:val="[Normal]"/>
    <w:rsid w:val="00497600"/>
    <w:pPr>
      <w:spacing w:after="0" w:line="240" w:lineRule="auto"/>
    </w:pPr>
    <w:rPr>
      <w:rFonts w:ascii="Arial" w:eastAsia="Arial" w:hAnsi="Arial" w:cs="Times New Roman"/>
      <w:noProof/>
      <w:sz w:val="24"/>
      <w:szCs w:val="20"/>
    </w:rPr>
  </w:style>
  <w:style w:type="paragraph" w:styleId="CommentText">
    <w:name w:val="annotation text"/>
    <w:basedOn w:val="Normal"/>
    <w:link w:val="CommentTextChar"/>
    <w:uiPriority w:val="99"/>
    <w:unhideWhenUsed/>
    <w:rsid w:val="003B585D"/>
    <w:pPr>
      <w:spacing w:after="0" w:line="240" w:lineRule="auto"/>
      <w:jc w:val="both"/>
    </w:pPr>
    <w:rPr>
      <w:rFonts w:ascii="Times New Roman" w:eastAsiaTheme="minorHAnsi" w:hAnsi="Times New Roman"/>
      <w:sz w:val="20"/>
      <w:szCs w:val="20"/>
    </w:rPr>
  </w:style>
  <w:style w:type="character" w:customStyle="1" w:styleId="CommentTextChar">
    <w:name w:val="Comment Text Char"/>
    <w:basedOn w:val="DefaultParagraphFont"/>
    <w:link w:val="CommentText"/>
    <w:uiPriority w:val="99"/>
    <w:rsid w:val="003B585D"/>
    <w:rPr>
      <w:rFonts w:ascii="Times New Roman" w:hAnsi="Times New Roman"/>
      <w:sz w:val="20"/>
      <w:szCs w:val="20"/>
      <w:lang w:val="sq-AL"/>
    </w:rPr>
  </w:style>
  <w:style w:type="character" w:styleId="CommentReference">
    <w:name w:val="annotation reference"/>
    <w:basedOn w:val="DefaultParagraphFont"/>
    <w:uiPriority w:val="99"/>
    <w:semiHidden/>
    <w:unhideWhenUsed/>
    <w:rsid w:val="00F872A4"/>
    <w:rPr>
      <w:sz w:val="16"/>
      <w:szCs w:val="16"/>
    </w:rPr>
  </w:style>
  <w:style w:type="paragraph" w:styleId="CommentSubject">
    <w:name w:val="annotation subject"/>
    <w:basedOn w:val="CommentText"/>
    <w:next w:val="CommentText"/>
    <w:link w:val="CommentSubjectChar"/>
    <w:uiPriority w:val="99"/>
    <w:semiHidden/>
    <w:unhideWhenUsed/>
    <w:rsid w:val="0086677E"/>
    <w:pPr>
      <w:spacing w:after="200"/>
      <w:jc w:val="left"/>
    </w:pPr>
    <w:rPr>
      <w:rFonts w:asciiTheme="minorHAnsi" w:eastAsia="MS Mincho" w:hAnsiTheme="minorHAnsi"/>
      <w:b/>
      <w:bCs/>
    </w:rPr>
  </w:style>
  <w:style w:type="character" w:customStyle="1" w:styleId="CommentSubjectChar">
    <w:name w:val="Comment Subject Char"/>
    <w:basedOn w:val="CommentTextChar"/>
    <w:link w:val="CommentSubject"/>
    <w:uiPriority w:val="99"/>
    <w:semiHidden/>
    <w:rsid w:val="0086677E"/>
    <w:rPr>
      <w:rFonts w:ascii="Times New Roman" w:eastAsia="MS Mincho" w:hAnsi="Times New Roman"/>
      <w:b/>
      <w:bCs/>
      <w:sz w:val="20"/>
      <w:szCs w:val="20"/>
      <w:lang w:val="sq-AL"/>
    </w:rPr>
  </w:style>
  <w:style w:type="character" w:customStyle="1" w:styleId="Heading1">
    <w:name w:val="Heading #1_"/>
    <w:link w:val="Heading10"/>
    <w:locked/>
    <w:rsid w:val="00E90F93"/>
    <w:rPr>
      <w:rFonts w:ascii="Garamond" w:eastAsia="Garamond" w:hAnsi="Garamond" w:cs="Garamond"/>
      <w:b/>
      <w:bCs/>
      <w:sz w:val="80"/>
      <w:szCs w:val="80"/>
      <w:shd w:val="clear" w:color="auto" w:fill="FFFFFF"/>
    </w:rPr>
  </w:style>
  <w:style w:type="paragraph" w:customStyle="1" w:styleId="Heading10">
    <w:name w:val="Heading #1"/>
    <w:basedOn w:val="Normal"/>
    <w:link w:val="Heading1"/>
    <w:rsid w:val="00E90F93"/>
    <w:pPr>
      <w:widowControl w:val="0"/>
      <w:shd w:val="clear" w:color="auto" w:fill="FFFFFF"/>
      <w:spacing w:after="140" w:line="240" w:lineRule="auto"/>
      <w:ind w:firstLine="420"/>
      <w:outlineLvl w:val="0"/>
    </w:pPr>
    <w:rPr>
      <w:rFonts w:ascii="Garamond" w:eastAsia="Garamond" w:hAnsi="Garamond" w:cs="Garamond"/>
      <w:b/>
      <w:bCs/>
      <w:sz w:val="80"/>
      <w:szCs w:val="80"/>
      <w:lang w:val="en-US"/>
    </w:rPr>
  </w:style>
  <w:style w:type="character" w:customStyle="1" w:styleId="ListParagraphChar">
    <w:name w:val="List Paragraph Char"/>
    <w:aliases w:val="Normal 1 Char,List Paragraph1 Char,List Paragraph11 Char,Dot pt Char,F5 List Paragraph Char,List Paragraph Char Char Char Char,Indicator Text Char,Numbered Para 1 Char,Bullet 1 Char,Bullet Points Char,MAIN CONTENT Char,3 Char"/>
    <w:link w:val="ListParagraph"/>
    <w:uiPriority w:val="34"/>
    <w:qFormat/>
    <w:locked/>
    <w:rsid w:val="008F0EC1"/>
    <w:rPr>
      <w:rFonts w:eastAsia="MS Mincho"/>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81714">
      <w:bodyDiv w:val="1"/>
      <w:marLeft w:val="0"/>
      <w:marRight w:val="0"/>
      <w:marTop w:val="0"/>
      <w:marBottom w:val="0"/>
      <w:divBdr>
        <w:top w:val="none" w:sz="0" w:space="0" w:color="auto"/>
        <w:left w:val="none" w:sz="0" w:space="0" w:color="auto"/>
        <w:bottom w:val="none" w:sz="0" w:space="0" w:color="auto"/>
        <w:right w:val="none" w:sz="0" w:space="0" w:color="auto"/>
      </w:divBdr>
      <w:divsChild>
        <w:div w:id="656035199">
          <w:marLeft w:val="0"/>
          <w:marRight w:val="0"/>
          <w:marTop w:val="0"/>
          <w:marBottom w:val="0"/>
          <w:divBdr>
            <w:top w:val="none" w:sz="0" w:space="0" w:color="auto"/>
            <w:left w:val="none" w:sz="0" w:space="0" w:color="auto"/>
            <w:bottom w:val="none" w:sz="0" w:space="0" w:color="auto"/>
            <w:right w:val="none" w:sz="0" w:space="0" w:color="auto"/>
          </w:divBdr>
        </w:div>
        <w:div w:id="485167679">
          <w:marLeft w:val="0"/>
          <w:marRight w:val="0"/>
          <w:marTop w:val="0"/>
          <w:marBottom w:val="0"/>
          <w:divBdr>
            <w:top w:val="none" w:sz="0" w:space="0" w:color="auto"/>
            <w:left w:val="none" w:sz="0" w:space="0" w:color="auto"/>
            <w:bottom w:val="none" w:sz="0" w:space="0" w:color="auto"/>
            <w:right w:val="none" w:sz="0" w:space="0" w:color="auto"/>
          </w:divBdr>
        </w:div>
      </w:divsChild>
    </w:div>
    <w:div w:id="473182572">
      <w:bodyDiv w:val="1"/>
      <w:marLeft w:val="0"/>
      <w:marRight w:val="0"/>
      <w:marTop w:val="0"/>
      <w:marBottom w:val="0"/>
      <w:divBdr>
        <w:top w:val="none" w:sz="0" w:space="0" w:color="auto"/>
        <w:left w:val="none" w:sz="0" w:space="0" w:color="auto"/>
        <w:bottom w:val="none" w:sz="0" w:space="0" w:color="auto"/>
        <w:right w:val="none" w:sz="0" w:space="0" w:color="auto"/>
      </w:divBdr>
    </w:div>
    <w:div w:id="684944593">
      <w:bodyDiv w:val="1"/>
      <w:marLeft w:val="0"/>
      <w:marRight w:val="0"/>
      <w:marTop w:val="0"/>
      <w:marBottom w:val="0"/>
      <w:divBdr>
        <w:top w:val="none" w:sz="0" w:space="0" w:color="auto"/>
        <w:left w:val="none" w:sz="0" w:space="0" w:color="auto"/>
        <w:bottom w:val="none" w:sz="0" w:space="0" w:color="auto"/>
        <w:right w:val="none" w:sz="0" w:space="0" w:color="auto"/>
      </w:divBdr>
    </w:div>
    <w:div w:id="999311987">
      <w:bodyDiv w:val="1"/>
      <w:marLeft w:val="0"/>
      <w:marRight w:val="0"/>
      <w:marTop w:val="0"/>
      <w:marBottom w:val="0"/>
      <w:divBdr>
        <w:top w:val="none" w:sz="0" w:space="0" w:color="auto"/>
        <w:left w:val="none" w:sz="0" w:space="0" w:color="auto"/>
        <w:bottom w:val="none" w:sz="0" w:space="0" w:color="auto"/>
        <w:right w:val="none" w:sz="0" w:space="0" w:color="auto"/>
      </w:divBdr>
    </w:div>
    <w:div w:id="1099064578">
      <w:bodyDiv w:val="1"/>
      <w:marLeft w:val="0"/>
      <w:marRight w:val="0"/>
      <w:marTop w:val="0"/>
      <w:marBottom w:val="0"/>
      <w:divBdr>
        <w:top w:val="none" w:sz="0" w:space="0" w:color="auto"/>
        <w:left w:val="none" w:sz="0" w:space="0" w:color="auto"/>
        <w:bottom w:val="none" w:sz="0" w:space="0" w:color="auto"/>
        <w:right w:val="none" w:sz="0" w:space="0" w:color="auto"/>
      </w:divBdr>
    </w:div>
    <w:div w:id="1413815539">
      <w:bodyDiv w:val="1"/>
      <w:marLeft w:val="0"/>
      <w:marRight w:val="0"/>
      <w:marTop w:val="0"/>
      <w:marBottom w:val="0"/>
      <w:divBdr>
        <w:top w:val="none" w:sz="0" w:space="0" w:color="auto"/>
        <w:left w:val="none" w:sz="0" w:space="0" w:color="auto"/>
        <w:bottom w:val="none" w:sz="0" w:space="0" w:color="auto"/>
        <w:right w:val="none" w:sz="0" w:space="0" w:color="auto"/>
      </w:divBdr>
    </w:div>
    <w:div w:id="1547402249">
      <w:bodyDiv w:val="1"/>
      <w:marLeft w:val="0"/>
      <w:marRight w:val="0"/>
      <w:marTop w:val="0"/>
      <w:marBottom w:val="0"/>
      <w:divBdr>
        <w:top w:val="none" w:sz="0" w:space="0" w:color="auto"/>
        <w:left w:val="none" w:sz="0" w:space="0" w:color="auto"/>
        <w:bottom w:val="none" w:sz="0" w:space="0" w:color="auto"/>
        <w:right w:val="none" w:sz="0" w:space="0" w:color="auto"/>
      </w:divBdr>
    </w:div>
    <w:div w:id="1552569689">
      <w:bodyDiv w:val="1"/>
      <w:marLeft w:val="0"/>
      <w:marRight w:val="0"/>
      <w:marTop w:val="0"/>
      <w:marBottom w:val="0"/>
      <w:divBdr>
        <w:top w:val="none" w:sz="0" w:space="0" w:color="auto"/>
        <w:left w:val="none" w:sz="0" w:space="0" w:color="auto"/>
        <w:bottom w:val="none" w:sz="0" w:space="0" w:color="auto"/>
        <w:right w:val="none" w:sz="0" w:space="0" w:color="auto"/>
      </w:divBdr>
    </w:div>
    <w:div w:id="189373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BF3E2-8602-4A0C-83B3-3240E401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35706</Words>
  <Characters>203526</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Relacion shpjegues për projektligjin “Për prokurimet në fushën e mbrojtjes dhe të sigurisë”</vt:lpstr>
    </vt:vector>
  </TitlesOfParts>
  <Company/>
  <LinksUpToDate>false</LinksUpToDate>
  <CharactersWithSpaces>238755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 shpjegues për projektligjin “Për prokurimet në fushën e mbrojtjes dhe të sigurisë”</dc:title>
  <dc:subject>Krerët I–V të rishikuar në vijim të komenteve të Komisionit Evropian dhe raportit të SIGMA-s</dc:subject>
  <dc:creator>Sp1 Programim Hartim Harmonizim Akte Rregullatore</dc:creator>
  <cp:keywords/>
  <dc:description/>
  <cp:lastModifiedBy>Sp1 Programim Hartim Harmonizim Akte Rregullatore</cp:lastModifiedBy>
  <cp:revision>8</cp:revision>
  <cp:lastPrinted>2025-11-21T09:07:00Z</cp:lastPrinted>
  <dcterms:created xsi:type="dcterms:W3CDTF">2026-08-07T07:27:00Z</dcterms:created>
  <dcterms:modified xsi:type="dcterms:W3CDTF">2026-08-11T14:12:00Z</dcterms:modified>
</cp:coreProperties>
</file>